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8F9814" w14:textId="77777777" w:rsidR="00B50C95" w:rsidRPr="00C929FB" w:rsidRDefault="00B50C95" w:rsidP="00B50C95">
      <w:pPr>
        <w:rPr>
          <w:b/>
          <w:bCs/>
          <w:sz w:val="32"/>
          <w:szCs w:val="32"/>
        </w:rPr>
      </w:pPr>
      <w:r w:rsidRPr="00C929FB">
        <w:rPr>
          <w:b/>
          <w:bCs/>
          <w:sz w:val="32"/>
          <w:szCs w:val="32"/>
        </w:rPr>
        <w:t>Results</w:t>
      </w:r>
    </w:p>
    <w:p w14:paraId="75CA2568" w14:textId="77777777" w:rsidR="00B50C95" w:rsidRPr="00533DC9" w:rsidRDefault="00B50C95" w:rsidP="00B50C95">
      <w:pPr>
        <w:spacing w:after="0" w:line="300" w:lineRule="atLeast"/>
        <w:rPr>
          <w:rFonts w:eastAsia="Times New Roman" w:cstheme="minorHAnsi"/>
          <w:sz w:val="24"/>
          <w:szCs w:val="24"/>
          <w:lang w:eastAsia="en-GB"/>
        </w:rPr>
      </w:pPr>
      <w:r w:rsidRPr="00533DC9">
        <w:rPr>
          <w:rFonts w:eastAsia="Times New Roman" w:cstheme="minorHAnsi"/>
          <w:sz w:val="24"/>
          <w:szCs w:val="24"/>
          <w:lang w:eastAsia="en-GB"/>
        </w:rPr>
        <w:t>Following the application of the inclusion and exclusion criteria, the relevant articles were screened, and two review papers were selected for analysis. These reviews were examined to evaluate the effectiveness of smart infusion pump technology in reducing medication administration errors in hospital settings.</w:t>
      </w:r>
    </w:p>
    <w:p w14:paraId="670A076E" w14:textId="77777777" w:rsidR="00B50C95" w:rsidRDefault="00B50C95" w:rsidP="00B50C95">
      <w:pPr>
        <w:rPr>
          <w:sz w:val="24"/>
          <w:szCs w:val="24"/>
        </w:rPr>
      </w:pPr>
    </w:p>
    <w:p w14:paraId="06CC0286" w14:textId="77777777" w:rsidR="00B50C95" w:rsidRDefault="00B50C95" w:rsidP="00B50C95">
      <w:pPr>
        <w:rPr>
          <w:sz w:val="24"/>
          <w:szCs w:val="24"/>
        </w:rPr>
      </w:pPr>
      <w:r>
        <w:rPr>
          <w:sz w:val="24"/>
          <w:szCs w:val="24"/>
        </w:rPr>
        <w:t>Table 2. Summary comparison and key findings from the selected reviews</w:t>
      </w:r>
    </w:p>
    <w:tbl>
      <w:tblPr>
        <w:tblStyle w:val="TableGrid"/>
        <w:tblW w:w="9351" w:type="dxa"/>
        <w:tblLook w:val="04A0" w:firstRow="1" w:lastRow="0" w:firstColumn="1" w:lastColumn="0" w:noHBand="0" w:noVBand="1"/>
      </w:tblPr>
      <w:tblGrid>
        <w:gridCol w:w="3005"/>
        <w:gridCol w:w="2944"/>
        <w:gridCol w:w="3402"/>
      </w:tblGrid>
      <w:tr w:rsidR="00B50C95" w14:paraId="7D493AC2" w14:textId="77777777" w:rsidTr="004F2CCC">
        <w:trPr>
          <w:trHeight w:val="534"/>
        </w:trPr>
        <w:tc>
          <w:tcPr>
            <w:tcW w:w="3005" w:type="dxa"/>
          </w:tcPr>
          <w:p w14:paraId="5B896FF2" w14:textId="77777777" w:rsidR="00B50C95" w:rsidRDefault="00B50C95" w:rsidP="004F2CCC">
            <w:pPr>
              <w:rPr>
                <w:sz w:val="24"/>
                <w:szCs w:val="24"/>
              </w:rPr>
            </w:pPr>
            <w:r>
              <w:rPr>
                <w:sz w:val="24"/>
                <w:szCs w:val="24"/>
              </w:rPr>
              <w:t>Study</w:t>
            </w:r>
          </w:p>
        </w:tc>
        <w:tc>
          <w:tcPr>
            <w:tcW w:w="2944" w:type="dxa"/>
          </w:tcPr>
          <w:p w14:paraId="429889A1" w14:textId="77777777" w:rsidR="00B50C95" w:rsidRPr="00300261" w:rsidRDefault="00B50C95" w:rsidP="004F2CCC">
            <w:pPr>
              <w:rPr>
                <w:i/>
                <w:iCs/>
                <w:sz w:val="24"/>
                <w:szCs w:val="24"/>
              </w:rPr>
            </w:pPr>
            <w:r>
              <w:rPr>
                <w:sz w:val="24"/>
                <w:szCs w:val="24"/>
              </w:rPr>
              <w:t xml:space="preserve">Borrelli </w:t>
            </w:r>
            <w:r>
              <w:rPr>
                <w:i/>
                <w:iCs/>
                <w:sz w:val="24"/>
                <w:szCs w:val="24"/>
              </w:rPr>
              <w:t xml:space="preserve">et al. </w:t>
            </w:r>
            <w:r>
              <w:rPr>
                <w:sz w:val="24"/>
                <w:szCs w:val="24"/>
              </w:rPr>
              <w:t>(2025)</w:t>
            </w:r>
          </w:p>
        </w:tc>
        <w:tc>
          <w:tcPr>
            <w:tcW w:w="3402" w:type="dxa"/>
          </w:tcPr>
          <w:p w14:paraId="70E4C2D9" w14:textId="77777777" w:rsidR="00B50C95" w:rsidRPr="00AD62AA" w:rsidRDefault="00B50C95" w:rsidP="004F2CCC">
            <w:pPr>
              <w:jc w:val="center"/>
              <w:rPr>
                <w:sz w:val="24"/>
                <w:szCs w:val="24"/>
              </w:rPr>
            </w:pPr>
            <w:proofErr w:type="spellStart"/>
            <w:r>
              <w:rPr>
                <w:sz w:val="24"/>
                <w:szCs w:val="24"/>
              </w:rPr>
              <w:t>Alqaraleh</w:t>
            </w:r>
            <w:proofErr w:type="spellEnd"/>
            <w:r>
              <w:rPr>
                <w:sz w:val="24"/>
                <w:szCs w:val="24"/>
              </w:rPr>
              <w:t xml:space="preserve"> </w:t>
            </w:r>
            <w:r>
              <w:rPr>
                <w:i/>
                <w:iCs/>
                <w:sz w:val="24"/>
                <w:szCs w:val="24"/>
              </w:rPr>
              <w:t xml:space="preserve">et al. </w:t>
            </w:r>
            <w:r>
              <w:rPr>
                <w:sz w:val="24"/>
                <w:szCs w:val="24"/>
              </w:rPr>
              <w:t>(2024)</w:t>
            </w:r>
          </w:p>
          <w:p w14:paraId="1313E51D" w14:textId="77777777" w:rsidR="00B50C95" w:rsidRDefault="00B50C95" w:rsidP="004F2CCC">
            <w:pPr>
              <w:jc w:val="center"/>
              <w:rPr>
                <w:sz w:val="24"/>
                <w:szCs w:val="24"/>
              </w:rPr>
            </w:pPr>
          </w:p>
        </w:tc>
      </w:tr>
      <w:tr w:rsidR="00B50C95" w14:paraId="03B4F607" w14:textId="77777777" w:rsidTr="004F2CCC">
        <w:trPr>
          <w:trHeight w:val="1942"/>
        </w:trPr>
        <w:tc>
          <w:tcPr>
            <w:tcW w:w="3005" w:type="dxa"/>
          </w:tcPr>
          <w:p w14:paraId="7D6031A3" w14:textId="77777777" w:rsidR="00B50C95" w:rsidRDefault="00B50C95" w:rsidP="004F2CCC">
            <w:pPr>
              <w:rPr>
                <w:sz w:val="24"/>
                <w:szCs w:val="24"/>
              </w:rPr>
            </w:pPr>
            <w:r>
              <w:rPr>
                <w:sz w:val="24"/>
                <w:szCs w:val="24"/>
              </w:rPr>
              <w:t xml:space="preserve">Design </w:t>
            </w:r>
          </w:p>
        </w:tc>
        <w:tc>
          <w:tcPr>
            <w:tcW w:w="2944" w:type="dxa"/>
          </w:tcPr>
          <w:p w14:paraId="6E5D4282" w14:textId="77777777" w:rsidR="00B50C95" w:rsidRDefault="00B50C95" w:rsidP="004F2CCC">
            <w:pPr>
              <w:rPr>
                <w:sz w:val="24"/>
                <w:szCs w:val="24"/>
              </w:rPr>
            </w:pPr>
            <w:r>
              <w:rPr>
                <w:sz w:val="24"/>
                <w:szCs w:val="24"/>
              </w:rPr>
              <w:t>Systematic literature review</w:t>
            </w:r>
          </w:p>
        </w:tc>
        <w:tc>
          <w:tcPr>
            <w:tcW w:w="3402" w:type="dxa"/>
          </w:tcPr>
          <w:p w14:paraId="0ACD5EA7" w14:textId="77777777" w:rsidR="00B50C95" w:rsidRDefault="00B50C95" w:rsidP="004F2CCC">
            <w:pPr>
              <w:rPr>
                <w:sz w:val="24"/>
                <w:szCs w:val="24"/>
              </w:rPr>
            </w:pPr>
            <w:r>
              <w:rPr>
                <w:sz w:val="24"/>
                <w:szCs w:val="24"/>
              </w:rPr>
              <w:t>Systematic review with qualitative insights from nurses</w:t>
            </w:r>
          </w:p>
        </w:tc>
      </w:tr>
      <w:tr w:rsidR="00B50C95" w14:paraId="0BC3D7A8" w14:textId="77777777" w:rsidTr="004F2CCC">
        <w:trPr>
          <w:trHeight w:val="2112"/>
        </w:trPr>
        <w:tc>
          <w:tcPr>
            <w:tcW w:w="3005" w:type="dxa"/>
          </w:tcPr>
          <w:p w14:paraId="504F1759" w14:textId="77777777" w:rsidR="00B50C95" w:rsidRDefault="00B50C95" w:rsidP="004F2CCC">
            <w:pPr>
              <w:rPr>
                <w:sz w:val="24"/>
                <w:szCs w:val="24"/>
              </w:rPr>
            </w:pPr>
            <w:r>
              <w:rPr>
                <w:sz w:val="24"/>
                <w:szCs w:val="24"/>
              </w:rPr>
              <w:t xml:space="preserve">Review focus </w:t>
            </w:r>
          </w:p>
        </w:tc>
        <w:tc>
          <w:tcPr>
            <w:tcW w:w="2944" w:type="dxa"/>
          </w:tcPr>
          <w:p w14:paraId="053FA301" w14:textId="77777777" w:rsidR="00B50C95" w:rsidRDefault="00B50C95" w:rsidP="004F2CCC">
            <w:pPr>
              <w:rPr>
                <w:sz w:val="24"/>
                <w:szCs w:val="24"/>
              </w:rPr>
            </w:pPr>
            <w:r>
              <w:rPr>
                <w:sz w:val="24"/>
                <w:szCs w:val="24"/>
              </w:rPr>
              <w:t>Smart infusion pump interoperability and the potential to reduce medication administration errors in hospital settings</w:t>
            </w:r>
          </w:p>
        </w:tc>
        <w:tc>
          <w:tcPr>
            <w:tcW w:w="3402" w:type="dxa"/>
          </w:tcPr>
          <w:p w14:paraId="755CFF87" w14:textId="77777777" w:rsidR="00B50C95" w:rsidRDefault="00B50C95" w:rsidP="004F2CCC">
            <w:pPr>
              <w:rPr>
                <w:sz w:val="24"/>
                <w:szCs w:val="24"/>
              </w:rPr>
            </w:pPr>
            <w:r>
              <w:rPr>
                <w:sz w:val="24"/>
                <w:szCs w:val="24"/>
              </w:rPr>
              <w:t>Smart AI technologies for reduction in medication errors in a nursing environment.</w:t>
            </w:r>
          </w:p>
        </w:tc>
      </w:tr>
      <w:tr w:rsidR="00B50C95" w14:paraId="1510209B" w14:textId="77777777" w:rsidTr="004F2CCC">
        <w:trPr>
          <w:trHeight w:val="1830"/>
        </w:trPr>
        <w:tc>
          <w:tcPr>
            <w:tcW w:w="3005" w:type="dxa"/>
          </w:tcPr>
          <w:p w14:paraId="7334F403" w14:textId="77777777" w:rsidR="00B50C95" w:rsidRDefault="00B50C95" w:rsidP="004F2CCC">
            <w:pPr>
              <w:rPr>
                <w:sz w:val="24"/>
                <w:szCs w:val="24"/>
              </w:rPr>
            </w:pPr>
            <w:r>
              <w:rPr>
                <w:sz w:val="24"/>
                <w:szCs w:val="24"/>
              </w:rPr>
              <w:t>Technology discussed</w:t>
            </w:r>
          </w:p>
        </w:tc>
        <w:tc>
          <w:tcPr>
            <w:tcW w:w="2944" w:type="dxa"/>
          </w:tcPr>
          <w:p w14:paraId="518208D5" w14:textId="77777777" w:rsidR="00B50C95" w:rsidRDefault="00B50C95" w:rsidP="004F2CCC">
            <w:pPr>
              <w:rPr>
                <w:sz w:val="24"/>
                <w:szCs w:val="24"/>
              </w:rPr>
            </w:pPr>
            <w:r>
              <w:rPr>
                <w:sz w:val="24"/>
                <w:szCs w:val="24"/>
              </w:rPr>
              <w:t>Smart infusion pumps with electronic health records.</w:t>
            </w:r>
          </w:p>
        </w:tc>
        <w:tc>
          <w:tcPr>
            <w:tcW w:w="3402" w:type="dxa"/>
          </w:tcPr>
          <w:p w14:paraId="0499A308" w14:textId="77777777" w:rsidR="00B50C95" w:rsidRDefault="00B50C95" w:rsidP="004F2CCC">
            <w:pPr>
              <w:rPr>
                <w:sz w:val="24"/>
                <w:szCs w:val="24"/>
              </w:rPr>
            </w:pPr>
            <w:r>
              <w:rPr>
                <w:sz w:val="24"/>
                <w:szCs w:val="24"/>
              </w:rPr>
              <w:t xml:space="preserve">Smart infusion pumps, clinical decision support system, barcode scanning and automated prescription validation </w:t>
            </w:r>
          </w:p>
        </w:tc>
      </w:tr>
      <w:tr w:rsidR="00B50C95" w14:paraId="7892E692" w14:textId="77777777" w:rsidTr="004F2CCC">
        <w:trPr>
          <w:trHeight w:val="1700"/>
        </w:trPr>
        <w:tc>
          <w:tcPr>
            <w:tcW w:w="3005" w:type="dxa"/>
          </w:tcPr>
          <w:p w14:paraId="26BFA4B7" w14:textId="77777777" w:rsidR="00B50C95" w:rsidRDefault="00B50C95" w:rsidP="004F2CCC">
            <w:pPr>
              <w:rPr>
                <w:sz w:val="24"/>
                <w:szCs w:val="24"/>
              </w:rPr>
            </w:pPr>
            <w:r>
              <w:rPr>
                <w:sz w:val="24"/>
                <w:szCs w:val="24"/>
              </w:rPr>
              <w:t>Main Outcome</w:t>
            </w:r>
          </w:p>
        </w:tc>
        <w:tc>
          <w:tcPr>
            <w:tcW w:w="2944" w:type="dxa"/>
          </w:tcPr>
          <w:p w14:paraId="211EC21F" w14:textId="77777777" w:rsidR="00B50C95" w:rsidRDefault="00B50C95" w:rsidP="004F2CCC">
            <w:pPr>
              <w:rPr>
                <w:sz w:val="24"/>
                <w:szCs w:val="24"/>
              </w:rPr>
            </w:pPr>
            <w:r>
              <w:rPr>
                <w:sz w:val="24"/>
                <w:szCs w:val="24"/>
              </w:rPr>
              <w:t xml:space="preserve">Reduction in medication administration errors through the interoperability implementation over manual programming </w:t>
            </w:r>
          </w:p>
        </w:tc>
        <w:tc>
          <w:tcPr>
            <w:tcW w:w="3402" w:type="dxa"/>
          </w:tcPr>
          <w:p w14:paraId="3409D73C" w14:textId="77777777" w:rsidR="00B50C95" w:rsidRDefault="00B50C95" w:rsidP="004F2CCC">
            <w:pPr>
              <w:rPr>
                <w:sz w:val="24"/>
                <w:szCs w:val="24"/>
              </w:rPr>
            </w:pPr>
            <w:r>
              <w:rPr>
                <w:sz w:val="24"/>
                <w:szCs w:val="24"/>
              </w:rPr>
              <w:t>The reduction in administration medication errors through the use of Smart technology but training is still required and human error still occurs</w:t>
            </w:r>
          </w:p>
        </w:tc>
      </w:tr>
      <w:tr w:rsidR="00B50C95" w14:paraId="60EAF241" w14:textId="77777777" w:rsidTr="004F2CCC">
        <w:trPr>
          <w:trHeight w:val="1824"/>
        </w:trPr>
        <w:tc>
          <w:tcPr>
            <w:tcW w:w="3005" w:type="dxa"/>
          </w:tcPr>
          <w:p w14:paraId="36A45DB6" w14:textId="77777777" w:rsidR="00B50C95" w:rsidRDefault="00B50C95" w:rsidP="004F2CCC">
            <w:pPr>
              <w:rPr>
                <w:sz w:val="24"/>
                <w:szCs w:val="24"/>
              </w:rPr>
            </w:pPr>
            <w:r>
              <w:rPr>
                <w:sz w:val="24"/>
                <w:szCs w:val="24"/>
              </w:rPr>
              <w:t>Key Findings</w:t>
            </w:r>
          </w:p>
        </w:tc>
        <w:tc>
          <w:tcPr>
            <w:tcW w:w="2944" w:type="dxa"/>
          </w:tcPr>
          <w:p w14:paraId="5AABCD88" w14:textId="77777777" w:rsidR="00B50C95" w:rsidRDefault="00B50C95" w:rsidP="004F2CCC">
            <w:pPr>
              <w:rPr>
                <w:sz w:val="24"/>
                <w:szCs w:val="24"/>
              </w:rPr>
            </w:pPr>
            <w:r>
              <w:rPr>
                <w:sz w:val="24"/>
                <w:szCs w:val="24"/>
              </w:rPr>
              <w:t>Medication administration Errors reduced by 15.4%-54.8% and overall errors reduced by 21.2%-90.5%</w:t>
            </w:r>
          </w:p>
        </w:tc>
        <w:tc>
          <w:tcPr>
            <w:tcW w:w="3402" w:type="dxa"/>
          </w:tcPr>
          <w:p w14:paraId="0BF8C003" w14:textId="77777777" w:rsidR="00B50C95" w:rsidRDefault="00B50C95" w:rsidP="004F2CCC">
            <w:pPr>
              <w:rPr>
                <w:sz w:val="24"/>
                <w:szCs w:val="24"/>
              </w:rPr>
            </w:pPr>
            <w:r>
              <w:rPr>
                <w:sz w:val="24"/>
                <w:szCs w:val="24"/>
              </w:rPr>
              <w:t>Smart infusion technologies were associated with an 80% reduction in IV medication administration errors.</w:t>
            </w:r>
          </w:p>
        </w:tc>
      </w:tr>
    </w:tbl>
    <w:p w14:paraId="305C862D" w14:textId="77777777" w:rsidR="00B50C95" w:rsidRDefault="00B50C95" w:rsidP="00B50C95">
      <w:pPr>
        <w:rPr>
          <w:sz w:val="24"/>
          <w:szCs w:val="24"/>
        </w:rPr>
      </w:pPr>
    </w:p>
    <w:p w14:paraId="689428AA" w14:textId="77777777" w:rsidR="00B50C95" w:rsidRDefault="00B50C95" w:rsidP="00B50C95">
      <w:pPr>
        <w:rPr>
          <w:sz w:val="24"/>
          <w:szCs w:val="24"/>
        </w:rPr>
      </w:pPr>
    </w:p>
    <w:p w14:paraId="16E8E411" w14:textId="77777777" w:rsidR="00B50C95" w:rsidRDefault="00B50C95" w:rsidP="00B50C95">
      <w:pPr>
        <w:rPr>
          <w:sz w:val="24"/>
          <w:szCs w:val="24"/>
        </w:rPr>
      </w:pPr>
    </w:p>
    <w:p w14:paraId="7F821FA3" w14:textId="77777777" w:rsidR="00B50C95" w:rsidRDefault="00B50C95" w:rsidP="00B50C95">
      <w:pPr>
        <w:rPr>
          <w:sz w:val="24"/>
          <w:szCs w:val="24"/>
        </w:rPr>
      </w:pPr>
      <w:r>
        <w:rPr>
          <w:sz w:val="24"/>
          <w:szCs w:val="24"/>
        </w:rPr>
        <w:t xml:space="preserve">(Borrelli </w:t>
      </w:r>
      <w:r>
        <w:rPr>
          <w:i/>
          <w:iCs/>
          <w:sz w:val="24"/>
          <w:szCs w:val="24"/>
        </w:rPr>
        <w:t xml:space="preserve">et al. </w:t>
      </w:r>
      <w:r>
        <w:rPr>
          <w:sz w:val="24"/>
          <w:szCs w:val="24"/>
        </w:rPr>
        <w:t xml:space="preserve">2025) compared and reviewed medication errors pre and post interoperability implementation in hospital settings with the primary outcome measuring the errors directly impacted by interoperability and the secondary outcome assessed the cumulative reduction in medication administration errors which are caused by manually programming the pump. The results showed a reduction of 15.4% to 54.8% following interoperability implementation (Borrelli </w:t>
      </w:r>
      <w:r>
        <w:rPr>
          <w:i/>
          <w:iCs/>
          <w:sz w:val="24"/>
          <w:szCs w:val="24"/>
        </w:rPr>
        <w:t xml:space="preserve">et al., </w:t>
      </w:r>
      <w:r>
        <w:rPr>
          <w:sz w:val="24"/>
          <w:szCs w:val="24"/>
        </w:rPr>
        <w:t xml:space="preserve">2025)., and a reduction of medication administration errors ranged from 21.2% to 90.5% after implementation (Borrelli </w:t>
      </w:r>
      <w:r>
        <w:rPr>
          <w:i/>
          <w:iCs/>
          <w:sz w:val="24"/>
          <w:szCs w:val="24"/>
        </w:rPr>
        <w:t xml:space="preserve">et al., </w:t>
      </w:r>
      <w:r>
        <w:rPr>
          <w:sz w:val="24"/>
          <w:szCs w:val="24"/>
        </w:rPr>
        <w:t>2025).</w:t>
      </w:r>
    </w:p>
    <w:p w14:paraId="3E04AAA6" w14:textId="77777777" w:rsidR="00B50C95" w:rsidRPr="009152C3" w:rsidRDefault="00B50C95" w:rsidP="00B50C95">
      <w:pPr>
        <w:rPr>
          <w:sz w:val="24"/>
          <w:szCs w:val="24"/>
        </w:rPr>
      </w:pPr>
      <w:r>
        <w:rPr>
          <w:sz w:val="24"/>
          <w:szCs w:val="24"/>
        </w:rPr>
        <w:t>(</w:t>
      </w:r>
      <w:proofErr w:type="spellStart"/>
      <w:r>
        <w:rPr>
          <w:sz w:val="24"/>
          <w:szCs w:val="24"/>
        </w:rPr>
        <w:t>Alqaraleh</w:t>
      </w:r>
      <w:proofErr w:type="spellEnd"/>
      <w:r>
        <w:rPr>
          <w:sz w:val="24"/>
          <w:szCs w:val="24"/>
        </w:rPr>
        <w:t xml:space="preserve"> </w:t>
      </w:r>
      <w:r>
        <w:rPr>
          <w:i/>
          <w:iCs/>
          <w:sz w:val="24"/>
          <w:szCs w:val="24"/>
        </w:rPr>
        <w:t xml:space="preserve">et al. </w:t>
      </w:r>
      <w:r>
        <w:rPr>
          <w:sz w:val="24"/>
          <w:szCs w:val="24"/>
        </w:rPr>
        <w:t xml:space="preserve">2024) was a systematic review from twelve case studies using a mixed methods approach to integrate quantitative outcomes with qualitative insights from nursing practice. Overall, the study showed and concluded that smart infusion technologies significantly improved IV medication administration errors by 80% </w:t>
      </w:r>
      <w:r w:rsidRPr="00EC3076">
        <w:rPr>
          <w:rFonts w:ascii="Calibri" w:eastAsia="Times New Roman" w:hAnsi="Calibri" w:cs="Calibri"/>
          <w:sz w:val="24"/>
          <w:szCs w:val="24"/>
          <w:lang w:eastAsia="en-GB"/>
        </w:rPr>
        <w:t>(</w:t>
      </w:r>
      <w:proofErr w:type="spellStart"/>
      <w:r w:rsidRPr="00EC3076">
        <w:rPr>
          <w:rFonts w:ascii="Calibri" w:eastAsia="Times New Roman" w:hAnsi="Calibri" w:cs="Calibri"/>
          <w:sz w:val="24"/>
          <w:szCs w:val="24"/>
          <w:lang w:eastAsia="en-GB"/>
        </w:rPr>
        <w:t>Alqaraleh</w:t>
      </w:r>
      <w:proofErr w:type="spellEnd"/>
      <w:r w:rsidRPr="00EC3076">
        <w:rPr>
          <w:rFonts w:ascii="Calibri" w:eastAsia="Times New Roman" w:hAnsi="Calibri" w:cs="Calibri"/>
          <w:sz w:val="24"/>
          <w:szCs w:val="24"/>
          <w:lang w:eastAsia="en-GB"/>
        </w:rPr>
        <w:t xml:space="preserve">, </w:t>
      </w:r>
      <w:r>
        <w:rPr>
          <w:rFonts w:ascii="Calibri" w:eastAsia="Times New Roman" w:hAnsi="Calibri" w:cs="Calibri"/>
          <w:i/>
          <w:iCs/>
          <w:sz w:val="24"/>
          <w:szCs w:val="24"/>
          <w:lang w:eastAsia="en-GB"/>
        </w:rPr>
        <w:t>et al.,</w:t>
      </w:r>
      <w:r w:rsidRPr="00EC3076">
        <w:rPr>
          <w:rFonts w:ascii="Calibri" w:eastAsia="Times New Roman" w:hAnsi="Calibri" w:cs="Calibri"/>
          <w:sz w:val="24"/>
          <w:szCs w:val="24"/>
          <w:lang w:eastAsia="en-GB"/>
        </w:rPr>
        <w:t xml:space="preserve"> 2025).</w:t>
      </w:r>
      <w:r>
        <w:rPr>
          <w:sz w:val="24"/>
          <w:szCs w:val="24"/>
        </w:rPr>
        <w:t xml:space="preserve"> “However, successful implementation depends on nursing training, system integration” (</w:t>
      </w:r>
      <w:proofErr w:type="spellStart"/>
      <w:r>
        <w:rPr>
          <w:sz w:val="24"/>
          <w:szCs w:val="24"/>
        </w:rPr>
        <w:t>Algarleh</w:t>
      </w:r>
      <w:proofErr w:type="spellEnd"/>
      <w:r>
        <w:rPr>
          <w:sz w:val="24"/>
          <w:szCs w:val="24"/>
        </w:rPr>
        <w:t xml:space="preserve"> </w:t>
      </w:r>
      <w:r>
        <w:rPr>
          <w:i/>
          <w:iCs/>
          <w:sz w:val="24"/>
          <w:szCs w:val="24"/>
        </w:rPr>
        <w:t>et al.,</w:t>
      </w:r>
      <w:r>
        <w:rPr>
          <w:sz w:val="24"/>
          <w:szCs w:val="24"/>
        </w:rPr>
        <w:t xml:space="preserve"> 2025)</w:t>
      </w:r>
    </w:p>
    <w:p w14:paraId="541374A6" w14:textId="77777777" w:rsidR="00B50C95" w:rsidRPr="00B34F04" w:rsidRDefault="00B50C95" w:rsidP="00B50C95">
      <w:pPr>
        <w:spacing w:line="300" w:lineRule="atLeast"/>
        <w:rPr>
          <w:rFonts w:ascii="Segoe UI" w:eastAsia="Times New Roman" w:hAnsi="Segoe UI" w:cs="Segoe UI"/>
          <w:sz w:val="21"/>
          <w:szCs w:val="21"/>
          <w:lang w:eastAsia="en-GB"/>
        </w:rPr>
      </w:pPr>
      <w:r w:rsidRPr="00881162">
        <w:rPr>
          <w:sz w:val="24"/>
          <w:szCs w:val="24"/>
        </w:rPr>
        <w:t>Both reviews identified smart technologies as effective</w:t>
      </w:r>
      <w:r>
        <w:rPr>
          <w:sz w:val="24"/>
          <w:szCs w:val="24"/>
        </w:rPr>
        <w:t xml:space="preserve"> methods</w:t>
      </w:r>
      <w:r w:rsidRPr="00881162">
        <w:rPr>
          <w:sz w:val="24"/>
          <w:szCs w:val="24"/>
        </w:rPr>
        <w:t xml:space="preserve"> for reducing medication administration errors. However, Borrelli </w:t>
      </w:r>
      <w:r>
        <w:rPr>
          <w:i/>
          <w:iCs/>
          <w:sz w:val="24"/>
          <w:szCs w:val="24"/>
        </w:rPr>
        <w:t>et al</w:t>
      </w:r>
      <w:r w:rsidRPr="00881162">
        <w:rPr>
          <w:sz w:val="24"/>
          <w:szCs w:val="24"/>
        </w:rPr>
        <w:t xml:space="preserve">. (2025) </w:t>
      </w:r>
      <w:r>
        <w:rPr>
          <w:sz w:val="24"/>
          <w:szCs w:val="24"/>
        </w:rPr>
        <w:t xml:space="preserve">primarily attributed these improvements to </w:t>
      </w:r>
      <w:r w:rsidRPr="00881162">
        <w:rPr>
          <w:sz w:val="24"/>
          <w:szCs w:val="24"/>
        </w:rPr>
        <w:t xml:space="preserve">interoperability between </w:t>
      </w:r>
      <w:r>
        <w:rPr>
          <w:sz w:val="24"/>
          <w:szCs w:val="24"/>
        </w:rPr>
        <w:t>electronic healthcare records (</w:t>
      </w:r>
      <w:r w:rsidRPr="00881162">
        <w:rPr>
          <w:sz w:val="24"/>
          <w:szCs w:val="24"/>
        </w:rPr>
        <w:t>EHRs</w:t>
      </w:r>
      <w:r>
        <w:rPr>
          <w:sz w:val="24"/>
          <w:szCs w:val="24"/>
        </w:rPr>
        <w:t>)</w:t>
      </w:r>
      <w:r w:rsidRPr="00881162">
        <w:rPr>
          <w:sz w:val="24"/>
          <w:szCs w:val="24"/>
        </w:rPr>
        <w:t xml:space="preserve"> and infusion pumps, wh</w:t>
      </w:r>
      <w:r>
        <w:rPr>
          <w:sz w:val="24"/>
          <w:szCs w:val="24"/>
        </w:rPr>
        <w:t>ile</w:t>
      </w:r>
      <w:r w:rsidRPr="00881162">
        <w:rPr>
          <w:sz w:val="24"/>
          <w:szCs w:val="24"/>
        </w:rPr>
        <w:t xml:space="preserve"> </w:t>
      </w:r>
      <w:r>
        <w:rPr>
          <w:sz w:val="24"/>
          <w:szCs w:val="24"/>
        </w:rPr>
        <w:t>(</w:t>
      </w:r>
      <w:proofErr w:type="spellStart"/>
      <w:r w:rsidRPr="00881162">
        <w:rPr>
          <w:sz w:val="24"/>
          <w:szCs w:val="24"/>
        </w:rPr>
        <w:t>Alqaraleh</w:t>
      </w:r>
      <w:proofErr w:type="spellEnd"/>
      <w:r w:rsidRPr="00881162">
        <w:rPr>
          <w:sz w:val="24"/>
          <w:szCs w:val="24"/>
        </w:rPr>
        <w:t xml:space="preserve"> </w:t>
      </w:r>
      <w:r>
        <w:rPr>
          <w:i/>
          <w:iCs/>
          <w:sz w:val="24"/>
          <w:szCs w:val="24"/>
        </w:rPr>
        <w:t>et al.,</w:t>
      </w:r>
      <w:r w:rsidRPr="00881162">
        <w:rPr>
          <w:sz w:val="24"/>
          <w:szCs w:val="24"/>
        </w:rPr>
        <w:t xml:space="preserve">2025) </w:t>
      </w:r>
      <w:r w:rsidRPr="00B34F04">
        <w:rPr>
          <w:rFonts w:eastAsia="Times New Roman" w:cstheme="minorHAnsi"/>
          <w:sz w:val="24"/>
          <w:szCs w:val="24"/>
          <w:lang w:eastAsia="en-GB"/>
        </w:rPr>
        <w:t>argued that the effectiveness of smart technologies is heavily dependent on appropriate user training, staff competency, and organisational support, as human error can still occur despite technological advances.</w:t>
      </w:r>
    </w:p>
    <w:p w14:paraId="096EF60D" w14:textId="77777777" w:rsidR="00B50C95" w:rsidRDefault="00B50C95" w:rsidP="00B50C95">
      <w:pPr>
        <w:spacing w:after="0" w:line="300" w:lineRule="atLeast"/>
        <w:rPr>
          <w:rFonts w:eastAsia="Times New Roman" w:cstheme="minorHAnsi"/>
          <w:sz w:val="24"/>
          <w:szCs w:val="24"/>
          <w:lang w:eastAsia="en-GB"/>
        </w:rPr>
      </w:pPr>
    </w:p>
    <w:p w14:paraId="00E1F9DD" w14:textId="77777777" w:rsidR="00B50C95" w:rsidRPr="002C71D5" w:rsidRDefault="00B50C95" w:rsidP="00B50C95">
      <w:pPr>
        <w:spacing w:after="0" w:line="300" w:lineRule="atLeast"/>
        <w:rPr>
          <w:rFonts w:eastAsia="Times New Roman" w:cstheme="minorHAnsi"/>
          <w:sz w:val="24"/>
          <w:szCs w:val="24"/>
          <w:lang w:eastAsia="en-GB"/>
        </w:rPr>
      </w:pPr>
      <w:r w:rsidRPr="002C71D5">
        <w:rPr>
          <w:rFonts w:eastAsia="Times New Roman" w:cstheme="minorHAnsi"/>
          <w:sz w:val="24"/>
          <w:szCs w:val="24"/>
          <w:lang w:eastAsia="en-GB"/>
        </w:rPr>
        <w:t>A thematic analysis approach described by Braun and Clarke (2006) was used to identify common themes across the two selected reviews. The findings were examined for recurring ideas, which were then grouped into themes representing the key findings of the literature.</w:t>
      </w:r>
    </w:p>
    <w:p w14:paraId="783B3C0B" w14:textId="77777777" w:rsidR="00B50C95" w:rsidRPr="00ED37E8" w:rsidRDefault="00B50C95" w:rsidP="00B50C95">
      <w:pPr>
        <w:spacing w:after="0" w:line="300" w:lineRule="atLeast"/>
        <w:rPr>
          <w:rFonts w:ascii="Segoe UI" w:eastAsia="Times New Roman" w:hAnsi="Segoe UI" w:cs="Segoe UI"/>
          <w:sz w:val="21"/>
          <w:szCs w:val="21"/>
          <w:lang w:eastAsia="en-GB"/>
        </w:rPr>
      </w:pPr>
    </w:p>
    <w:p w14:paraId="137B6B02" w14:textId="77777777" w:rsidR="00B50C95" w:rsidRDefault="00B50C95" w:rsidP="00B50C95">
      <w:pPr>
        <w:pStyle w:val="ListParagraph"/>
        <w:numPr>
          <w:ilvl w:val="0"/>
          <w:numId w:val="1"/>
        </w:numPr>
        <w:rPr>
          <w:sz w:val="24"/>
          <w:szCs w:val="24"/>
        </w:rPr>
      </w:pPr>
      <w:r>
        <w:rPr>
          <w:sz w:val="24"/>
          <w:szCs w:val="24"/>
        </w:rPr>
        <w:t>Theme 1: Reduction in medication administration errors from the use of Smart infusion pump technology which in return ensures the safer delivery of intravenous medications to patients</w:t>
      </w:r>
    </w:p>
    <w:p w14:paraId="00C4F83C" w14:textId="77777777" w:rsidR="00B50C95" w:rsidRDefault="00B50C95" w:rsidP="00B50C95">
      <w:pPr>
        <w:pStyle w:val="ListParagraph"/>
        <w:numPr>
          <w:ilvl w:val="0"/>
          <w:numId w:val="1"/>
        </w:numPr>
        <w:rPr>
          <w:sz w:val="24"/>
          <w:szCs w:val="24"/>
        </w:rPr>
      </w:pPr>
      <w:r w:rsidRPr="00F57543">
        <w:rPr>
          <w:sz w:val="24"/>
          <w:szCs w:val="24"/>
        </w:rPr>
        <w:t>Theme 2: Interoperability system Implementation can improve medication administration errors as human intervention needed to program the pump manually is reduced through the smart communication between pump and electronic records</w:t>
      </w:r>
      <w:r>
        <w:rPr>
          <w:sz w:val="24"/>
          <w:szCs w:val="24"/>
        </w:rPr>
        <w:t>.</w:t>
      </w:r>
    </w:p>
    <w:p w14:paraId="1F73B45F" w14:textId="77777777" w:rsidR="00B50C95" w:rsidRDefault="00B50C95" w:rsidP="00B50C95">
      <w:pPr>
        <w:pStyle w:val="ListParagraph"/>
        <w:numPr>
          <w:ilvl w:val="0"/>
          <w:numId w:val="1"/>
        </w:numPr>
        <w:rPr>
          <w:sz w:val="24"/>
          <w:szCs w:val="24"/>
        </w:rPr>
      </w:pPr>
      <w:r>
        <w:rPr>
          <w:sz w:val="24"/>
          <w:szCs w:val="24"/>
        </w:rPr>
        <w:t>Theme 3: Human error still happens as smart pump technology is not a cure for zero errors as the percentage scores reflects this in both review studies, there is always other factors to consider for a successful implementation which depends on staff training, compliance, understanding and good clinical practices.</w:t>
      </w:r>
    </w:p>
    <w:p w14:paraId="43A3B558" w14:textId="77777777" w:rsidR="00DD35F4" w:rsidRDefault="00DD35F4"/>
    <w:sectPr w:rsidR="00DD35F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9827A6"/>
    <w:multiLevelType w:val="hybridMultilevel"/>
    <w:tmpl w:val="98C2B1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0C95"/>
    <w:rsid w:val="00B50C95"/>
    <w:rsid w:val="00DD35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806B9F"/>
  <w15:chartTrackingRefBased/>
  <w15:docId w15:val="{156D3F2D-A11E-4AF6-8B7D-87A2F6F995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0C9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50C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50C9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599</Words>
  <Characters>3418</Characters>
  <Application>Microsoft Office Word</Application>
  <DocSecurity>0</DocSecurity>
  <Lines>28</Lines>
  <Paragraphs>8</Paragraphs>
  <ScaleCrop>false</ScaleCrop>
  <Company>Swansea Bay Health Board</Company>
  <LinksUpToDate>false</LinksUpToDate>
  <CharactersWithSpaces>4009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Maclachlan (SBU - Medical Electronics)</dc:creator>
  <cp:keywords/>
  <dc:description/>
  <cp:lastModifiedBy>Daniel Maclachlan (SBU - Medical Electronics)</cp:lastModifiedBy>
  <cp:revision>1</cp:revision>
  <dcterms:created xsi:type="dcterms:W3CDTF">2026-10-26T13:26:00Z</dcterms:created>
  <dcterms:modified xsi:type="dcterms:W3CDTF">2026-10-26T13:27:00Z</dcterms:modified>
</cp:coreProperties>
</file>