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D232FAC" w14:textId="77777777" w:rsidR="006B0739" w:rsidRDefault="006B0739" w:rsidP="00364253">
      <w:pPr>
        <w:keepNext/>
        <w:keepLines/>
        <w:spacing w:before="240" w:after="0"/>
        <w:outlineLvl w:val="0"/>
        <w:rPr>
          <w:rFonts w:asciiTheme="majorHAnsi" w:eastAsiaTheme="majorEastAsia" w:hAnsiTheme="majorHAnsi" w:cstheme="majorHAnsi"/>
          <w:sz w:val="28"/>
          <w:szCs w:val="28"/>
          <w:u w:val="single"/>
        </w:rPr>
      </w:pPr>
    </w:p>
    <w:p w14:paraId="31113635" w14:textId="24A86FDC" w:rsidR="006B0739" w:rsidRPr="005B0F5E" w:rsidRDefault="00364253" w:rsidP="006B0739">
      <w:pPr>
        <w:keepNext/>
        <w:keepLines/>
        <w:spacing w:before="240" w:after="0"/>
        <w:outlineLvl w:val="0"/>
        <w:rPr>
          <w:rFonts w:eastAsiaTheme="majorEastAsia" w:cstheme="minorHAnsi"/>
          <w:color w:val="2F5496" w:themeColor="accent1" w:themeShade="BF"/>
          <w:sz w:val="24"/>
          <w:szCs w:val="24"/>
        </w:rPr>
      </w:pPr>
      <w:r w:rsidRPr="005B0F5E">
        <w:rPr>
          <w:rFonts w:eastAsiaTheme="majorEastAsia" w:cstheme="minorHAnsi"/>
          <w:sz w:val="28"/>
          <w:szCs w:val="28"/>
          <w:u w:val="single"/>
        </w:rPr>
        <w:t>Global Perspectives on Education</w:t>
      </w:r>
      <w:r w:rsidRPr="005B0F5E">
        <w:rPr>
          <w:rFonts w:eastAsiaTheme="majorEastAsia" w:cstheme="minorHAnsi"/>
          <w:color w:val="2F5496" w:themeColor="accent1" w:themeShade="BF"/>
          <w:sz w:val="24"/>
          <w:szCs w:val="24"/>
        </w:rPr>
        <w:t xml:space="preserve"> </w:t>
      </w:r>
    </w:p>
    <w:p w14:paraId="295A26D3" w14:textId="3FE29FB6" w:rsidR="0001554D" w:rsidRPr="005B0F5E" w:rsidRDefault="00913A01" w:rsidP="00473743">
      <w:pPr>
        <w:keepNext/>
        <w:keepLines/>
        <w:spacing w:before="240" w:after="0"/>
        <w:jc w:val="both"/>
        <w:outlineLvl w:val="0"/>
        <w:rPr>
          <w:rFonts w:eastAsiaTheme="majorEastAsia" w:cstheme="minorHAnsi"/>
          <w:color w:val="000000" w:themeColor="text1"/>
          <w:sz w:val="24"/>
          <w:szCs w:val="24"/>
        </w:rPr>
      </w:pPr>
      <w:r w:rsidRPr="005B0F5E">
        <w:rPr>
          <w:rFonts w:eastAsiaTheme="majorEastAsia" w:cstheme="minorHAnsi"/>
          <w:color w:val="000000" w:themeColor="text1"/>
          <w:sz w:val="24"/>
          <w:szCs w:val="24"/>
        </w:rPr>
        <w:t xml:space="preserve">First </w:t>
      </w:r>
      <w:r w:rsidR="00F23BF4" w:rsidRPr="005B0F5E">
        <w:rPr>
          <w:rFonts w:eastAsiaTheme="majorEastAsia" w:cstheme="minorHAnsi"/>
          <w:color w:val="000000" w:themeColor="text1"/>
          <w:sz w:val="24"/>
          <w:szCs w:val="24"/>
        </w:rPr>
        <w:t>recognized</w:t>
      </w:r>
      <w:r w:rsidRPr="005B0F5E">
        <w:rPr>
          <w:rFonts w:eastAsiaTheme="majorEastAsia" w:cstheme="minorHAnsi"/>
          <w:color w:val="000000" w:themeColor="text1"/>
          <w:sz w:val="24"/>
          <w:szCs w:val="24"/>
        </w:rPr>
        <w:t xml:space="preserve"> </w:t>
      </w:r>
      <w:r w:rsidR="00F23BF4" w:rsidRPr="005B0F5E">
        <w:rPr>
          <w:rFonts w:eastAsiaTheme="majorEastAsia" w:cstheme="minorHAnsi"/>
          <w:color w:val="000000" w:themeColor="text1"/>
          <w:sz w:val="24"/>
          <w:szCs w:val="24"/>
        </w:rPr>
        <w:t>by the “Universal Declaration of Human Rights (1948)”</w:t>
      </w:r>
      <w:r w:rsidR="008F4780" w:rsidRPr="005B0F5E">
        <w:rPr>
          <w:rFonts w:eastAsiaTheme="majorEastAsia" w:cstheme="minorHAnsi"/>
          <w:color w:val="000000" w:themeColor="text1"/>
          <w:sz w:val="24"/>
          <w:szCs w:val="24"/>
        </w:rPr>
        <w:t xml:space="preserve"> Cregan and Cuthbert,2014, p.63)</w:t>
      </w:r>
      <w:r w:rsidR="00F23BF4" w:rsidRPr="005B0F5E">
        <w:rPr>
          <w:rFonts w:eastAsiaTheme="majorEastAsia" w:cstheme="minorHAnsi"/>
          <w:color w:val="000000" w:themeColor="text1"/>
          <w:sz w:val="24"/>
          <w:szCs w:val="24"/>
        </w:rPr>
        <w:t>,</w:t>
      </w:r>
      <w:r w:rsidR="0012036A" w:rsidRPr="005B0F5E">
        <w:rPr>
          <w:rFonts w:eastAsiaTheme="majorEastAsia" w:cstheme="minorHAnsi"/>
          <w:color w:val="000000" w:themeColor="text1"/>
          <w:sz w:val="24"/>
          <w:szCs w:val="24"/>
        </w:rPr>
        <w:t xml:space="preserve"> </w:t>
      </w:r>
      <w:bookmarkStart w:id="0" w:name="_Hlk97489769"/>
      <w:r w:rsidR="00F23BF4" w:rsidRPr="005B0F5E">
        <w:rPr>
          <w:rFonts w:eastAsiaTheme="majorEastAsia" w:cstheme="minorHAnsi"/>
          <w:color w:val="000000" w:themeColor="text1"/>
          <w:sz w:val="24"/>
          <w:szCs w:val="24"/>
        </w:rPr>
        <w:t>education is formally acknowledged as “a human right which expresses “the rights and freedoms to which every human being is equally and undeniably entitled”</w:t>
      </w:r>
      <w:bookmarkEnd w:id="0"/>
      <w:r w:rsidR="00F23BF4" w:rsidRPr="005B0F5E">
        <w:rPr>
          <w:rFonts w:eastAsiaTheme="majorEastAsia" w:cstheme="minorHAnsi"/>
          <w:color w:val="000000" w:themeColor="text1"/>
          <w:sz w:val="24"/>
          <w:szCs w:val="24"/>
        </w:rPr>
        <w:t xml:space="preserve"> (UDHR,</w:t>
      </w:r>
      <w:r w:rsidR="00096638" w:rsidRPr="005B0F5E">
        <w:rPr>
          <w:rFonts w:eastAsiaTheme="majorEastAsia" w:cstheme="minorHAnsi"/>
          <w:color w:val="000000" w:themeColor="text1"/>
          <w:sz w:val="24"/>
          <w:szCs w:val="24"/>
        </w:rPr>
        <w:t>2015, p.</w:t>
      </w:r>
      <w:r w:rsidR="00F23BF4" w:rsidRPr="005B0F5E">
        <w:rPr>
          <w:rFonts w:eastAsiaTheme="majorEastAsia" w:cstheme="minorHAnsi"/>
          <w:color w:val="000000" w:themeColor="text1"/>
          <w:sz w:val="24"/>
          <w:szCs w:val="24"/>
        </w:rPr>
        <w:t>4). Furthermore, education provides a powerful tool for combatting oppression, liberty and affronts to human dignity (UDHR,2015).</w:t>
      </w:r>
      <w:r w:rsidR="00F64F31" w:rsidRPr="005B0F5E">
        <w:rPr>
          <w:rFonts w:eastAsiaTheme="majorEastAsia" w:cstheme="minorHAnsi"/>
          <w:color w:val="000000" w:themeColor="text1"/>
          <w:sz w:val="24"/>
          <w:szCs w:val="24"/>
        </w:rPr>
        <w:t xml:space="preserve"> In an attempt to </w:t>
      </w:r>
      <w:r w:rsidR="0061333A" w:rsidRPr="005B0F5E">
        <w:rPr>
          <w:rFonts w:eastAsiaTheme="majorEastAsia" w:cstheme="minorHAnsi"/>
          <w:color w:val="000000" w:themeColor="text1"/>
          <w:sz w:val="24"/>
          <w:szCs w:val="24"/>
        </w:rPr>
        <w:t>fulfil</w:t>
      </w:r>
      <w:r w:rsidR="006E08FD" w:rsidRPr="005B0F5E">
        <w:rPr>
          <w:rFonts w:eastAsiaTheme="majorEastAsia" w:cstheme="minorHAnsi"/>
          <w:color w:val="000000" w:themeColor="text1"/>
          <w:sz w:val="24"/>
          <w:szCs w:val="24"/>
        </w:rPr>
        <w:t xml:space="preserve"> these acquirements of </w:t>
      </w:r>
      <w:r w:rsidR="005A4B1E" w:rsidRPr="005B0F5E">
        <w:rPr>
          <w:rFonts w:eastAsiaTheme="majorEastAsia" w:cstheme="minorHAnsi"/>
          <w:color w:val="000000" w:themeColor="text1"/>
          <w:sz w:val="24"/>
          <w:szCs w:val="24"/>
        </w:rPr>
        <w:t>a right</w:t>
      </w:r>
      <w:r w:rsidR="006E08FD" w:rsidRPr="005B0F5E">
        <w:rPr>
          <w:rFonts w:eastAsiaTheme="majorEastAsia" w:cstheme="minorHAnsi"/>
          <w:color w:val="000000" w:themeColor="text1"/>
          <w:sz w:val="24"/>
          <w:szCs w:val="24"/>
        </w:rPr>
        <w:t xml:space="preserve"> to an education</w:t>
      </w:r>
      <w:r w:rsidR="005A4B1E" w:rsidRPr="005B0F5E">
        <w:rPr>
          <w:rFonts w:eastAsiaTheme="majorEastAsia" w:cstheme="minorHAnsi"/>
          <w:color w:val="000000" w:themeColor="text1"/>
          <w:sz w:val="24"/>
          <w:szCs w:val="24"/>
        </w:rPr>
        <w:t xml:space="preserve"> for all</w:t>
      </w:r>
      <w:r w:rsidR="006E08FD" w:rsidRPr="005B0F5E">
        <w:rPr>
          <w:rFonts w:eastAsiaTheme="majorEastAsia" w:cstheme="minorHAnsi"/>
          <w:color w:val="000000" w:themeColor="text1"/>
          <w:sz w:val="24"/>
          <w:szCs w:val="24"/>
        </w:rPr>
        <w:t>,</w:t>
      </w:r>
      <w:r w:rsidR="00F64F31" w:rsidRPr="005B0F5E">
        <w:rPr>
          <w:rFonts w:eastAsiaTheme="majorEastAsia" w:cstheme="minorHAnsi"/>
          <w:color w:val="000000" w:themeColor="text1"/>
          <w:sz w:val="24"/>
          <w:szCs w:val="24"/>
        </w:rPr>
        <w:t xml:space="preserve"> the “World Declaration on Education for All</w:t>
      </w:r>
      <w:r w:rsidR="006E08FD" w:rsidRPr="005B0F5E">
        <w:rPr>
          <w:rFonts w:eastAsiaTheme="majorEastAsia" w:cstheme="minorHAnsi"/>
          <w:color w:val="000000" w:themeColor="text1"/>
          <w:sz w:val="24"/>
          <w:szCs w:val="24"/>
        </w:rPr>
        <w:t>”</w:t>
      </w:r>
      <w:r w:rsidR="00F64F31" w:rsidRPr="005B0F5E">
        <w:rPr>
          <w:rFonts w:eastAsiaTheme="majorEastAsia" w:cstheme="minorHAnsi"/>
          <w:color w:val="000000" w:themeColor="text1"/>
          <w:sz w:val="24"/>
          <w:szCs w:val="24"/>
        </w:rPr>
        <w:t xml:space="preserve"> (EFA) (</w:t>
      </w:r>
      <w:r w:rsidR="006E08FD" w:rsidRPr="005B0F5E">
        <w:rPr>
          <w:rFonts w:eastAsiaTheme="majorEastAsia" w:cstheme="minorHAnsi"/>
          <w:color w:val="000000" w:themeColor="text1"/>
          <w:sz w:val="24"/>
          <w:szCs w:val="24"/>
        </w:rPr>
        <w:t>Karner,2018, p.14</w:t>
      </w:r>
      <w:r w:rsidR="00F64F31" w:rsidRPr="005B0F5E">
        <w:rPr>
          <w:rFonts w:eastAsiaTheme="majorEastAsia" w:cstheme="minorHAnsi"/>
          <w:color w:val="000000" w:themeColor="text1"/>
          <w:sz w:val="24"/>
          <w:szCs w:val="24"/>
        </w:rPr>
        <w:t xml:space="preserve">) </w:t>
      </w:r>
      <w:r w:rsidR="006E08FD" w:rsidRPr="005B0F5E">
        <w:rPr>
          <w:rFonts w:eastAsiaTheme="majorEastAsia" w:cstheme="minorHAnsi"/>
          <w:color w:val="000000" w:themeColor="text1"/>
          <w:sz w:val="24"/>
          <w:szCs w:val="24"/>
        </w:rPr>
        <w:t xml:space="preserve">was initially signed by “150 governments in Jomtien” (Ibid). However, in 2000 “the World Education Forum in Dakar, Senegal” (Ibid) </w:t>
      </w:r>
      <w:r w:rsidR="00CF3B9C" w:rsidRPr="005B0F5E">
        <w:rPr>
          <w:rFonts w:eastAsiaTheme="majorEastAsia" w:cstheme="minorHAnsi"/>
          <w:color w:val="000000" w:themeColor="text1"/>
          <w:sz w:val="24"/>
          <w:szCs w:val="24"/>
        </w:rPr>
        <w:t xml:space="preserve">not only reaffirmed their commitment to </w:t>
      </w:r>
      <w:r w:rsidR="005A4B1E" w:rsidRPr="005B0F5E">
        <w:rPr>
          <w:rFonts w:eastAsiaTheme="majorEastAsia" w:cstheme="minorHAnsi"/>
          <w:color w:val="000000" w:themeColor="text1"/>
          <w:sz w:val="24"/>
          <w:szCs w:val="24"/>
        </w:rPr>
        <w:t>improving</w:t>
      </w:r>
      <w:r w:rsidR="00CF3B9C" w:rsidRPr="005B0F5E">
        <w:rPr>
          <w:rFonts w:eastAsiaTheme="majorEastAsia" w:cstheme="minorHAnsi"/>
          <w:color w:val="000000" w:themeColor="text1"/>
          <w:sz w:val="24"/>
          <w:szCs w:val="24"/>
        </w:rPr>
        <w:t xml:space="preserve"> </w:t>
      </w:r>
      <w:r w:rsidR="005A4B1E" w:rsidRPr="005B0F5E">
        <w:rPr>
          <w:rFonts w:eastAsiaTheme="majorEastAsia" w:cstheme="minorHAnsi"/>
          <w:color w:val="000000" w:themeColor="text1"/>
          <w:sz w:val="24"/>
          <w:szCs w:val="24"/>
        </w:rPr>
        <w:t>the right to an education for all. They further added</w:t>
      </w:r>
      <w:r w:rsidR="004173D7" w:rsidRPr="005B0F5E">
        <w:rPr>
          <w:rFonts w:eastAsiaTheme="majorEastAsia" w:cstheme="minorHAnsi"/>
          <w:color w:val="000000" w:themeColor="text1"/>
          <w:sz w:val="24"/>
          <w:szCs w:val="24"/>
        </w:rPr>
        <w:t>,</w:t>
      </w:r>
      <w:r w:rsidR="005A4B1E" w:rsidRPr="005B0F5E">
        <w:rPr>
          <w:rFonts w:eastAsiaTheme="majorEastAsia" w:cstheme="minorHAnsi"/>
          <w:color w:val="000000" w:themeColor="text1"/>
          <w:sz w:val="24"/>
          <w:szCs w:val="24"/>
        </w:rPr>
        <w:t xml:space="preserve"> </w:t>
      </w:r>
      <w:r w:rsidR="00CF3B9C" w:rsidRPr="005B0F5E">
        <w:rPr>
          <w:rFonts w:eastAsiaTheme="majorEastAsia" w:cstheme="minorHAnsi"/>
          <w:color w:val="000000" w:themeColor="text1"/>
          <w:sz w:val="24"/>
          <w:szCs w:val="24"/>
        </w:rPr>
        <w:t xml:space="preserve">“six Education for All </w:t>
      </w:r>
      <w:r w:rsidR="005A4B1E" w:rsidRPr="005B0F5E">
        <w:rPr>
          <w:rFonts w:eastAsiaTheme="majorEastAsia" w:cstheme="minorHAnsi"/>
          <w:color w:val="000000" w:themeColor="text1"/>
          <w:sz w:val="24"/>
          <w:szCs w:val="24"/>
        </w:rPr>
        <w:t xml:space="preserve">goals” (Ibid) including, every child, specifically girls, children from problematic upbringings, </w:t>
      </w:r>
      <w:r w:rsidR="001C369C" w:rsidRPr="005B0F5E">
        <w:rPr>
          <w:rFonts w:eastAsiaTheme="majorEastAsia" w:cstheme="minorHAnsi"/>
          <w:color w:val="000000" w:themeColor="text1"/>
          <w:sz w:val="24"/>
          <w:szCs w:val="24"/>
        </w:rPr>
        <w:t xml:space="preserve">minority ethnic </w:t>
      </w:r>
      <w:r w:rsidR="00174DA8" w:rsidRPr="005B0F5E">
        <w:rPr>
          <w:rFonts w:eastAsiaTheme="majorEastAsia" w:cstheme="minorHAnsi"/>
          <w:color w:val="000000" w:themeColor="text1"/>
          <w:sz w:val="24"/>
          <w:szCs w:val="24"/>
        </w:rPr>
        <w:t>groups, “language</w:t>
      </w:r>
      <w:r w:rsidR="001C369C" w:rsidRPr="005B0F5E">
        <w:rPr>
          <w:rFonts w:eastAsiaTheme="majorEastAsia" w:cstheme="minorHAnsi"/>
          <w:color w:val="000000" w:themeColor="text1"/>
          <w:sz w:val="24"/>
          <w:szCs w:val="24"/>
        </w:rPr>
        <w:t xml:space="preserve"> minority speakers should have free, quality and compulsory primary education by 2015” </w:t>
      </w:r>
      <w:r w:rsidR="00174DA8" w:rsidRPr="005B0F5E">
        <w:rPr>
          <w:rFonts w:eastAsiaTheme="majorEastAsia" w:cstheme="minorHAnsi"/>
          <w:color w:val="000000" w:themeColor="text1"/>
          <w:sz w:val="24"/>
          <w:szCs w:val="24"/>
        </w:rPr>
        <w:t>(Ibid</w:t>
      </w:r>
      <w:r w:rsidR="001C369C" w:rsidRPr="005B0F5E">
        <w:rPr>
          <w:rFonts w:eastAsiaTheme="majorEastAsia" w:cstheme="minorHAnsi"/>
          <w:color w:val="000000" w:themeColor="text1"/>
          <w:sz w:val="24"/>
          <w:szCs w:val="24"/>
        </w:rPr>
        <w:t xml:space="preserve">). </w:t>
      </w:r>
    </w:p>
    <w:p w14:paraId="15634154" w14:textId="149AB739" w:rsidR="00174DA8" w:rsidRPr="005B0F5E" w:rsidRDefault="00174DA8" w:rsidP="00473743">
      <w:pPr>
        <w:keepNext/>
        <w:keepLines/>
        <w:spacing w:before="240" w:after="0"/>
        <w:jc w:val="both"/>
        <w:outlineLvl w:val="0"/>
        <w:rPr>
          <w:rFonts w:eastAsiaTheme="majorEastAsia" w:cstheme="minorHAnsi"/>
          <w:color w:val="000000" w:themeColor="text1"/>
          <w:sz w:val="24"/>
          <w:szCs w:val="24"/>
        </w:rPr>
      </w:pPr>
      <w:r w:rsidRPr="005B0F5E">
        <w:rPr>
          <w:rFonts w:eastAsiaTheme="majorEastAsia" w:cstheme="minorHAnsi"/>
          <w:color w:val="000000" w:themeColor="text1"/>
          <w:sz w:val="24"/>
          <w:szCs w:val="24"/>
        </w:rPr>
        <w:t>However, although there ha</w:t>
      </w:r>
      <w:r w:rsidR="00E77FFC" w:rsidRPr="005B0F5E">
        <w:rPr>
          <w:rFonts w:eastAsiaTheme="majorEastAsia" w:cstheme="minorHAnsi"/>
          <w:color w:val="000000" w:themeColor="text1"/>
          <w:sz w:val="24"/>
          <w:szCs w:val="24"/>
        </w:rPr>
        <w:t>s</w:t>
      </w:r>
      <w:r w:rsidRPr="005B0F5E">
        <w:rPr>
          <w:rFonts w:eastAsiaTheme="majorEastAsia" w:cstheme="minorHAnsi"/>
          <w:color w:val="000000" w:themeColor="text1"/>
          <w:sz w:val="24"/>
          <w:szCs w:val="24"/>
        </w:rPr>
        <w:t xml:space="preserve"> been </w:t>
      </w:r>
      <w:r w:rsidR="00617679" w:rsidRPr="005B0F5E">
        <w:rPr>
          <w:rFonts w:eastAsiaTheme="majorEastAsia" w:cstheme="minorHAnsi"/>
          <w:color w:val="000000" w:themeColor="text1"/>
          <w:sz w:val="24"/>
          <w:szCs w:val="24"/>
        </w:rPr>
        <w:t>significant development in achieving these goals. For instance,</w:t>
      </w:r>
      <w:r w:rsidR="004173D7" w:rsidRPr="005B0F5E">
        <w:rPr>
          <w:rFonts w:eastAsiaTheme="majorEastAsia" w:cstheme="minorHAnsi"/>
          <w:color w:val="000000" w:themeColor="text1"/>
          <w:sz w:val="24"/>
          <w:szCs w:val="24"/>
        </w:rPr>
        <w:t xml:space="preserve"> adopting a multi-agency approach </w:t>
      </w:r>
      <w:r w:rsidR="0089169E" w:rsidRPr="005B0F5E">
        <w:rPr>
          <w:rFonts w:eastAsiaTheme="majorEastAsia" w:cstheme="minorHAnsi"/>
          <w:color w:val="000000" w:themeColor="text1"/>
          <w:sz w:val="24"/>
          <w:szCs w:val="24"/>
        </w:rPr>
        <w:t xml:space="preserve">in the early years of a child’s development </w:t>
      </w:r>
      <w:r w:rsidR="00587037" w:rsidRPr="005B0F5E">
        <w:rPr>
          <w:rFonts w:eastAsiaTheme="majorEastAsia" w:cstheme="minorHAnsi"/>
          <w:color w:val="000000" w:themeColor="text1"/>
          <w:sz w:val="24"/>
          <w:szCs w:val="24"/>
        </w:rPr>
        <w:t xml:space="preserve">saw </w:t>
      </w:r>
      <w:r w:rsidR="003A6346" w:rsidRPr="005B0F5E">
        <w:rPr>
          <w:rFonts w:eastAsiaTheme="majorEastAsia" w:cstheme="minorHAnsi"/>
          <w:color w:val="000000" w:themeColor="text1"/>
          <w:sz w:val="24"/>
          <w:szCs w:val="24"/>
        </w:rPr>
        <w:t>nursery admissions increas</w:t>
      </w:r>
      <w:r w:rsidR="00E50E21" w:rsidRPr="005B0F5E">
        <w:rPr>
          <w:rFonts w:eastAsiaTheme="majorEastAsia" w:cstheme="minorHAnsi"/>
          <w:color w:val="000000" w:themeColor="text1"/>
          <w:sz w:val="24"/>
          <w:szCs w:val="24"/>
        </w:rPr>
        <w:t>e by</w:t>
      </w:r>
      <w:r w:rsidR="003A6346" w:rsidRPr="005B0F5E">
        <w:rPr>
          <w:rFonts w:eastAsiaTheme="majorEastAsia" w:cstheme="minorHAnsi"/>
          <w:color w:val="000000" w:themeColor="text1"/>
          <w:sz w:val="24"/>
          <w:szCs w:val="24"/>
        </w:rPr>
        <w:t xml:space="preserve"> “64% since 1999 to around 184 million children worldwide”</w:t>
      </w:r>
      <w:r w:rsidR="00E50E21" w:rsidRPr="005B0F5E">
        <w:rPr>
          <w:rFonts w:eastAsiaTheme="majorEastAsia" w:cstheme="minorHAnsi"/>
          <w:color w:val="000000" w:themeColor="text1"/>
          <w:sz w:val="24"/>
          <w:szCs w:val="24"/>
        </w:rPr>
        <w:t xml:space="preserve"> (UNESCO,</w:t>
      </w:r>
      <w:r w:rsidR="008D49F6" w:rsidRPr="005B0F5E">
        <w:rPr>
          <w:rFonts w:eastAsiaTheme="majorEastAsia" w:cstheme="minorHAnsi"/>
          <w:color w:val="000000" w:themeColor="text1"/>
          <w:sz w:val="24"/>
          <w:szCs w:val="24"/>
        </w:rPr>
        <w:t xml:space="preserve"> </w:t>
      </w:r>
      <w:r w:rsidR="00E50E21" w:rsidRPr="005B0F5E">
        <w:rPr>
          <w:rFonts w:eastAsiaTheme="majorEastAsia" w:cstheme="minorHAnsi"/>
          <w:color w:val="000000" w:themeColor="text1"/>
          <w:sz w:val="24"/>
          <w:szCs w:val="24"/>
        </w:rPr>
        <w:t>2015, p.65)</w:t>
      </w:r>
      <w:r w:rsidR="0015348F" w:rsidRPr="005B0F5E">
        <w:rPr>
          <w:rFonts w:eastAsiaTheme="majorEastAsia" w:cstheme="minorHAnsi"/>
          <w:color w:val="000000" w:themeColor="text1"/>
          <w:sz w:val="24"/>
          <w:szCs w:val="24"/>
        </w:rPr>
        <w:t>,</w:t>
      </w:r>
      <w:r w:rsidR="0089169E" w:rsidRPr="005B0F5E">
        <w:rPr>
          <w:rFonts w:eastAsiaTheme="majorEastAsia" w:cstheme="minorHAnsi"/>
          <w:color w:val="000000" w:themeColor="text1"/>
          <w:sz w:val="24"/>
          <w:szCs w:val="24"/>
        </w:rPr>
        <w:t xml:space="preserve"> </w:t>
      </w:r>
      <w:r w:rsidR="000B2FAD" w:rsidRPr="005B0F5E">
        <w:rPr>
          <w:rFonts w:eastAsiaTheme="majorEastAsia" w:cstheme="minorHAnsi"/>
          <w:color w:val="000000" w:themeColor="text1"/>
          <w:sz w:val="24"/>
          <w:szCs w:val="24"/>
        </w:rPr>
        <w:t xml:space="preserve">Kenyan children </w:t>
      </w:r>
      <w:r w:rsidR="006C7E04" w:rsidRPr="005B0F5E">
        <w:rPr>
          <w:rFonts w:eastAsiaTheme="majorEastAsia" w:cstheme="minorHAnsi"/>
          <w:color w:val="000000" w:themeColor="text1"/>
          <w:sz w:val="24"/>
          <w:szCs w:val="24"/>
        </w:rPr>
        <w:t xml:space="preserve">are less likely to attend </w:t>
      </w:r>
      <w:r w:rsidR="0015348F" w:rsidRPr="005B0F5E">
        <w:rPr>
          <w:rFonts w:eastAsiaTheme="majorEastAsia" w:cstheme="minorHAnsi"/>
          <w:color w:val="000000" w:themeColor="text1"/>
          <w:sz w:val="24"/>
          <w:szCs w:val="24"/>
        </w:rPr>
        <w:t>the</w:t>
      </w:r>
      <w:r w:rsidR="006C7E04" w:rsidRPr="005B0F5E">
        <w:rPr>
          <w:rFonts w:eastAsiaTheme="majorEastAsia" w:cstheme="minorHAnsi"/>
          <w:color w:val="000000" w:themeColor="text1"/>
          <w:sz w:val="24"/>
          <w:szCs w:val="24"/>
        </w:rPr>
        <w:t xml:space="preserve"> early </w:t>
      </w:r>
      <w:r w:rsidR="0015348F" w:rsidRPr="005B0F5E">
        <w:rPr>
          <w:rFonts w:eastAsiaTheme="majorEastAsia" w:cstheme="minorHAnsi"/>
          <w:color w:val="000000" w:themeColor="text1"/>
          <w:sz w:val="24"/>
          <w:szCs w:val="24"/>
        </w:rPr>
        <w:t>year’s</w:t>
      </w:r>
      <w:r w:rsidR="006C7E04" w:rsidRPr="005B0F5E">
        <w:rPr>
          <w:rFonts w:eastAsiaTheme="majorEastAsia" w:cstheme="minorHAnsi"/>
          <w:color w:val="000000" w:themeColor="text1"/>
          <w:sz w:val="24"/>
          <w:szCs w:val="24"/>
        </w:rPr>
        <w:t xml:space="preserve"> programs due to socio-economic disadvantage and</w:t>
      </w:r>
      <w:r w:rsidR="00477E63" w:rsidRPr="005B0F5E">
        <w:rPr>
          <w:rFonts w:eastAsiaTheme="majorEastAsia" w:cstheme="minorHAnsi"/>
          <w:color w:val="000000" w:themeColor="text1"/>
          <w:sz w:val="24"/>
          <w:szCs w:val="24"/>
        </w:rPr>
        <w:t xml:space="preserve"> </w:t>
      </w:r>
      <w:r w:rsidR="006C7E04" w:rsidRPr="005B0F5E">
        <w:rPr>
          <w:rFonts w:eastAsiaTheme="majorEastAsia" w:cstheme="minorHAnsi"/>
          <w:color w:val="000000" w:themeColor="text1"/>
          <w:sz w:val="24"/>
          <w:szCs w:val="24"/>
        </w:rPr>
        <w:t xml:space="preserve">living in a rural </w:t>
      </w:r>
      <w:r w:rsidR="00EC20C0" w:rsidRPr="005B0F5E">
        <w:rPr>
          <w:rFonts w:eastAsiaTheme="majorEastAsia" w:cstheme="minorHAnsi"/>
          <w:color w:val="000000" w:themeColor="text1"/>
          <w:sz w:val="24"/>
          <w:szCs w:val="24"/>
        </w:rPr>
        <w:t>community</w:t>
      </w:r>
      <w:r w:rsidR="006C7E04" w:rsidRPr="005B0F5E">
        <w:rPr>
          <w:rFonts w:eastAsiaTheme="majorEastAsia" w:cstheme="minorHAnsi"/>
          <w:color w:val="000000" w:themeColor="text1"/>
          <w:sz w:val="24"/>
          <w:szCs w:val="24"/>
        </w:rPr>
        <w:t xml:space="preserve"> (UNESCO,</w:t>
      </w:r>
      <w:r w:rsidR="008D49F6" w:rsidRPr="005B0F5E">
        <w:rPr>
          <w:rFonts w:eastAsiaTheme="majorEastAsia" w:cstheme="minorHAnsi"/>
          <w:color w:val="000000" w:themeColor="text1"/>
          <w:sz w:val="24"/>
          <w:szCs w:val="24"/>
        </w:rPr>
        <w:t xml:space="preserve"> </w:t>
      </w:r>
      <w:r w:rsidR="00477E63" w:rsidRPr="005B0F5E">
        <w:rPr>
          <w:rFonts w:eastAsiaTheme="majorEastAsia" w:cstheme="minorHAnsi"/>
          <w:color w:val="000000" w:themeColor="text1"/>
          <w:sz w:val="24"/>
          <w:szCs w:val="24"/>
        </w:rPr>
        <w:t>2015,</w:t>
      </w:r>
      <w:r w:rsidR="006C7E04" w:rsidRPr="005B0F5E">
        <w:rPr>
          <w:rFonts w:eastAsiaTheme="majorEastAsia" w:cstheme="minorHAnsi"/>
          <w:color w:val="000000" w:themeColor="text1"/>
          <w:sz w:val="24"/>
          <w:szCs w:val="24"/>
        </w:rPr>
        <w:t>).</w:t>
      </w:r>
      <w:r w:rsidR="00E00441" w:rsidRPr="005B0F5E">
        <w:rPr>
          <w:rFonts w:eastAsiaTheme="majorEastAsia" w:cstheme="minorHAnsi"/>
          <w:color w:val="000000" w:themeColor="text1"/>
          <w:sz w:val="24"/>
          <w:szCs w:val="24"/>
        </w:rPr>
        <w:t xml:space="preserve"> Therefore, this group of children </w:t>
      </w:r>
      <w:proofErr w:type="gramStart"/>
      <w:r w:rsidR="0057633B" w:rsidRPr="005B0F5E">
        <w:rPr>
          <w:rFonts w:eastAsiaTheme="majorEastAsia" w:cstheme="minorHAnsi"/>
          <w:color w:val="000000" w:themeColor="text1"/>
          <w:sz w:val="24"/>
          <w:szCs w:val="24"/>
        </w:rPr>
        <w:t>misses</w:t>
      </w:r>
      <w:r w:rsidR="00E00441" w:rsidRPr="005B0F5E">
        <w:rPr>
          <w:rFonts w:eastAsiaTheme="majorEastAsia" w:cstheme="minorHAnsi"/>
          <w:color w:val="000000" w:themeColor="text1"/>
          <w:sz w:val="24"/>
          <w:szCs w:val="24"/>
        </w:rPr>
        <w:t xml:space="preserve"> out </w:t>
      </w:r>
      <w:r w:rsidR="00895935" w:rsidRPr="005B0F5E">
        <w:rPr>
          <w:rFonts w:eastAsiaTheme="majorEastAsia" w:cstheme="minorHAnsi"/>
          <w:color w:val="000000" w:themeColor="text1"/>
          <w:sz w:val="24"/>
          <w:szCs w:val="24"/>
        </w:rPr>
        <w:t>on</w:t>
      </w:r>
      <w:proofErr w:type="gramEnd"/>
      <w:r w:rsidR="00895935" w:rsidRPr="005B0F5E">
        <w:rPr>
          <w:rFonts w:eastAsiaTheme="majorEastAsia" w:cstheme="minorHAnsi"/>
          <w:color w:val="000000" w:themeColor="text1"/>
          <w:sz w:val="24"/>
          <w:szCs w:val="24"/>
        </w:rPr>
        <w:t xml:space="preserve"> what the Kenyan government says is “fundamental for school readiness”</w:t>
      </w:r>
      <w:r w:rsidR="00980103" w:rsidRPr="005B0F5E">
        <w:rPr>
          <w:rFonts w:eastAsiaTheme="majorEastAsia" w:cstheme="minorHAnsi"/>
          <w:color w:val="000000" w:themeColor="text1"/>
          <w:sz w:val="24"/>
          <w:szCs w:val="24"/>
        </w:rPr>
        <w:t xml:space="preserve"> (MoE,2018, p.9)</w:t>
      </w:r>
      <w:r w:rsidR="00EC0004" w:rsidRPr="005B0F5E">
        <w:rPr>
          <w:rFonts w:eastAsiaTheme="majorEastAsia" w:cstheme="minorHAnsi"/>
          <w:color w:val="000000" w:themeColor="text1"/>
          <w:sz w:val="24"/>
          <w:szCs w:val="24"/>
        </w:rPr>
        <w:t>.</w:t>
      </w:r>
      <w:r w:rsidR="00895935" w:rsidRPr="005B0F5E">
        <w:rPr>
          <w:rFonts w:eastAsiaTheme="majorEastAsia" w:cstheme="minorHAnsi"/>
          <w:color w:val="000000" w:themeColor="text1"/>
          <w:sz w:val="24"/>
          <w:szCs w:val="24"/>
        </w:rPr>
        <w:t xml:space="preserve"> In line with their </w:t>
      </w:r>
      <w:r w:rsidR="00980103" w:rsidRPr="005B0F5E">
        <w:rPr>
          <w:rFonts w:eastAsiaTheme="majorEastAsia" w:cstheme="minorHAnsi"/>
          <w:color w:val="000000" w:themeColor="text1"/>
          <w:sz w:val="24"/>
          <w:szCs w:val="24"/>
        </w:rPr>
        <w:t>“</w:t>
      </w:r>
      <w:r w:rsidR="0057633B" w:rsidRPr="005B0F5E">
        <w:rPr>
          <w:rFonts w:eastAsiaTheme="majorEastAsia" w:cstheme="minorHAnsi"/>
          <w:color w:val="000000" w:themeColor="text1"/>
          <w:sz w:val="24"/>
          <w:szCs w:val="24"/>
        </w:rPr>
        <w:t>Pre-Primary</w:t>
      </w:r>
      <w:r w:rsidR="00895935" w:rsidRPr="005B0F5E">
        <w:rPr>
          <w:rFonts w:eastAsiaTheme="majorEastAsia" w:cstheme="minorHAnsi"/>
          <w:color w:val="000000" w:themeColor="text1"/>
          <w:sz w:val="24"/>
          <w:szCs w:val="24"/>
        </w:rPr>
        <w:t xml:space="preserve"> Education </w:t>
      </w:r>
      <w:r w:rsidR="0057633B" w:rsidRPr="005B0F5E">
        <w:rPr>
          <w:rFonts w:eastAsiaTheme="majorEastAsia" w:cstheme="minorHAnsi"/>
          <w:color w:val="000000" w:themeColor="text1"/>
          <w:sz w:val="24"/>
          <w:szCs w:val="24"/>
        </w:rPr>
        <w:t>Policy (2017)</w:t>
      </w:r>
      <w:r w:rsidR="00980103" w:rsidRPr="005B0F5E">
        <w:rPr>
          <w:rFonts w:eastAsiaTheme="majorEastAsia" w:cstheme="minorHAnsi"/>
          <w:color w:val="000000" w:themeColor="text1"/>
          <w:sz w:val="24"/>
          <w:szCs w:val="24"/>
        </w:rPr>
        <w:t>” (Ibid)</w:t>
      </w:r>
      <w:r w:rsidR="0057633B" w:rsidRPr="005B0F5E">
        <w:rPr>
          <w:rFonts w:eastAsiaTheme="majorEastAsia" w:cstheme="minorHAnsi"/>
          <w:color w:val="000000" w:themeColor="text1"/>
          <w:sz w:val="24"/>
          <w:szCs w:val="24"/>
        </w:rPr>
        <w:t xml:space="preserve"> the Kenyan government</w:t>
      </w:r>
      <w:r w:rsidR="00E311EC" w:rsidRPr="005B0F5E">
        <w:rPr>
          <w:rFonts w:eastAsiaTheme="majorEastAsia" w:cstheme="minorHAnsi"/>
          <w:color w:val="000000" w:themeColor="text1"/>
          <w:sz w:val="24"/>
          <w:szCs w:val="24"/>
        </w:rPr>
        <w:t xml:space="preserve"> </w:t>
      </w:r>
      <w:r w:rsidR="0057633B" w:rsidRPr="005B0F5E">
        <w:rPr>
          <w:rFonts w:eastAsiaTheme="majorEastAsia" w:cstheme="minorHAnsi"/>
          <w:color w:val="000000" w:themeColor="text1"/>
          <w:sz w:val="24"/>
          <w:szCs w:val="24"/>
        </w:rPr>
        <w:t xml:space="preserve">set out a number of goals including, </w:t>
      </w:r>
      <w:r w:rsidR="003A741A" w:rsidRPr="005B0F5E">
        <w:rPr>
          <w:rFonts w:eastAsiaTheme="majorEastAsia" w:cstheme="minorHAnsi"/>
          <w:color w:val="000000" w:themeColor="text1"/>
          <w:sz w:val="24"/>
          <w:szCs w:val="24"/>
        </w:rPr>
        <w:t xml:space="preserve">“primary and </w:t>
      </w:r>
      <w:r w:rsidR="0057633B" w:rsidRPr="005B0F5E">
        <w:rPr>
          <w:rFonts w:eastAsiaTheme="majorEastAsia" w:cstheme="minorHAnsi"/>
          <w:color w:val="000000" w:themeColor="text1"/>
          <w:sz w:val="24"/>
          <w:szCs w:val="24"/>
        </w:rPr>
        <w:t>pre-primary education shall be free and mandatory for all children</w:t>
      </w:r>
      <w:r w:rsidR="00916EA0" w:rsidRPr="005B0F5E">
        <w:rPr>
          <w:rFonts w:eastAsiaTheme="majorEastAsia" w:cstheme="minorHAnsi"/>
          <w:color w:val="000000" w:themeColor="text1"/>
          <w:sz w:val="24"/>
          <w:szCs w:val="24"/>
        </w:rPr>
        <w:t>”</w:t>
      </w:r>
      <w:r w:rsidR="00980103" w:rsidRPr="005B0F5E">
        <w:rPr>
          <w:rFonts w:eastAsiaTheme="majorEastAsia" w:cstheme="minorHAnsi"/>
          <w:color w:val="000000" w:themeColor="text1"/>
          <w:sz w:val="24"/>
          <w:szCs w:val="24"/>
        </w:rPr>
        <w:t xml:space="preserve"> (Ibid)</w:t>
      </w:r>
      <w:r w:rsidR="00916EA0" w:rsidRPr="005B0F5E">
        <w:rPr>
          <w:rFonts w:eastAsiaTheme="majorEastAsia" w:cstheme="minorHAnsi"/>
          <w:color w:val="000000" w:themeColor="text1"/>
          <w:sz w:val="24"/>
          <w:szCs w:val="24"/>
        </w:rPr>
        <w:t xml:space="preserve">. </w:t>
      </w:r>
      <w:r w:rsidR="00765EB2" w:rsidRPr="005B0F5E">
        <w:rPr>
          <w:rFonts w:eastAsiaTheme="majorEastAsia" w:cstheme="minorHAnsi"/>
          <w:color w:val="000000" w:themeColor="text1"/>
          <w:sz w:val="24"/>
          <w:szCs w:val="24"/>
        </w:rPr>
        <w:t>However, due to inadequate funding to construct extra classrooms, only “50 % of children attend”</w:t>
      </w:r>
      <w:r w:rsidR="002A6E9E" w:rsidRPr="005B0F5E">
        <w:rPr>
          <w:rFonts w:eastAsiaTheme="majorEastAsia" w:cstheme="minorHAnsi"/>
          <w:color w:val="000000" w:themeColor="text1"/>
          <w:sz w:val="24"/>
          <w:szCs w:val="24"/>
        </w:rPr>
        <w:t xml:space="preserve"> (MA Education,</w:t>
      </w:r>
      <w:r w:rsidR="00953DA1" w:rsidRPr="005B0F5E">
        <w:rPr>
          <w:rFonts w:eastAsiaTheme="majorEastAsia" w:cstheme="minorHAnsi"/>
          <w:color w:val="000000" w:themeColor="text1"/>
          <w:sz w:val="24"/>
          <w:szCs w:val="24"/>
        </w:rPr>
        <w:t xml:space="preserve"> </w:t>
      </w:r>
      <w:r w:rsidR="00A859B1" w:rsidRPr="005B0F5E">
        <w:rPr>
          <w:rFonts w:eastAsiaTheme="majorEastAsia" w:cstheme="minorHAnsi"/>
          <w:color w:val="000000" w:themeColor="text1"/>
          <w:sz w:val="24"/>
          <w:szCs w:val="24"/>
        </w:rPr>
        <w:t>2015, p.</w:t>
      </w:r>
      <w:r w:rsidR="002A6E9E" w:rsidRPr="005B0F5E">
        <w:rPr>
          <w:rFonts w:eastAsiaTheme="majorEastAsia" w:cstheme="minorHAnsi"/>
          <w:color w:val="000000" w:themeColor="text1"/>
          <w:sz w:val="24"/>
          <w:szCs w:val="24"/>
        </w:rPr>
        <w:t>1)</w:t>
      </w:r>
      <w:r w:rsidR="00765EB2" w:rsidRPr="005B0F5E">
        <w:rPr>
          <w:rFonts w:eastAsiaTheme="majorEastAsia" w:cstheme="minorHAnsi"/>
          <w:color w:val="000000" w:themeColor="text1"/>
          <w:sz w:val="24"/>
          <w:szCs w:val="24"/>
        </w:rPr>
        <w:t>.</w:t>
      </w:r>
      <w:r w:rsidR="00223660" w:rsidRPr="005B0F5E">
        <w:rPr>
          <w:rFonts w:eastAsiaTheme="majorEastAsia" w:cstheme="minorHAnsi"/>
          <w:color w:val="000000" w:themeColor="text1"/>
          <w:sz w:val="24"/>
          <w:szCs w:val="24"/>
        </w:rPr>
        <w:t xml:space="preserve"> Furthermore, school resources are often in short supply and difficulty in recruiting teachers are a further factor</w:t>
      </w:r>
      <w:r w:rsidR="002A6E9E" w:rsidRPr="005B0F5E">
        <w:rPr>
          <w:rFonts w:eastAsiaTheme="majorEastAsia" w:cstheme="minorHAnsi"/>
          <w:color w:val="000000" w:themeColor="text1"/>
          <w:sz w:val="24"/>
          <w:szCs w:val="24"/>
        </w:rPr>
        <w:t xml:space="preserve"> (MA Education,</w:t>
      </w:r>
      <w:r w:rsidR="00BC2DE8" w:rsidRPr="005B0F5E">
        <w:rPr>
          <w:rFonts w:eastAsiaTheme="majorEastAsia" w:cstheme="minorHAnsi"/>
          <w:color w:val="000000" w:themeColor="text1"/>
          <w:sz w:val="24"/>
          <w:szCs w:val="24"/>
        </w:rPr>
        <w:t xml:space="preserve"> </w:t>
      </w:r>
      <w:r w:rsidR="002A6E9E" w:rsidRPr="005B0F5E">
        <w:rPr>
          <w:rFonts w:eastAsiaTheme="majorEastAsia" w:cstheme="minorHAnsi"/>
          <w:color w:val="000000" w:themeColor="text1"/>
          <w:sz w:val="24"/>
          <w:szCs w:val="24"/>
        </w:rPr>
        <w:t>2015).</w:t>
      </w:r>
      <w:r w:rsidR="00045E0C" w:rsidRPr="005B0F5E">
        <w:rPr>
          <w:rFonts w:eastAsiaTheme="majorEastAsia" w:cstheme="minorHAnsi"/>
          <w:color w:val="000000" w:themeColor="text1"/>
          <w:sz w:val="24"/>
          <w:szCs w:val="24"/>
        </w:rPr>
        <w:t xml:space="preserve"> </w:t>
      </w:r>
    </w:p>
    <w:p w14:paraId="614CC75E" w14:textId="1A22CC64" w:rsidR="00A859B1" w:rsidRPr="005B0F5E" w:rsidRDefault="00A859B1" w:rsidP="00473743">
      <w:pPr>
        <w:keepNext/>
        <w:keepLines/>
        <w:spacing w:before="240" w:after="0"/>
        <w:jc w:val="both"/>
        <w:outlineLvl w:val="0"/>
        <w:rPr>
          <w:rFonts w:eastAsiaTheme="majorEastAsia" w:cstheme="minorHAnsi"/>
          <w:color w:val="000000" w:themeColor="text1"/>
          <w:sz w:val="24"/>
          <w:szCs w:val="24"/>
        </w:rPr>
      </w:pPr>
      <w:r w:rsidRPr="005B0F5E">
        <w:rPr>
          <w:rFonts w:eastAsiaTheme="majorEastAsia" w:cstheme="minorHAnsi"/>
          <w:color w:val="000000" w:themeColor="text1"/>
          <w:sz w:val="24"/>
          <w:szCs w:val="24"/>
        </w:rPr>
        <w:lastRenderedPageBreak/>
        <w:t>This essay will explore</w:t>
      </w:r>
      <w:r w:rsidR="003E4AE1" w:rsidRPr="005B0F5E">
        <w:rPr>
          <w:rFonts w:eastAsiaTheme="majorEastAsia" w:cstheme="minorHAnsi"/>
          <w:color w:val="000000" w:themeColor="text1"/>
          <w:sz w:val="24"/>
          <w:szCs w:val="24"/>
        </w:rPr>
        <w:t xml:space="preserve"> some of</w:t>
      </w:r>
      <w:r w:rsidRPr="005B0F5E">
        <w:rPr>
          <w:rFonts w:eastAsiaTheme="majorEastAsia" w:cstheme="minorHAnsi"/>
          <w:color w:val="000000" w:themeColor="text1"/>
          <w:sz w:val="24"/>
          <w:szCs w:val="24"/>
        </w:rPr>
        <w:t xml:space="preserve"> the barriers that children face in Kenya regarding education</w:t>
      </w:r>
      <w:r w:rsidR="00A954AD" w:rsidRPr="005B0F5E">
        <w:rPr>
          <w:rFonts w:eastAsiaTheme="majorEastAsia" w:cstheme="minorHAnsi"/>
          <w:color w:val="000000" w:themeColor="text1"/>
          <w:sz w:val="24"/>
          <w:szCs w:val="24"/>
        </w:rPr>
        <w:t xml:space="preserve">. </w:t>
      </w:r>
      <w:r w:rsidR="00174EC5" w:rsidRPr="005B0F5E">
        <w:rPr>
          <w:rFonts w:eastAsiaTheme="majorEastAsia" w:cstheme="minorHAnsi"/>
          <w:color w:val="000000" w:themeColor="text1"/>
          <w:sz w:val="24"/>
          <w:szCs w:val="24"/>
        </w:rPr>
        <w:t>A</w:t>
      </w:r>
      <w:r w:rsidR="00223660" w:rsidRPr="005B0F5E">
        <w:rPr>
          <w:rFonts w:eastAsiaTheme="majorEastAsia" w:cstheme="minorHAnsi"/>
          <w:color w:val="000000" w:themeColor="text1"/>
          <w:sz w:val="24"/>
          <w:szCs w:val="24"/>
        </w:rPr>
        <w:t xml:space="preserve"> </w:t>
      </w:r>
      <w:r w:rsidR="00BC2DE8" w:rsidRPr="005B0F5E">
        <w:rPr>
          <w:rFonts w:eastAsiaTheme="majorEastAsia" w:cstheme="minorHAnsi"/>
          <w:color w:val="000000" w:themeColor="text1"/>
          <w:sz w:val="24"/>
          <w:szCs w:val="24"/>
        </w:rPr>
        <w:t>look into</w:t>
      </w:r>
      <w:r w:rsidR="00174EC5" w:rsidRPr="005B0F5E">
        <w:rPr>
          <w:rFonts w:eastAsiaTheme="majorEastAsia" w:cstheme="minorHAnsi"/>
          <w:color w:val="000000" w:themeColor="text1"/>
          <w:sz w:val="24"/>
          <w:szCs w:val="24"/>
        </w:rPr>
        <w:t xml:space="preserve"> global and national </w:t>
      </w:r>
      <w:r w:rsidR="00AE5272" w:rsidRPr="005B0F5E">
        <w:rPr>
          <w:rFonts w:eastAsiaTheme="majorEastAsia" w:cstheme="minorHAnsi"/>
          <w:color w:val="000000" w:themeColor="text1"/>
          <w:sz w:val="24"/>
          <w:szCs w:val="24"/>
        </w:rPr>
        <w:t>policies</w:t>
      </w:r>
      <w:r w:rsidR="00174EC5" w:rsidRPr="005B0F5E">
        <w:rPr>
          <w:rFonts w:eastAsiaTheme="majorEastAsia" w:cstheme="minorHAnsi"/>
          <w:color w:val="000000" w:themeColor="text1"/>
          <w:sz w:val="24"/>
          <w:szCs w:val="24"/>
        </w:rPr>
        <w:t xml:space="preserve"> will further be discussed</w:t>
      </w:r>
      <w:r w:rsidR="00953DA1" w:rsidRPr="005B0F5E">
        <w:rPr>
          <w:rFonts w:eastAsiaTheme="majorEastAsia" w:cstheme="minorHAnsi"/>
          <w:color w:val="000000" w:themeColor="text1"/>
          <w:sz w:val="24"/>
          <w:szCs w:val="24"/>
        </w:rPr>
        <w:t xml:space="preserve"> including</w:t>
      </w:r>
      <w:r w:rsidRPr="005B0F5E">
        <w:rPr>
          <w:rFonts w:eastAsiaTheme="majorEastAsia" w:cstheme="minorHAnsi"/>
          <w:color w:val="000000" w:themeColor="text1"/>
          <w:sz w:val="24"/>
          <w:szCs w:val="24"/>
        </w:rPr>
        <w:t xml:space="preserve"> the </w:t>
      </w:r>
      <w:r w:rsidR="00434A8F" w:rsidRPr="005B0F5E">
        <w:rPr>
          <w:rFonts w:eastAsiaTheme="majorEastAsia" w:cstheme="minorHAnsi"/>
          <w:color w:val="000000" w:themeColor="text1"/>
          <w:sz w:val="24"/>
          <w:szCs w:val="24"/>
        </w:rPr>
        <w:t>“</w:t>
      </w:r>
      <w:r w:rsidR="006E1796" w:rsidRPr="005B0F5E">
        <w:rPr>
          <w:rFonts w:eastAsiaTheme="majorEastAsia" w:cstheme="minorHAnsi"/>
          <w:color w:val="000000" w:themeColor="text1"/>
          <w:sz w:val="24"/>
          <w:szCs w:val="24"/>
        </w:rPr>
        <w:t xml:space="preserve">United </w:t>
      </w:r>
      <w:r w:rsidRPr="005B0F5E">
        <w:rPr>
          <w:rFonts w:eastAsiaTheme="majorEastAsia" w:cstheme="minorHAnsi"/>
          <w:color w:val="000000" w:themeColor="text1"/>
          <w:sz w:val="24"/>
          <w:szCs w:val="24"/>
        </w:rPr>
        <w:t xml:space="preserve">Nations on the </w:t>
      </w:r>
      <w:r w:rsidR="006E1796" w:rsidRPr="005B0F5E">
        <w:rPr>
          <w:rFonts w:eastAsiaTheme="majorEastAsia" w:cstheme="minorHAnsi"/>
          <w:color w:val="000000" w:themeColor="text1"/>
          <w:sz w:val="24"/>
          <w:szCs w:val="24"/>
        </w:rPr>
        <w:t>Convention</w:t>
      </w:r>
      <w:r w:rsidRPr="005B0F5E">
        <w:rPr>
          <w:rFonts w:eastAsiaTheme="majorEastAsia" w:cstheme="minorHAnsi"/>
          <w:color w:val="000000" w:themeColor="text1"/>
          <w:sz w:val="24"/>
          <w:szCs w:val="24"/>
        </w:rPr>
        <w:t xml:space="preserve"> of the Rights of the Child (</w:t>
      </w:r>
      <w:r w:rsidR="00DE0467" w:rsidRPr="005B0F5E">
        <w:rPr>
          <w:rFonts w:eastAsiaTheme="majorEastAsia" w:cstheme="minorHAnsi"/>
          <w:color w:val="000000" w:themeColor="text1"/>
          <w:sz w:val="24"/>
          <w:szCs w:val="24"/>
        </w:rPr>
        <w:t xml:space="preserve">UNCRC) </w:t>
      </w:r>
      <w:r w:rsidR="00AE2708" w:rsidRPr="005B0F5E">
        <w:rPr>
          <w:rFonts w:eastAsiaTheme="majorEastAsia" w:cstheme="minorHAnsi"/>
          <w:color w:val="000000" w:themeColor="text1"/>
          <w:sz w:val="24"/>
          <w:szCs w:val="24"/>
        </w:rPr>
        <w:t>(</w:t>
      </w:r>
      <w:r w:rsidRPr="005B0F5E">
        <w:rPr>
          <w:rFonts w:eastAsiaTheme="majorEastAsia" w:cstheme="minorHAnsi"/>
          <w:color w:val="000000" w:themeColor="text1"/>
          <w:sz w:val="24"/>
          <w:szCs w:val="24"/>
        </w:rPr>
        <w:t>1989</w:t>
      </w:r>
      <w:r w:rsidR="00AE2708" w:rsidRPr="005B0F5E">
        <w:rPr>
          <w:rFonts w:eastAsiaTheme="majorEastAsia" w:cstheme="minorHAnsi"/>
          <w:color w:val="000000" w:themeColor="text1"/>
          <w:sz w:val="24"/>
          <w:szCs w:val="24"/>
        </w:rPr>
        <w:t>)</w:t>
      </w:r>
      <w:r w:rsidR="00434A8F" w:rsidRPr="005B0F5E">
        <w:rPr>
          <w:rFonts w:eastAsiaTheme="majorEastAsia" w:cstheme="minorHAnsi"/>
          <w:color w:val="000000" w:themeColor="text1"/>
          <w:sz w:val="24"/>
          <w:szCs w:val="24"/>
        </w:rPr>
        <w:t>”</w:t>
      </w:r>
      <w:r w:rsidR="000A74F0" w:rsidRPr="005B0F5E">
        <w:rPr>
          <w:rFonts w:eastAsiaTheme="majorEastAsia" w:cstheme="minorHAnsi"/>
          <w:color w:val="000000" w:themeColor="text1"/>
          <w:sz w:val="24"/>
          <w:szCs w:val="24"/>
        </w:rPr>
        <w:t xml:space="preserve"> </w:t>
      </w:r>
      <w:r w:rsidR="00BC2DE8" w:rsidRPr="005B0F5E">
        <w:rPr>
          <w:rFonts w:eastAsiaTheme="majorEastAsia" w:cstheme="minorHAnsi"/>
          <w:color w:val="000000" w:themeColor="text1"/>
          <w:sz w:val="24"/>
          <w:szCs w:val="24"/>
        </w:rPr>
        <w:t xml:space="preserve">(Cregan and Cuthbert, </w:t>
      </w:r>
      <w:r w:rsidR="00953DA1" w:rsidRPr="005B0F5E">
        <w:rPr>
          <w:rFonts w:eastAsiaTheme="majorEastAsia" w:cstheme="minorHAnsi"/>
          <w:color w:val="000000" w:themeColor="text1"/>
          <w:sz w:val="24"/>
          <w:szCs w:val="24"/>
        </w:rPr>
        <w:t xml:space="preserve">2014, </w:t>
      </w:r>
      <w:r w:rsidR="009851D5" w:rsidRPr="005B0F5E">
        <w:rPr>
          <w:rFonts w:eastAsiaTheme="majorEastAsia" w:cstheme="minorHAnsi"/>
          <w:color w:val="000000" w:themeColor="text1"/>
          <w:sz w:val="24"/>
          <w:szCs w:val="24"/>
        </w:rPr>
        <w:t>p.70) and</w:t>
      </w:r>
      <w:r w:rsidRPr="005B0F5E">
        <w:rPr>
          <w:rFonts w:eastAsiaTheme="majorEastAsia" w:cstheme="minorHAnsi"/>
          <w:color w:val="000000" w:themeColor="text1"/>
          <w:sz w:val="24"/>
          <w:szCs w:val="24"/>
        </w:rPr>
        <w:t xml:space="preserve"> </w:t>
      </w:r>
      <w:r w:rsidR="006E1796" w:rsidRPr="005B0F5E">
        <w:rPr>
          <w:rFonts w:eastAsiaTheme="majorEastAsia" w:cstheme="minorHAnsi"/>
          <w:color w:val="000000" w:themeColor="text1"/>
          <w:sz w:val="24"/>
          <w:szCs w:val="24"/>
        </w:rPr>
        <w:t xml:space="preserve">the </w:t>
      </w:r>
      <w:r w:rsidR="003E4AE1" w:rsidRPr="005B0F5E">
        <w:rPr>
          <w:rFonts w:eastAsiaTheme="majorEastAsia" w:cstheme="minorHAnsi"/>
          <w:color w:val="000000" w:themeColor="text1"/>
          <w:sz w:val="24"/>
          <w:szCs w:val="24"/>
        </w:rPr>
        <w:t>“</w:t>
      </w:r>
      <w:r w:rsidR="006E1796" w:rsidRPr="005B0F5E">
        <w:rPr>
          <w:rFonts w:eastAsiaTheme="majorEastAsia" w:cstheme="minorHAnsi"/>
          <w:color w:val="000000" w:themeColor="text1"/>
          <w:sz w:val="24"/>
          <w:szCs w:val="24"/>
        </w:rPr>
        <w:t>African Charter on the Rights and Welfare of the Child (ACRWC) (1990)</w:t>
      </w:r>
      <w:r w:rsidR="003E4AE1" w:rsidRPr="005B0F5E">
        <w:rPr>
          <w:rFonts w:eastAsiaTheme="majorEastAsia" w:cstheme="minorHAnsi"/>
          <w:color w:val="000000" w:themeColor="text1"/>
          <w:sz w:val="24"/>
          <w:szCs w:val="24"/>
        </w:rPr>
        <w:t>”</w:t>
      </w:r>
      <w:r w:rsidR="00BC2DE8" w:rsidRPr="005B0F5E">
        <w:rPr>
          <w:rFonts w:eastAsiaTheme="majorEastAsia" w:cstheme="minorHAnsi"/>
          <w:color w:val="000000" w:themeColor="text1"/>
          <w:sz w:val="24"/>
          <w:szCs w:val="24"/>
        </w:rPr>
        <w:t xml:space="preserve"> (Ibid)</w:t>
      </w:r>
      <w:r w:rsidR="006E1796" w:rsidRPr="005B0F5E">
        <w:rPr>
          <w:rFonts w:eastAsiaTheme="majorEastAsia" w:cstheme="minorHAnsi"/>
          <w:color w:val="000000" w:themeColor="text1"/>
          <w:sz w:val="24"/>
          <w:szCs w:val="24"/>
        </w:rPr>
        <w:t>.</w:t>
      </w:r>
      <w:r w:rsidR="00DE0467" w:rsidRPr="005B0F5E">
        <w:rPr>
          <w:rFonts w:eastAsiaTheme="majorEastAsia" w:cstheme="minorHAnsi"/>
          <w:color w:val="000000" w:themeColor="text1"/>
          <w:sz w:val="24"/>
          <w:szCs w:val="24"/>
        </w:rPr>
        <w:t xml:space="preserve"> Although the African Charter may </w:t>
      </w:r>
      <w:r w:rsidR="009D1A56" w:rsidRPr="005B0F5E">
        <w:rPr>
          <w:rFonts w:eastAsiaTheme="majorEastAsia" w:cstheme="minorHAnsi"/>
          <w:color w:val="000000" w:themeColor="text1"/>
          <w:sz w:val="24"/>
          <w:szCs w:val="24"/>
        </w:rPr>
        <w:t>not have gained equal recognition as the UNCRC</w:t>
      </w:r>
      <w:r w:rsidR="00CE16F8" w:rsidRPr="005B0F5E">
        <w:rPr>
          <w:rFonts w:eastAsiaTheme="majorEastAsia" w:cstheme="minorHAnsi"/>
          <w:color w:val="000000" w:themeColor="text1"/>
          <w:sz w:val="24"/>
          <w:szCs w:val="24"/>
        </w:rPr>
        <w:t>-</w:t>
      </w:r>
      <w:r w:rsidR="009D1A56" w:rsidRPr="005B0F5E">
        <w:rPr>
          <w:rFonts w:eastAsiaTheme="majorEastAsia" w:cstheme="minorHAnsi"/>
          <w:color w:val="000000" w:themeColor="text1"/>
          <w:sz w:val="24"/>
          <w:szCs w:val="24"/>
        </w:rPr>
        <w:t xml:space="preserve"> due to the fact that they present themselves in a similar pretext</w:t>
      </w:r>
      <w:r w:rsidR="00CE16F8" w:rsidRPr="005B0F5E">
        <w:rPr>
          <w:rFonts w:eastAsiaTheme="majorEastAsia" w:cstheme="minorHAnsi"/>
          <w:color w:val="000000" w:themeColor="text1"/>
          <w:sz w:val="24"/>
          <w:szCs w:val="24"/>
        </w:rPr>
        <w:t xml:space="preserve"> (Faulkner,2020).</w:t>
      </w:r>
      <w:r w:rsidR="00427292" w:rsidRPr="005B0F5E">
        <w:rPr>
          <w:rFonts w:eastAsiaTheme="majorEastAsia" w:cstheme="minorHAnsi"/>
          <w:color w:val="000000" w:themeColor="text1"/>
          <w:sz w:val="24"/>
          <w:szCs w:val="24"/>
        </w:rPr>
        <w:t xml:space="preserve"> </w:t>
      </w:r>
      <w:r w:rsidR="00692920" w:rsidRPr="005B0F5E">
        <w:rPr>
          <w:rFonts w:eastAsiaTheme="majorEastAsia" w:cstheme="minorHAnsi"/>
          <w:color w:val="000000" w:themeColor="text1"/>
          <w:sz w:val="24"/>
          <w:szCs w:val="24"/>
        </w:rPr>
        <w:t>Gyami and Keating (2013,</w:t>
      </w:r>
      <w:r w:rsidR="00CE16F8" w:rsidRPr="005B0F5E">
        <w:rPr>
          <w:rFonts w:eastAsiaTheme="majorEastAsia" w:cstheme="minorHAnsi"/>
          <w:color w:val="000000" w:themeColor="text1"/>
          <w:sz w:val="24"/>
          <w:szCs w:val="24"/>
        </w:rPr>
        <w:t xml:space="preserve"> </w:t>
      </w:r>
      <w:r w:rsidR="00692920" w:rsidRPr="005B0F5E">
        <w:rPr>
          <w:rFonts w:eastAsiaTheme="majorEastAsia" w:cstheme="minorHAnsi"/>
          <w:color w:val="000000" w:themeColor="text1"/>
          <w:sz w:val="24"/>
          <w:szCs w:val="24"/>
        </w:rPr>
        <w:t xml:space="preserve">quoted in </w:t>
      </w:r>
      <w:r w:rsidR="009D1A56" w:rsidRPr="005B0F5E">
        <w:rPr>
          <w:rFonts w:eastAsiaTheme="majorEastAsia" w:cstheme="minorHAnsi"/>
          <w:color w:val="000000" w:themeColor="text1"/>
          <w:sz w:val="24"/>
          <w:szCs w:val="24"/>
        </w:rPr>
        <w:t>Faulkner,</w:t>
      </w:r>
      <w:r w:rsidR="00AE2708" w:rsidRPr="005B0F5E">
        <w:rPr>
          <w:rFonts w:eastAsiaTheme="majorEastAsia" w:cstheme="minorHAnsi"/>
          <w:color w:val="000000" w:themeColor="text1"/>
          <w:sz w:val="24"/>
          <w:szCs w:val="24"/>
        </w:rPr>
        <w:t>2020, p.</w:t>
      </w:r>
      <w:r w:rsidR="009D1A56" w:rsidRPr="005B0F5E">
        <w:rPr>
          <w:rFonts w:eastAsiaTheme="majorEastAsia" w:cstheme="minorHAnsi"/>
          <w:color w:val="000000" w:themeColor="text1"/>
          <w:sz w:val="24"/>
          <w:szCs w:val="24"/>
        </w:rPr>
        <w:t xml:space="preserve">77) </w:t>
      </w:r>
      <w:r w:rsidR="00AE2708" w:rsidRPr="005B0F5E">
        <w:rPr>
          <w:rFonts w:eastAsiaTheme="majorEastAsia" w:cstheme="minorHAnsi"/>
          <w:color w:val="000000" w:themeColor="text1"/>
          <w:sz w:val="24"/>
          <w:szCs w:val="24"/>
        </w:rPr>
        <w:t>believe</w:t>
      </w:r>
      <w:r w:rsidR="009D1A56" w:rsidRPr="005B0F5E">
        <w:rPr>
          <w:rFonts w:eastAsiaTheme="majorEastAsia" w:cstheme="minorHAnsi"/>
          <w:color w:val="000000" w:themeColor="text1"/>
          <w:sz w:val="24"/>
          <w:szCs w:val="24"/>
        </w:rPr>
        <w:t xml:space="preserve"> there are “</w:t>
      </w:r>
      <w:r w:rsidR="00692920" w:rsidRPr="005B0F5E">
        <w:rPr>
          <w:rFonts w:eastAsiaTheme="majorEastAsia" w:cstheme="minorHAnsi"/>
          <w:color w:val="000000" w:themeColor="text1"/>
          <w:sz w:val="24"/>
          <w:szCs w:val="24"/>
        </w:rPr>
        <w:t>subtle</w:t>
      </w:r>
      <w:r w:rsidR="009D1A56" w:rsidRPr="005B0F5E">
        <w:rPr>
          <w:rFonts w:eastAsiaTheme="majorEastAsia" w:cstheme="minorHAnsi"/>
          <w:color w:val="000000" w:themeColor="text1"/>
          <w:sz w:val="24"/>
          <w:szCs w:val="24"/>
        </w:rPr>
        <w:t xml:space="preserve"> differences </w:t>
      </w:r>
      <w:r w:rsidR="00692920" w:rsidRPr="005B0F5E">
        <w:rPr>
          <w:rFonts w:eastAsiaTheme="majorEastAsia" w:cstheme="minorHAnsi"/>
          <w:color w:val="000000" w:themeColor="text1"/>
          <w:sz w:val="24"/>
          <w:szCs w:val="24"/>
        </w:rPr>
        <w:t>which</w:t>
      </w:r>
      <w:r w:rsidR="009D1A56" w:rsidRPr="005B0F5E">
        <w:rPr>
          <w:rFonts w:eastAsiaTheme="majorEastAsia" w:cstheme="minorHAnsi"/>
          <w:color w:val="000000" w:themeColor="text1"/>
          <w:sz w:val="24"/>
          <w:szCs w:val="24"/>
        </w:rPr>
        <w:t xml:space="preserve"> reflect the African contexts</w:t>
      </w:r>
      <w:r w:rsidR="00AE2708" w:rsidRPr="005B0F5E">
        <w:rPr>
          <w:rFonts w:eastAsiaTheme="majorEastAsia" w:cstheme="minorHAnsi"/>
          <w:color w:val="000000" w:themeColor="text1"/>
          <w:sz w:val="24"/>
          <w:szCs w:val="24"/>
        </w:rPr>
        <w:t xml:space="preserve">”. For instance, article 31 conveys a number of responsibilities that African children shall have </w:t>
      </w:r>
      <w:r w:rsidR="00427292" w:rsidRPr="005B0F5E">
        <w:rPr>
          <w:rFonts w:eastAsiaTheme="majorEastAsia" w:cstheme="minorHAnsi"/>
          <w:color w:val="000000" w:themeColor="text1"/>
          <w:sz w:val="24"/>
          <w:szCs w:val="24"/>
        </w:rPr>
        <w:t xml:space="preserve">with regards to </w:t>
      </w:r>
      <w:r w:rsidR="00AE2708" w:rsidRPr="005B0F5E">
        <w:rPr>
          <w:rFonts w:eastAsiaTheme="majorEastAsia" w:cstheme="minorHAnsi"/>
          <w:color w:val="000000" w:themeColor="text1"/>
          <w:sz w:val="24"/>
          <w:szCs w:val="24"/>
        </w:rPr>
        <w:t xml:space="preserve">“family and society, the state and </w:t>
      </w:r>
      <w:r w:rsidR="00427292" w:rsidRPr="005B0F5E">
        <w:rPr>
          <w:rFonts w:eastAsiaTheme="majorEastAsia" w:cstheme="minorHAnsi"/>
          <w:color w:val="000000" w:themeColor="text1"/>
          <w:sz w:val="24"/>
          <w:szCs w:val="24"/>
        </w:rPr>
        <w:t>the international community” (</w:t>
      </w:r>
      <w:r w:rsidR="00AE2708" w:rsidRPr="005B0F5E">
        <w:rPr>
          <w:rFonts w:eastAsiaTheme="majorEastAsia" w:cstheme="minorHAnsi"/>
          <w:color w:val="000000" w:themeColor="text1"/>
          <w:sz w:val="24"/>
          <w:szCs w:val="24"/>
        </w:rPr>
        <w:t>Cregan and Cuthbert,</w:t>
      </w:r>
      <w:r w:rsidR="00427292" w:rsidRPr="005B0F5E">
        <w:rPr>
          <w:rFonts w:eastAsiaTheme="majorEastAsia" w:cstheme="minorHAnsi"/>
          <w:color w:val="000000" w:themeColor="text1"/>
          <w:sz w:val="24"/>
          <w:szCs w:val="24"/>
        </w:rPr>
        <w:t>2014, p.70</w:t>
      </w:r>
      <w:r w:rsidR="00AE2708" w:rsidRPr="005B0F5E">
        <w:rPr>
          <w:rFonts w:eastAsiaTheme="majorEastAsia" w:cstheme="minorHAnsi"/>
          <w:color w:val="000000" w:themeColor="text1"/>
          <w:sz w:val="24"/>
          <w:szCs w:val="24"/>
        </w:rPr>
        <w:t>).</w:t>
      </w:r>
      <w:r w:rsidR="00517C3C" w:rsidRPr="005B0F5E">
        <w:rPr>
          <w:rFonts w:eastAsiaTheme="majorEastAsia" w:cstheme="minorHAnsi"/>
          <w:color w:val="000000" w:themeColor="text1"/>
          <w:sz w:val="24"/>
          <w:szCs w:val="24"/>
        </w:rPr>
        <w:t xml:space="preserve"> This </w:t>
      </w:r>
      <w:r w:rsidR="000616EE" w:rsidRPr="005B0F5E">
        <w:rPr>
          <w:rFonts w:eastAsiaTheme="majorEastAsia" w:cstheme="minorHAnsi"/>
          <w:color w:val="000000" w:themeColor="text1"/>
          <w:sz w:val="24"/>
          <w:szCs w:val="24"/>
        </w:rPr>
        <w:t>differs from the UNCRC which highlights the rights of the child</w:t>
      </w:r>
      <w:r w:rsidR="003E4AE1" w:rsidRPr="005B0F5E">
        <w:rPr>
          <w:rFonts w:eastAsiaTheme="majorEastAsia" w:cstheme="minorHAnsi"/>
          <w:color w:val="000000" w:themeColor="text1"/>
          <w:sz w:val="24"/>
          <w:szCs w:val="24"/>
        </w:rPr>
        <w:t>.</w:t>
      </w:r>
      <w:r w:rsidR="000616EE" w:rsidRPr="005B0F5E">
        <w:rPr>
          <w:rFonts w:eastAsiaTheme="majorEastAsia" w:cstheme="minorHAnsi"/>
          <w:color w:val="000000" w:themeColor="text1"/>
          <w:sz w:val="24"/>
          <w:szCs w:val="24"/>
        </w:rPr>
        <w:t xml:space="preserve"> </w:t>
      </w:r>
      <w:r w:rsidR="00BC2DE8" w:rsidRPr="005B0F5E">
        <w:rPr>
          <w:rFonts w:eastAsiaTheme="majorEastAsia" w:cstheme="minorHAnsi"/>
          <w:color w:val="000000" w:themeColor="text1"/>
          <w:sz w:val="24"/>
          <w:szCs w:val="24"/>
        </w:rPr>
        <w:t>Therefore, t</w:t>
      </w:r>
      <w:r w:rsidR="003E4AE1" w:rsidRPr="005B0F5E">
        <w:rPr>
          <w:rFonts w:eastAsiaTheme="majorEastAsia" w:cstheme="minorHAnsi"/>
          <w:color w:val="000000" w:themeColor="text1"/>
          <w:sz w:val="24"/>
          <w:szCs w:val="24"/>
        </w:rPr>
        <w:t xml:space="preserve">his could </w:t>
      </w:r>
      <w:r w:rsidR="00517C3C" w:rsidRPr="005B0F5E">
        <w:rPr>
          <w:rFonts w:eastAsiaTheme="majorEastAsia" w:cstheme="minorHAnsi"/>
          <w:color w:val="000000" w:themeColor="text1"/>
          <w:sz w:val="24"/>
          <w:szCs w:val="24"/>
        </w:rPr>
        <w:t>be considered as authoritarian which may be seen</w:t>
      </w:r>
      <w:r w:rsidR="00AF363E" w:rsidRPr="005B0F5E">
        <w:rPr>
          <w:rFonts w:eastAsiaTheme="majorEastAsia" w:cstheme="minorHAnsi"/>
          <w:color w:val="000000" w:themeColor="text1"/>
          <w:sz w:val="24"/>
          <w:szCs w:val="24"/>
        </w:rPr>
        <w:t xml:space="preserve"> as an attempt to compromise a child’s right to certain liberties </w:t>
      </w:r>
      <w:r w:rsidR="00A77C32" w:rsidRPr="005B0F5E">
        <w:rPr>
          <w:rFonts w:eastAsiaTheme="majorEastAsia" w:cstheme="minorHAnsi"/>
          <w:color w:val="000000" w:themeColor="text1"/>
          <w:sz w:val="24"/>
          <w:szCs w:val="24"/>
        </w:rPr>
        <w:t xml:space="preserve">and other rights (Cregan and Cuthbert,2014). However, this will be explored in more detail further along. Additionally, a number of theories will further be linked including </w:t>
      </w:r>
      <w:r w:rsidR="00434A8F" w:rsidRPr="005B0F5E">
        <w:rPr>
          <w:rFonts w:eastAsiaTheme="majorEastAsia" w:cstheme="minorHAnsi"/>
          <w:color w:val="000000" w:themeColor="text1"/>
          <w:sz w:val="24"/>
          <w:szCs w:val="24"/>
        </w:rPr>
        <w:t>“</w:t>
      </w:r>
      <w:r w:rsidR="005259F1" w:rsidRPr="005B0F5E">
        <w:rPr>
          <w:rFonts w:eastAsiaTheme="majorEastAsia" w:cstheme="minorHAnsi"/>
          <w:color w:val="000000" w:themeColor="text1"/>
          <w:sz w:val="24"/>
          <w:szCs w:val="24"/>
        </w:rPr>
        <w:t>Maslow’s Hierarchy of Needs theory (1943)</w:t>
      </w:r>
      <w:r w:rsidR="00434A8F" w:rsidRPr="005B0F5E">
        <w:rPr>
          <w:rFonts w:eastAsiaTheme="majorEastAsia" w:cstheme="minorHAnsi"/>
          <w:color w:val="000000" w:themeColor="text1"/>
          <w:sz w:val="24"/>
          <w:szCs w:val="24"/>
        </w:rPr>
        <w:t>”</w:t>
      </w:r>
      <w:r w:rsidR="00454D33" w:rsidRPr="005B0F5E">
        <w:rPr>
          <w:rFonts w:eastAsiaTheme="majorEastAsia" w:cstheme="minorHAnsi"/>
          <w:color w:val="000000" w:themeColor="text1"/>
          <w:sz w:val="24"/>
          <w:szCs w:val="24"/>
        </w:rPr>
        <w:t xml:space="preserve"> </w:t>
      </w:r>
      <w:r w:rsidR="00A77C32" w:rsidRPr="005B0F5E">
        <w:rPr>
          <w:rFonts w:eastAsiaTheme="majorEastAsia" w:cstheme="minorHAnsi"/>
          <w:color w:val="000000" w:themeColor="text1"/>
          <w:sz w:val="24"/>
          <w:szCs w:val="24"/>
        </w:rPr>
        <w:t>(Shotton and Burton,</w:t>
      </w:r>
      <w:r w:rsidR="0012036A" w:rsidRPr="005B0F5E">
        <w:rPr>
          <w:rFonts w:eastAsiaTheme="majorEastAsia" w:cstheme="minorHAnsi"/>
          <w:color w:val="000000" w:themeColor="text1"/>
          <w:sz w:val="24"/>
          <w:szCs w:val="24"/>
        </w:rPr>
        <w:t xml:space="preserve"> </w:t>
      </w:r>
      <w:r w:rsidR="00A77C32" w:rsidRPr="005B0F5E">
        <w:rPr>
          <w:rFonts w:eastAsiaTheme="majorEastAsia" w:cstheme="minorHAnsi"/>
          <w:color w:val="000000" w:themeColor="text1"/>
          <w:sz w:val="24"/>
          <w:szCs w:val="24"/>
        </w:rPr>
        <w:t xml:space="preserve">2019, p.4) </w:t>
      </w:r>
      <w:r w:rsidR="00454D33" w:rsidRPr="005B0F5E">
        <w:rPr>
          <w:rFonts w:eastAsiaTheme="majorEastAsia" w:cstheme="minorHAnsi"/>
          <w:color w:val="000000" w:themeColor="text1"/>
          <w:sz w:val="24"/>
          <w:szCs w:val="24"/>
        </w:rPr>
        <w:t xml:space="preserve">and the theory of modernisation </w:t>
      </w:r>
      <w:r w:rsidR="00434A8F" w:rsidRPr="005B0F5E">
        <w:rPr>
          <w:rFonts w:eastAsiaTheme="majorEastAsia" w:cstheme="minorHAnsi"/>
          <w:color w:val="000000" w:themeColor="text1"/>
          <w:sz w:val="24"/>
          <w:szCs w:val="24"/>
        </w:rPr>
        <w:t xml:space="preserve">and the impact this may have on cultural aspects, </w:t>
      </w:r>
      <w:r w:rsidR="00174F78" w:rsidRPr="005B0F5E">
        <w:rPr>
          <w:rFonts w:eastAsiaTheme="majorEastAsia" w:cstheme="minorHAnsi"/>
          <w:color w:val="000000" w:themeColor="text1"/>
          <w:sz w:val="24"/>
          <w:szCs w:val="24"/>
        </w:rPr>
        <w:t>education systems, and aid in the global south.</w:t>
      </w:r>
    </w:p>
    <w:p w14:paraId="5BB34EE9" w14:textId="0AE093CB" w:rsidR="0057489E" w:rsidRPr="005B0F5E" w:rsidRDefault="005259F1" w:rsidP="00FD071D">
      <w:pPr>
        <w:keepNext/>
        <w:keepLines/>
        <w:spacing w:before="240" w:after="0"/>
        <w:jc w:val="both"/>
        <w:outlineLvl w:val="0"/>
        <w:rPr>
          <w:rFonts w:cstheme="minorHAnsi"/>
          <w:sz w:val="24"/>
          <w:szCs w:val="24"/>
        </w:rPr>
      </w:pPr>
      <w:r w:rsidRPr="005B0F5E">
        <w:rPr>
          <w:rFonts w:cstheme="minorHAnsi"/>
          <w:sz w:val="24"/>
          <w:szCs w:val="24"/>
        </w:rPr>
        <w:t>Situated on the eastern side of Africa, the Republic of Kenya has a population of “51 million people, mostly living in rural communities (73%)” (Fosci, Lucia, Chamberlain and Naidoo,2019, p.8</w:t>
      </w:r>
      <w:r w:rsidR="004A3065" w:rsidRPr="005B0F5E">
        <w:rPr>
          <w:rFonts w:cstheme="minorHAnsi"/>
          <w:sz w:val="24"/>
          <w:szCs w:val="24"/>
        </w:rPr>
        <w:t>).</w:t>
      </w:r>
      <w:r w:rsidR="004A3065" w:rsidRPr="005B0F5E">
        <w:rPr>
          <w:rFonts w:eastAsiaTheme="majorEastAsia" w:cstheme="minorHAnsi"/>
          <w:color w:val="000000" w:themeColor="text1"/>
          <w:sz w:val="24"/>
          <w:szCs w:val="24"/>
        </w:rPr>
        <w:t xml:space="preserve"> </w:t>
      </w:r>
      <w:r w:rsidRPr="005B0F5E">
        <w:rPr>
          <w:rFonts w:cstheme="minorHAnsi"/>
          <w:sz w:val="24"/>
          <w:szCs w:val="24"/>
        </w:rPr>
        <w:t>According to (Fosci, Lucia, Chamberlain and Loffreda, 2019, p.5) Kenya is a “low-medium income country” and is a democracy afflicted by “political instability” (Ibid). However, according to the (World Bank. 2021, p.1) over the past decade, Kenya has made considerable “political and economic reforms that have contributed to the sustained economic growth, social development, and political stability</w:t>
      </w:r>
      <w:bookmarkStart w:id="1" w:name="_Hlk96883488"/>
      <w:r w:rsidRPr="005B0F5E">
        <w:rPr>
          <w:rFonts w:cstheme="minorHAnsi"/>
          <w:sz w:val="24"/>
          <w:szCs w:val="24"/>
        </w:rPr>
        <w:t>”.</w:t>
      </w:r>
      <w:r w:rsidR="004A3065" w:rsidRPr="005B0F5E">
        <w:rPr>
          <w:rFonts w:cstheme="minorHAnsi"/>
          <w:sz w:val="24"/>
          <w:szCs w:val="24"/>
        </w:rPr>
        <w:t xml:space="preserve"> </w:t>
      </w:r>
      <w:r w:rsidR="00953DA1" w:rsidRPr="005B0F5E">
        <w:rPr>
          <w:rFonts w:cstheme="minorHAnsi"/>
          <w:sz w:val="24"/>
          <w:szCs w:val="24"/>
        </w:rPr>
        <w:t>An example of this can be seen within the “ratification of the Constitution of Kenya</w:t>
      </w:r>
      <w:r w:rsidR="002C5697" w:rsidRPr="005B0F5E">
        <w:rPr>
          <w:rFonts w:cstheme="minorHAnsi"/>
          <w:sz w:val="24"/>
          <w:szCs w:val="24"/>
        </w:rPr>
        <w:t xml:space="preserve"> 2010</w:t>
      </w:r>
      <w:r w:rsidR="00953DA1" w:rsidRPr="005B0F5E">
        <w:rPr>
          <w:rFonts w:cstheme="minorHAnsi"/>
          <w:sz w:val="24"/>
          <w:szCs w:val="24"/>
        </w:rPr>
        <w:t>”</w:t>
      </w:r>
      <w:r w:rsidR="0012036A" w:rsidRPr="005B0F5E">
        <w:rPr>
          <w:rFonts w:cstheme="minorHAnsi"/>
          <w:sz w:val="24"/>
          <w:szCs w:val="24"/>
        </w:rPr>
        <w:t xml:space="preserve"> (Kimani,2020, p.2). “</w:t>
      </w:r>
      <w:r w:rsidR="00953DA1" w:rsidRPr="005B0F5E">
        <w:rPr>
          <w:rFonts w:cstheme="minorHAnsi"/>
          <w:sz w:val="24"/>
          <w:szCs w:val="24"/>
        </w:rPr>
        <w:t>Out</w:t>
      </w:r>
      <w:r w:rsidR="004A3065" w:rsidRPr="005B0F5E">
        <w:rPr>
          <w:rFonts w:cstheme="minorHAnsi"/>
          <w:sz w:val="24"/>
          <w:szCs w:val="24"/>
        </w:rPr>
        <w:t xml:space="preserve"> of a decade of chaos” (O’Loughlin,2018, p.29) the </w:t>
      </w:r>
      <w:r w:rsidR="00FD071D" w:rsidRPr="005B0F5E">
        <w:rPr>
          <w:rFonts w:cstheme="minorHAnsi"/>
          <w:sz w:val="24"/>
          <w:szCs w:val="24"/>
        </w:rPr>
        <w:t>C</w:t>
      </w:r>
      <w:r w:rsidR="004A3065" w:rsidRPr="005B0F5E">
        <w:rPr>
          <w:rFonts w:cstheme="minorHAnsi"/>
          <w:sz w:val="24"/>
          <w:szCs w:val="24"/>
        </w:rPr>
        <w:t>onstitution marked a major turning point for the “</w:t>
      </w:r>
      <w:r w:rsidR="00A954AD" w:rsidRPr="005B0F5E">
        <w:rPr>
          <w:rFonts w:cstheme="minorHAnsi"/>
          <w:sz w:val="24"/>
          <w:szCs w:val="24"/>
        </w:rPr>
        <w:t>thirty-nine</w:t>
      </w:r>
      <w:r w:rsidR="004A3065" w:rsidRPr="005B0F5E">
        <w:rPr>
          <w:rFonts w:cstheme="minorHAnsi"/>
          <w:sz w:val="24"/>
          <w:szCs w:val="24"/>
        </w:rPr>
        <w:t xml:space="preserve"> million people of this East African country” (Kramon and Posner, 2011, p.3). </w:t>
      </w:r>
      <w:r w:rsidR="00FD071D" w:rsidRPr="005B0F5E">
        <w:rPr>
          <w:rFonts w:cstheme="minorHAnsi"/>
          <w:sz w:val="24"/>
          <w:szCs w:val="24"/>
        </w:rPr>
        <w:t xml:space="preserve">This new era of political reform reconceptualized their relationship with the government, placing their citizens at the forefront of a “new democratic social, economic and political </w:t>
      </w:r>
      <w:bookmarkEnd w:id="1"/>
      <w:r w:rsidR="00A77C32" w:rsidRPr="005B0F5E">
        <w:rPr>
          <w:rFonts w:cstheme="minorHAnsi"/>
          <w:sz w:val="24"/>
          <w:szCs w:val="24"/>
        </w:rPr>
        <w:t>order”</w:t>
      </w:r>
      <w:r w:rsidR="00953DA1" w:rsidRPr="005B0F5E">
        <w:rPr>
          <w:rFonts w:cstheme="minorHAnsi"/>
          <w:sz w:val="24"/>
          <w:szCs w:val="24"/>
        </w:rPr>
        <w:t xml:space="preserve"> (Ibid).</w:t>
      </w:r>
      <w:r w:rsidR="008C32DD" w:rsidRPr="005B0F5E">
        <w:rPr>
          <w:rFonts w:cstheme="minorHAnsi"/>
          <w:sz w:val="24"/>
          <w:szCs w:val="24"/>
        </w:rPr>
        <w:t xml:space="preserve"> </w:t>
      </w:r>
      <w:r w:rsidR="00833852" w:rsidRPr="005B0F5E">
        <w:rPr>
          <w:rFonts w:cstheme="minorHAnsi"/>
          <w:sz w:val="24"/>
          <w:szCs w:val="24"/>
        </w:rPr>
        <w:t>T</w:t>
      </w:r>
      <w:r w:rsidR="00833852" w:rsidRPr="005B0F5E">
        <w:rPr>
          <w:rFonts w:cstheme="minorHAnsi"/>
          <w:sz w:val="24"/>
          <w:szCs w:val="24"/>
        </w:rPr>
        <w:t xml:space="preserve">he primarily intension was to alter the lives of “Kenya’s minorities and marginalised groups, notably woman” (Ibid). </w:t>
      </w:r>
      <w:r w:rsidR="00DE11AE" w:rsidRPr="005B0F5E">
        <w:rPr>
          <w:rFonts w:cstheme="minorHAnsi"/>
          <w:sz w:val="24"/>
          <w:szCs w:val="24"/>
        </w:rPr>
        <w:t>However, according to (Kimani, 2020, p.2) the “2010 constitution has failed to deliver the transformation many had hoped for”.</w:t>
      </w:r>
      <w:r w:rsidR="00833852" w:rsidRPr="005B0F5E">
        <w:rPr>
          <w:rFonts w:cstheme="minorHAnsi"/>
          <w:sz w:val="24"/>
          <w:szCs w:val="24"/>
        </w:rPr>
        <w:t xml:space="preserve"> For instance, although article 54 of the constitution </w:t>
      </w:r>
      <w:bookmarkStart w:id="2" w:name="_Hlk97460856"/>
      <w:r w:rsidR="00833852" w:rsidRPr="005B0F5E">
        <w:rPr>
          <w:rFonts w:cstheme="minorHAnsi"/>
          <w:sz w:val="24"/>
          <w:szCs w:val="24"/>
        </w:rPr>
        <w:t xml:space="preserve">explicitly ensures the rights of </w:t>
      </w:r>
      <w:r w:rsidR="00D078BE" w:rsidRPr="005B0F5E">
        <w:rPr>
          <w:rFonts w:cstheme="minorHAnsi"/>
          <w:sz w:val="24"/>
          <w:szCs w:val="24"/>
        </w:rPr>
        <w:t>people with disabilities (Ibid).</w:t>
      </w:r>
      <w:r w:rsidR="00B066AA" w:rsidRPr="005B0F5E">
        <w:rPr>
          <w:rFonts w:cstheme="minorHAnsi"/>
          <w:sz w:val="24"/>
          <w:szCs w:val="24"/>
        </w:rPr>
        <w:t xml:space="preserve"> Research suggests, a child with a disability living in Kenya is “less likely </w:t>
      </w:r>
      <w:r w:rsidR="00BF1D49" w:rsidRPr="005B0F5E">
        <w:rPr>
          <w:rFonts w:cstheme="minorHAnsi"/>
          <w:sz w:val="24"/>
          <w:szCs w:val="24"/>
        </w:rPr>
        <w:t>to be in education or complete it” (</w:t>
      </w:r>
      <w:r w:rsidR="009A520C" w:rsidRPr="005B0F5E">
        <w:rPr>
          <w:rFonts w:cstheme="minorHAnsi"/>
          <w:sz w:val="24"/>
          <w:szCs w:val="24"/>
        </w:rPr>
        <w:t>IoDS, 2020, p.5) as opposed to children without a disability.</w:t>
      </w:r>
      <w:r w:rsidR="00B840D8" w:rsidRPr="005B0F5E">
        <w:rPr>
          <w:rFonts w:cstheme="minorHAnsi"/>
          <w:sz w:val="24"/>
          <w:szCs w:val="24"/>
        </w:rPr>
        <w:t xml:space="preserve"> (“44 percent completed primary school in comparison to 60 percent”) (Ibid)</w:t>
      </w:r>
      <w:bookmarkEnd w:id="2"/>
      <w:r w:rsidR="00B840D8" w:rsidRPr="005B0F5E">
        <w:rPr>
          <w:rFonts w:cstheme="minorHAnsi"/>
          <w:sz w:val="24"/>
          <w:szCs w:val="24"/>
        </w:rPr>
        <w:t xml:space="preserve">. </w:t>
      </w:r>
    </w:p>
    <w:p w14:paraId="5B00CD24" w14:textId="77777777" w:rsidR="00427B56" w:rsidRPr="005B0F5E" w:rsidRDefault="00427B56" w:rsidP="00FD071D">
      <w:pPr>
        <w:keepNext/>
        <w:keepLines/>
        <w:spacing w:before="240" w:after="0"/>
        <w:jc w:val="both"/>
        <w:outlineLvl w:val="0"/>
        <w:rPr>
          <w:rFonts w:cstheme="minorHAnsi"/>
          <w:sz w:val="24"/>
          <w:szCs w:val="24"/>
        </w:rPr>
      </w:pPr>
    </w:p>
    <w:p w14:paraId="74373416" w14:textId="6BB81720" w:rsidR="00B1028E" w:rsidRPr="005B0F5E" w:rsidRDefault="0057489E" w:rsidP="00B1028E">
      <w:pPr>
        <w:keepNext/>
        <w:keepLines/>
        <w:spacing w:before="240" w:after="0"/>
        <w:jc w:val="both"/>
        <w:outlineLvl w:val="0"/>
        <w:rPr>
          <w:rFonts w:cstheme="minorHAnsi"/>
          <w:sz w:val="24"/>
          <w:szCs w:val="24"/>
        </w:rPr>
      </w:pPr>
      <w:r w:rsidRPr="005B0F5E">
        <w:rPr>
          <w:rFonts w:cstheme="minorHAnsi"/>
          <w:sz w:val="24"/>
          <w:szCs w:val="24"/>
        </w:rPr>
        <w:lastRenderedPageBreak/>
        <w:t>According to MoEST (</w:t>
      </w:r>
      <w:r w:rsidR="0074353A" w:rsidRPr="005B0F5E">
        <w:rPr>
          <w:rFonts w:cstheme="minorHAnsi"/>
          <w:sz w:val="24"/>
          <w:szCs w:val="24"/>
        </w:rPr>
        <w:t>2015, quoted</w:t>
      </w:r>
      <w:r w:rsidRPr="005B0F5E">
        <w:rPr>
          <w:rFonts w:cstheme="minorHAnsi"/>
          <w:sz w:val="24"/>
          <w:szCs w:val="24"/>
        </w:rPr>
        <w:t xml:space="preserve"> in </w:t>
      </w:r>
      <w:r w:rsidR="0074353A" w:rsidRPr="005B0F5E">
        <w:rPr>
          <w:rFonts w:cstheme="minorHAnsi"/>
          <w:sz w:val="24"/>
          <w:szCs w:val="24"/>
        </w:rPr>
        <w:t>Care, Kim, Anderson and Wright, 2017, p.</w:t>
      </w:r>
      <w:r w:rsidRPr="005B0F5E">
        <w:rPr>
          <w:rFonts w:cstheme="minorHAnsi"/>
          <w:sz w:val="24"/>
          <w:szCs w:val="24"/>
        </w:rPr>
        <w:t xml:space="preserve"> </w:t>
      </w:r>
      <w:r w:rsidR="0074353A" w:rsidRPr="005B0F5E">
        <w:rPr>
          <w:rFonts w:cstheme="minorHAnsi"/>
          <w:sz w:val="24"/>
          <w:szCs w:val="24"/>
        </w:rPr>
        <w:t>2</w:t>
      </w:r>
      <w:r w:rsidR="009024AE" w:rsidRPr="005B0F5E">
        <w:rPr>
          <w:rFonts w:cstheme="minorHAnsi"/>
          <w:sz w:val="24"/>
          <w:szCs w:val="24"/>
        </w:rPr>
        <w:t>0</w:t>
      </w:r>
      <w:r w:rsidR="0074353A" w:rsidRPr="005B0F5E">
        <w:rPr>
          <w:rFonts w:cstheme="minorHAnsi"/>
          <w:sz w:val="24"/>
          <w:szCs w:val="24"/>
        </w:rPr>
        <w:t>) the fundamental aim for education organization</w:t>
      </w:r>
      <w:r w:rsidR="000824C0" w:rsidRPr="005B0F5E">
        <w:rPr>
          <w:rFonts w:cstheme="minorHAnsi"/>
          <w:sz w:val="24"/>
          <w:szCs w:val="24"/>
        </w:rPr>
        <w:t xml:space="preserve"> in Kenya</w:t>
      </w:r>
      <w:r w:rsidR="0074353A" w:rsidRPr="005B0F5E">
        <w:rPr>
          <w:rFonts w:cstheme="minorHAnsi"/>
          <w:sz w:val="24"/>
          <w:szCs w:val="24"/>
        </w:rPr>
        <w:t xml:space="preserve"> is to “promote sustainable development through nurturing every </w:t>
      </w:r>
      <w:r w:rsidR="00E55053" w:rsidRPr="005B0F5E">
        <w:rPr>
          <w:rFonts w:cstheme="minorHAnsi"/>
          <w:sz w:val="24"/>
          <w:szCs w:val="24"/>
        </w:rPr>
        <w:t>learner’s</w:t>
      </w:r>
      <w:r w:rsidR="0074353A" w:rsidRPr="005B0F5E">
        <w:rPr>
          <w:rFonts w:cstheme="minorHAnsi"/>
          <w:sz w:val="24"/>
          <w:szCs w:val="24"/>
        </w:rPr>
        <w:t xml:space="preserve"> potential”</w:t>
      </w:r>
      <w:r w:rsidR="0059700E" w:rsidRPr="005B0F5E">
        <w:rPr>
          <w:rFonts w:cstheme="minorHAnsi"/>
          <w:sz w:val="24"/>
          <w:szCs w:val="24"/>
        </w:rPr>
        <w:t>. This links with the “Sustainable Development Goals (SDG’s)” (UNDP,</w:t>
      </w:r>
      <w:r w:rsidR="003C0362" w:rsidRPr="005B0F5E">
        <w:rPr>
          <w:rFonts w:cstheme="minorHAnsi"/>
          <w:sz w:val="24"/>
          <w:szCs w:val="24"/>
        </w:rPr>
        <w:t>2022, p.</w:t>
      </w:r>
      <w:r w:rsidR="0059700E" w:rsidRPr="005B0F5E">
        <w:rPr>
          <w:rFonts w:cstheme="minorHAnsi"/>
          <w:sz w:val="24"/>
          <w:szCs w:val="24"/>
        </w:rPr>
        <w:t>1)</w:t>
      </w:r>
      <w:r w:rsidR="003C0362" w:rsidRPr="005B0F5E">
        <w:rPr>
          <w:rFonts w:cstheme="minorHAnsi"/>
          <w:sz w:val="24"/>
          <w:szCs w:val="24"/>
        </w:rPr>
        <w:t xml:space="preserve">. </w:t>
      </w:r>
      <w:r w:rsidR="00E55053" w:rsidRPr="005B0F5E">
        <w:rPr>
          <w:rFonts w:cstheme="minorHAnsi"/>
          <w:sz w:val="24"/>
          <w:szCs w:val="24"/>
        </w:rPr>
        <w:t>Furthermore, linking with the “New Curriculum for Wales 2022”</w:t>
      </w:r>
      <w:r w:rsidR="000824C0" w:rsidRPr="005B0F5E">
        <w:rPr>
          <w:rFonts w:cstheme="minorHAnsi"/>
          <w:sz w:val="24"/>
          <w:szCs w:val="24"/>
        </w:rPr>
        <w:t xml:space="preserve"> (Donaldson, 2015, p.115)</w:t>
      </w:r>
      <w:r w:rsidR="00E55053" w:rsidRPr="005B0F5E">
        <w:rPr>
          <w:rFonts w:cstheme="minorHAnsi"/>
          <w:sz w:val="24"/>
          <w:szCs w:val="24"/>
        </w:rPr>
        <w:t>, in Kenya “21</w:t>
      </w:r>
      <w:r w:rsidR="00E55053" w:rsidRPr="005B0F5E">
        <w:rPr>
          <w:rFonts w:cstheme="minorHAnsi"/>
          <w:sz w:val="24"/>
          <w:szCs w:val="24"/>
          <w:vertAlign w:val="superscript"/>
        </w:rPr>
        <w:t>st</w:t>
      </w:r>
      <w:r w:rsidR="00E55053" w:rsidRPr="005B0F5E">
        <w:rPr>
          <w:rFonts w:cstheme="minorHAnsi"/>
          <w:sz w:val="24"/>
          <w:szCs w:val="24"/>
        </w:rPr>
        <w:t xml:space="preserve"> century skills” </w:t>
      </w:r>
      <w:r w:rsidR="003C0362" w:rsidRPr="005B0F5E">
        <w:rPr>
          <w:rFonts w:cstheme="minorHAnsi"/>
          <w:sz w:val="24"/>
          <w:szCs w:val="24"/>
        </w:rPr>
        <w:t xml:space="preserve">are acknowledged within a wide spectrum of education and governmental policies (Care, </w:t>
      </w:r>
      <w:r w:rsidR="00055A7B" w:rsidRPr="005B0F5E">
        <w:rPr>
          <w:rFonts w:cstheme="minorHAnsi"/>
          <w:sz w:val="24"/>
          <w:szCs w:val="24"/>
        </w:rPr>
        <w:t>K</w:t>
      </w:r>
      <w:r w:rsidR="003C0362" w:rsidRPr="005B0F5E">
        <w:rPr>
          <w:rFonts w:cstheme="minorHAnsi"/>
          <w:sz w:val="24"/>
          <w:szCs w:val="24"/>
        </w:rPr>
        <w:t>im, Anderson and Wright, 2017, p.24)</w:t>
      </w:r>
      <w:r w:rsidR="002F1887" w:rsidRPr="005B0F5E">
        <w:rPr>
          <w:rFonts w:cstheme="minorHAnsi"/>
          <w:sz w:val="24"/>
          <w:szCs w:val="24"/>
        </w:rPr>
        <w:t xml:space="preserve">. </w:t>
      </w:r>
      <w:r w:rsidR="00677C90" w:rsidRPr="005B0F5E">
        <w:rPr>
          <w:rFonts w:cstheme="minorHAnsi"/>
          <w:sz w:val="24"/>
          <w:szCs w:val="24"/>
        </w:rPr>
        <w:t>L</w:t>
      </w:r>
      <w:r w:rsidR="003C0362" w:rsidRPr="005B0F5E">
        <w:rPr>
          <w:rFonts w:cstheme="minorHAnsi"/>
          <w:sz w:val="24"/>
          <w:szCs w:val="24"/>
        </w:rPr>
        <w:t>earners</w:t>
      </w:r>
      <w:r w:rsidR="00677C90" w:rsidRPr="005B0F5E">
        <w:rPr>
          <w:rFonts w:cstheme="minorHAnsi"/>
          <w:sz w:val="24"/>
          <w:szCs w:val="24"/>
        </w:rPr>
        <w:t xml:space="preserve"> now </w:t>
      </w:r>
      <w:r w:rsidR="003C0362" w:rsidRPr="005B0F5E">
        <w:rPr>
          <w:rFonts w:cstheme="minorHAnsi"/>
          <w:sz w:val="24"/>
          <w:szCs w:val="24"/>
        </w:rPr>
        <w:t xml:space="preserve">need a </w:t>
      </w:r>
      <w:r w:rsidR="00677C90" w:rsidRPr="005B0F5E">
        <w:rPr>
          <w:rFonts w:cstheme="minorHAnsi"/>
          <w:sz w:val="24"/>
          <w:szCs w:val="24"/>
        </w:rPr>
        <w:t xml:space="preserve">wide </w:t>
      </w:r>
      <w:r w:rsidR="003C0362" w:rsidRPr="005B0F5E">
        <w:rPr>
          <w:rFonts w:cstheme="minorHAnsi"/>
          <w:sz w:val="24"/>
          <w:szCs w:val="24"/>
        </w:rPr>
        <w:t xml:space="preserve">range of </w:t>
      </w:r>
      <w:r w:rsidR="00677C90" w:rsidRPr="005B0F5E">
        <w:rPr>
          <w:rFonts w:cstheme="minorHAnsi"/>
          <w:sz w:val="24"/>
          <w:szCs w:val="24"/>
        </w:rPr>
        <w:t>“knowledge, skills</w:t>
      </w:r>
      <w:r w:rsidR="00055A7B" w:rsidRPr="005B0F5E">
        <w:rPr>
          <w:rFonts w:cstheme="minorHAnsi"/>
          <w:sz w:val="24"/>
          <w:szCs w:val="24"/>
        </w:rPr>
        <w:t>,</w:t>
      </w:r>
      <w:r w:rsidR="00677C90" w:rsidRPr="005B0F5E">
        <w:rPr>
          <w:rFonts w:cstheme="minorHAnsi"/>
          <w:sz w:val="24"/>
          <w:szCs w:val="24"/>
        </w:rPr>
        <w:t xml:space="preserve"> work habits and character traits” (Ibid) which are </w:t>
      </w:r>
      <w:r w:rsidR="00055A7B" w:rsidRPr="005B0F5E">
        <w:rPr>
          <w:rFonts w:cstheme="minorHAnsi"/>
          <w:sz w:val="24"/>
          <w:szCs w:val="24"/>
        </w:rPr>
        <w:t xml:space="preserve">now seen as </w:t>
      </w:r>
      <w:r w:rsidR="00677C90" w:rsidRPr="005B0F5E">
        <w:rPr>
          <w:rFonts w:cstheme="minorHAnsi"/>
          <w:sz w:val="24"/>
          <w:szCs w:val="24"/>
        </w:rPr>
        <w:t>essential for the modern-day era (Care,</w:t>
      </w:r>
      <w:r w:rsidR="00055A7B" w:rsidRPr="005B0F5E">
        <w:rPr>
          <w:rFonts w:cstheme="minorHAnsi"/>
          <w:sz w:val="24"/>
          <w:szCs w:val="24"/>
        </w:rPr>
        <w:t xml:space="preserve"> </w:t>
      </w:r>
      <w:r w:rsidR="00677C90" w:rsidRPr="005B0F5E">
        <w:rPr>
          <w:rFonts w:cstheme="minorHAnsi"/>
          <w:sz w:val="24"/>
          <w:szCs w:val="24"/>
        </w:rPr>
        <w:t>Kim, Anderso</w:t>
      </w:r>
      <w:r w:rsidR="00055A7B" w:rsidRPr="005B0F5E">
        <w:rPr>
          <w:rFonts w:cstheme="minorHAnsi"/>
          <w:sz w:val="24"/>
          <w:szCs w:val="24"/>
        </w:rPr>
        <w:t>n</w:t>
      </w:r>
      <w:r w:rsidR="00677C90" w:rsidRPr="005B0F5E">
        <w:rPr>
          <w:rFonts w:cstheme="minorHAnsi"/>
          <w:sz w:val="24"/>
          <w:szCs w:val="24"/>
        </w:rPr>
        <w:t xml:space="preserve"> and Wright</w:t>
      </w:r>
      <w:r w:rsidR="00055A7B" w:rsidRPr="005B0F5E">
        <w:rPr>
          <w:rFonts w:cstheme="minorHAnsi"/>
          <w:sz w:val="24"/>
          <w:szCs w:val="24"/>
        </w:rPr>
        <w:t xml:space="preserve"> </w:t>
      </w:r>
      <w:r w:rsidR="00677C90" w:rsidRPr="005B0F5E">
        <w:rPr>
          <w:rFonts w:cstheme="minorHAnsi"/>
          <w:sz w:val="24"/>
          <w:szCs w:val="24"/>
        </w:rPr>
        <w:t>,</w:t>
      </w:r>
      <w:r w:rsidR="00055A7B" w:rsidRPr="005B0F5E">
        <w:rPr>
          <w:rFonts w:cstheme="minorHAnsi"/>
          <w:sz w:val="24"/>
          <w:szCs w:val="24"/>
        </w:rPr>
        <w:t>2017). Therefore, the old structure of 8-4-4 has now been replaced by the 2-6-6-3 system</w:t>
      </w:r>
      <w:r w:rsidR="00B840D8" w:rsidRPr="005B0F5E">
        <w:rPr>
          <w:rFonts w:cstheme="minorHAnsi"/>
          <w:sz w:val="24"/>
          <w:szCs w:val="24"/>
        </w:rPr>
        <w:t xml:space="preserve"> (Ibid)</w:t>
      </w:r>
      <w:r w:rsidR="00055A7B" w:rsidRPr="005B0F5E">
        <w:rPr>
          <w:rFonts w:cstheme="minorHAnsi"/>
          <w:sz w:val="24"/>
          <w:szCs w:val="24"/>
        </w:rPr>
        <w:t xml:space="preserve">. </w:t>
      </w:r>
      <w:r w:rsidR="0074275B" w:rsidRPr="005B0F5E">
        <w:rPr>
          <w:rFonts w:cstheme="minorHAnsi"/>
          <w:sz w:val="24"/>
          <w:szCs w:val="24"/>
        </w:rPr>
        <w:t xml:space="preserve">However, </w:t>
      </w:r>
      <w:r w:rsidR="005C2571" w:rsidRPr="005B0F5E">
        <w:rPr>
          <w:rFonts w:cstheme="minorHAnsi"/>
          <w:sz w:val="24"/>
          <w:szCs w:val="24"/>
        </w:rPr>
        <w:t xml:space="preserve">some Kenyans argue that the educational system already faces </w:t>
      </w:r>
      <w:r w:rsidR="00D62988" w:rsidRPr="005B0F5E">
        <w:rPr>
          <w:rFonts w:cstheme="minorHAnsi"/>
          <w:sz w:val="24"/>
          <w:szCs w:val="24"/>
        </w:rPr>
        <w:t>challenges and</w:t>
      </w:r>
      <w:r w:rsidR="005C2571" w:rsidRPr="005B0F5E">
        <w:rPr>
          <w:rFonts w:cstheme="minorHAnsi"/>
          <w:sz w:val="24"/>
          <w:szCs w:val="24"/>
        </w:rPr>
        <w:t xml:space="preserve"> has left many parents contributing sizable amounts of money towards their children’s schooling</w:t>
      </w:r>
      <w:r w:rsidR="00B1028E" w:rsidRPr="005B0F5E">
        <w:rPr>
          <w:rFonts w:cstheme="minorHAnsi"/>
          <w:sz w:val="24"/>
          <w:szCs w:val="24"/>
        </w:rPr>
        <w:t xml:space="preserve"> (Kwach, 2018)</w:t>
      </w:r>
      <w:r w:rsidR="005C2571" w:rsidRPr="005B0F5E">
        <w:rPr>
          <w:rFonts w:cstheme="minorHAnsi"/>
          <w:sz w:val="24"/>
          <w:szCs w:val="24"/>
        </w:rPr>
        <w:t xml:space="preserve">. Therefore, some fear that these costs could rise. </w:t>
      </w:r>
      <w:r w:rsidR="00A954AD" w:rsidRPr="005B0F5E">
        <w:rPr>
          <w:rFonts w:cstheme="minorHAnsi"/>
          <w:sz w:val="24"/>
          <w:szCs w:val="24"/>
        </w:rPr>
        <w:t>Many Kenyan Teachers also express this fear</w:t>
      </w:r>
      <w:r w:rsidR="00C716F0" w:rsidRPr="005B0F5E">
        <w:rPr>
          <w:rFonts w:cstheme="minorHAnsi"/>
          <w:sz w:val="24"/>
          <w:szCs w:val="24"/>
        </w:rPr>
        <w:t>. Low wages and governments neglecting to honour working contracts for teachers have led to many resort</w:t>
      </w:r>
      <w:r w:rsidR="005B147B" w:rsidRPr="005B0F5E">
        <w:rPr>
          <w:rFonts w:cstheme="minorHAnsi"/>
          <w:sz w:val="24"/>
          <w:szCs w:val="24"/>
        </w:rPr>
        <w:t>ing</w:t>
      </w:r>
      <w:r w:rsidR="00C716F0" w:rsidRPr="005B0F5E">
        <w:rPr>
          <w:rFonts w:cstheme="minorHAnsi"/>
          <w:sz w:val="24"/>
          <w:szCs w:val="24"/>
        </w:rPr>
        <w:t xml:space="preserve"> to strikes</w:t>
      </w:r>
      <w:r w:rsidR="001111EA" w:rsidRPr="005B0F5E">
        <w:rPr>
          <w:rFonts w:cstheme="minorHAnsi"/>
          <w:sz w:val="24"/>
          <w:szCs w:val="24"/>
        </w:rPr>
        <w:t>, which occur on an annual basis</w:t>
      </w:r>
      <w:r w:rsidR="002F1887" w:rsidRPr="005B0F5E">
        <w:rPr>
          <w:rFonts w:cstheme="minorHAnsi"/>
          <w:sz w:val="24"/>
          <w:szCs w:val="24"/>
        </w:rPr>
        <w:t xml:space="preserve"> (Kwach, 2018)</w:t>
      </w:r>
      <w:r w:rsidR="00A954AD" w:rsidRPr="005B0F5E">
        <w:rPr>
          <w:rFonts w:cstheme="minorHAnsi"/>
          <w:sz w:val="24"/>
          <w:szCs w:val="24"/>
        </w:rPr>
        <w:t xml:space="preserve">. </w:t>
      </w:r>
      <w:r w:rsidR="001111EA" w:rsidRPr="005B0F5E">
        <w:rPr>
          <w:rFonts w:cstheme="minorHAnsi"/>
          <w:sz w:val="24"/>
          <w:szCs w:val="24"/>
        </w:rPr>
        <w:t>Additionally,</w:t>
      </w:r>
      <w:r w:rsidR="00B5351C" w:rsidRPr="005B0F5E">
        <w:rPr>
          <w:rFonts w:cstheme="minorHAnsi"/>
          <w:sz w:val="24"/>
          <w:szCs w:val="24"/>
        </w:rPr>
        <w:t xml:space="preserve"> arguments have been raised into the lack of involvement in the new curricula from regional academic professionals (Nyaundi,2019, p.1). Therefore, this has led to</w:t>
      </w:r>
      <w:r w:rsidR="001111EA" w:rsidRPr="005B0F5E">
        <w:rPr>
          <w:rFonts w:cstheme="minorHAnsi"/>
          <w:sz w:val="24"/>
          <w:szCs w:val="24"/>
        </w:rPr>
        <w:t xml:space="preserve"> </w:t>
      </w:r>
      <w:r w:rsidR="00937B32" w:rsidRPr="005B0F5E">
        <w:rPr>
          <w:rFonts w:cstheme="minorHAnsi"/>
          <w:sz w:val="24"/>
          <w:szCs w:val="24"/>
        </w:rPr>
        <w:t xml:space="preserve">“foreign </w:t>
      </w:r>
      <w:r w:rsidR="00B5351C" w:rsidRPr="005B0F5E">
        <w:rPr>
          <w:rFonts w:cstheme="minorHAnsi"/>
          <w:sz w:val="24"/>
          <w:szCs w:val="24"/>
        </w:rPr>
        <w:t>policies being</w:t>
      </w:r>
      <w:r w:rsidR="00937B32" w:rsidRPr="005B0F5E">
        <w:rPr>
          <w:rFonts w:cstheme="minorHAnsi"/>
          <w:sz w:val="24"/>
          <w:szCs w:val="24"/>
        </w:rPr>
        <w:t xml:space="preserve"> adapted </w:t>
      </w:r>
      <w:r w:rsidR="00B5351C" w:rsidRPr="005B0F5E">
        <w:rPr>
          <w:rFonts w:cstheme="minorHAnsi"/>
          <w:sz w:val="24"/>
          <w:szCs w:val="24"/>
        </w:rPr>
        <w:t>from a European education system” (Kwach, 2018, p.1). One can link this to the theory of modernisation.</w:t>
      </w:r>
    </w:p>
    <w:p w14:paraId="0CF00645" w14:textId="0361E603" w:rsidR="00904CBC" w:rsidRPr="005B0F5E" w:rsidRDefault="00B5351C" w:rsidP="00B1028E">
      <w:pPr>
        <w:keepNext/>
        <w:keepLines/>
        <w:spacing w:before="240" w:after="0"/>
        <w:jc w:val="both"/>
        <w:outlineLvl w:val="0"/>
        <w:rPr>
          <w:rFonts w:eastAsiaTheme="majorEastAsia" w:cstheme="minorHAnsi"/>
          <w:color w:val="000000" w:themeColor="text1"/>
          <w:sz w:val="24"/>
          <w:szCs w:val="24"/>
        </w:rPr>
      </w:pPr>
      <w:r w:rsidRPr="005B0F5E">
        <w:rPr>
          <w:rFonts w:cstheme="minorHAnsi"/>
          <w:sz w:val="24"/>
          <w:szCs w:val="24"/>
        </w:rPr>
        <w:t xml:space="preserve"> </w:t>
      </w:r>
      <w:r w:rsidR="00B1028E" w:rsidRPr="005B0F5E">
        <w:rPr>
          <w:rFonts w:cstheme="minorHAnsi"/>
          <w:sz w:val="24"/>
          <w:szCs w:val="24"/>
        </w:rPr>
        <w:t>Although western style policies have been “commended for being the foundation of rapid transformation in majority countries such as the America (Lee and Kaluarachchi,2020). They have been progressively delivered in lower income countries to initiate expansion and hasten the speed of economic growth</w:t>
      </w:r>
      <w:r w:rsidR="002F1887" w:rsidRPr="005B0F5E">
        <w:rPr>
          <w:rFonts w:cstheme="minorHAnsi"/>
          <w:sz w:val="24"/>
          <w:szCs w:val="24"/>
        </w:rPr>
        <w:t xml:space="preserve"> (Ibid)</w:t>
      </w:r>
      <w:r w:rsidR="00B1028E" w:rsidRPr="005B0F5E">
        <w:rPr>
          <w:rFonts w:cstheme="minorHAnsi"/>
          <w:sz w:val="24"/>
          <w:szCs w:val="24"/>
        </w:rPr>
        <w:t>.</w:t>
      </w:r>
      <w:r w:rsidR="00A954AD" w:rsidRPr="005B0F5E">
        <w:rPr>
          <w:rFonts w:cstheme="minorHAnsi"/>
          <w:sz w:val="24"/>
          <w:szCs w:val="24"/>
        </w:rPr>
        <w:t xml:space="preserve"> </w:t>
      </w:r>
      <w:r w:rsidR="00B1028E" w:rsidRPr="005B0F5E">
        <w:rPr>
          <w:rFonts w:eastAsiaTheme="majorEastAsia" w:cstheme="minorHAnsi"/>
          <w:color w:val="000000" w:themeColor="text1"/>
          <w:sz w:val="24"/>
          <w:szCs w:val="24"/>
        </w:rPr>
        <w:t xml:space="preserve">Coined by “American economist Walt Rostow’s (1960)” (Jacobs,2020, p.1), modernisation theory bases itself around the “five stages of economic growth” (Ibid). The classical model was first constructed to deliver a purposely “non-communist solution to poverty in low-income countries” (Thompson,2018, p.1). Essentially, its main intention was to distribute a capitalist framework through the endorsement of “Western, democratic values” (Ibid). Thus, Modernisation theory implies that contemporary societies are more productive, children are educated to a high standard and “the needy receive more welfare” (Reyes,2001, p.2). Lower-income countries are therefore impeded by their own cultural and social structures (Thompson,2018). Talcott Parsons was particularly critical. “Parson’s Functional Fit theory (1964)” </w:t>
      </w:r>
      <w:r w:rsidR="005B147B" w:rsidRPr="005B0F5E">
        <w:rPr>
          <w:rFonts w:eastAsiaTheme="majorEastAsia" w:cstheme="minorHAnsi"/>
          <w:color w:val="000000" w:themeColor="text1"/>
          <w:sz w:val="24"/>
          <w:szCs w:val="24"/>
        </w:rPr>
        <w:t xml:space="preserve">(Thompson, 2018, p.1) </w:t>
      </w:r>
      <w:r w:rsidR="00B1028E" w:rsidRPr="005B0F5E">
        <w:rPr>
          <w:rFonts w:eastAsiaTheme="majorEastAsia" w:cstheme="minorHAnsi"/>
          <w:color w:val="000000" w:themeColor="text1"/>
          <w:sz w:val="24"/>
          <w:szCs w:val="24"/>
        </w:rPr>
        <w:t>suggests that low-income countries were too encompassed in their own “customs, ritual, practices and institutions” (</w:t>
      </w:r>
      <w:r w:rsidR="005B147B" w:rsidRPr="005B0F5E">
        <w:rPr>
          <w:rFonts w:eastAsiaTheme="majorEastAsia" w:cstheme="minorHAnsi"/>
          <w:color w:val="000000" w:themeColor="text1"/>
          <w:sz w:val="24"/>
          <w:szCs w:val="24"/>
        </w:rPr>
        <w:t>Ibid</w:t>
      </w:r>
      <w:r w:rsidR="00B1028E" w:rsidRPr="005B0F5E">
        <w:rPr>
          <w:rFonts w:eastAsiaTheme="majorEastAsia" w:cstheme="minorHAnsi"/>
          <w:color w:val="000000" w:themeColor="text1"/>
          <w:sz w:val="24"/>
          <w:szCs w:val="24"/>
        </w:rPr>
        <w:t>). For instance, patriarchal structures are criticised for being too collectivist. Therefore, prioritising family and communities before their own needs, as opposed to individualism which involves the person thinking only of their own needs. Thus, this enables the person to leave the family unit and pursuit their goals in many other areas including education</w:t>
      </w:r>
      <w:r w:rsidR="00904CBC" w:rsidRPr="005B0F5E">
        <w:rPr>
          <w:rFonts w:eastAsiaTheme="majorEastAsia" w:cstheme="minorHAnsi"/>
          <w:color w:val="000000" w:themeColor="text1"/>
          <w:sz w:val="24"/>
          <w:szCs w:val="24"/>
        </w:rPr>
        <w:t xml:space="preserve"> (Thompson, 2018)</w:t>
      </w:r>
      <w:r w:rsidR="00B1028E" w:rsidRPr="005B0F5E">
        <w:rPr>
          <w:rFonts w:eastAsiaTheme="majorEastAsia" w:cstheme="minorHAnsi"/>
          <w:color w:val="000000" w:themeColor="text1"/>
          <w:sz w:val="24"/>
          <w:szCs w:val="24"/>
        </w:rPr>
        <w:t xml:space="preserve">. </w:t>
      </w:r>
      <w:r w:rsidR="00A954AD" w:rsidRPr="005B0F5E">
        <w:rPr>
          <w:rFonts w:eastAsiaTheme="majorEastAsia" w:cstheme="minorHAnsi"/>
          <w:color w:val="000000" w:themeColor="text1"/>
          <w:sz w:val="24"/>
          <w:szCs w:val="24"/>
        </w:rPr>
        <w:t xml:space="preserve">This links with the </w:t>
      </w:r>
      <w:r w:rsidR="000D0232" w:rsidRPr="005B0F5E">
        <w:rPr>
          <w:rFonts w:eastAsiaTheme="majorEastAsia" w:cstheme="minorHAnsi"/>
          <w:color w:val="000000" w:themeColor="text1"/>
          <w:sz w:val="24"/>
          <w:szCs w:val="24"/>
        </w:rPr>
        <w:t xml:space="preserve">ACRWC (1990) which aims to conserve and reinforce “African cultural values” (Cregan and Cuthbert, 2014, p.70) in his relationships with </w:t>
      </w:r>
      <w:r w:rsidR="00E13346" w:rsidRPr="005B0F5E">
        <w:rPr>
          <w:rFonts w:eastAsiaTheme="majorEastAsia" w:cstheme="minorHAnsi"/>
          <w:color w:val="000000" w:themeColor="text1"/>
          <w:sz w:val="24"/>
          <w:szCs w:val="24"/>
        </w:rPr>
        <w:t>the wider community</w:t>
      </w:r>
      <w:r w:rsidR="005B147B" w:rsidRPr="005B0F5E">
        <w:rPr>
          <w:rFonts w:eastAsiaTheme="majorEastAsia" w:cstheme="minorHAnsi"/>
          <w:color w:val="000000" w:themeColor="text1"/>
          <w:sz w:val="24"/>
          <w:szCs w:val="24"/>
        </w:rPr>
        <w:t xml:space="preserve">. </w:t>
      </w:r>
    </w:p>
    <w:p w14:paraId="5DC1A1AF" w14:textId="77B5F073" w:rsidR="00904CBC" w:rsidRPr="005B0F5E" w:rsidRDefault="00904CBC" w:rsidP="00B1028E">
      <w:pPr>
        <w:keepNext/>
        <w:keepLines/>
        <w:spacing w:before="240" w:after="0"/>
        <w:jc w:val="both"/>
        <w:outlineLvl w:val="0"/>
        <w:rPr>
          <w:rFonts w:eastAsiaTheme="majorEastAsia" w:cstheme="minorHAnsi"/>
          <w:color w:val="000000" w:themeColor="text1"/>
          <w:sz w:val="24"/>
          <w:szCs w:val="24"/>
        </w:rPr>
      </w:pPr>
      <w:r w:rsidRPr="005B0F5E">
        <w:rPr>
          <w:rFonts w:eastAsiaTheme="majorEastAsia" w:cstheme="minorHAnsi"/>
          <w:color w:val="000000" w:themeColor="text1"/>
          <w:sz w:val="24"/>
          <w:szCs w:val="24"/>
        </w:rPr>
        <w:lastRenderedPageBreak/>
        <w:t>However,</w:t>
      </w:r>
      <w:r w:rsidR="008A2061" w:rsidRPr="005B0F5E">
        <w:rPr>
          <w:rFonts w:eastAsiaTheme="majorEastAsia" w:cstheme="minorHAnsi"/>
          <w:color w:val="000000" w:themeColor="text1"/>
          <w:sz w:val="24"/>
          <w:szCs w:val="24"/>
        </w:rPr>
        <w:t xml:space="preserve"> (Reyes,</w:t>
      </w:r>
      <w:r w:rsidR="00967B78" w:rsidRPr="005B0F5E">
        <w:rPr>
          <w:rFonts w:eastAsiaTheme="majorEastAsia" w:cstheme="minorHAnsi"/>
          <w:color w:val="000000" w:themeColor="text1"/>
          <w:sz w:val="24"/>
          <w:szCs w:val="24"/>
        </w:rPr>
        <w:t>2001, p.</w:t>
      </w:r>
      <w:r w:rsidR="008A2061" w:rsidRPr="005B0F5E">
        <w:rPr>
          <w:rFonts w:eastAsiaTheme="majorEastAsia" w:cstheme="minorHAnsi"/>
          <w:color w:val="000000" w:themeColor="text1"/>
          <w:sz w:val="24"/>
          <w:szCs w:val="24"/>
        </w:rPr>
        <w:t>2) states that the theory of modernisation “is a homogenising process which produces tendencies towards convergence among society”</w:t>
      </w:r>
      <w:r w:rsidR="00967B78" w:rsidRPr="005B0F5E">
        <w:rPr>
          <w:rFonts w:eastAsiaTheme="majorEastAsia" w:cstheme="minorHAnsi"/>
          <w:color w:val="000000" w:themeColor="text1"/>
          <w:sz w:val="24"/>
          <w:szCs w:val="24"/>
        </w:rPr>
        <w:t xml:space="preserve">. Lower- income countries may not have these principles and are “highly heterogeneous” (Reyes, </w:t>
      </w:r>
      <w:r w:rsidR="00113D00" w:rsidRPr="005B0F5E">
        <w:rPr>
          <w:rFonts w:eastAsiaTheme="majorEastAsia" w:cstheme="minorHAnsi"/>
          <w:color w:val="000000" w:themeColor="text1"/>
          <w:sz w:val="24"/>
          <w:szCs w:val="24"/>
        </w:rPr>
        <w:t>2001, p.</w:t>
      </w:r>
      <w:r w:rsidR="00967B78" w:rsidRPr="005B0F5E">
        <w:rPr>
          <w:rFonts w:eastAsiaTheme="majorEastAsia" w:cstheme="minorHAnsi"/>
          <w:color w:val="000000" w:themeColor="text1"/>
          <w:sz w:val="24"/>
          <w:szCs w:val="24"/>
        </w:rPr>
        <w:t xml:space="preserve">4). </w:t>
      </w:r>
      <w:r w:rsidR="00113D00" w:rsidRPr="005B0F5E">
        <w:rPr>
          <w:rFonts w:eastAsiaTheme="majorEastAsia" w:cstheme="minorHAnsi"/>
          <w:color w:val="000000" w:themeColor="text1"/>
          <w:sz w:val="24"/>
          <w:szCs w:val="24"/>
        </w:rPr>
        <w:t xml:space="preserve">Therefore, this theory </w:t>
      </w:r>
      <w:r w:rsidR="003252ED" w:rsidRPr="005B0F5E">
        <w:rPr>
          <w:rFonts w:eastAsiaTheme="majorEastAsia" w:cstheme="minorHAnsi"/>
          <w:color w:val="000000" w:themeColor="text1"/>
          <w:sz w:val="24"/>
          <w:szCs w:val="24"/>
        </w:rPr>
        <w:t>suggests cultural values are inferior as opposed to the values from the west (</w:t>
      </w:r>
      <w:r w:rsidR="004B6AE8" w:rsidRPr="005B0F5E">
        <w:rPr>
          <w:rFonts w:eastAsiaTheme="majorEastAsia" w:cstheme="minorHAnsi"/>
          <w:color w:val="000000" w:themeColor="text1"/>
          <w:sz w:val="24"/>
          <w:szCs w:val="24"/>
        </w:rPr>
        <w:t>Thompson, 2017</w:t>
      </w:r>
      <w:r w:rsidR="003252ED" w:rsidRPr="005B0F5E">
        <w:rPr>
          <w:rFonts w:eastAsiaTheme="majorEastAsia" w:cstheme="minorHAnsi"/>
          <w:color w:val="000000" w:themeColor="text1"/>
          <w:sz w:val="24"/>
          <w:szCs w:val="24"/>
        </w:rPr>
        <w:t xml:space="preserve">). However, western societies </w:t>
      </w:r>
      <w:r w:rsidR="006010C9" w:rsidRPr="005B0F5E">
        <w:rPr>
          <w:rFonts w:eastAsiaTheme="majorEastAsia" w:cstheme="minorHAnsi"/>
          <w:color w:val="000000" w:themeColor="text1"/>
          <w:sz w:val="24"/>
          <w:szCs w:val="24"/>
        </w:rPr>
        <w:t xml:space="preserve">fail to consider the colossal amount of inequality in their own countries. </w:t>
      </w:r>
      <w:r w:rsidR="004B6AE8" w:rsidRPr="005B0F5E">
        <w:rPr>
          <w:rFonts w:eastAsiaTheme="majorEastAsia" w:cstheme="minorHAnsi"/>
          <w:color w:val="000000" w:themeColor="text1"/>
          <w:sz w:val="24"/>
          <w:szCs w:val="24"/>
        </w:rPr>
        <w:t>Additionally</w:t>
      </w:r>
      <w:r w:rsidR="006010C9" w:rsidRPr="005B0F5E">
        <w:rPr>
          <w:rFonts w:eastAsiaTheme="majorEastAsia" w:cstheme="minorHAnsi"/>
          <w:color w:val="000000" w:themeColor="text1"/>
          <w:sz w:val="24"/>
          <w:szCs w:val="24"/>
        </w:rPr>
        <w:t xml:space="preserve">, </w:t>
      </w:r>
      <w:r w:rsidR="004B6AE8" w:rsidRPr="005B0F5E">
        <w:rPr>
          <w:rFonts w:eastAsiaTheme="majorEastAsia" w:cstheme="minorHAnsi"/>
          <w:color w:val="000000" w:themeColor="text1"/>
          <w:sz w:val="24"/>
          <w:szCs w:val="24"/>
        </w:rPr>
        <w:t xml:space="preserve">this theory promotes the use of foreign </w:t>
      </w:r>
      <w:r w:rsidR="006010C9" w:rsidRPr="005B0F5E">
        <w:rPr>
          <w:rFonts w:eastAsiaTheme="majorEastAsia" w:cstheme="minorHAnsi"/>
          <w:color w:val="000000" w:themeColor="text1"/>
          <w:sz w:val="24"/>
          <w:szCs w:val="24"/>
        </w:rPr>
        <w:t>aid</w:t>
      </w:r>
      <w:r w:rsidR="004B6AE8" w:rsidRPr="005B0F5E">
        <w:rPr>
          <w:rFonts w:eastAsiaTheme="majorEastAsia" w:cstheme="minorHAnsi"/>
          <w:color w:val="000000" w:themeColor="text1"/>
          <w:sz w:val="24"/>
          <w:szCs w:val="24"/>
        </w:rPr>
        <w:t>. However, “kleptocracy often prevents aid from getting to where it is supposed to be going (Thompson, 2017, p.1). Thus, contributes to further disparities and allows “elites to maintain power” (Ibid).</w:t>
      </w:r>
    </w:p>
    <w:p w14:paraId="250CCEAB" w14:textId="778C0BE1" w:rsidR="00E22E54" w:rsidRPr="005B0F5E" w:rsidRDefault="00B1028E" w:rsidP="00E22E54">
      <w:pPr>
        <w:keepNext/>
        <w:keepLines/>
        <w:spacing w:before="240" w:after="0"/>
        <w:jc w:val="both"/>
        <w:outlineLvl w:val="0"/>
        <w:rPr>
          <w:rFonts w:eastAsiaTheme="majorEastAsia" w:cstheme="minorHAnsi"/>
          <w:color w:val="000000" w:themeColor="text1"/>
          <w:sz w:val="24"/>
          <w:szCs w:val="24"/>
        </w:rPr>
      </w:pPr>
      <w:r w:rsidRPr="005B0F5E">
        <w:rPr>
          <w:rFonts w:eastAsiaTheme="majorEastAsia" w:cstheme="minorHAnsi"/>
          <w:color w:val="000000" w:themeColor="text1"/>
          <w:sz w:val="24"/>
          <w:szCs w:val="24"/>
        </w:rPr>
        <w:t>Furthermore, linking with the feminist perspective, Parson’s further believed “patriarchal structures are significantly more deep-rooted in lower-income countries</w:t>
      </w:r>
      <w:r w:rsidR="00E13346" w:rsidRPr="005B0F5E">
        <w:rPr>
          <w:rFonts w:eastAsiaTheme="majorEastAsia" w:cstheme="minorHAnsi"/>
          <w:color w:val="000000" w:themeColor="text1"/>
          <w:sz w:val="24"/>
          <w:szCs w:val="24"/>
        </w:rPr>
        <w:t>.”</w:t>
      </w:r>
      <w:r w:rsidRPr="005B0F5E">
        <w:rPr>
          <w:rFonts w:eastAsiaTheme="majorEastAsia" w:cstheme="minorHAnsi"/>
          <w:color w:val="000000" w:themeColor="text1"/>
          <w:sz w:val="24"/>
          <w:szCs w:val="24"/>
        </w:rPr>
        <w:t xml:space="preserve"> An example of this can be seen within the social structure of the Maasai culture. Inhabiting distinct regions in both “Kenya and Tanzania” (Tarayia,2004, p.185). A study focussing on the Maasai woman living in the region of Narok highlights the challenges experienced by many of these woman and girls. Although there are policies that protect children including “The Child Act 2001” (KLR,2010, p.16) which state that “no person shall subject a child to female circumcision or early marriage” (Ibid). Chege and </w:t>
      </w:r>
      <w:proofErr w:type="spellStart"/>
      <w:r w:rsidRPr="005B0F5E">
        <w:rPr>
          <w:rFonts w:eastAsiaTheme="majorEastAsia" w:cstheme="minorHAnsi"/>
          <w:color w:val="000000" w:themeColor="text1"/>
          <w:sz w:val="24"/>
          <w:szCs w:val="24"/>
        </w:rPr>
        <w:t>Sifina</w:t>
      </w:r>
      <w:proofErr w:type="spellEnd"/>
      <w:r w:rsidRPr="005B0F5E">
        <w:rPr>
          <w:rFonts w:eastAsiaTheme="majorEastAsia" w:cstheme="minorHAnsi"/>
          <w:color w:val="000000" w:themeColor="text1"/>
          <w:sz w:val="24"/>
          <w:szCs w:val="24"/>
        </w:rPr>
        <w:t xml:space="preserve"> (2006, quoted in Takayanagi,2019, p.37) finds that cultural practices such as, “female genital mutilation (FGM) and early marriage are well- preserved and practised” in Massai culture. Therefore, Takayanagi (2014, quoted in Takayanagi,2019, p.37) believes this has led to girls “participation in education being affected and restricted” in a number of ways. </w:t>
      </w:r>
      <w:r w:rsidR="00903B19" w:rsidRPr="005B0F5E">
        <w:rPr>
          <w:rFonts w:eastAsiaTheme="majorEastAsia" w:cstheme="minorHAnsi"/>
          <w:color w:val="000000" w:themeColor="text1"/>
          <w:sz w:val="24"/>
          <w:szCs w:val="24"/>
        </w:rPr>
        <w:t>A</w:t>
      </w:r>
      <w:r w:rsidRPr="005B0F5E">
        <w:rPr>
          <w:rFonts w:eastAsiaTheme="majorEastAsia" w:cstheme="minorHAnsi"/>
          <w:color w:val="000000" w:themeColor="text1"/>
          <w:sz w:val="24"/>
          <w:szCs w:val="24"/>
        </w:rPr>
        <w:t xml:space="preserve"> study conducted by Mukadi into the impact of (FGM) on girls’ education in a primary school based in the Tugen community found that </w:t>
      </w:r>
      <w:r w:rsidR="006F7157" w:rsidRPr="005B0F5E">
        <w:rPr>
          <w:rFonts w:eastAsiaTheme="majorEastAsia" w:cstheme="minorHAnsi"/>
          <w:color w:val="000000" w:themeColor="text1"/>
          <w:sz w:val="24"/>
          <w:szCs w:val="24"/>
        </w:rPr>
        <w:t>after this practice</w:t>
      </w:r>
      <w:r w:rsidRPr="005B0F5E">
        <w:rPr>
          <w:rFonts w:eastAsiaTheme="majorEastAsia" w:cstheme="minorHAnsi"/>
          <w:color w:val="000000" w:themeColor="text1"/>
          <w:sz w:val="24"/>
          <w:szCs w:val="24"/>
        </w:rPr>
        <w:t xml:space="preserve"> girls are then considered to be woman. Therefore, this increases their engagement of “sexual activity” (Ibid), leading to “pregnancy, school dropout and eventually early marriage” (Ibid). Furthermore, (Tarayia,2004, p.198) states, the “psycho-socio status” of the girl is drastically altered after this practice. Therefore, Knowledge systems are based around the wider community and at home (Tarayia,2004). Formal education is no longer seen as a priority for girls and “drop-out rates multiply among the Maasai” (Ibid). However, “drop-out rates” (Tarayia,2004, p.198) for males is much lower due to the “parental bias” (Ibid) for a boy to finish education as opposed to a girl (Tarayia,2004). This conflicts with “goal 5 of the Sustainable Development Goals (SDGs)” (Mukadi,2017, p.40), which aims to achieve equal rights for woman and equality (UN,2015). </w:t>
      </w:r>
      <w:r w:rsidR="00D76A2F" w:rsidRPr="005B0F5E">
        <w:rPr>
          <w:rFonts w:eastAsiaTheme="majorEastAsia" w:cstheme="minorHAnsi"/>
          <w:color w:val="000000" w:themeColor="text1"/>
          <w:sz w:val="24"/>
          <w:szCs w:val="24"/>
        </w:rPr>
        <w:t xml:space="preserve">Additionally, this further conflicts with </w:t>
      </w:r>
      <w:r w:rsidR="00034B79" w:rsidRPr="005B0F5E">
        <w:rPr>
          <w:rFonts w:eastAsiaTheme="majorEastAsia" w:cstheme="minorHAnsi"/>
          <w:color w:val="000000" w:themeColor="text1"/>
          <w:sz w:val="24"/>
          <w:szCs w:val="24"/>
        </w:rPr>
        <w:t>“</w:t>
      </w:r>
      <w:r w:rsidR="00D76A2F" w:rsidRPr="005B0F5E">
        <w:rPr>
          <w:rFonts w:eastAsiaTheme="majorEastAsia" w:cstheme="minorHAnsi"/>
          <w:color w:val="000000" w:themeColor="text1"/>
          <w:sz w:val="24"/>
          <w:szCs w:val="24"/>
        </w:rPr>
        <w:t xml:space="preserve">article </w:t>
      </w:r>
      <w:r w:rsidR="00034B79" w:rsidRPr="005B0F5E">
        <w:rPr>
          <w:rFonts w:eastAsiaTheme="majorEastAsia" w:cstheme="minorHAnsi"/>
          <w:color w:val="000000" w:themeColor="text1"/>
          <w:sz w:val="24"/>
          <w:szCs w:val="24"/>
        </w:rPr>
        <w:t xml:space="preserve">28 of </w:t>
      </w:r>
      <w:r w:rsidR="00D76A2F" w:rsidRPr="005B0F5E">
        <w:rPr>
          <w:rFonts w:eastAsiaTheme="majorEastAsia" w:cstheme="minorHAnsi"/>
          <w:color w:val="000000" w:themeColor="text1"/>
          <w:sz w:val="24"/>
          <w:szCs w:val="24"/>
        </w:rPr>
        <w:t>UNCRC</w:t>
      </w:r>
      <w:r w:rsidR="00034B79" w:rsidRPr="005B0F5E">
        <w:rPr>
          <w:rFonts w:eastAsiaTheme="majorEastAsia" w:cstheme="minorHAnsi"/>
          <w:color w:val="000000" w:themeColor="text1"/>
          <w:sz w:val="24"/>
          <w:szCs w:val="24"/>
        </w:rPr>
        <w:t xml:space="preserve"> which states all children have the right to an education” (Collins and Foley, 2008, p.242). </w:t>
      </w:r>
    </w:p>
    <w:p w14:paraId="53DC3129" w14:textId="2C7ED33A" w:rsidR="00E22E54" w:rsidRPr="005B0F5E" w:rsidRDefault="00E22E54" w:rsidP="00E22E54">
      <w:pPr>
        <w:keepNext/>
        <w:keepLines/>
        <w:spacing w:before="240" w:after="0"/>
        <w:jc w:val="both"/>
        <w:outlineLvl w:val="0"/>
        <w:rPr>
          <w:rFonts w:eastAsiaTheme="majorEastAsia" w:cstheme="minorHAnsi"/>
          <w:color w:val="000000" w:themeColor="text1"/>
          <w:sz w:val="24"/>
          <w:szCs w:val="24"/>
        </w:rPr>
      </w:pPr>
      <w:r w:rsidRPr="005B0F5E">
        <w:rPr>
          <w:rFonts w:eastAsiaTheme="majorEastAsia" w:cstheme="minorHAnsi"/>
          <w:color w:val="000000" w:themeColor="text1"/>
          <w:sz w:val="24"/>
          <w:szCs w:val="24"/>
        </w:rPr>
        <w:lastRenderedPageBreak/>
        <w:t>A</w:t>
      </w:r>
      <w:r w:rsidRPr="005B0F5E">
        <w:rPr>
          <w:rFonts w:eastAsiaTheme="majorEastAsia" w:cstheme="minorHAnsi"/>
          <w:color w:val="000000" w:themeColor="text1"/>
          <w:sz w:val="24"/>
          <w:szCs w:val="24"/>
        </w:rPr>
        <w:t xml:space="preserve">lthough there have been numerous frameworks </w:t>
      </w:r>
      <w:r w:rsidR="0011042F" w:rsidRPr="005B0F5E">
        <w:rPr>
          <w:rFonts w:eastAsiaTheme="majorEastAsia" w:cstheme="minorHAnsi"/>
          <w:color w:val="000000" w:themeColor="text1"/>
          <w:sz w:val="24"/>
          <w:szCs w:val="24"/>
        </w:rPr>
        <w:t>regarding children’s rights</w:t>
      </w:r>
      <w:r w:rsidRPr="005B0F5E">
        <w:rPr>
          <w:rFonts w:eastAsiaTheme="majorEastAsia" w:cstheme="minorHAnsi"/>
          <w:color w:val="000000" w:themeColor="text1"/>
          <w:sz w:val="24"/>
          <w:szCs w:val="24"/>
        </w:rPr>
        <w:t>. “The United Nations on the Conventions of the Rights of the Child (1989)”</w:t>
      </w:r>
      <w:r w:rsidR="0011042F" w:rsidRPr="005B0F5E">
        <w:rPr>
          <w:rFonts w:eastAsiaTheme="majorEastAsia" w:cstheme="minorHAnsi"/>
          <w:color w:val="000000" w:themeColor="text1"/>
          <w:sz w:val="24"/>
          <w:szCs w:val="24"/>
        </w:rPr>
        <w:t xml:space="preserve"> (Collins and Foley, 2008, p.242)</w:t>
      </w:r>
      <w:r w:rsidRPr="005B0F5E">
        <w:rPr>
          <w:rFonts w:eastAsiaTheme="majorEastAsia" w:cstheme="minorHAnsi"/>
          <w:color w:val="000000" w:themeColor="text1"/>
          <w:sz w:val="24"/>
          <w:szCs w:val="24"/>
        </w:rPr>
        <w:t xml:space="preserve"> differs by attempting to account for several factors which influence the experiences of children’s lives (Cregan and Cuthbert,2014) including, “economic, social, cultural, civil and political dimensions” (Cregan and Cuthbert, 2014, p.63). Additionally, described by Ramesh (2001, quoted in Cregan and Cuthbert, 2014, p, 63) as “innovative and integrationist”, with the exception of the United States, the UNCRC has been signed by “196 countries”</w:t>
      </w:r>
      <w:r w:rsidRPr="005B0F5E">
        <w:rPr>
          <w:rFonts w:eastAsiaTheme="majorEastAsia" w:cstheme="minorHAnsi"/>
          <w:color w:val="000000" w:themeColor="text1"/>
          <w:sz w:val="24"/>
          <w:szCs w:val="24"/>
        </w:rPr>
        <w:t xml:space="preserve"> (SACR,2022, P.1)</w:t>
      </w:r>
      <w:r w:rsidRPr="005B0F5E">
        <w:rPr>
          <w:rFonts w:eastAsiaTheme="majorEastAsia" w:cstheme="minorHAnsi"/>
          <w:color w:val="000000" w:themeColor="text1"/>
          <w:sz w:val="24"/>
          <w:szCs w:val="24"/>
        </w:rPr>
        <w:t>. Thus, making it the most “widely and rapidly ratified human rights treaty in history” (</w:t>
      </w:r>
      <w:r w:rsidRPr="005B0F5E">
        <w:rPr>
          <w:rFonts w:eastAsiaTheme="majorEastAsia" w:cstheme="minorHAnsi"/>
          <w:color w:val="000000" w:themeColor="text1"/>
          <w:sz w:val="24"/>
          <w:szCs w:val="24"/>
        </w:rPr>
        <w:t>Ibid</w:t>
      </w:r>
      <w:r w:rsidRPr="005B0F5E">
        <w:rPr>
          <w:rFonts w:eastAsiaTheme="majorEastAsia" w:cstheme="minorHAnsi"/>
          <w:color w:val="000000" w:themeColor="text1"/>
          <w:sz w:val="24"/>
          <w:szCs w:val="24"/>
        </w:rPr>
        <w:t>). Essentially the UNCRC is the “centrepiece of the international legal framework for children” (Faulkner and Nyamutata,2020, p.69)</w:t>
      </w:r>
      <w:r w:rsidR="00903B19" w:rsidRPr="005B0F5E">
        <w:rPr>
          <w:rFonts w:eastAsiaTheme="majorEastAsia" w:cstheme="minorHAnsi"/>
          <w:color w:val="000000" w:themeColor="text1"/>
          <w:sz w:val="24"/>
          <w:szCs w:val="24"/>
        </w:rPr>
        <w:t xml:space="preserve">. </w:t>
      </w:r>
    </w:p>
    <w:p w14:paraId="64E92CE3" w14:textId="187A1DC2" w:rsidR="00050D47" w:rsidRPr="005B0F5E" w:rsidRDefault="00E22E54" w:rsidP="00E22E54">
      <w:pPr>
        <w:keepNext/>
        <w:keepLines/>
        <w:spacing w:before="240" w:after="0"/>
        <w:jc w:val="both"/>
        <w:outlineLvl w:val="0"/>
        <w:rPr>
          <w:rFonts w:eastAsiaTheme="majorEastAsia" w:cstheme="minorHAnsi"/>
          <w:color w:val="000000" w:themeColor="text1"/>
          <w:sz w:val="24"/>
          <w:szCs w:val="24"/>
        </w:rPr>
      </w:pPr>
      <w:r w:rsidRPr="005B0F5E">
        <w:rPr>
          <w:rFonts w:eastAsiaTheme="majorEastAsia" w:cstheme="minorHAnsi"/>
          <w:color w:val="000000" w:themeColor="text1"/>
          <w:sz w:val="24"/>
          <w:szCs w:val="24"/>
        </w:rPr>
        <w:t xml:space="preserve">However, whilst the UNCRC has played an instrumental role in altering “the social and political status of children” (Faulkner and Nyamutata,2020, p.69) and influencing important developments within the area of law, policy and practice around the world. One could argue that the UNCRC is founded upon what Buck (2014, quoted in Faulkner and Nyamutata,2020, p.69) believes to be “Euro-American views” and has been critiqued by many as a tool to enforce western concepts of childhood on a global level (Faulkner and Nyamutata,2020) and may even preserve, “the uneven playing field aggravated by colonialism” (Faulkner and Nyamutata,2020, p.71). Therefore, it fails in its advocacy to be truly universal. </w:t>
      </w:r>
    </w:p>
    <w:p w14:paraId="2F88C6C9" w14:textId="62712737" w:rsidR="00427B56" w:rsidRPr="005B0F5E" w:rsidRDefault="00E22E54" w:rsidP="00E22E54">
      <w:pPr>
        <w:keepNext/>
        <w:keepLines/>
        <w:spacing w:before="240" w:after="0"/>
        <w:jc w:val="both"/>
        <w:outlineLvl w:val="0"/>
        <w:rPr>
          <w:rFonts w:eastAsiaTheme="majorEastAsia" w:cstheme="minorHAnsi"/>
          <w:color w:val="000000" w:themeColor="text1"/>
          <w:sz w:val="24"/>
          <w:szCs w:val="24"/>
        </w:rPr>
      </w:pPr>
      <w:r w:rsidRPr="005B0F5E">
        <w:rPr>
          <w:rFonts w:eastAsiaTheme="majorEastAsia" w:cstheme="minorHAnsi"/>
          <w:color w:val="000000" w:themeColor="text1"/>
          <w:sz w:val="24"/>
          <w:szCs w:val="24"/>
        </w:rPr>
        <w:t xml:space="preserve">For instance, article 1 of the convention openly asserts that a child represents every person under the age of eighteen (Collins and Foley,2008). Taking age limits into consideration reflects a society’s judgment within the development of children’s capabilities and responsibilities (Faulkner and Nyamutata,2020). </w:t>
      </w:r>
      <w:r w:rsidR="0011042F" w:rsidRPr="005B0F5E">
        <w:rPr>
          <w:rFonts w:eastAsiaTheme="majorEastAsia" w:cstheme="minorHAnsi"/>
          <w:color w:val="000000" w:themeColor="text1"/>
          <w:sz w:val="24"/>
          <w:szCs w:val="24"/>
        </w:rPr>
        <w:t>Furthermore, a</w:t>
      </w:r>
      <w:r w:rsidRPr="005B0F5E">
        <w:rPr>
          <w:rFonts w:eastAsiaTheme="majorEastAsia" w:cstheme="minorHAnsi"/>
          <w:color w:val="000000" w:themeColor="text1"/>
          <w:sz w:val="24"/>
          <w:szCs w:val="24"/>
        </w:rPr>
        <w:t>rticle 32 of the convention states that all children should be safeguarded from “economic exploitation” (Faulkner and Nyamatata,2020, p.79) and hazardous working conditions that may impede a child’s education (Faulkner and Nyamatata,2020). Therefore, the UNCRC has represented the notion that “child labour and education are mutually exclusive” (Ibid). However, evolving theoretical research is progressively more nuanced on this correlation. Tafere and Pankhurst (2015, quoted in Faulkner and Nyamutata,2020) suggest a number of studies point out both advantages and risks associated with child labour. A study conducted by (Woldehanna, Aregawi and Araya,2017, p.126) found that the educational attainment of children working in Ethiopia was impacted greatly “by taking away their time and energy from school”. However, research conducted by (Aufseeser, Bourdillon, Carothers and Lecoufle, 2016, p.241) suggests a number of positive benefits including, developing self-confidence, self-acceptance, and responsibility (Aufseeser, Bourdillon Carothers and Lecoufle,2017).</w:t>
      </w:r>
      <w:r w:rsidR="000275BD" w:rsidRPr="005B0F5E">
        <w:rPr>
          <w:rFonts w:eastAsiaTheme="majorEastAsia" w:cstheme="minorHAnsi"/>
          <w:color w:val="000000" w:themeColor="text1"/>
          <w:sz w:val="24"/>
          <w:szCs w:val="24"/>
        </w:rPr>
        <w:t xml:space="preserve"> Rogaff et al (2014, quoted in Aufseeser, Bourdillon</w:t>
      </w:r>
      <w:r w:rsidR="00E46317" w:rsidRPr="005B0F5E">
        <w:rPr>
          <w:rFonts w:eastAsiaTheme="majorEastAsia" w:cstheme="minorHAnsi"/>
          <w:color w:val="000000" w:themeColor="text1"/>
          <w:sz w:val="24"/>
          <w:szCs w:val="24"/>
        </w:rPr>
        <w:t>,</w:t>
      </w:r>
      <w:r w:rsidR="000275BD" w:rsidRPr="005B0F5E">
        <w:rPr>
          <w:rFonts w:eastAsiaTheme="majorEastAsia" w:cstheme="minorHAnsi"/>
          <w:color w:val="000000" w:themeColor="text1"/>
          <w:sz w:val="24"/>
          <w:szCs w:val="24"/>
        </w:rPr>
        <w:t xml:space="preserve"> Carothers and Lecoufle,2017, p.248) further highlight </w:t>
      </w:r>
      <w:r w:rsidR="00FE4E1B" w:rsidRPr="005B0F5E">
        <w:rPr>
          <w:rFonts w:eastAsiaTheme="majorEastAsia" w:cstheme="minorHAnsi"/>
          <w:color w:val="000000" w:themeColor="text1"/>
          <w:sz w:val="24"/>
          <w:szCs w:val="24"/>
        </w:rPr>
        <w:t xml:space="preserve">the benefits of </w:t>
      </w:r>
      <w:r w:rsidR="000275BD" w:rsidRPr="005B0F5E">
        <w:rPr>
          <w:rFonts w:eastAsiaTheme="majorEastAsia" w:cstheme="minorHAnsi"/>
          <w:color w:val="000000" w:themeColor="text1"/>
          <w:sz w:val="24"/>
          <w:szCs w:val="24"/>
        </w:rPr>
        <w:t>“</w:t>
      </w:r>
      <w:r w:rsidR="00FE4E1B" w:rsidRPr="005B0F5E">
        <w:rPr>
          <w:rFonts w:eastAsiaTheme="majorEastAsia" w:cstheme="minorHAnsi"/>
          <w:color w:val="000000" w:themeColor="text1"/>
          <w:sz w:val="24"/>
          <w:szCs w:val="24"/>
        </w:rPr>
        <w:t xml:space="preserve">practical participation </w:t>
      </w:r>
      <w:r w:rsidR="000275BD" w:rsidRPr="005B0F5E">
        <w:rPr>
          <w:rFonts w:eastAsiaTheme="majorEastAsia" w:cstheme="minorHAnsi"/>
          <w:color w:val="000000" w:themeColor="text1"/>
          <w:sz w:val="24"/>
          <w:szCs w:val="24"/>
        </w:rPr>
        <w:t>in the children’s learning experience”. Linking with “Vygotsky’s zone of proximal development (</w:t>
      </w:r>
      <w:r w:rsidR="00E32F7D" w:rsidRPr="005B0F5E">
        <w:rPr>
          <w:rFonts w:eastAsiaTheme="majorEastAsia" w:cstheme="minorHAnsi"/>
          <w:color w:val="000000" w:themeColor="text1"/>
          <w:sz w:val="24"/>
          <w:szCs w:val="24"/>
        </w:rPr>
        <w:t>1978)</w:t>
      </w:r>
      <w:r w:rsidR="000275BD" w:rsidRPr="005B0F5E">
        <w:rPr>
          <w:rFonts w:eastAsiaTheme="majorEastAsia" w:cstheme="minorHAnsi"/>
          <w:color w:val="000000" w:themeColor="text1"/>
          <w:sz w:val="24"/>
          <w:szCs w:val="24"/>
        </w:rPr>
        <w:t xml:space="preserve"> </w:t>
      </w:r>
      <w:r w:rsidR="00E32F7D" w:rsidRPr="005B0F5E">
        <w:rPr>
          <w:rFonts w:eastAsiaTheme="majorEastAsia" w:cstheme="minorHAnsi"/>
          <w:color w:val="000000" w:themeColor="text1"/>
          <w:sz w:val="24"/>
          <w:szCs w:val="24"/>
        </w:rPr>
        <w:t>(Gray and Mc</w:t>
      </w:r>
      <w:r w:rsidR="00945226" w:rsidRPr="005B0F5E">
        <w:rPr>
          <w:rFonts w:eastAsiaTheme="majorEastAsia" w:cstheme="minorHAnsi"/>
          <w:color w:val="000000" w:themeColor="text1"/>
          <w:sz w:val="24"/>
          <w:szCs w:val="24"/>
        </w:rPr>
        <w:t>B</w:t>
      </w:r>
      <w:r w:rsidR="00E32F7D" w:rsidRPr="005B0F5E">
        <w:rPr>
          <w:rFonts w:eastAsiaTheme="majorEastAsia" w:cstheme="minorHAnsi"/>
          <w:color w:val="000000" w:themeColor="text1"/>
          <w:sz w:val="24"/>
          <w:szCs w:val="24"/>
        </w:rPr>
        <w:t xml:space="preserve">lain, </w:t>
      </w:r>
      <w:r w:rsidR="00945226" w:rsidRPr="005B0F5E">
        <w:rPr>
          <w:rFonts w:eastAsiaTheme="majorEastAsia" w:cstheme="minorHAnsi"/>
          <w:color w:val="000000" w:themeColor="text1"/>
          <w:sz w:val="24"/>
          <w:szCs w:val="24"/>
        </w:rPr>
        <w:t>2014, p.</w:t>
      </w:r>
      <w:r w:rsidR="00E32F7D" w:rsidRPr="005B0F5E">
        <w:rPr>
          <w:rFonts w:eastAsiaTheme="majorEastAsia" w:cstheme="minorHAnsi"/>
          <w:color w:val="000000" w:themeColor="text1"/>
          <w:sz w:val="24"/>
          <w:szCs w:val="24"/>
        </w:rPr>
        <w:t xml:space="preserve">77) </w:t>
      </w:r>
      <w:r w:rsidR="00945226" w:rsidRPr="005B0F5E">
        <w:rPr>
          <w:rFonts w:eastAsiaTheme="majorEastAsia" w:cstheme="minorHAnsi"/>
          <w:color w:val="000000" w:themeColor="text1"/>
          <w:sz w:val="24"/>
          <w:szCs w:val="24"/>
        </w:rPr>
        <w:t>children who work learn by emulating others (often under the guidance of “a more experienced peer” (Gray and McBlain, 2014). Therefore, this enables them to progressively increase their competence</w:t>
      </w:r>
      <w:r w:rsidR="0051778A" w:rsidRPr="005B0F5E">
        <w:rPr>
          <w:rFonts w:eastAsiaTheme="majorEastAsia" w:cstheme="minorHAnsi"/>
          <w:color w:val="000000" w:themeColor="text1"/>
          <w:sz w:val="24"/>
          <w:szCs w:val="24"/>
        </w:rPr>
        <w:t xml:space="preserve"> and acquire a broader set of skills</w:t>
      </w:r>
      <w:r w:rsidR="00392E58" w:rsidRPr="005B0F5E">
        <w:rPr>
          <w:rFonts w:eastAsiaTheme="majorEastAsia" w:cstheme="minorHAnsi"/>
          <w:color w:val="000000" w:themeColor="text1"/>
          <w:sz w:val="24"/>
          <w:szCs w:val="24"/>
        </w:rPr>
        <w:t xml:space="preserve"> </w:t>
      </w:r>
      <w:r w:rsidR="00E46317" w:rsidRPr="005B0F5E">
        <w:rPr>
          <w:rFonts w:eastAsiaTheme="majorEastAsia" w:cstheme="minorHAnsi"/>
          <w:color w:val="000000" w:themeColor="text1"/>
          <w:sz w:val="24"/>
          <w:szCs w:val="24"/>
        </w:rPr>
        <w:t>(Aufseeser, Bourdillon, Carothers and Lecoufle, 2017).</w:t>
      </w:r>
    </w:p>
    <w:p w14:paraId="29FA46F1" w14:textId="77777777" w:rsidR="00E46317" w:rsidRPr="005B0F5E" w:rsidRDefault="00E46317" w:rsidP="00E22E54">
      <w:pPr>
        <w:keepNext/>
        <w:keepLines/>
        <w:spacing w:before="240" w:after="0"/>
        <w:jc w:val="both"/>
        <w:outlineLvl w:val="0"/>
        <w:rPr>
          <w:rFonts w:eastAsiaTheme="majorEastAsia" w:cstheme="minorHAnsi"/>
          <w:color w:val="000000" w:themeColor="text1"/>
          <w:sz w:val="24"/>
          <w:szCs w:val="24"/>
        </w:rPr>
      </w:pPr>
    </w:p>
    <w:p w14:paraId="0CD02415" w14:textId="320D9CE3" w:rsidR="00E22E54" w:rsidRPr="005B0F5E" w:rsidRDefault="00E22E54" w:rsidP="00E22E54">
      <w:pPr>
        <w:keepNext/>
        <w:keepLines/>
        <w:spacing w:before="240" w:after="0"/>
        <w:jc w:val="both"/>
        <w:outlineLvl w:val="0"/>
        <w:rPr>
          <w:rFonts w:eastAsiaTheme="majorEastAsia" w:cstheme="minorHAnsi"/>
          <w:color w:val="000000" w:themeColor="text1"/>
          <w:sz w:val="24"/>
          <w:szCs w:val="24"/>
        </w:rPr>
      </w:pPr>
      <w:r w:rsidRPr="005B0F5E">
        <w:rPr>
          <w:rFonts w:eastAsiaTheme="majorEastAsia" w:cstheme="minorHAnsi"/>
          <w:color w:val="000000" w:themeColor="text1"/>
          <w:sz w:val="24"/>
          <w:szCs w:val="24"/>
        </w:rPr>
        <w:t xml:space="preserve">However, there is no doubt that child labour can have adverse effects if working to the detriment of their learning and health. Research tells us the main factor that drives children into hazardous work environments is poverty (Ibid). An example of this can be seen within coal mines of the Democratic Republic of Congo. “Anti-slavery economist Siddharth Kara” (Kellie,2019, p.1) alleges global corporations such as, “Apple, Google, Dell and Microsoft of aiding and abetting in the death and serious injury” (Ibid) of many children who were driven by severe deprivation and funding for their education to work in these mines that produce cobalt (Kellie,2019). Working for as little as </w:t>
      </w:r>
      <w:r w:rsidR="00E721C4" w:rsidRPr="005B0F5E">
        <w:rPr>
          <w:rFonts w:eastAsiaTheme="majorEastAsia" w:cstheme="minorHAnsi"/>
          <w:color w:val="000000" w:themeColor="text1"/>
          <w:sz w:val="24"/>
          <w:szCs w:val="24"/>
        </w:rPr>
        <w:t>1.50 per</w:t>
      </w:r>
      <w:r w:rsidRPr="005B0F5E">
        <w:rPr>
          <w:rFonts w:eastAsiaTheme="majorEastAsia" w:cstheme="minorHAnsi"/>
          <w:color w:val="000000" w:themeColor="text1"/>
          <w:sz w:val="24"/>
          <w:szCs w:val="24"/>
        </w:rPr>
        <w:t xml:space="preserve"> day, these companies benefitted from the work of children who were “forced to work in dangerous conditions” (Kellie,2019, p.1). This is an example in which majority countries Therefore, failed in their duty to protect the</w:t>
      </w:r>
      <w:r w:rsidR="00E721C4" w:rsidRPr="005B0F5E">
        <w:rPr>
          <w:rFonts w:eastAsiaTheme="majorEastAsia" w:cstheme="minorHAnsi"/>
          <w:color w:val="000000" w:themeColor="text1"/>
          <w:sz w:val="24"/>
          <w:szCs w:val="24"/>
        </w:rPr>
        <w:t xml:space="preserve"> children and have vastly profited to the detriment of the child’s health and education. </w:t>
      </w:r>
      <w:r w:rsidR="00552836" w:rsidRPr="005B0F5E">
        <w:rPr>
          <w:rFonts w:eastAsiaTheme="majorEastAsia" w:cstheme="minorHAnsi"/>
          <w:color w:val="000000" w:themeColor="text1"/>
          <w:sz w:val="24"/>
          <w:szCs w:val="24"/>
        </w:rPr>
        <w:t>Therefore,</w:t>
      </w:r>
      <w:r w:rsidR="00E721C4" w:rsidRPr="005B0F5E">
        <w:rPr>
          <w:rFonts w:eastAsiaTheme="majorEastAsia" w:cstheme="minorHAnsi"/>
          <w:color w:val="000000" w:themeColor="text1"/>
          <w:sz w:val="24"/>
          <w:szCs w:val="24"/>
        </w:rPr>
        <w:t xml:space="preserve"> this conflicts with</w:t>
      </w:r>
      <w:r w:rsidR="008F6D5D" w:rsidRPr="005B0F5E">
        <w:rPr>
          <w:rFonts w:eastAsiaTheme="majorEastAsia" w:cstheme="minorHAnsi"/>
          <w:color w:val="000000" w:themeColor="text1"/>
          <w:sz w:val="24"/>
          <w:szCs w:val="24"/>
        </w:rPr>
        <w:t xml:space="preserve"> the “Sustainable Development Goals (2030)” (UNDP, 2022, P.1) which aim to eliminate poverty in all its forms and “end hunger and achieve food security by the year 2030” (Ibid). </w:t>
      </w:r>
      <w:r w:rsidRPr="005B0F5E">
        <w:rPr>
          <w:rFonts w:eastAsiaTheme="majorEastAsia" w:cstheme="minorHAnsi"/>
          <w:color w:val="000000" w:themeColor="text1"/>
          <w:sz w:val="24"/>
          <w:szCs w:val="24"/>
        </w:rPr>
        <w:t xml:space="preserve">The Child Poverty Report – the first of its kind in Kenya finds, “9.5 million children” (Nyakera and Schultink,2017, p.8) live in absolute poverty and are “Severely deprived in at least </w:t>
      </w:r>
      <w:r w:rsidR="00E46317" w:rsidRPr="005B0F5E">
        <w:rPr>
          <w:rFonts w:eastAsiaTheme="majorEastAsia" w:cstheme="minorHAnsi"/>
          <w:color w:val="000000" w:themeColor="text1"/>
          <w:sz w:val="24"/>
          <w:szCs w:val="24"/>
        </w:rPr>
        <w:t>three</w:t>
      </w:r>
      <w:r w:rsidRPr="005B0F5E">
        <w:rPr>
          <w:rFonts w:eastAsiaTheme="majorEastAsia" w:cstheme="minorHAnsi"/>
          <w:color w:val="000000" w:themeColor="text1"/>
          <w:sz w:val="24"/>
          <w:szCs w:val="24"/>
        </w:rPr>
        <w:t xml:space="preserve"> or more basic needs” (Ibid)</w:t>
      </w:r>
      <w:r w:rsidR="00E46317" w:rsidRPr="005B0F5E">
        <w:rPr>
          <w:rFonts w:eastAsiaTheme="majorEastAsia" w:cstheme="minorHAnsi"/>
          <w:color w:val="000000" w:themeColor="text1"/>
          <w:sz w:val="24"/>
          <w:szCs w:val="24"/>
        </w:rPr>
        <w:t>.</w:t>
      </w:r>
      <w:r w:rsidRPr="005B0F5E">
        <w:rPr>
          <w:rFonts w:eastAsiaTheme="majorEastAsia" w:cstheme="minorHAnsi"/>
          <w:color w:val="000000" w:themeColor="text1"/>
          <w:sz w:val="24"/>
          <w:szCs w:val="24"/>
        </w:rPr>
        <w:t xml:space="preserve"> Therefore, a child’s motivation to work is often linked with acquiring the basic necessities to survive (Aufseeser, </w:t>
      </w:r>
      <w:r w:rsidR="001732E7" w:rsidRPr="005B0F5E">
        <w:rPr>
          <w:rFonts w:eastAsiaTheme="majorEastAsia" w:cstheme="minorHAnsi"/>
          <w:color w:val="000000" w:themeColor="text1"/>
          <w:sz w:val="24"/>
          <w:szCs w:val="24"/>
        </w:rPr>
        <w:t>Bourdillon, Carothers</w:t>
      </w:r>
      <w:r w:rsidRPr="005B0F5E">
        <w:rPr>
          <w:rFonts w:eastAsiaTheme="majorEastAsia" w:cstheme="minorHAnsi"/>
          <w:color w:val="000000" w:themeColor="text1"/>
          <w:sz w:val="24"/>
          <w:szCs w:val="24"/>
        </w:rPr>
        <w:t xml:space="preserve"> and Lecoufle, 2017).</w:t>
      </w:r>
      <w:r w:rsidR="00E46317" w:rsidRPr="005B0F5E">
        <w:rPr>
          <w:rFonts w:eastAsiaTheme="majorEastAsia" w:cstheme="minorHAnsi"/>
          <w:color w:val="000000" w:themeColor="text1"/>
          <w:sz w:val="24"/>
          <w:szCs w:val="24"/>
        </w:rPr>
        <w:t xml:space="preserve"> </w:t>
      </w:r>
      <w:r w:rsidR="00E46317" w:rsidRPr="005B0F5E">
        <w:rPr>
          <w:rFonts w:eastAsiaTheme="majorEastAsia" w:cstheme="minorHAnsi"/>
          <w:color w:val="000000" w:themeColor="text1"/>
          <w:sz w:val="24"/>
          <w:szCs w:val="24"/>
        </w:rPr>
        <w:t>This links with Maslow (1943</w:t>
      </w:r>
      <w:r w:rsidR="00E46317" w:rsidRPr="005B0F5E">
        <w:rPr>
          <w:rFonts w:eastAsiaTheme="majorEastAsia" w:cstheme="minorHAnsi"/>
          <w:color w:val="000000" w:themeColor="text1"/>
          <w:sz w:val="24"/>
          <w:szCs w:val="24"/>
        </w:rPr>
        <w:t>).</w:t>
      </w:r>
    </w:p>
    <w:p w14:paraId="550639B6" w14:textId="2C7D5F4A" w:rsidR="00D62988" w:rsidRPr="005B0F5E" w:rsidRDefault="00E22E54" w:rsidP="00E22E54">
      <w:pPr>
        <w:keepNext/>
        <w:keepLines/>
        <w:spacing w:before="240" w:after="0"/>
        <w:jc w:val="both"/>
        <w:outlineLvl w:val="0"/>
        <w:rPr>
          <w:rFonts w:eastAsiaTheme="majorEastAsia" w:cstheme="minorHAnsi"/>
          <w:color w:val="000000" w:themeColor="text1"/>
          <w:sz w:val="24"/>
          <w:szCs w:val="24"/>
        </w:rPr>
      </w:pPr>
      <w:r w:rsidRPr="005B0F5E">
        <w:rPr>
          <w:rFonts w:eastAsiaTheme="majorEastAsia" w:cstheme="minorHAnsi"/>
          <w:color w:val="000000" w:themeColor="text1"/>
          <w:sz w:val="24"/>
          <w:szCs w:val="24"/>
        </w:rPr>
        <w:t xml:space="preserve">Furthermore, </w:t>
      </w:r>
      <w:r w:rsidR="00552836" w:rsidRPr="005B0F5E">
        <w:rPr>
          <w:rFonts w:eastAsiaTheme="majorEastAsia" w:cstheme="minorHAnsi"/>
          <w:color w:val="000000" w:themeColor="text1"/>
          <w:sz w:val="24"/>
          <w:szCs w:val="24"/>
        </w:rPr>
        <w:t>The UNCRC may</w:t>
      </w:r>
      <w:r w:rsidRPr="005B0F5E">
        <w:rPr>
          <w:rFonts w:eastAsiaTheme="majorEastAsia" w:cstheme="minorHAnsi"/>
          <w:color w:val="000000" w:themeColor="text1"/>
          <w:sz w:val="24"/>
          <w:szCs w:val="24"/>
        </w:rPr>
        <w:t xml:space="preserve"> fail in its attempt to “effectively represent all of the world’s children.”</w:t>
      </w:r>
      <w:r w:rsidR="001732E7" w:rsidRPr="005B0F5E">
        <w:rPr>
          <w:rFonts w:eastAsiaTheme="majorEastAsia" w:cstheme="minorHAnsi"/>
          <w:color w:val="000000" w:themeColor="text1"/>
          <w:sz w:val="24"/>
          <w:szCs w:val="24"/>
        </w:rPr>
        <w:t xml:space="preserve"> (Aufseeser, Bourdillon, Carothers and Lecoufle,2017, p.2)</w:t>
      </w:r>
      <w:r w:rsidRPr="005B0F5E">
        <w:rPr>
          <w:rFonts w:eastAsiaTheme="majorEastAsia" w:cstheme="minorHAnsi"/>
          <w:color w:val="000000" w:themeColor="text1"/>
          <w:sz w:val="24"/>
          <w:szCs w:val="24"/>
        </w:rPr>
        <w:t xml:space="preserve"> For instance, article 28 of the convention states that all children are entitled to an education</w:t>
      </w:r>
      <w:r w:rsidR="00552836" w:rsidRPr="005B0F5E">
        <w:rPr>
          <w:rFonts w:eastAsiaTheme="majorEastAsia" w:cstheme="minorHAnsi"/>
          <w:color w:val="000000" w:themeColor="text1"/>
          <w:sz w:val="24"/>
          <w:szCs w:val="24"/>
        </w:rPr>
        <w:t xml:space="preserve"> and </w:t>
      </w:r>
      <w:r w:rsidRPr="005B0F5E">
        <w:rPr>
          <w:rFonts w:eastAsiaTheme="majorEastAsia" w:cstheme="minorHAnsi"/>
          <w:color w:val="000000" w:themeColor="text1"/>
          <w:sz w:val="24"/>
          <w:szCs w:val="24"/>
        </w:rPr>
        <w:t>“primary education should be free” (Collins and Foley,2008, p.242). However, research indicates that globally, “258 million” (Save the Children, 2121, p.1) children do not attend school. Even when they are registered in basic education, 50 percent drop out (Save the Children,2021). Low-income countries are particularly vulnerable, with 50 percent not completing primary school as opposed to children from higher-income countries, having a greater chance of accessing “higher levels of the education system” (Save the Children,2021, p.3). Poverty, hunger, displacement, and climate change are just some of the reasons why children from lower-income countries are disproportionately affected and “are essentially robbed of the learning opportunities that could lift them out of poverty” (Save the Children,2021, p.9)</w:t>
      </w:r>
      <w:r w:rsidR="00903B19" w:rsidRPr="005B0F5E">
        <w:rPr>
          <w:rFonts w:eastAsiaTheme="majorEastAsia" w:cstheme="minorHAnsi"/>
          <w:color w:val="000000" w:themeColor="text1"/>
          <w:sz w:val="24"/>
          <w:szCs w:val="24"/>
        </w:rPr>
        <w:t>.</w:t>
      </w:r>
    </w:p>
    <w:p w14:paraId="60D50D4C" w14:textId="484EEEE0" w:rsidR="00E22E54" w:rsidRPr="005B0F5E" w:rsidRDefault="00E22E54" w:rsidP="00E22E54">
      <w:pPr>
        <w:keepNext/>
        <w:keepLines/>
        <w:spacing w:before="240" w:after="0"/>
        <w:jc w:val="both"/>
        <w:outlineLvl w:val="0"/>
        <w:rPr>
          <w:rFonts w:eastAsiaTheme="majorEastAsia" w:cstheme="minorHAnsi"/>
          <w:color w:val="000000" w:themeColor="text1"/>
          <w:sz w:val="24"/>
          <w:szCs w:val="24"/>
        </w:rPr>
      </w:pPr>
      <w:r w:rsidRPr="005B0F5E">
        <w:rPr>
          <w:rFonts w:eastAsiaTheme="majorEastAsia" w:cstheme="minorHAnsi"/>
          <w:color w:val="000000" w:themeColor="text1"/>
          <w:sz w:val="24"/>
          <w:szCs w:val="24"/>
        </w:rPr>
        <w:t>Additionally, the very countries that assert their “eurocentrism model of knowledge” (Cregan and Cuthbert,2014, p.70) onto the global south are the very countries that vastly contribute to the barriers that children face in accessing good quality education</w:t>
      </w:r>
      <w:r w:rsidR="00D62988" w:rsidRPr="005B0F5E">
        <w:rPr>
          <w:rFonts w:eastAsiaTheme="majorEastAsia" w:cstheme="minorHAnsi"/>
          <w:color w:val="000000" w:themeColor="text1"/>
          <w:sz w:val="24"/>
          <w:szCs w:val="24"/>
        </w:rPr>
        <w:t xml:space="preserve">. </w:t>
      </w:r>
      <w:r w:rsidRPr="005B0F5E">
        <w:rPr>
          <w:rFonts w:eastAsiaTheme="majorEastAsia" w:cstheme="minorHAnsi"/>
          <w:color w:val="000000" w:themeColor="text1"/>
          <w:sz w:val="24"/>
          <w:szCs w:val="24"/>
        </w:rPr>
        <w:t>For instance, “China the European Union and the United States” (Friedrich, Ge and Pickens,2020, p.1) contribute just over 40 percent of the world’s global emissions as opposed to lower-income countries, which contribute “</w:t>
      </w:r>
      <w:r w:rsidR="00E46317" w:rsidRPr="005B0F5E">
        <w:rPr>
          <w:rFonts w:eastAsiaTheme="majorEastAsia" w:cstheme="minorHAnsi"/>
          <w:color w:val="000000" w:themeColor="text1"/>
          <w:sz w:val="24"/>
          <w:szCs w:val="24"/>
        </w:rPr>
        <w:t>extraordinarily little</w:t>
      </w:r>
      <w:r w:rsidRPr="005B0F5E">
        <w:rPr>
          <w:rFonts w:eastAsiaTheme="majorEastAsia" w:cstheme="minorHAnsi"/>
          <w:color w:val="000000" w:themeColor="text1"/>
          <w:sz w:val="24"/>
          <w:szCs w:val="24"/>
        </w:rPr>
        <w:t xml:space="preserve"> to global climate change” (Baker and Mitchell,2020, p.1). Therefore, the impact of climate change can have a devasting impact in a number of ways including children’s well-being and their ability to access education.</w:t>
      </w:r>
    </w:p>
    <w:p w14:paraId="0B1FC3CC" w14:textId="1463E01E" w:rsidR="00065A0F" w:rsidRPr="005B0F5E" w:rsidRDefault="00E22E54" w:rsidP="00E22E54">
      <w:pPr>
        <w:keepNext/>
        <w:keepLines/>
        <w:spacing w:before="240" w:after="0"/>
        <w:jc w:val="both"/>
        <w:outlineLvl w:val="0"/>
        <w:rPr>
          <w:rFonts w:eastAsiaTheme="majorEastAsia" w:cstheme="minorHAnsi"/>
          <w:color w:val="000000" w:themeColor="text1"/>
          <w:sz w:val="24"/>
          <w:szCs w:val="24"/>
        </w:rPr>
      </w:pPr>
      <w:r w:rsidRPr="005B0F5E">
        <w:rPr>
          <w:rFonts w:eastAsiaTheme="majorEastAsia" w:cstheme="minorHAnsi"/>
          <w:color w:val="000000" w:themeColor="text1"/>
          <w:sz w:val="24"/>
          <w:szCs w:val="24"/>
        </w:rPr>
        <w:lastRenderedPageBreak/>
        <w:t xml:space="preserve"> The region of Mombasa in Kenya has been particularly affected by “weather-related disasters” (Thornton and Burgess,2010, p.7). Yearly flooding has caused significant issues for the “60,000” (Ibid) residents living in the city including, problems with sanitation. This has resulted in children developing “cholera and diarrhoea” (Ibid). Therefore, </w:t>
      </w:r>
      <w:r w:rsidR="00552836" w:rsidRPr="005B0F5E">
        <w:rPr>
          <w:rFonts w:eastAsiaTheme="majorEastAsia" w:cstheme="minorHAnsi"/>
          <w:color w:val="000000" w:themeColor="text1"/>
          <w:sz w:val="24"/>
          <w:szCs w:val="24"/>
        </w:rPr>
        <w:t>this has</w:t>
      </w:r>
      <w:r w:rsidRPr="005B0F5E">
        <w:rPr>
          <w:rFonts w:eastAsiaTheme="majorEastAsia" w:cstheme="minorHAnsi"/>
          <w:color w:val="000000" w:themeColor="text1"/>
          <w:sz w:val="24"/>
          <w:szCs w:val="24"/>
        </w:rPr>
        <w:t xml:space="preserve"> a “significant impact a child’s health, well-being, development and education” (Ibid). flooding in “Garissa, the Northern province of Kenya” (Thornton and Burgess,2010, p.9) is a further example in which “24,000” (Ibid) families had to evacuate their homes in 2006 due to severe flooding which “washed away “3,300 farms along the river Tana” (Ibid) and many schools were also lost. Therefore, fracturing the education “of “150,000 children” (Ibid). Additionally, the effects of climate change in this region will see a greater occurrence of children suffering from “respiratory illness, malaria and diarrhoea” (Thornton and Burgess,2010, p.9). Drought caused by rising temperatures has also seen entire crops wiped out and animals killed due to lack of rainfall. Therefore, families were unable to feed their children, which put them at extreme risk of malnutrition (Thornton and Burgess,2010)</w:t>
      </w:r>
      <w:r w:rsidR="00E46317" w:rsidRPr="005B0F5E">
        <w:rPr>
          <w:rFonts w:eastAsiaTheme="majorEastAsia" w:cstheme="minorHAnsi"/>
          <w:color w:val="000000" w:themeColor="text1"/>
          <w:sz w:val="24"/>
          <w:szCs w:val="24"/>
        </w:rPr>
        <w:t xml:space="preserve">. </w:t>
      </w:r>
      <w:r w:rsidRPr="005B0F5E">
        <w:rPr>
          <w:rFonts w:eastAsiaTheme="majorEastAsia" w:cstheme="minorHAnsi"/>
          <w:color w:val="000000" w:themeColor="text1"/>
          <w:sz w:val="24"/>
          <w:szCs w:val="24"/>
        </w:rPr>
        <w:t>Many children leave education due to the fact “that they cannot concentrate in class because they are hungry” (Thornton and Burgess,2010, p.15). This links with “Maslow’s hierarchy of needs (1943)”</w:t>
      </w:r>
      <w:r w:rsidR="00E46317" w:rsidRPr="005B0F5E">
        <w:rPr>
          <w:rFonts w:eastAsiaTheme="majorEastAsia" w:cstheme="minorHAnsi"/>
          <w:color w:val="000000" w:themeColor="text1"/>
          <w:sz w:val="24"/>
          <w:szCs w:val="24"/>
        </w:rPr>
        <w:t xml:space="preserve"> (Shotton and Burton, 2019, p.4)</w:t>
      </w:r>
      <w:r w:rsidRPr="005B0F5E">
        <w:rPr>
          <w:rFonts w:eastAsiaTheme="majorEastAsia" w:cstheme="minorHAnsi"/>
          <w:color w:val="000000" w:themeColor="text1"/>
          <w:sz w:val="24"/>
          <w:szCs w:val="24"/>
        </w:rPr>
        <w:t>. Children who do not acquire the lower levels of psychological and safety needs will be unable to progress and reach their full potential (</w:t>
      </w:r>
      <w:r w:rsidR="00E46317" w:rsidRPr="005B0F5E">
        <w:rPr>
          <w:rFonts w:eastAsiaTheme="majorEastAsia" w:cstheme="minorHAnsi"/>
          <w:color w:val="000000" w:themeColor="text1"/>
          <w:sz w:val="24"/>
          <w:szCs w:val="24"/>
        </w:rPr>
        <w:t>Ibid</w:t>
      </w:r>
      <w:r w:rsidRPr="005B0F5E">
        <w:rPr>
          <w:rFonts w:eastAsiaTheme="majorEastAsia" w:cstheme="minorHAnsi"/>
          <w:color w:val="000000" w:themeColor="text1"/>
          <w:sz w:val="24"/>
          <w:szCs w:val="24"/>
        </w:rPr>
        <w:t>)</w:t>
      </w:r>
      <w:r w:rsidR="00D62988" w:rsidRPr="005B0F5E">
        <w:rPr>
          <w:rFonts w:eastAsiaTheme="majorEastAsia" w:cstheme="minorHAnsi"/>
          <w:color w:val="000000" w:themeColor="text1"/>
          <w:sz w:val="24"/>
          <w:szCs w:val="24"/>
        </w:rPr>
        <w:t xml:space="preserve">. </w:t>
      </w:r>
    </w:p>
    <w:p w14:paraId="73FBE4CB" w14:textId="77777777" w:rsidR="000E1086" w:rsidRPr="005B0F5E" w:rsidRDefault="00E22E54" w:rsidP="00E22E54">
      <w:pPr>
        <w:keepNext/>
        <w:keepLines/>
        <w:spacing w:before="240" w:after="0"/>
        <w:jc w:val="both"/>
        <w:outlineLvl w:val="0"/>
        <w:rPr>
          <w:rFonts w:eastAsiaTheme="majorEastAsia" w:cstheme="minorHAnsi"/>
          <w:color w:val="000000" w:themeColor="text1"/>
          <w:sz w:val="24"/>
          <w:szCs w:val="24"/>
        </w:rPr>
      </w:pPr>
      <w:r w:rsidRPr="005B0F5E">
        <w:rPr>
          <w:rFonts w:eastAsiaTheme="majorEastAsia" w:cstheme="minorHAnsi"/>
          <w:color w:val="000000" w:themeColor="text1"/>
          <w:sz w:val="24"/>
          <w:szCs w:val="24"/>
        </w:rPr>
        <w:t>Furthermore, linking with the UNCRC (1989), the suggestion for determining well-being that influences policy and practice can be found in the growing interest in what has now become the ecology approach (McAuley and Rose,2010). “Bronfenbrenner’s ecological theory (1979)” implies that children are “surrounded by layers of successively larger” (McAuley and Rose,2010, p.22) and more intricate subcultures that can either act as “facilitators or barriers.” An example of this can be seen by the government’s response during the Covid-19 pandemic. Affecting “one billion children worldwide” the Covid- 19 pandemic “highlighted the deep social divide within many countries around the world. For example, the “Kenyan assessment needs” (JOFA,2021, p.22) found that children with disabilities “did not have the necessary assistive devices” (Ibid) in order to continue their learning from home during the pandemic. Whilst access to the much-needed intervention support was further interrupted</w:t>
      </w:r>
      <w:proofErr w:type="gramStart"/>
      <w:r w:rsidRPr="005B0F5E">
        <w:rPr>
          <w:rFonts w:eastAsiaTheme="majorEastAsia" w:cstheme="minorHAnsi"/>
          <w:color w:val="000000" w:themeColor="text1"/>
          <w:sz w:val="24"/>
          <w:szCs w:val="24"/>
        </w:rPr>
        <w:t xml:space="preserve">.  </w:t>
      </w:r>
      <w:proofErr w:type="gramEnd"/>
      <w:r w:rsidRPr="005B0F5E">
        <w:rPr>
          <w:rFonts w:eastAsiaTheme="majorEastAsia" w:cstheme="minorHAnsi"/>
          <w:color w:val="000000" w:themeColor="text1"/>
          <w:sz w:val="24"/>
          <w:szCs w:val="24"/>
        </w:rPr>
        <w:t xml:space="preserve">Additionally, “60.5 percent of children in the needs assessment” (JOFA,2021, p.15) stated a rise in “physical abuse including, being pushed, kicked, hit or beaten with hands or objects” (Ibid). Therefore, this conflicts with the ACRWC which states in article 13 that all children with a disability should be entitled to special protection that is tailored to his/hers needs and ensures dignity, regardless of their physical or mental health difficulties (WHO, 2015). </w:t>
      </w:r>
    </w:p>
    <w:p w14:paraId="1EACD89E" w14:textId="662CA14C" w:rsidR="00E22E54" w:rsidRPr="005B0F5E" w:rsidRDefault="00E22E54" w:rsidP="00E22E54">
      <w:pPr>
        <w:keepNext/>
        <w:keepLines/>
        <w:spacing w:before="240" w:after="0"/>
        <w:jc w:val="both"/>
        <w:outlineLvl w:val="0"/>
        <w:rPr>
          <w:rFonts w:eastAsiaTheme="majorEastAsia" w:cstheme="minorHAnsi"/>
          <w:color w:val="000000" w:themeColor="text1"/>
          <w:sz w:val="24"/>
          <w:szCs w:val="24"/>
        </w:rPr>
      </w:pPr>
      <w:r w:rsidRPr="005B0F5E">
        <w:rPr>
          <w:rFonts w:eastAsiaTheme="majorEastAsia" w:cstheme="minorHAnsi"/>
          <w:color w:val="000000" w:themeColor="text1"/>
          <w:sz w:val="24"/>
          <w:szCs w:val="24"/>
        </w:rPr>
        <w:lastRenderedPageBreak/>
        <w:t xml:space="preserve">Furthermore, the “Child Act 2001” </w:t>
      </w:r>
      <w:r w:rsidR="001732E7" w:rsidRPr="005B0F5E">
        <w:rPr>
          <w:rFonts w:eastAsiaTheme="majorEastAsia" w:cstheme="minorHAnsi"/>
          <w:color w:val="000000" w:themeColor="text1"/>
          <w:sz w:val="24"/>
          <w:szCs w:val="24"/>
        </w:rPr>
        <w:t xml:space="preserve">(LoK,2012, p.1) </w:t>
      </w:r>
      <w:r w:rsidRPr="005B0F5E">
        <w:rPr>
          <w:rFonts w:eastAsiaTheme="majorEastAsia" w:cstheme="minorHAnsi"/>
          <w:color w:val="000000" w:themeColor="text1"/>
          <w:sz w:val="24"/>
          <w:szCs w:val="24"/>
        </w:rPr>
        <w:t>places a duty on governments to execute policies within a “broad ecological approach”</w:t>
      </w:r>
      <w:r w:rsidR="00571743">
        <w:rPr>
          <w:rFonts w:eastAsiaTheme="majorEastAsia" w:cstheme="minorHAnsi"/>
          <w:color w:val="000000" w:themeColor="text1"/>
          <w:sz w:val="24"/>
          <w:szCs w:val="24"/>
        </w:rPr>
        <w:t xml:space="preserve"> (McAuley and Rose,2010,p.5)</w:t>
      </w:r>
      <w:r w:rsidRPr="005B0F5E">
        <w:rPr>
          <w:rFonts w:eastAsiaTheme="majorEastAsia" w:cstheme="minorHAnsi"/>
          <w:color w:val="000000" w:themeColor="text1"/>
          <w:sz w:val="24"/>
          <w:szCs w:val="24"/>
        </w:rPr>
        <w:t xml:space="preserve">- as stated in the UNCRC and the ACRWC. Thus, provisions should be made regarding the care and protection of all children. According to (World Vision,2022, p.1) “Violence against children in Kenya is at an all-time high”. Therefore, governments are failing to enforce current laws and policies. This is an example in which the child’s relationship within the mesosystem has acted as a barrier towards their development by failing to implement the necessary policies to protect children and facilitate learning. However, the “Children Bill (2021) seeks to repeal the Children Act (2001)” (Ibid) by enforcing stricter penalties for governments failing to meet the needs of children (World Vision,2022). This is an example of the mesosystem acting as a facilitator. </w:t>
      </w:r>
    </w:p>
    <w:p w14:paraId="112F0227" w14:textId="5284B2EE" w:rsidR="00AD65D6" w:rsidRPr="005B0F5E" w:rsidRDefault="00AD65D6" w:rsidP="00E22E54">
      <w:pPr>
        <w:keepNext/>
        <w:keepLines/>
        <w:spacing w:before="240" w:after="0"/>
        <w:jc w:val="both"/>
        <w:outlineLvl w:val="0"/>
        <w:rPr>
          <w:rFonts w:eastAsiaTheme="majorEastAsia" w:cstheme="minorHAnsi"/>
          <w:color w:val="000000" w:themeColor="text1"/>
          <w:sz w:val="24"/>
          <w:szCs w:val="24"/>
        </w:rPr>
      </w:pPr>
      <w:r w:rsidRPr="005B0F5E">
        <w:rPr>
          <w:rFonts w:eastAsiaTheme="majorEastAsia" w:cstheme="minorHAnsi"/>
          <w:color w:val="000000" w:themeColor="text1"/>
          <w:sz w:val="24"/>
          <w:szCs w:val="24"/>
        </w:rPr>
        <w:t>“According to the Sustainable Goals for Development 2030” every child around the world should have the “right to a quality education so that they can have better life chances in life” (Lee and Kaluarachchi,</w:t>
      </w:r>
      <w:r w:rsidR="001A2742" w:rsidRPr="005B0F5E">
        <w:rPr>
          <w:rFonts w:eastAsiaTheme="majorEastAsia" w:cstheme="minorHAnsi"/>
          <w:color w:val="000000" w:themeColor="text1"/>
          <w:sz w:val="24"/>
          <w:szCs w:val="24"/>
        </w:rPr>
        <w:t>2020, p.</w:t>
      </w:r>
      <w:r w:rsidRPr="005B0F5E">
        <w:rPr>
          <w:rFonts w:eastAsiaTheme="majorEastAsia" w:cstheme="minorHAnsi"/>
          <w:color w:val="000000" w:themeColor="text1"/>
          <w:sz w:val="24"/>
          <w:szCs w:val="24"/>
        </w:rPr>
        <w:t xml:space="preserve">12). </w:t>
      </w:r>
      <w:r w:rsidR="00015491" w:rsidRPr="005B0F5E">
        <w:rPr>
          <w:rFonts w:eastAsiaTheme="majorEastAsia" w:cstheme="minorHAnsi"/>
          <w:color w:val="000000" w:themeColor="text1"/>
          <w:sz w:val="24"/>
          <w:szCs w:val="24"/>
        </w:rPr>
        <w:t>However, although</w:t>
      </w:r>
      <w:r w:rsidR="001A2742" w:rsidRPr="005B0F5E">
        <w:rPr>
          <w:rFonts w:eastAsiaTheme="majorEastAsia" w:cstheme="minorHAnsi"/>
          <w:color w:val="000000" w:themeColor="text1"/>
          <w:sz w:val="24"/>
          <w:szCs w:val="24"/>
        </w:rPr>
        <w:t xml:space="preserve"> inequalities exist on a global level, children from low-income to medium income countries face many barriers regarding education (Global Citizen, </w:t>
      </w:r>
      <w:r w:rsidR="00015491" w:rsidRPr="005B0F5E">
        <w:rPr>
          <w:rFonts w:eastAsiaTheme="majorEastAsia" w:cstheme="minorHAnsi"/>
          <w:color w:val="000000" w:themeColor="text1"/>
          <w:sz w:val="24"/>
          <w:szCs w:val="24"/>
        </w:rPr>
        <w:t>2014, p.</w:t>
      </w:r>
      <w:r w:rsidR="001A2742" w:rsidRPr="005B0F5E">
        <w:rPr>
          <w:rFonts w:eastAsiaTheme="majorEastAsia" w:cstheme="minorHAnsi"/>
          <w:color w:val="000000" w:themeColor="text1"/>
          <w:sz w:val="24"/>
          <w:szCs w:val="24"/>
        </w:rPr>
        <w:t>1).</w:t>
      </w:r>
      <w:r w:rsidR="00015491" w:rsidRPr="005B0F5E">
        <w:rPr>
          <w:rFonts w:eastAsiaTheme="majorEastAsia" w:cstheme="minorHAnsi"/>
          <w:color w:val="000000" w:themeColor="text1"/>
          <w:sz w:val="24"/>
          <w:szCs w:val="24"/>
        </w:rPr>
        <w:t xml:space="preserve"> For instance, </w:t>
      </w:r>
      <w:r w:rsidR="00AA5244" w:rsidRPr="005B0F5E">
        <w:rPr>
          <w:rFonts w:eastAsiaTheme="majorEastAsia" w:cstheme="minorHAnsi"/>
          <w:color w:val="000000" w:themeColor="text1"/>
          <w:sz w:val="24"/>
          <w:szCs w:val="24"/>
        </w:rPr>
        <w:t xml:space="preserve">due to the geographical location, schools in Turkana have experienced may problems in relation to </w:t>
      </w:r>
      <w:r w:rsidR="00D314BE" w:rsidRPr="005B0F5E">
        <w:rPr>
          <w:rFonts w:eastAsiaTheme="majorEastAsia" w:cstheme="minorHAnsi"/>
          <w:color w:val="000000" w:themeColor="text1"/>
          <w:sz w:val="24"/>
          <w:szCs w:val="24"/>
        </w:rPr>
        <w:t>“headteachers</w:t>
      </w:r>
      <w:r w:rsidR="00AA5244" w:rsidRPr="005B0F5E">
        <w:rPr>
          <w:rFonts w:eastAsiaTheme="majorEastAsia" w:cstheme="minorHAnsi"/>
          <w:color w:val="000000" w:themeColor="text1"/>
          <w:sz w:val="24"/>
          <w:szCs w:val="24"/>
        </w:rPr>
        <w:t xml:space="preserve"> absenteeism” </w:t>
      </w:r>
      <w:r w:rsidR="00D314BE" w:rsidRPr="005B0F5E">
        <w:rPr>
          <w:rFonts w:eastAsiaTheme="majorEastAsia" w:cstheme="minorHAnsi"/>
          <w:color w:val="000000" w:themeColor="text1"/>
          <w:sz w:val="24"/>
          <w:szCs w:val="24"/>
        </w:rPr>
        <w:t xml:space="preserve">(Marco,2017, p.10). Furthermore, Research from a school in Turkana found that many “marginalised groups” (Ibid) such as girls were often charged fees that were </w:t>
      </w:r>
      <w:r w:rsidR="006373FA" w:rsidRPr="005B0F5E">
        <w:rPr>
          <w:rFonts w:eastAsiaTheme="majorEastAsia" w:cstheme="minorHAnsi"/>
          <w:color w:val="000000" w:themeColor="text1"/>
          <w:sz w:val="24"/>
          <w:szCs w:val="24"/>
        </w:rPr>
        <w:t>“</w:t>
      </w:r>
      <w:r w:rsidR="00D314BE" w:rsidRPr="005B0F5E">
        <w:rPr>
          <w:rFonts w:eastAsiaTheme="majorEastAsia" w:cstheme="minorHAnsi"/>
          <w:color w:val="000000" w:themeColor="text1"/>
          <w:sz w:val="24"/>
          <w:szCs w:val="24"/>
        </w:rPr>
        <w:t xml:space="preserve">aggressively </w:t>
      </w:r>
      <w:r w:rsidR="006373FA" w:rsidRPr="005B0F5E">
        <w:rPr>
          <w:rFonts w:eastAsiaTheme="majorEastAsia" w:cstheme="minorHAnsi"/>
          <w:color w:val="000000" w:themeColor="text1"/>
          <w:sz w:val="24"/>
          <w:szCs w:val="24"/>
        </w:rPr>
        <w:t xml:space="preserve">collected.” Therefore, this links “with the likelihood of them dropping out” (Ibid). Additionally, whilst adopting western ideologies regarding education are “beneficial to some extent” (Lee and Kaluarachchi,2020, p.12). They fail to </w:t>
      </w:r>
      <w:r w:rsidR="000C57E0" w:rsidRPr="005B0F5E">
        <w:rPr>
          <w:rFonts w:eastAsiaTheme="majorEastAsia" w:cstheme="minorHAnsi"/>
          <w:color w:val="000000" w:themeColor="text1"/>
          <w:sz w:val="24"/>
          <w:szCs w:val="24"/>
        </w:rPr>
        <w:t>consider</w:t>
      </w:r>
      <w:r w:rsidR="006373FA" w:rsidRPr="005B0F5E">
        <w:rPr>
          <w:rFonts w:eastAsiaTheme="majorEastAsia" w:cstheme="minorHAnsi"/>
          <w:color w:val="000000" w:themeColor="text1"/>
          <w:sz w:val="24"/>
          <w:szCs w:val="24"/>
        </w:rPr>
        <w:t xml:space="preserve"> the cultural </w:t>
      </w:r>
      <w:r w:rsidR="000C57E0" w:rsidRPr="005B0F5E">
        <w:rPr>
          <w:rFonts w:eastAsiaTheme="majorEastAsia" w:cstheme="minorHAnsi"/>
          <w:color w:val="000000" w:themeColor="text1"/>
          <w:sz w:val="24"/>
          <w:szCs w:val="24"/>
        </w:rPr>
        <w:t>differences that</w:t>
      </w:r>
      <w:r w:rsidR="006373FA" w:rsidRPr="005B0F5E">
        <w:rPr>
          <w:rFonts w:eastAsiaTheme="majorEastAsia" w:cstheme="minorHAnsi"/>
          <w:color w:val="000000" w:themeColor="text1"/>
          <w:sz w:val="24"/>
          <w:szCs w:val="24"/>
        </w:rPr>
        <w:t xml:space="preserve"> exist in </w:t>
      </w:r>
      <w:r w:rsidR="000C57E0" w:rsidRPr="005B0F5E">
        <w:rPr>
          <w:rFonts w:eastAsiaTheme="majorEastAsia" w:cstheme="minorHAnsi"/>
          <w:color w:val="000000" w:themeColor="text1"/>
          <w:sz w:val="24"/>
          <w:szCs w:val="24"/>
        </w:rPr>
        <w:t xml:space="preserve">other parts of the worlds Therefore, implementing a “people-centred development approach to education recognises these differences” (Ibid). Furthermore, this style of education acknowledges “the well-being of people and the living systems </w:t>
      </w:r>
      <w:r w:rsidR="009768C3" w:rsidRPr="005B0F5E">
        <w:rPr>
          <w:rFonts w:eastAsiaTheme="majorEastAsia" w:cstheme="minorHAnsi"/>
          <w:color w:val="000000" w:themeColor="text1"/>
          <w:sz w:val="24"/>
          <w:szCs w:val="24"/>
        </w:rPr>
        <w:t xml:space="preserve">of the planet that is their home, come first” (lee and Kaluarachchi,2020, p.14). Therefore, curricula design should be supported based on one which teaches skills which are relatable and benefit both the child and their communities (Lee and Kaluarachchi,2020). This links with the theory of collectivism, which depends upon “cohesiveness among individuals rather than self-interest” (Ibid). </w:t>
      </w:r>
    </w:p>
    <w:p w14:paraId="67FEDB58" w14:textId="77777777" w:rsidR="00E22E54" w:rsidRPr="005B0F5E" w:rsidRDefault="00E22E54" w:rsidP="00E22E54">
      <w:pPr>
        <w:keepNext/>
        <w:keepLines/>
        <w:spacing w:before="240" w:after="0"/>
        <w:jc w:val="both"/>
        <w:outlineLvl w:val="0"/>
        <w:rPr>
          <w:rFonts w:eastAsiaTheme="majorEastAsia" w:cstheme="minorHAnsi"/>
          <w:color w:val="000000" w:themeColor="text1"/>
          <w:sz w:val="24"/>
          <w:szCs w:val="24"/>
        </w:rPr>
      </w:pPr>
    </w:p>
    <w:p w14:paraId="66BF5F0D" w14:textId="77777777" w:rsidR="000739FA" w:rsidRPr="005B0F5E" w:rsidRDefault="000739FA" w:rsidP="000739FA">
      <w:pPr>
        <w:keepNext/>
        <w:keepLines/>
        <w:spacing w:before="240" w:after="0"/>
        <w:jc w:val="both"/>
        <w:outlineLvl w:val="0"/>
        <w:rPr>
          <w:rFonts w:eastAsiaTheme="majorEastAsia" w:cstheme="minorHAnsi"/>
          <w:color w:val="000000" w:themeColor="text1"/>
          <w:sz w:val="24"/>
          <w:szCs w:val="24"/>
        </w:rPr>
      </w:pPr>
    </w:p>
    <w:p w14:paraId="24C7C05E" w14:textId="77777777" w:rsidR="000E1086" w:rsidRPr="005B0F5E" w:rsidRDefault="000739FA" w:rsidP="000E1086">
      <w:pPr>
        <w:keepNext/>
        <w:keepLines/>
        <w:spacing w:before="240" w:after="0"/>
        <w:jc w:val="both"/>
        <w:outlineLvl w:val="0"/>
        <w:rPr>
          <w:rFonts w:eastAsiaTheme="majorEastAsia" w:cstheme="minorHAnsi"/>
          <w:color w:val="000000" w:themeColor="text1"/>
          <w:sz w:val="24"/>
          <w:szCs w:val="24"/>
        </w:rPr>
      </w:pPr>
      <w:r w:rsidRPr="005B0F5E">
        <w:rPr>
          <w:rFonts w:eastAsiaTheme="majorEastAsia" w:cstheme="minorHAnsi"/>
          <w:color w:val="000000" w:themeColor="text1"/>
          <w:sz w:val="24"/>
          <w:szCs w:val="24"/>
        </w:rPr>
        <w:t xml:space="preserve">  </w:t>
      </w:r>
    </w:p>
    <w:p w14:paraId="0AB5697C" w14:textId="77777777" w:rsidR="000E1086" w:rsidRPr="005B0F5E" w:rsidRDefault="000E1086" w:rsidP="000E1086">
      <w:pPr>
        <w:keepNext/>
        <w:keepLines/>
        <w:spacing w:before="240" w:after="0"/>
        <w:jc w:val="both"/>
        <w:outlineLvl w:val="0"/>
        <w:rPr>
          <w:rFonts w:eastAsiaTheme="majorEastAsia" w:cstheme="minorHAnsi"/>
          <w:color w:val="000000" w:themeColor="text1"/>
          <w:sz w:val="24"/>
          <w:szCs w:val="24"/>
        </w:rPr>
      </w:pPr>
    </w:p>
    <w:p w14:paraId="4A0B295E" w14:textId="77777777" w:rsidR="000E1086" w:rsidRPr="005B0F5E" w:rsidRDefault="000E1086" w:rsidP="000E1086">
      <w:pPr>
        <w:keepNext/>
        <w:keepLines/>
        <w:spacing w:before="240" w:after="0"/>
        <w:jc w:val="both"/>
        <w:outlineLvl w:val="0"/>
        <w:rPr>
          <w:rFonts w:eastAsiaTheme="majorEastAsia" w:cstheme="minorHAnsi"/>
          <w:color w:val="000000" w:themeColor="text1"/>
          <w:sz w:val="24"/>
          <w:szCs w:val="24"/>
        </w:rPr>
      </w:pPr>
    </w:p>
    <w:p w14:paraId="68EB51AF" w14:textId="77777777" w:rsidR="000E1086" w:rsidRPr="005B0F5E" w:rsidRDefault="000E1086" w:rsidP="000E1086">
      <w:pPr>
        <w:keepNext/>
        <w:keepLines/>
        <w:spacing w:before="240" w:after="0"/>
        <w:jc w:val="both"/>
        <w:outlineLvl w:val="0"/>
        <w:rPr>
          <w:rFonts w:eastAsiaTheme="majorEastAsia" w:cstheme="minorHAnsi"/>
          <w:color w:val="000000" w:themeColor="text1"/>
          <w:sz w:val="24"/>
          <w:szCs w:val="24"/>
        </w:rPr>
      </w:pPr>
    </w:p>
    <w:p w14:paraId="55983027" w14:textId="77777777" w:rsidR="000E1086" w:rsidRPr="005B0F5E" w:rsidRDefault="000E1086" w:rsidP="000E1086">
      <w:pPr>
        <w:keepNext/>
        <w:keepLines/>
        <w:spacing w:before="240" w:after="0"/>
        <w:jc w:val="both"/>
        <w:outlineLvl w:val="0"/>
        <w:rPr>
          <w:rFonts w:eastAsiaTheme="majorEastAsia" w:cstheme="minorHAnsi"/>
          <w:color w:val="000000" w:themeColor="text1"/>
          <w:sz w:val="24"/>
          <w:szCs w:val="24"/>
        </w:rPr>
      </w:pPr>
    </w:p>
    <w:p w14:paraId="19FA5854" w14:textId="77777777" w:rsidR="000E1086" w:rsidRPr="005B0F5E" w:rsidRDefault="000E1086" w:rsidP="000E1086">
      <w:pPr>
        <w:keepNext/>
        <w:keepLines/>
        <w:spacing w:before="240" w:after="0"/>
        <w:jc w:val="both"/>
        <w:outlineLvl w:val="0"/>
        <w:rPr>
          <w:rFonts w:eastAsiaTheme="majorEastAsia" w:cstheme="minorHAnsi"/>
          <w:color w:val="000000" w:themeColor="text1"/>
          <w:sz w:val="24"/>
          <w:szCs w:val="24"/>
        </w:rPr>
      </w:pPr>
    </w:p>
    <w:p w14:paraId="3806392D" w14:textId="48845075" w:rsidR="0097683D" w:rsidRPr="005B0F5E" w:rsidRDefault="00364253" w:rsidP="005B0F5E">
      <w:pPr>
        <w:keepNext/>
        <w:keepLines/>
        <w:spacing w:before="240" w:after="0"/>
        <w:outlineLvl w:val="0"/>
        <w:rPr>
          <w:rFonts w:cstheme="minorHAnsi"/>
          <w:color w:val="000000"/>
          <w:sz w:val="24"/>
          <w:szCs w:val="24"/>
          <w:shd w:val="clear" w:color="auto" w:fill="FFFFFF"/>
        </w:rPr>
      </w:pPr>
      <w:r w:rsidRPr="005B0F5E">
        <w:rPr>
          <w:rFonts w:cstheme="minorHAnsi"/>
          <w:sz w:val="24"/>
          <w:szCs w:val="24"/>
          <w:u w:val="single"/>
        </w:rPr>
        <w:t>Reference List</w:t>
      </w:r>
      <w:r w:rsidRPr="005B0F5E">
        <w:rPr>
          <w:rFonts w:cstheme="minorHAnsi"/>
          <w:color w:val="000000"/>
          <w:sz w:val="24"/>
          <w:szCs w:val="24"/>
          <w:shd w:val="clear" w:color="auto" w:fill="FFFFFF"/>
        </w:rPr>
        <w:t xml:space="preserve"> </w:t>
      </w:r>
    </w:p>
    <w:p w14:paraId="170F6C5A" w14:textId="77777777" w:rsidR="005B0F5E" w:rsidRPr="005B0F5E" w:rsidRDefault="005B0F5E" w:rsidP="005B0F5E">
      <w:pPr>
        <w:keepNext/>
        <w:keepLines/>
        <w:spacing w:before="240" w:after="0"/>
        <w:outlineLvl w:val="0"/>
        <w:rPr>
          <w:rFonts w:eastAsiaTheme="majorEastAsia" w:cstheme="minorHAnsi"/>
          <w:color w:val="000000" w:themeColor="text1"/>
          <w:sz w:val="24"/>
          <w:szCs w:val="24"/>
        </w:rPr>
      </w:pPr>
    </w:p>
    <w:p w14:paraId="45B9BED8" w14:textId="77777777" w:rsidR="00F474EE" w:rsidRPr="005B0F5E" w:rsidRDefault="0097683D" w:rsidP="005B0F5E">
      <w:pPr>
        <w:rPr>
          <w:rFonts w:cstheme="minorHAnsi"/>
          <w:color w:val="000000"/>
          <w:sz w:val="24"/>
          <w:szCs w:val="24"/>
          <w:shd w:val="clear" w:color="auto" w:fill="FFFFFF"/>
        </w:rPr>
      </w:pPr>
      <w:r w:rsidRPr="005B0F5E">
        <w:rPr>
          <w:rFonts w:cstheme="minorHAnsi"/>
          <w:color w:val="000000"/>
          <w:sz w:val="24"/>
          <w:szCs w:val="24"/>
          <w:shd w:val="clear" w:color="auto" w:fill="FFFFFF"/>
        </w:rPr>
        <w:t>Aufseeser, D., Bourdillon, M., Carothers, R. and Lecoufle, O., 2016. </w:t>
      </w:r>
      <w:r w:rsidRPr="005B0F5E">
        <w:rPr>
          <w:rFonts w:cstheme="minorHAnsi"/>
          <w:i/>
          <w:iCs/>
          <w:color w:val="000000"/>
          <w:sz w:val="24"/>
          <w:szCs w:val="24"/>
          <w:shd w:val="clear" w:color="auto" w:fill="FFFFFF"/>
        </w:rPr>
        <w:t>Children's work and children's well-being: Implications for policy</w:t>
      </w:r>
      <w:r w:rsidRPr="005B0F5E">
        <w:rPr>
          <w:rFonts w:cstheme="minorHAnsi"/>
          <w:color w:val="000000"/>
          <w:sz w:val="24"/>
          <w:szCs w:val="24"/>
          <w:shd w:val="clear" w:color="auto" w:fill="FFFFFF"/>
        </w:rPr>
        <w:t>. [online] Wiley. Available at: &lt;https://www.researchgate.net/profile/Dena-Aufseeser/publication/312665424_Children's_work_and_children's_well-being_Implications_for_policy/links/5b508f88aca27217ffa3ea2f/Childrens-work-and-childrens-well-being-Implications-for-policy.pdf&gt; [Accessed 16 February 2022]</w:t>
      </w:r>
      <w:r w:rsidR="00F341DD" w:rsidRPr="005B0F5E">
        <w:rPr>
          <w:rFonts w:cstheme="minorHAnsi"/>
          <w:color w:val="000000"/>
          <w:sz w:val="24"/>
          <w:szCs w:val="24"/>
          <w:shd w:val="clear" w:color="auto" w:fill="FFFFFF"/>
        </w:rPr>
        <w:t>, 241-248.</w:t>
      </w:r>
      <w:r w:rsidR="00F474EE" w:rsidRPr="005B0F5E">
        <w:rPr>
          <w:rFonts w:cstheme="minorHAnsi"/>
          <w:color w:val="000000"/>
          <w:sz w:val="24"/>
          <w:szCs w:val="24"/>
          <w:shd w:val="clear" w:color="auto" w:fill="FFFFFF"/>
        </w:rPr>
        <w:t xml:space="preserve"> </w:t>
      </w:r>
    </w:p>
    <w:p w14:paraId="03496BBB" w14:textId="164AB014" w:rsidR="005C51E3" w:rsidRPr="005B0F5E" w:rsidRDefault="00F474EE" w:rsidP="005B0F5E">
      <w:pPr>
        <w:rPr>
          <w:rFonts w:cstheme="minorHAnsi"/>
          <w:color w:val="000000"/>
          <w:sz w:val="24"/>
          <w:szCs w:val="24"/>
          <w:shd w:val="clear" w:color="auto" w:fill="FFFFFF"/>
        </w:rPr>
      </w:pPr>
      <w:r w:rsidRPr="005B0F5E">
        <w:rPr>
          <w:rFonts w:cstheme="minorHAnsi"/>
          <w:color w:val="000000"/>
          <w:sz w:val="24"/>
          <w:szCs w:val="24"/>
          <w:shd w:val="clear" w:color="auto" w:fill="FFFFFF"/>
        </w:rPr>
        <w:t>B</w:t>
      </w:r>
      <w:r w:rsidRPr="005B0F5E">
        <w:rPr>
          <w:rFonts w:cstheme="minorHAnsi"/>
          <w:color w:val="000000"/>
          <w:sz w:val="24"/>
          <w:szCs w:val="24"/>
          <w:shd w:val="clear" w:color="auto" w:fill="FFFFFF"/>
        </w:rPr>
        <w:t>aker, A. and Mitchell, I., 2020. </w:t>
      </w:r>
      <w:r w:rsidRPr="005B0F5E">
        <w:rPr>
          <w:rFonts w:cstheme="minorHAnsi"/>
          <w:i/>
          <w:iCs/>
          <w:color w:val="000000"/>
          <w:sz w:val="24"/>
          <w:szCs w:val="24"/>
          <w:shd w:val="clear" w:color="auto" w:fill="FFFFFF"/>
        </w:rPr>
        <w:t>Projecting Global Emissions for Lower-Income Countries</w:t>
      </w:r>
      <w:r w:rsidRPr="005B0F5E">
        <w:rPr>
          <w:rFonts w:cstheme="minorHAnsi"/>
          <w:color w:val="000000"/>
          <w:sz w:val="24"/>
          <w:szCs w:val="24"/>
          <w:shd w:val="clear" w:color="auto" w:fill="FFFFFF"/>
        </w:rPr>
        <w:t xml:space="preserve">. [online] </w:t>
      </w:r>
      <w:proofErr w:type="spellStart"/>
      <w:r w:rsidRPr="005B0F5E">
        <w:rPr>
          <w:rFonts w:cstheme="minorHAnsi"/>
          <w:color w:val="000000"/>
          <w:sz w:val="24"/>
          <w:szCs w:val="24"/>
          <w:shd w:val="clear" w:color="auto" w:fill="FFFFFF"/>
        </w:rPr>
        <w:t>Center</w:t>
      </w:r>
      <w:proofErr w:type="spellEnd"/>
      <w:r w:rsidRPr="005B0F5E">
        <w:rPr>
          <w:rFonts w:cstheme="minorHAnsi"/>
          <w:color w:val="000000"/>
          <w:sz w:val="24"/>
          <w:szCs w:val="24"/>
          <w:shd w:val="clear" w:color="auto" w:fill="FFFFFF"/>
        </w:rPr>
        <w:t xml:space="preserve"> </w:t>
      </w:r>
      <w:r w:rsidRPr="005B0F5E">
        <w:rPr>
          <w:rFonts w:cstheme="minorHAnsi"/>
          <w:color w:val="000000"/>
          <w:sz w:val="24"/>
          <w:szCs w:val="24"/>
          <w:shd w:val="clear" w:color="auto" w:fill="FFFFFF"/>
        </w:rPr>
        <w:t>for</w:t>
      </w:r>
      <w:r w:rsidRPr="005B0F5E">
        <w:rPr>
          <w:rFonts w:cstheme="minorHAnsi"/>
          <w:color w:val="000000"/>
          <w:sz w:val="24"/>
          <w:szCs w:val="24"/>
          <w:shd w:val="clear" w:color="auto" w:fill="FFFFFF"/>
        </w:rPr>
        <w:t xml:space="preserve"> Global Development. Available at: &lt;https://www.cgdev.org/publication/projecting-global-emissions-lower-income-countries&gt; [Accessed 6 March 2022]</w:t>
      </w:r>
      <w:r w:rsidRPr="005B0F5E">
        <w:rPr>
          <w:rFonts w:cstheme="minorHAnsi"/>
          <w:color w:val="000000"/>
          <w:sz w:val="24"/>
          <w:szCs w:val="24"/>
          <w:shd w:val="clear" w:color="auto" w:fill="FFFFFF"/>
        </w:rPr>
        <w:t>, p.1.</w:t>
      </w:r>
    </w:p>
    <w:p w14:paraId="1B733447" w14:textId="570D5975" w:rsidR="00364253" w:rsidRPr="005B0F5E" w:rsidRDefault="005C51E3" w:rsidP="005B0F5E">
      <w:pPr>
        <w:rPr>
          <w:rFonts w:cstheme="minorHAnsi"/>
          <w:color w:val="000000"/>
          <w:sz w:val="24"/>
          <w:szCs w:val="24"/>
          <w:shd w:val="clear" w:color="auto" w:fill="FFFFFF"/>
        </w:rPr>
      </w:pPr>
      <w:r w:rsidRPr="005B0F5E">
        <w:rPr>
          <w:rFonts w:cstheme="minorHAnsi"/>
          <w:color w:val="000000"/>
          <w:sz w:val="24"/>
          <w:szCs w:val="24"/>
          <w:shd w:val="clear" w:color="auto" w:fill="FFFFFF"/>
        </w:rPr>
        <w:t>Care, E., Kim, H., Anderson, K. and Wright, E., 2017. </w:t>
      </w:r>
      <w:r w:rsidRPr="005B0F5E">
        <w:rPr>
          <w:rFonts w:cstheme="minorHAnsi"/>
          <w:i/>
          <w:iCs/>
          <w:color w:val="000000"/>
          <w:sz w:val="24"/>
          <w:szCs w:val="24"/>
          <w:shd w:val="clear" w:color="auto" w:fill="FFFFFF"/>
        </w:rPr>
        <w:t>Skills for a Changing World: National Perspectives and the Global Movement</w:t>
      </w:r>
      <w:r w:rsidRPr="005B0F5E">
        <w:rPr>
          <w:rFonts w:cstheme="minorHAnsi"/>
          <w:color w:val="000000"/>
          <w:sz w:val="24"/>
          <w:szCs w:val="24"/>
          <w:shd w:val="clear" w:color="auto" w:fill="FFFFFF"/>
        </w:rPr>
        <w:t>. Washington: Centre of Universal Education</w:t>
      </w:r>
      <w:r w:rsidR="00F341DD" w:rsidRPr="005B0F5E">
        <w:rPr>
          <w:rFonts w:cstheme="minorHAnsi"/>
          <w:color w:val="000000"/>
          <w:sz w:val="24"/>
          <w:szCs w:val="24"/>
          <w:shd w:val="clear" w:color="auto" w:fill="FFFFFF"/>
        </w:rPr>
        <w:t>, 20-24.</w:t>
      </w:r>
    </w:p>
    <w:p w14:paraId="2DA94B61" w14:textId="77777777" w:rsidR="00364253" w:rsidRPr="005B0F5E" w:rsidRDefault="00364253" w:rsidP="005B0F5E">
      <w:pPr>
        <w:rPr>
          <w:rFonts w:cstheme="minorHAnsi"/>
          <w:sz w:val="24"/>
          <w:szCs w:val="24"/>
          <w:u w:val="single"/>
        </w:rPr>
      </w:pPr>
      <w:r w:rsidRPr="005B0F5E">
        <w:rPr>
          <w:rFonts w:cstheme="minorHAnsi"/>
          <w:color w:val="000000"/>
          <w:sz w:val="24"/>
          <w:szCs w:val="24"/>
          <w:shd w:val="clear" w:color="auto" w:fill="FFFFFF"/>
        </w:rPr>
        <w:t>Collins, J. and Foley, P., 2008. </w:t>
      </w:r>
      <w:r w:rsidRPr="005B0F5E">
        <w:rPr>
          <w:rFonts w:cstheme="minorHAnsi"/>
          <w:i/>
          <w:iCs/>
          <w:color w:val="000000"/>
          <w:sz w:val="24"/>
          <w:szCs w:val="24"/>
          <w:shd w:val="clear" w:color="auto" w:fill="FFFFFF"/>
        </w:rPr>
        <w:t>Promoting children's wellbeing</w:t>
      </w:r>
      <w:r w:rsidRPr="005B0F5E">
        <w:rPr>
          <w:rFonts w:cstheme="minorHAnsi"/>
          <w:color w:val="000000"/>
          <w:sz w:val="24"/>
          <w:szCs w:val="24"/>
          <w:shd w:val="clear" w:color="auto" w:fill="FFFFFF"/>
        </w:rPr>
        <w:t xml:space="preserve">. 1st ed. Bristol: Policy Press, p.242. </w:t>
      </w:r>
    </w:p>
    <w:p w14:paraId="5D06C522" w14:textId="18FA8F29" w:rsidR="000824C0" w:rsidRPr="005B0F5E" w:rsidRDefault="00364253" w:rsidP="005B0F5E">
      <w:pPr>
        <w:pStyle w:val="NormalWeb"/>
        <w:spacing w:before="0" w:beforeAutospacing="0" w:after="0" w:afterAutospacing="0"/>
        <w:rPr>
          <w:rFonts w:asciiTheme="minorHAnsi" w:hAnsiTheme="minorHAnsi" w:cstheme="minorHAnsi"/>
          <w:color w:val="000000"/>
          <w:shd w:val="clear" w:color="auto" w:fill="FFFFFF"/>
        </w:rPr>
      </w:pPr>
      <w:r w:rsidRPr="005B0F5E">
        <w:rPr>
          <w:rFonts w:asciiTheme="minorHAnsi" w:hAnsiTheme="minorHAnsi" w:cstheme="minorHAnsi"/>
          <w:color w:val="000000"/>
          <w:shd w:val="clear" w:color="auto" w:fill="FFFFFF"/>
        </w:rPr>
        <w:t>Cregan, K. and Cuthbert, D., 2014. </w:t>
      </w:r>
      <w:r w:rsidRPr="005B0F5E">
        <w:rPr>
          <w:rFonts w:asciiTheme="minorHAnsi" w:hAnsiTheme="minorHAnsi" w:cstheme="minorHAnsi"/>
          <w:i/>
          <w:iCs/>
          <w:color w:val="000000"/>
          <w:shd w:val="clear" w:color="auto" w:fill="FFFFFF"/>
        </w:rPr>
        <w:t>Global childhoods</w:t>
      </w:r>
      <w:r w:rsidRPr="005B0F5E">
        <w:rPr>
          <w:rFonts w:asciiTheme="minorHAnsi" w:hAnsiTheme="minorHAnsi" w:cstheme="minorHAnsi"/>
          <w:color w:val="000000"/>
          <w:shd w:val="clear" w:color="auto" w:fill="FFFFFF"/>
        </w:rPr>
        <w:t>. 1st ed. London: Sage</w:t>
      </w:r>
      <w:r w:rsidR="00F341DD" w:rsidRPr="005B0F5E">
        <w:rPr>
          <w:rFonts w:asciiTheme="minorHAnsi" w:hAnsiTheme="minorHAnsi" w:cstheme="minorHAnsi"/>
          <w:color w:val="000000"/>
          <w:shd w:val="clear" w:color="auto" w:fill="FFFFFF"/>
        </w:rPr>
        <w:t>, 63-112.</w:t>
      </w:r>
    </w:p>
    <w:p w14:paraId="1EFEE3B5" w14:textId="77777777" w:rsidR="000824C0" w:rsidRPr="005B0F5E" w:rsidRDefault="000824C0" w:rsidP="005B0F5E">
      <w:pPr>
        <w:pStyle w:val="NormalWeb"/>
        <w:spacing w:before="0" w:beforeAutospacing="0" w:after="0" w:afterAutospacing="0"/>
        <w:rPr>
          <w:rFonts w:asciiTheme="minorHAnsi" w:hAnsiTheme="minorHAnsi" w:cstheme="minorHAnsi"/>
          <w:color w:val="000000"/>
          <w:shd w:val="clear" w:color="auto" w:fill="FFFFFF"/>
        </w:rPr>
      </w:pPr>
    </w:p>
    <w:p w14:paraId="1E8007AD" w14:textId="6E8B358B" w:rsidR="000824C0" w:rsidRPr="005B0F5E" w:rsidRDefault="000824C0" w:rsidP="005B0F5E">
      <w:pPr>
        <w:pStyle w:val="NormalWeb"/>
        <w:spacing w:before="0" w:beforeAutospacing="0" w:after="0" w:afterAutospacing="0"/>
        <w:rPr>
          <w:rFonts w:asciiTheme="minorHAnsi" w:hAnsiTheme="minorHAnsi" w:cstheme="minorHAnsi"/>
        </w:rPr>
      </w:pPr>
      <w:r w:rsidRPr="005B0F5E">
        <w:rPr>
          <w:rFonts w:asciiTheme="minorHAnsi" w:eastAsiaTheme="minorEastAsia" w:hAnsiTheme="minorHAnsi" w:cstheme="minorHAnsi"/>
          <w:color w:val="000000"/>
          <w:kern w:val="24"/>
        </w:rPr>
        <w:t>Donaldson, G., 2015. </w:t>
      </w:r>
      <w:r w:rsidRPr="005B0F5E">
        <w:rPr>
          <w:rFonts w:asciiTheme="minorHAnsi" w:eastAsiaTheme="minorEastAsia" w:hAnsiTheme="minorHAnsi" w:cstheme="minorHAnsi"/>
          <w:i/>
          <w:iCs/>
          <w:color w:val="000000"/>
          <w:kern w:val="24"/>
        </w:rPr>
        <w:t>Successful Futures: Independent Review of the Curriculum and Assessment Arrangements in Wales</w:t>
      </w:r>
      <w:r w:rsidRPr="005B0F5E">
        <w:rPr>
          <w:rFonts w:asciiTheme="minorHAnsi" w:eastAsiaTheme="minorEastAsia" w:hAnsiTheme="minorHAnsi" w:cstheme="minorHAnsi"/>
          <w:color w:val="000000"/>
          <w:kern w:val="24"/>
        </w:rPr>
        <w:t>. [online] London: Crown. Available at: &lt;https://gov.wales/sites/default/files/publications/2018-03/successful-futures.pdf&gt; [Accessed 4 March 2022]</w:t>
      </w:r>
      <w:r w:rsidRPr="005B0F5E">
        <w:rPr>
          <w:rFonts w:asciiTheme="minorHAnsi" w:eastAsiaTheme="minorEastAsia" w:hAnsiTheme="minorHAnsi" w:cstheme="minorHAnsi"/>
          <w:color w:val="000000"/>
          <w:kern w:val="24"/>
        </w:rPr>
        <w:t>, p.115.</w:t>
      </w:r>
    </w:p>
    <w:p w14:paraId="1B593649" w14:textId="77777777" w:rsidR="005B0F5E" w:rsidRPr="005B0F5E" w:rsidRDefault="005B0F5E" w:rsidP="005B0F5E">
      <w:pPr>
        <w:rPr>
          <w:rFonts w:cstheme="minorHAnsi"/>
          <w:color w:val="000000"/>
          <w:sz w:val="24"/>
          <w:szCs w:val="24"/>
          <w:shd w:val="clear" w:color="auto" w:fill="FFFFFF"/>
        </w:rPr>
      </w:pPr>
    </w:p>
    <w:p w14:paraId="11DEABB0" w14:textId="12AD3F11" w:rsidR="00B80C9B" w:rsidRPr="005B0F5E" w:rsidRDefault="00FE0310" w:rsidP="005B0F5E">
      <w:pPr>
        <w:rPr>
          <w:rFonts w:cstheme="minorHAnsi"/>
          <w:color w:val="000000"/>
          <w:sz w:val="24"/>
          <w:szCs w:val="24"/>
          <w:shd w:val="clear" w:color="auto" w:fill="FFFFFF"/>
        </w:rPr>
      </w:pPr>
      <w:r w:rsidRPr="005B0F5E">
        <w:rPr>
          <w:rFonts w:cstheme="minorHAnsi"/>
          <w:color w:val="000000"/>
          <w:sz w:val="24"/>
          <w:szCs w:val="24"/>
          <w:shd w:val="clear" w:color="auto" w:fill="FFFFFF"/>
        </w:rPr>
        <w:t>Early Years Educator. 2015. </w:t>
      </w:r>
      <w:r w:rsidRPr="005B0F5E">
        <w:rPr>
          <w:rFonts w:cstheme="minorHAnsi"/>
          <w:i/>
          <w:iCs/>
          <w:color w:val="000000"/>
          <w:sz w:val="24"/>
          <w:szCs w:val="24"/>
          <w:shd w:val="clear" w:color="auto" w:fill="FFFFFF"/>
        </w:rPr>
        <w:t>Early education in Kenya</w:t>
      </w:r>
      <w:r w:rsidRPr="005B0F5E">
        <w:rPr>
          <w:rFonts w:cstheme="minorHAnsi"/>
          <w:color w:val="000000"/>
          <w:sz w:val="24"/>
          <w:szCs w:val="24"/>
          <w:shd w:val="clear" w:color="auto" w:fill="FFFFFF"/>
        </w:rPr>
        <w:t>. [online] Available at: &lt;https://www.earlyyearseducator.co.uk/features/article/early-education-in-kenya&gt; [Accessed 21 February 2022], p.1.</w:t>
      </w:r>
    </w:p>
    <w:p w14:paraId="52BD9BEF" w14:textId="0B455F0A" w:rsidR="00364253" w:rsidRPr="005B0F5E" w:rsidRDefault="00B80C9B" w:rsidP="005B0F5E">
      <w:pPr>
        <w:rPr>
          <w:rFonts w:cstheme="minorHAnsi"/>
          <w:color w:val="000000"/>
          <w:sz w:val="24"/>
          <w:szCs w:val="24"/>
          <w:shd w:val="clear" w:color="auto" w:fill="FFFFFF"/>
        </w:rPr>
      </w:pPr>
      <w:r w:rsidRPr="005B0F5E">
        <w:rPr>
          <w:rFonts w:cstheme="minorHAnsi"/>
          <w:color w:val="000000"/>
          <w:sz w:val="24"/>
          <w:szCs w:val="24"/>
          <w:shd w:val="clear" w:color="auto" w:fill="FFFFFF"/>
        </w:rPr>
        <w:t xml:space="preserve">Faulkner, E. and </w:t>
      </w:r>
      <w:proofErr w:type="spellStart"/>
      <w:r w:rsidRPr="005B0F5E">
        <w:rPr>
          <w:rFonts w:cstheme="minorHAnsi"/>
          <w:color w:val="000000"/>
          <w:sz w:val="24"/>
          <w:szCs w:val="24"/>
          <w:shd w:val="clear" w:color="auto" w:fill="FFFFFF"/>
        </w:rPr>
        <w:t>Nyamutata</w:t>
      </w:r>
      <w:proofErr w:type="spellEnd"/>
      <w:r w:rsidRPr="005B0F5E">
        <w:rPr>
          <w:rFonts w:cstheme="minorHAnsi"/>
          <w:color w:val="000000"/>
          <w:sz w:val="24"/>
          <w:szCs w:val="24"/>
          <w:shd w:val="clear" w:color="auto" w:fill="FFFFFF"/>
        </w:rPr>
        <w:t>, C., 2020. The Decolonisation of Children’s Rights and the Colonial Contours of the Convention on the Rights of the Child. </w:t>
      </w:r>
      <w:r w:rsidRPr="005B0F5E">
        <w:rPr>
          <w:rFonts w:cstheme="minorHAnsi"/>
          <w:i/>
          <w:iCs/>
          <w:color w:val="000000"/>
          <w:sz w:val="24"/>
          <w:szCs w:val="24"/>
          <w:shd w:val="clear" w:color="auto" w:fill="FFFFFF"/>
        </w:rPr>
        <w:t>The International Journal of Children’s Rights</w:t>
      </w:r>
      <w:r w:rsidRPr="005B0F5E">
        <w:rPr>
          <w:rFonts w:cstheme="minorHAnsi"/>
          <w:color w:val="000000"/>
          <w:sz w:val="24"/>
          <w:szCs w:val="24"/>
          <w:shd w:val="clear" w:color="auto" w:fill="FFFFFF"/>
        </w:rPr>
        <w:t xml:space="preserve">, [online] 28(1), pp.66-88. Available at: </w:t>
      </w:r>
      <w:hyperlink r:id="rId6" w:history="1">
        <w:r w:rsidR="00F341DD" w:rsidRPr="005B0F5E">
          <w:rPr>
            <w:rStyle w:val="Hyperlink"/>
            <w:rFonts w:cstheme="minorHAnsi"/>
            <w:sz w:val="24"/>
            <w:szCs w:val="24"/>
            <w:shd w:val="clear" w:color="auto" w:fill="FFFFFF"/>
          </w:rPr>
          <w:t>https://hull-repository.worktribe.com/output/3469510/the-decolonisation-of-childrens-rights-and-the-colonial-contours-of-the-convention-on-the-rights-of-the-child</w:t>
        </w:r>
      </w:hyperlink>
      <w:r w:rsidR="00F341DD" w:rsidRPr="005B0F5E">
        <w:rPr>
          <w:rFonts w:cstheme="minorHAnsi"/>
          <w:color w:val="000000"/>
          <w:sz w:val="24"/>
          <w:szCs w:val="24"/>
          <w:shd w:val="clear" w:color="auto" w:fill="FFFFFF"/>
        </w:rPr>
        <w:t>, 69-79.</w:t>
      </w:r>
    </w:p>
    <w:p w14:paraId="0F533023" w14:textId="77777777" w:rsidR="00F474EE" w:rsidRPr="005B0F5E" w:rsidRDefault="00364253" w:rsidP="005B0F5E">
      <w:pPr>
        <w:rPr>
          <w:rFonts w:cstheme="minorHAnsi"/>
          <w:color w:val="000000"/>
          <w:sz w:val="24"/>
          <w:szCs w:val="24"/>
          <w:shd w:val="clear" w:color="auto" w:fill="FFFFFF"/>
        </w:rPr>
      </w:pPr>
      <w:r w:rsidRPr="005B0F5E">
        <w:rPr>
          <w:rFonts w:cstheme="minorHAnsi"/>
          <w:color w:val="000000"/>
          <w:sz w:val="24"/>
          <w:szCs w:val="24"/>
          <w:shd w:val="clear" w:color="auto" w:fill="FFFFFF"/>
        </w:rPr>
        <w:t>Fosci, M., Loffreda, L., Chamberlain, A. and Naidoo, N., 2019. </w:t>
      </w:r>
      <w:r w:rsidRPr="005B0F5E">
        <w:rPr>
          <w:rFonts w:cstheme="minorHAnsi"/>
          <w:i/>
          <w:iCs/>
          <w:color w:val="000000"/>
          <w:sz w:val="24"/>
          <w:szCs w:val="24"/>
          <w:shd w:val="clear" w:color="auto" w:fill="FFFFFF"/>
        </w:rPr>
        <w:t>Assessing the Needs of the Research System in Kenya</w:t>
      </w:r>
      <w:r w:rsidRPr="005B0F5E">
        <w:rPr>
          <w:rFonts w:cstheme="minorHAnsi"/>
          <w:color w:val="000000"/>
          <w:sz w:val="24"/>
          <w:szCs w:val="24"/>
          <w:shd w:val="clear" w:color="auto" w:fill="FFFFFF"/>
        </w:rPr>
        <w:t>. [online] The UK Department for International Development. Available at: &lt;https://assets.publishing.service.gov.uk/media/5ef4acb5d3bf7f7145b21a22/NA_report_Kenya__Dec_2019_Heart_.pdf&gt; [Accessed 3 February 2022], p.8-9</w:t>
      </w:r>
      <w:r w:rsidR="006B0739" w:rsidRPr="005B0F5E">
        <w:rPr>
          <w:rFonts w:cstheme="minorHAnsi"/>
          <w:color w:val="000000"/>
          <w:sz w:val="24"/>
          <w:szCs w:val="24"/>
          <w:shd w:val="clear" w:color="auto" w:fill="FFFFFF"/>
        </w:rPr>
        <w:t>.</w:t>
      </w:r>
      <w:r w:rsidR="00F474EE" w:rsidRPr="005B0F5E">
        <w:rPr>
          <w:rFonts w:cstheme="minorHAnsi"/>
          <w:color w:val="000000"/>
          <w:sz w:val="24"/>
          <w:szCs w:val="24"/>
          <w:shd w:val="clear" w:color="auto" w:fill="FFFFFF"/>
        </w:rPr>
        <w:t xml:space="preserve"> </w:t>
      </w:r>
    </w:p>
    <w:p w14:paraId="3A678CD9" w14:textId="1FA28FC7" w:rsidR="008F4780" w:rsidRPr="005B0F5E" w:rsidRDefault="00F474EE" w:rsidP="005B0F5E">
      <w:pPr>
        <w:rPr>
          <w:rFonts w:cstheme="minorHAnsi"/>
          <w:color w:val="000000"/>
          <w:sz w:val="24"/>
          <w:szCs w:val="24"/>
          <w:shd w:val="clear" w:color="auto" w:fill="FFFFFF"/>
        </w:rPr>
      </w:pPr>
      <w:r w:rsidRPr="005B0F5E">
        <w:rPr>
          <w:rFonts w:cstheme="minorHAnsi"/>
          <w:color w:val="000000"/>
          <w:sz w:val="24"/>
          <w:szCs w:val="24"/>
          <w:shd w:val="clear" w:color="auto" w:fill="FFFFFF"/>
        </w:rPr>
        <w:t>Friedrich, J., Ge, M. and Pickens, A., 2021. </w:t>
      </w:r>
      <w:r w:rsidRPr="005B0F5E">
        <w:rPr>
          <w:rFonts w:cstheme="minorHAnsi"/>
          <w:i/>
          <w:iCs/>
          <w:color w:val="000000"/>
          <w:sz w:val="24"/>
          <w:szCs w:val="24"/>
          <w:shd w:val="clear" w:color="auto" w:fill="FFFFFF"/>
        </w:rPr>
        <w:t>This Interactive Chart Shows Changes in the World's Top 10 Emitters</w:t>
      </w:r>
      <w:r w:rsidRPr="005B0F5E">
        <w:rPr>
          <w:rFonts w:cstheme="minorHAnsi"/>
          <w:color w:val="000000"/>
          <w:sz w:val="24"/>
          <w:szCs w:val="24"/>
          <w:shd w:val="clear" w:color="auto" w:fill="FFFFFF"/>
        </w:rPr>
        <w:t xml:space="preserve">. [online] World Resources Institute. Available at: </w:t>
      </w:r>
      <w:r w:rsidRPr="005B0F5E">
        <w:rPr>
          <w:rFonts w:cstheme="minorHAnsi"/>
          <w:color w:val="000000"/>
          <w:sz w:val="24"/>
          <w:szCs w:val="24"/>
          <w:shd w:val="clear" w:color="auto" w:fill="FFFFFF"/>
        </w:rPr>
        <w:lastRenderedPageBreak/>
        <w:t>&lt;https://www.wri.org/insights/interactive-chart-shows-changes-worlds-top-10-emitters&gt; [Accessed 6 March 2022]</w:t>
      </w:r>
      <w:r w:rsidRPr="005B0F5E">
        <w:rPr>
          <w:rFonts w:cstheme="minorHAnsi"/>
          <w:color w:val="000000"/>
          <w:sz w:val="24"/>
          <w:szCs w:val="24"/>
          <w:shd w:val="clear" w:color="auto" w:fill="FFFFFF"/>
        </w:rPr>
        <w:t>, p.1.</w:t>
      </w:r>
    </w:p>
    <w:p w14:paraId="331D7420" w14:textId="7F5BBD73" w:rsidR="00006032" w:rsidRPr="005B0F5E" w:rsidRDefault="008F4780" w:rsidP="005B0F5E">
      <w:pPr>
        <w:rPr>
          <w:rFonts w:cstheme="minorHAnsi"/>
          <w:color w:val="000000"/>
          <w:sz w:val="24"/>
          <w:szCs w:val="24"/>
          <w:shd w:val="clear" w:color="auto" w:fill="FFFFFF"/>
        </w:rPr>
      </w:pPr>
      <w:r w:rsidRPr="005B0F5E">
        <w:rPr>
          <w:rFonts w:cstheme="minorHAnsi"/>
          <w:color w:val="000000"/>
          <w:sz w:val="24"/>
          <w:szCs w:val="24"/>
          <w:shd w:val="clear" w:color="auto" w:fill="FFFFFF"/>
        </w:rPr>
        <w:t xml:space="preserve">Gray, C. and </w:t>
      </w:r>
      <w:proofErr w:type="spellStart"/>
      <w:r w:rsidRPr="005B0F5E">
        <w:rPr>
          <w:rFonts w:cstheme="minorHAnsi"/>
          <w:color w:val="000000"/>
          <w:sz w:val="24"/>
          <w:szCs w:val="24"/>
          <w:shd w:val="clear" w:color="auto" w:fill="FFFFFF"/>
        </w:rPr>
        <w:t>Ma</w:t>
      </w:r>
      <w:r w:rsidRPr="005B0F5E">
        <w:rPr>
          <w:rFonts w:cstheme="minorHAnsi"/>
          <w:color w:val="000000"/>
          <w:sz w:val="24"/>
          <w:szCs w:val="24"/>
          <w:shd w:val="clear" w:color="auto" w:fill="FFFFFF"/>
        </w:rPr>
        <w:t>cb</w:t>
      </w:r>
      <w:r w:rsidRPr="005B0F5E">
        <w:rPr>
          <w:rFonts w:cstheme="minorHAnsi"/>
          <w:color w:val="000000"/>
          <w:sz w:val="24"/>
          <w:szCs w:val="24"/>
          <w:shd w:val="clear" w:color="auto" w:fill="FFFFFF"/>
        </w:rPr>
        <w:t>lain</w:t>
      </w:r>
      <w:proofErr w:type="spellEnd"/>
      <w:r w:rsidRPr="005B0F5E">
        <w:rPr>
          <w:rFonts w:cstheme="minorHAnsi"/>
          <w:color w:val="000000"/>
          <w:sz w:val="24"/>
          <w:szCs w:val="24"/>
          <w:shd w:val="clear" w:color="auto" w:fill="FFFFFF"/>
        </w:rPr>
        <w:t>, S., 2014. </w:t>
      </w:r>
      <w:r w:rsidRPr="005B0F5E">
        <w:rPr>
          <w:rFonts w:cstheme="minorHAnsi"/>
          <w:i/>
          <w:iCs/>
          <w:color w:val="000000"/>
          <w:sz w:val="24"/>
          <w:szCs w:val="24"/>
          <w:shd w:val="clear" w:color="auto" w:fill="FFFFFF"/>
        </w:rPr>
        <w:t>Children's learning in early childhood</w:t>
      </w:r>
      <w:r w:rsidRPr="005B0F5E">
        <w:rPr>
          <w:rFonts w:cstheme="minorHAnsi"/>
          <w:color w:val="000000"/>
          <w:sz w:val="24"/>
          <w:szCs w:val="24"/>
          <w:shd w:val="clear" w:color="auto" w:fill="FFFFFF"/>
        </w:rPr>
        <w:t>. 1st ed. London: Sage, p.77.</w:t>
      </w:r>
      <w:r w:rsidR="00006032" w:rsidRPr="005B0F5E">
        <w:rPr>
          <w:rFonts w:cstheme="minorHAnsi"/>
          <w:color w:val="000000"/>
          <w:sz w:val="24"/>
          <w:szCs w:val="24"/>
          <w:shd w:val="clear" w:color="auto" w:fill="FFFFFF"/>
        </w:rPr>
        <w:t xml:space="preserve"> </w:t>
      </w:r>
    </w:p>
    <w:p w14:paraId="7D0DE737" w14:textId="790B64EA" w:rsidR="000C6EBE" w:rsidRPr="005B0F5E" w:rsidRDefault="00006032" w:rsidP="005B0F5E">
      <w:pPr>
        <w:rPr>
          <w:rFonts w:cstheme="minorHAnsi"/>
          <w:color w:val="000000"/>
          <w:sz w:val="24"/>
          <w:szCs w:val="24"/>
          <w:shd w:val="clear" w:color="auto" w:fill="FFFFFF"/>
        </w:rPr>
      </w:pPr>
      <w:r w:rsidRPr="005B0F5E">
        <w:rPr>
          <w:rFonts w:cstheme="minorHAnsi"/>
          <w:color w:val="000000"/>
          <w:sz w:val="24"/>
          <w:szCs w:val="24"/>
          <w:shd w:val="clear" w:color="auto" w:fill="FFFFFF"/>
        </w:rPr>
        <w:t>Institute of Development Studies, 2020. </w:t>
      </w:r>
      <w:r w:rsidRPr="005B0F5E">
        <w:rPr>
          <w:rFonts w:cstheme="minorHAnsi"/>
          <w:i/>
          <w:iCs/>
          <w:color w:val="000000"/>
          <w:sz w:val="24"/>
          <w:szCs w:val="24"/>
          <w:shd w:val="clear" w:color="auto" w:fill="FFFFFF"/>
        </w:rPr>
        <w:t>Disability Inclusive Development Kenya Situational Analysis June 2020 update</w:t>
      </w:r>
      <w:r w:rsidRPr="005B0F5E">
        <w:rPr>
          <w:rFonts w:cstheme="minorHAnsi"/>
          <w:color w:val="000000"/>
          <w:sz w:val="24"/>
          <w:szCs w:val="24"/>
          <w:shd w:val="clear" w:color="auto" w:fill="FFFFFF"/>
        </w:rPr>
        <w:t>. [online] London: Institute of Development Studies. Available at: &lt;https://opendocs.ids.ac.uk/opendocs/bitstream/handle/20.500.12413/15508/DID%20Kenya%20SITAN_June%202020.pdf?sequence=1&amp;isAllowed=y&gt; [Accessed 6 March 2022]</w:t>
      </w:r>
      <w:r w:rsidRPr="005B0F5E">
        <w:rPr>
          <w:rFonts w:cstheme="minorHAnsi"/>
          <w:color w:val="000000"/>
          <w:sz w:val="24"/>
          <w:szCs w:val="24"/>
          <w:shd w:val="clear" w:color="auto" w:fill="FFFFFF"/>
        </w:rPr>
        <w:t xml:space="preserve">, </w:t>
      </w:r>
      <w:r w:rsidR="009A520C" w:rsidRPr="005B0F5E">
        <w:rPr>
          <w:rFonts w:cstheme="minorHAnsi"/>
          <w:color w:val="000000"/>
          <w:sz w:val="24"/>
          <w:szCs w:val="24"/>
          <w:shd w:val="clear" w:color="auto" w:fill="FFFFFF"/>
        </w:rPr>
        <w:t>p.5.</w:t>
      </w:r>
    </w:p>
    <w:p w14:paraId="3622C963" w14:textId="6C17739C" w:rsidR="006B0739" w:rsidRPr="005B0F5E" w:rsidRDefault="000C6EBE" w:rsidP="005B0F5E">
      <w:pPr>
        <w:rPr>
          <w:rFonts w:cstheme="minorHAnsi"/>
          <w:color w:val="000000"/>
          <w:sz w:val="24"/>
          <w:szCs w:val="24"/>
          <w:shd w:val="clear" w:color="auto" w:fill="FFFFFF"/>
        </w:rPr>
      </w:pPr>
      <w:r w:rsidRPr="005B0F5E">
        <w:rPr>
          <w:rFonts w:cstheme="minorHAnsi"/>
          <w:color w:val="000000"/>
          <w:sz w:val="24"/>
          <w:szCs w:val="24"/>
          <w:shd w:val="clear" w:color="auto" w:fill="FFFFFF"/>
        </w:rPr>
        <w:t xml:space="preserve"> Jacobs, J., 2020. </w:t>
      </w:r>
      <w:r w:rsidRPr="005B0F5E">
        <w:rPr>
          <w:rFonts w:cstheme="minorHAnsi"/>
          <w:i/>
          <w:iCs/>
          <w:color w:val="000000"/>
          <w:sz w:val="24"/>
          <w:szCs w:val="24"/>
          <w:shd w:val="clear" w:color="auto" w:fill="FFFFFF"/>
        </w:rPr>
        <w:t>Why Is Rostow's Stages of Growth Development Model Often Criticized?</w:t>
      </w:r>
      <w:r w:rsidRPr="005B0F5E">
        <w:rPr>
          <w:rFonts w:cstheme="minorHAnsi"/>
          <w:color w:val="000000"/>
          <w:sz w:val="24"/>
          <w:szCs w:val="24"/>
          <w:shd w:val="clear" w:color="auto" w:fill="FFFFFF"/>
        </w:rPr>
        <w:t xml:space="preserve"> [online] ThoughtCo. Available at: &lt;https://www.thoughtco.com/rostows-stages-of-growth-development-model-1434564#:~:text=Rostow's%20theory%20can%20be%20classified,a%20country%20as%20a%20whole.&amp;text=Rostow%20assumes%20that%20all%20countries,%2C%20natural%20resources%2C%20or%20location.&gt; [Accessed 21 February 2022], p.1.</w:t>
      </w:r>
    </w:p>
    <w:p w14:paraId="408A023F" w14:textId="77777777" w:rsidR="00906000" w:rsidRPr="005B0F5E" w:rsidRDefault="006B0739" w:rsidP="005B0F5E">
      <w:pPr>
        <w:rPr>
          <w:rFonts w:cstheme="minorHAnsi"/>
          <w:color w:val="000000"/>
          <w:sz w:val="24"/>
          <w:szCs w:val="24"/>
          <w:shd w:val="clear" w:color="auto" w:fill="FFFFFF"/>
        </w:rPr>
      </w:pPr>
      <w:r w:rsidRPr="005B0F5E">
        <w:rPr>
          <w:rFonts w:cstheme="minorHAnsi"/>
          <w:color w:val="000000"/>
          <w:sz w:val="24"/>
          <w:szCs w:val="24"/>
          <w:shd w:val="clear" w:color="auto" w:fill="FFFFFF"/>
        </w:rPr>
        <w:t xml:space="preserve"> Joining Forces for all Children, 2021. </w:t>
      </w:r>
      <w:r w:rsidRPr="005B0F5E">
        <w:rPr>
          <w:rFonts w:cstheme="minorHAnsi"/>
          <w:i/>
          <w:iCs/>
          <w:color w:val="000000"/>
          <w:sz w:val="24"/>
          <w:szCs w:val="24"/>
          <w:shd w:val="clear" w:color="auto" w:fill="FFFFFF"/>
        </w:rPr>
        <w:t>Protecting Children During the Covid-19 Crisis and Beyond: A Report on Child Protection needs during the Pandemic in Five African Countries</w:t>
      </w:r>
      <w:r w:rsidRPr="005B0F5E">
        <w:rPr>
          <w:rFonts w:cstheme="minorHAnsi"/>
          <w:color w:val="000000"/>
          <w:sz w:val="24"/>
          <w:szCs w:val="24"/>
          <w:shd w:val="clear" w:color="auto" w:fill="FFFFFF"/>
        </w:rPr>
        <w:t>. [online] Joining Forces for all Children. Available at: &lt;https://joining-forces.org/wp-content/uploads/2021/09/Protecting-children-during-the-COVID-19-crisis-and-beyond.pdf&gt; [Accessed 10 February 2022], p.22).</w:t>
      </w:r>
      <w:r w:rsidR="00915447" w:rsidRPr="005B0F5E">
        <w:rPr>
          <w:rFonts w:cstheme="minorHAnsi"/>
          <w:color w:val="000000"/>
          <w:sz w:val="24"/>
          <w:szCs w:val="24"/>
          <w:shd w:val="clear" w:color="auto" w:fill="FFFFFF"/>
        </w:rPr>
        <w:t xml:space="preserve"> </w:t>
      </w:r>
    </w:p>
    <w:p w14:paraId="67CAF774" w14:textId="78CD47B1" w:rsidR="008A4469" w:rsidRPr="005B0F5E" w:rsidRDefault="00915447" w:rsidP="005B0F5E">
      <w:pPr>
        <w:rPr>
          <w:rFonts w:cstheme="minorHAnsi"/>
          <w:color w:val="000000"/>
          <w:sz w:val="24"/>
          <w:szCs w:val="24"/>
          <w:shd w:val="clear" w:color="auto" w:fill="FFFFFF"/>
        </w:rPr>
      </w:pPr>
      <w:r w:rsidRPr="005B0F5E">
        <w:rPr>
          <w:rFonts w:cstheme="minorHAnsi"/>
          <w:color w:val="000000"/>
          <w:sz w:val="24"/>
          <w:szCs w:val="24"/>
          <w:shd w:val="clear" w:color="auto" w:fill="FFFFFF"/>
        </w:rPr>
        <w:t>Karner, V., 2018. </w:t>
      </w:r>
      <w:r w:rsidRPr="005B0F5E">
        <w:rPr>
          <w:rFonts w:cstheme="minorHAnsi"/>
          <w:i/>
          <w:iCs/>
          <w:color w:val="000000"/>
          <w:sz w:val="24"/>
          <w:szCs w:val="24"/>
          <w:shd w:val="clear" w:color="auto" w:fill="FFFFFF"/>
        </w:rPr>
        <w:t>The Impact of Globalisation on Education in Sub-Saharan Africa</w:t>
      </w:r>
      <w:r w:rsidRPr="005B0F5E">
        <w:rPr>
          <w:rFonts w:cstheme="minorHAnsi"/>
          <w:color w:val="000000"/>
          <w:sz w:val="24"/>
          <w:szCs w:val="24"/>
          <w:shd w:val="clear" w:color="auto" w:fill="FFFFFF"/>
        </w:rPr>
        <w:t>. [online] Centrum3.at.Available</w:t>
      </w:r>
      <w:r w:rsidR="000E1351" w:rsidRPr="005B0F5E">
        <w:rPr>
          <w:rFonts w:cstheme="minorHAnsi"/>
          <w:color w:val="000000"/>
          <w:sz w:val="24"/>
          <w:szCs w:val="24"/>
          <w:shd w:val="clear" w:color="auto" w:fill="FFFFFF"/>
        </w:rPr>
        <w:t xml:space="preserve"> </w:t>
      </w:r>
      <w:r w:rsidRPr="005B0F5E">
        <w:rPr>
          <w:rFonts w:cstheme="minorHAnsi"/>
          <w:color w:val="000000"/>
          <w:sz w:val="24"/>
          <w:szCs w:val="24"/>
          <w:shd w:val="clear" w:color="auto" w:fill="FFFFFF"/>
        </w:rPr>
        <w:t>at: &lt;https://www.centrum3.at/fileadmin/downloads/VWA/2018/VWA_Karner_The_Impact_of_Globalisation_on_Education_in_Sub-Saharan_Africa.pdf&gt; [Accessed 20 February 2022]</w:t>
      </w:r>
      <w:r w:rsidR="00F341DD" w:rsidRPr="005B0F5E">
        <w:rPr>
          <w:rFonts w:cstheme="minorHAnsi"/>
          <w:color w:val="000000"/>
          <w:sz w:val="24"/>
          <w:szCs w:val="24"/>
          <w:shd w:val="clear" w:color="auto" w:fill="FFFFFF"/>
        </w:rPr>
        <w:t>, p.14.</w:t>
      </w:r>
    </w:p>
    <w:p w14:paraId="7FF72A15" w14:textId="6CE88996" w:rsidR="000E1351" w:rsidRPr="005B0F5E" w:rsidRDefault="008A4469" w:rsidP="005B0F5E">
      <w:pPr>
        <w:rPr>
          <w:rFonts w:cstheme="minorHAnsi"/>
          <w:color w:val="000000"/>
          <w:sz w:val="24"/>
          <w:szCs w:val="24"/>
          <w:shd w:val="clear" w:color="auto" w:fill="FFFFFF"/>
        </w:rPr>
      </w:pPr>
      <w:r w:rsidRPr="005B0F5E">
        <w:rPr>
          <w:rFonts w:cstheme="minorHAnsi"/>
          <w:color w:val="000000"/>
          <w:sz w:val="24"/>
          <w:szCs w:val="24"/>
          <w:shd w:val="clear" w:color="auto" w:fill="FFFFFF"/>
        </w:rPr>
        <w:t>Kellie, A., 2019. Apple and Google named in US Lawsuit over Congolese Child Cobalt Mining Deaths. </w:t>
      </w:r>
      <w:r w:rsidRPr="005B0F5E">
        <w:rPr>
          <w:rFonts w:cstheme="minorHAnsi"/>
          <w:i/>
          <w:iCs/>
          <w:color w:val="000000"/>
          <w:sz w:val="24"/>
          <w:szCs w:val="24"/>
          <w:shd w:val="clear" w:color="auto" w:fill="FFFFFF"/>
        </w:rPr>
        <w:t>Guardian</w:t>
      </w:r>
      <w:r w:rsidRPr="005B0F5E">
        <w:rPr>
          <w:rFonts w:cstheme="minorHAnsi"/>
          <w:color w:val="000000"/>
          <w:sz w:val="24"/>
          <w:szCs w:val="24"/>
          <w:shd w:val="clear" w:color="auto" w:fill="FFFFFF"/>
        </w:rPr>
        <w:t>,</w:t>
      </w:r>
      <w:r w:rsidR="000E1351" w:rsidRPr="005B0F5E">
        <w:rPr>
          <w:rFonts w:cstheme="minorHAnsi"/>
          <w:color w:val="000000"/>
          <w:sz w:val="24"/>
          <w:szCs w:val="24"/>
          <w:shd w:val="clear" w:color="auto" w:fill="FFFFFF"/>
        </w:rPr>
        <w:t xml:space="preserve"> </w:t>
      </w:r>
      <w:r w:rsidRPr="005B0F5E">
        <w:rPr>
          <w:rFonts w:cstheme="minorHAnsi"/>
          <w:color w:val="000000"/>
          <w:sz w:val="24"/>
          <w:szCs w:val="24"/>
          <w:shd w:val="clear" w:color="auto" w:fill="FFFFFF"/>
        </w:rPr>
        <w:t>[online] Available at: &lt;https://www.theguardian.com/global-development/2019/dec/16/apple-and-google-named-in-us-lawsuit-over-congolese-child-cobalt-mining-deaths&gt; [Accessed 19 February 2022], p.1.</w:t>
      </w:r>
      <w:r w:rsidR="000E1351" w:rsidRPr="005B0F5E">
        <w:rPr>
          <w:rFonts w:cstheme="minorHAnsi"/>
          <w:color w:val="000000"/>
          <w:sz w:val="24"/>
          <w:szCs w:val="24"/>
          <w:shd w:val="clear" w:color="auto" w:fill="FFFFFF"/>
        </w:rPr>
        <w:t xml:space="preserve"> </w:t>
      </w:r>
    </w:p>
    <w:p w14:paraId="5E0381A8" w14:textId="20901BF5" w:rsidR="00DE11AE" w:rsidRPr="005B0F5E" w:rsidRDefault="000E1351" w:rsidP="005B0F5E">
      <w:pPr>
        <w:rPr>
          <w:rFonts w:cstheme="minorHAnsi"/>
          <w:color w:val="000000"/>
          <w:sz w:val="24"/>
          <w:szCs w:val="24"/>
          <w:shd w:val="clear" w:color="auto" w:fill="FFFFFF"/>
        </w:rPr>
      </w:pPr>
      <w:r w:rsidRPr="005B0F5E">
        <w:rPr>
          <w:rFonts w:cstheme="minorHAnsi"/>
          <w:color w:val="000000"/>
          <w:sz w:val="24"/>
          <w:szCs w:val="24"/>
          <w:shd w:val="clear" w:color="auto" w:fill="FFFFFF"/>
        </w:rPr>
        <w:t>Kenya National Bureau of Statistics, 2017. </w:t>
      </w:r>
      <w:r w:rsidRPr="005B0F5E">
        <w:rPr>
          <w:rFonts w:cstheme="minorHAnsi"/>
          <w:i/>
          <w:iCs/>
          <w:color w:val="000000"/>
          <w:sz w:val="24"/>
          <w:szCs w:val="24"/>
          <w:shd w:val="clear" w:color="auto" w:fill="FFFFFF"/>
        </w:rPr>
        <w:t>Child Poverty Report</w:t>
      </w:r>
      <w:r w:rsidRPr="005B0F5E">
        <w:rPr>
          <w:rFonts w:cstheme="minorHAnsi"/>
          <w:color w:val="000000"/>
          <w:sz w:val="24"/>
          <w:szCs w:val="24"/>
          <w:shd w:val="clear" w:color="auto" w:fill="FFFFFF"/>
        </w:rPr>
        <w:t xml:space="preserve">. [online] Nairobi: </w:t>
      </w:r>
      <w:proofErr w:type="spellStart"/>
      <w:r w:rsidRPr="005B0F5E">
        <w:rPr>
          <w:rFonts w:cstheme="minorHAnsi"/>
          <w:color w:val="000000"/>
          <w:sz w:val="24"/>
          <w:szCs w:val="24"/>
          <w:shd w:val="clear" w:color="auto" w:fill="FFFFFF"/>
        </w:rPr>
        <w:t>KNBoS</w:t>
      </w:r>
      <w:proofErr w:type="spellEnd"/>
      <w:r w:rsidRPr="005B0F5E">
        <w:rPr>
          <w:rFonts w:cstheme="minorHAnsi"/>
          <w:color w:val="000000"/>
          <w:sz w:val="24"/>
          <w:szCs w:val="24"/>
          <w:shd w:val="clear" w:color="auto" w:fill="FFFFFF"/>
        </w:rPr>
        <w:t>. Available at:&lt;https://www.unicef.org/esa/media/1356/file/UNICEF-Kenya-2017-Child-Poverty.pdf&gt; [Accessed 6 March 2022]</w:t>
      </w:r>
      <w:r w:rsidRPr="005B0F5E">
        <w:rPr>
          <w:rFonts w:cstheme="minorHAnsi"/>
          <w:color w:val="000000"/>
          <w:sz w:val="24"/>
          <w:szCs w:val="24"/>
          <w:shd w:val="clear" w:color="auto" w:fill="FFFFFF"/>
        </w:rPr>
        <w:t>, p.8.</w:t>
      </w:r>
    </w:p>
    <w:p w14:paraId="4F13F58B" w14:textId="1F162738" w:rsidR="00364253" w:rsidRPr="005B0F5E" w:rsidRDefault="00DE11AE" w:rsidP="005B0F5E">
      <w:pPr>
        <w:rPr>
          <w:rFonts w:cstheme="minorHAnsi"/>
          <w:color w:val="000000"/>
          <w:sz w:val="24"/>
          <w:szCs w:val="24"/>
          <w:shd w:val="clear" w:color="auto" w:fill="FFFFFF"/>
        </w:rPr>
      </w:pPr>
      <w:r w:rsidRPr="005B0F5E">
        <w:rPr>
          <w:rFonts w:cstheme="minorHAnsi"/>
          <w:color w:val="000000"/>
          <w:sz w:val="24"/>
          <w:szCs w:val="24"/>
          <w:shd w:val="clear" w:color="auto" w:fill="FFFFFF"/>
        </w:rPr>
        <w:t>Kimani, N., 2020. </w:t>
      </w:r>
      <w:r w:rsidRPr="005B0F5E">
        <w:rPr>
          <w:rFonts w:cstheme="minorHAnsi"/>
          <w:i/>
          <w:iCs/>
          <w:color w:val="000000"/>
          <w:sz w:val="24"/>
          <w:szCs w:val="24"/>
          <w:shd w:val="clear" w:color="auto" w:fill="FFFFFF"/>
        </w:rPr>
        <w:t>Meeting the Promise of the 2010Constitution Devolution, Gender and Equality in Kenya</w:t>
      </w:r>
      <w:r w:rsidRPr="005B0F5E">
        <w:rPr>
          <w:rFonts w:cstheme="minorHAnsi"/>
          <w:color w:val="000000"/>
          <w:sz w:val="24"/>
          <w:szCs w:val="24"/>
          <w:shd w:val="clear" w:color="auto" w:fill="FFFFFF"/>
        </w:rPr>
        <w:t>. [online] London: The Royal Institute of International Affairs. Available at: &lt;https://www.chathamhouse.org/sites/default/files/2020-05-07-meeting-promise-2010-constitution-kimani.pdf&gt; [Accessed 6 March 2022]</w:t>
      </w:r>
      <w:r w:rsidRPr="005B0F5E">
        <w:rPr>
          <w:rFonts w:cstheme="minorHAnsi"/>
          <w:color w:val="000000"/>
          <w:sz w:val="24"/>
          <w:szCs w:val="24"/>
          <w:shd w:val="clear" w:color="auto" w:fill="FFFFFF"/>
        </w:rPr>
        <w:t xml:space="preserve">, p.2. </w:t>
      </w:r>
    </w:p>
    <w:p w14:paraId="41711444" w14:textId="716E65DB" w:rsidR="007F6249" w:rsidRPr="005B0F5E" w:rsidRDefault="00364253" w:rsidP="005B0F5E">
      <w:pPr>
        <w:rPr>
          <w:rFonts w:cstheme="minorHAnsi"/>
          <w:color w:val="000000"/>
          <w:sz w:val="24"/>
          <w:szCs w:val="24"/>
          <w:shd w:val="clear" w:color="auto" w:fill="FFFFFF"/>
        </w:rPr>
      </w:pPr>
      <w:r w:rsidRPr="005B0F5E">
        <w:rPr>
          <w:rFonts w:cstheme="minorHAnsi"/>
          <w:color w:val="000000"/>
          <w:sz w:val="24"/>
          <w:szCs w:val="24"/>
          <w:shd w:val="clear" w:color="auto" w:fill="FFFFFF"/>
        </w:rPr>
        <w:t>Kramon, E. and Posner, D., 2011. Kenya's New Constitution. </w:t>
      </w:r>
      <w:r w:rsidRPr="005B0F5E">
        <w:rPr>
          <w:rFonts w:cstheme="minorHAnsi"/>
          <w:i/>
          <w:iCs/>
          <w:color w:val="000000"/>
          <w:sz w:val="24"/>
          <w:szCs w:val="24"/>
          <w:shd w:val="clear" w:color="auto" w:fill="FFFFFF"/>
        </w:rPr>
        <w:t>Journal of Democracy</w:t>
      </w:r>
      <w:r w:rsidRPr="005B0F5E">
        <w:rPr>
          <w:rFonts w:cstheme="minorHAnsi"/>
          <w:color w:val="000000"/>
          <w:sz w:val="24"/>
          <w:szCs w:val="24"/>
          <w:shd w:val="clear" w:color="auto" w:fill="FFFFFF"/>
        </w:rPr>
        <w:t>, 22(2)</w:t>
      </w:r>
      <w:r w:rsidR="00F341DD" w:rsidRPr="005B0F5E">
        <w:rPr>
          <w:rFonts w:cstheme="minorHAnsi"/>
          <w:color w:val="000000"/>
          <w:sz w:val="24"/>
          <w:szCs w:val="24"/>
          <w:shd w:val="clear" w:color="auto" w:fill="FFFFFF"/>
        </w:rPr>
        <w:t>, p.3.</w:t>
      </w:r>
    </w:p>
    <w:p w14:paraId="0F8813BB" w14:textId="77777777" w:rsidR="00483C4F" w:rsidRPr="005B0F5E" w:rsidRDefault="007F6249" w:rsidP="005B0F5E">
      <w:pPr>
        <w:rPr>
          <w:rFonts w:cstheme="minorHAnsi"/>
          <w:color w:val="000000"/>
          <w:sz w:val="24"/>
          <w:szCs w:val="24"/>
          <w:shd w:val="clear" w:color="auto" w:fill="FFFFFF"/>
        </w:rPr>
      </w:pPr>
      <w:r w:rsidRPr="005B0F5E">
        <w:rPr>
          <w:rFonts w:cstheme="minorHAnsi"/>
          <w:color w:val="000000"/>
          <w:sz w:val="24"/>
          <w:szCs w:val="24"/>
          <w:shd w:val="clear" w:color="auto" w:fill="FFFFFF"/>
        </w:rPr>
        <w:lastRenderedPageBreak/>
        <w:t>Kwach, J., 2018. </w:t>
      </w:r>
      <w:r w:rsidRPr="005B0F5E">
        <w:rPr>
          <w:rFonts w:cstheme="minorHAnsi"/>
          <w:i/>
          <w:iCs/>
          <w:color w:val="000000"/>
          <w:sz w:val="24"/>
          <w:szCs w:val="24"/>
          <w:shd w:val="clear" w:color="auto" w:fill="FFFFFF"/>
        </w:rPr>
        <w:t>2-6-6-3 Education System in Kenya Explained</w:t>
      </w:r>
      <w:r w:rsidRPr="005B0F5E">
        <w:rPr>
          <w:rFonts w:cstheme="minorHAnsi"/>
          <w:color w:val="000000"/>
          <w:sz w:val="24"/>
          <w:szCs w:val="24"/>
          <w:shd w:val="clear" w:color="auto" w:fill="FFFFFF"/>
        </w:rPr>
        <w:t xml:space="preserve">. [online] </w:t>
      </w:r>
      <w:proofErr w:type="spellStart"/>
      <w:r w:rsidRPr="005B0F5E">
        <w:rPr>
          <w:rFonts w:cstheme="minorHAnsi"/>
          <w:color w:val="000000"/>
          <w:sz w:val="24"/>
          <w:szCs w:val="24"/>
          <w:shd w:val="clear" w:color="auto" w:fill="FFFFFF"/>
        </w:rPr>
        <w:t>Tuko</w:t>
      </w:r>
      <w:proofErr w:type="spellEnd"/>
      <w:r w:rsidRPr="005B0F5E">
        <w:rPr>
          <w:rFonts w:cstheme="minorHAnsi"/>
          <w:color w:val="000000"/>
          <w:sz w:val="24"/>
          <w:szCs w:val="24"/>
          <w:shd w:val="clear" w:color="auto" w:fill="FFFFFF"/>
        </w:rPr>
        <w:t>. Available at: &lt;https://www.tuko.co.ke/269358-2-6-6-3-education-system-kenya-explained.html&gt; [Accessed 5 March 2022]</w:t>
      </w:r>
      <w:r w:rsidRPr="005B0F5E">
        <w:rPr>
          <w:rFonts w:cstheme="minorHAnsi"/>
          <w:color w:val="000000"/>
          <w:sz w:val="24"/>
          <w:szCs w:val="24"/>
          <w:shd w:val="clear" w:color="auto" w:fill="FFFFFF"/>
        </w:rPr>
        <w:t>, p.1.</w:t>
      </w:r>
    </w:p>
    <w:p w14:paraId="4262DFF1" w14:textId="77777777" w:rsidR="00AA5244" w:rsidRPr="005B0F5E" w:rsidRDefault="00483C4F" w:rsidP="005B0F5E">
      <w:pPr>
        <w:rPr>
          <w:rFonts w:cstheme="minorHAnsi"/>
          <w:color w:val="000000"/>
          <w:sz w:val="24"/>
          <w:szCs w:val="24"/>
          <w:shd w:val="clear" w:color="auto" w:fill="FFFFFF"/>
        </w:rPr>
      </w:pPr>
      <w:r w:rsidRPr="005B0F5E">
        <w:rPr>
          <w:rFonts w:cstheme="minorHAnsi"/>
          <w:color w:val="000000"/>
          <w:sz w:val="24"/>
          <w:szCs w:val="24"/>
          <w:shd w:val="clear" w:color="auto" w:fill="FFFFFF"/>
        </w:rPr>
        <w:t>Lauder, H., Brown, P., Dillabough, J. and Halsey, A., 2006. </w:t>
      </w:r>
      <w:r w:rsidRPr="005B0F5E">
        <w:rPr>
          <w:rFonts w:cstheme="minorHAnsi"/>
          <w:i/>
          <w:iCs/>
          <w:color w:val="000000"/>
          <w:sz w:val="24"/>
          <w:szCs w:val="24"/>
          <w:shd w:val="clear" w:color="auto" w:fill="FFFFFF"/>
        </w:rPr>
        <w:t>Education, globalization, and social change</w:t>
      </w:r>
      <w:r w:rsidRPr="005B0F5E">
        <w:rPr>
          <w:rFonts w:cstheme="minorHAnsi"/>
          <w:color w:val="000000"/>
          <w:sz w:val="24"/>
          <w:szCs w:val="24"/>
          <w:shd w:val="clear" w:color="auto" w:fill="FFFFFF"/>
        </w:rPr>
        <w:t>. 1st ed. Oxford: Oxford University Press.</w:t>
      </w:r>
    </w:p>
    <w:p w14:paraId="211078C6" w14:textId="4EA55172" w:rsidR="00AA5244" w:rsidRPr="005B0F5E" w:rsidRDefault="00BC1C43" w:rsidP="005B0F5E">
      <w:pPr>
        <w:rPr>
          <w:rFonts w:cstheme="minorHAnsi"/>
          <w:color w:val="000000"/>
          <w:sz w:val="24"/>
          <w:szCs w:val="24"/>
          <w:shd w:val="clear" w:color="auto" w:fill="FFFFFF"/>
        </w:rPr>
      </w:pPr>
      <w:r w:rsidRPr="005B0F5E">
        <w:rPr>
          <w:rFonts w:cstheme="minorHAnsi"/>
          <w:color w:val="000000"/>
          <w:sz w:val="24"/>
          <w:szCs w:val="24"/>
          <w:shd w:val="clear" w:color="auto" w:fill="FFFFFF"/>
        </w:rPr>
        <w:t xml:space="preserve"> </w:t>
      </w:r>
      <w:r w:rsidRPr="005B0F5E">
        <w:rPr>
          <w:rFonts w:cstheme="minorHAnsi"/>
          <w:color w:val="000000"/>
          <w:sz w:val="24"/>
          <w:szCs w:val="24"/>
          <w:shd w:val="clear" w:color="auto" w:fill="FFFFFF"/>
        </w:rPr>
        <w:t>Lee, K. and Kaluarachchi, J., 2020. </w:t>
      </w:r>
      <w:r w:rsidRPr="005B0F5E">
        <w:rPr>
          <w:rFonts w:cstheme="minorHAnsi"/>
          <w:i/>
          <w:iCs/>
          <w:color w:val="000000"/>
          <w:sz w:val="24"/>
          <w:szCs w:val="24"/>
          <w:shd w:val="clear" w:color="auto" w:fill="FFFFFF"/>
        </w:rPr>
        <w:t xml:space="preserve">Western education in developing countries: why it </w:t>
      </w:r>
      <w:proofErr w:type="gramStart"/>
      <w:r w:rsidRPr="005B0F5E">
        <w:rPr>
          <w:rFonts w:cstheme="minorHAnsi"/>
          <w:i/>
          <w:iCs/>
          <w:color w:val="000000"/>
          <w:sz w:val="24"/>
          <w:szCs w:val="24"/>
          <w:shd w:val="clear" w:color="auto" w:fill="FFFFFF"/>
        </w:rPr>
        <w:t>isn't</w:t>
      </w:r>
      <w:proofErr w:type="gramEnd"/>
      <w:r w:rsidRPr="005B0F5E">
        <w:rPr>
          <w:rFonts w:cstheme="minorHAnsi"/>
          <w:i/>
          <w:iCs/>
          <w:color w:val="000000"/>
          <w:sz w:val="24"/>
          <w:szCs w:val="24"/>
          <w:shd w:val="clear" w:color="auto" w:fill="FFFFFF"/>
        </w:rPr>
        <w:t xml:space="preserve"> as beneficial as we might think — Melbourne Microfinance Initiative</w:t>
      </w:r>
      <w:r w:rsidRPr="005B0F5E">
        <w:rPr>
          <w:rFonts w:cstheme="minorHAnsi"/>
          <w:color w:val="000000"/>
          <w:sz w:val="24"/>
          <w:szCs w:val="24"/>
          <w:shd w:val="clear" w:color="auto" w:fill="FFFFFF"/>
        </w:rPr>
        <w:t>. [online] Melbourne Microfinance Initiative. Available at: &lt;https://www.melbournemicrofinance.com/new-blog/2020/15/9/western-education-developing-countries&gt; [Accessed 6 March 2022]</w:t>
      </w:r>
      <w:r w:rsidRPr="005B0F5E">
        <w:rPr>
          <w:rFonts w:cstheme="minorHAnsi"/>
          <w:color w:val="000000"/>
          <w:sz w:val="24"/>
          <w:szCs w:val="24"/>
          <w:shd w:val="clear" w:color="auto" w:fill="FFFFFF"/>
        </w:rPr>
        <w:t>, p.1</w:t>
      </w:r>
      <w:r w:rsidR="009768C3" w:rsidRPr="005B0F5E">
        <w:rPr>
          <w:rFonts w:cstheme="minorHAnsi"/>
          <w:color w:val="000000"/>
          <w:sz w:val="24"/>
          <w:szCs w:val="24"/>
          <w:shd w:val="clear" w:color="auto" w:fill="FFFFFF"/>
        </w:rPr>
        <w:t>-</w:t>
      </w:r>
      <w:r w:rsidR="000B4FAE" w:rsidRPr="005B0F5E">
        <w:rPr>
          <w:rFonts w:cstheme="minorHAnsi"/>
          <w:color w:val="000000"/>
          <w:sz w:val="24"/>
          <w:szCs w:val="24"/>
          <w:shd w:val="clear" w:color="auto" w:fill="FFFFFF"/>
        </w:rPr>
        <w:t>14.</w:t>
      </w:r>
    </w:p>
    <w:p w14:paraId="7B12F408" w14:textId="07D9A7CD" w:rsidR="00483C4F" w:rsidRPr="005B0F5E" w:rsidRDefault="00AA5244" w:rsidP="005B0F5E">
      <w:pPr>
        <w:rPr>
          <w:rFonts w:cstheme="minorHAnsi"/>
          <w:color w:val="000000"/>
          <w:sz w:val="24"/>
          <w:szCs w:val="24"/>
          <w:shd w:val="clear" w:color="auto" w:fill="FFFFFF"/>
        </w:rPr>
      </w:pPr>
      <w:r w:rsidRPr="005B0F5E">
        <w:rPr>
          <w:rFonts w:cstheme="minorHAnsi"/>
          <w:color w:val="000000"/>
          <w:sz w:val="24"/>
          <w:szCs w:val="24"/>
          <w:shd w:val="clear" w:color="auto" w:fill="FFFFFF"/>
        </w:rPr>
        <w:t>Marco, A., 2016. </w:t>
      </w:r>
      <w:r w:rsidRPr="005B0F5E">
        <w:rPr>
          <w:rFonts w:cstheme="minorHAnsi"/>
          <w:i/>
          <w:iCs/>
          <w:color w:val="000000"/>
          <w:sz w:val="24"/>
          <w:szCs w:val="24"/>
          <w:shd w:val="clear" w:color="auto" w:fill="FFFFFF"/>
        </w:rPr>
        <w:t>Disadvantaged Girls in Kenyan Schools</w:t>
      </w:r>
      <w:r w:rsidRPr="005B0F5E">
        <w:rPr>
          <w:rFonts w:cstheme="minorHAnsi"/>
          <w:color w:val="000000"/>
          <w:sz w:val="24"/>
          <w:szCs w:val="24"/>
          <w:shd w:val="clear" w:color="auto" w:fill="FFFFFF"/>
        </w:rPr>
        <w:t>. [online] Berkshire: Education Development Trust. Available at: &lt;https://www.educationdevelopmenttrust.com/EducationDevelopmentTrust/files/03/031d8cc4-0562-4212-ad96-9c69d41c6e9e.pdf&gt; [Accessed 6 March 2022]</w:t>
      </w:r>
      <w:r w:rsidRPr="005B0F5E">
        <w:rPr>
          <w:rFonts w:cstheme="minorHAnsi"/>
          <w:color w:val="000000"/>
          <w:sz w:val="24"/>
          <w:szCs w:val="24"/>
          <w:shd w:val="clear" w:color="auto" w:fill="FFFFFF"/>
        </w:rPr>
        <w:t>, p.</w:t>
      </w:r>
      <w:r w:rsidR="00D314BE" w:rsidRPr="005B0F5E">
        <w:rPr>
          <w:rFonts w:cstheme="minorHAnsi"/>
          <w:color w:val="000000"/>
          <w:sz w:val="24"/>
          <w:szCs w:val="24"/>
          <w:shd w:val="clear" w:color="auto" w:fill="FFFFFF"/>
        </w:rPr>
        <w:t>10.</w:t>
      </w:r>
    </w:p>
    <w:p w14:paraId="38EA37F9" w14:textId="1595C941" w:rsidR="00571743" w:rsidRPr="00571743" w:rsidRDefault="00571743" w:rsidP="00571743">
      <w:pPr>
        <w:rPr>
          <w:rFonts w:cstheme="minorHAnsi"/>
          <w:color w:val="000000"/>
          <w:sz w:val="24"/>
          <w:szCs w:val="24"/>
          <w:shd w:val="clear" w:color="auto" w:fill="FFFFFF"/>
        </w:rPr>
      </w:pPr>
      <w:r w:rsidRPr="00571743">
        <w:rPr>
          <w:rFonts w:cstheme="minorHAnsi"/>
          <w:color w:val="000000"/>
          <w:sz w:val="24"/>
          <w:szCs w:val="24"/>
          <w:shd w:val="clear" w:color="auto" w:fill="FFFFFF"/>
        </w:rPr>
        <w:t>McAuley, C. and Rose, W., 2010. </w:t>
      </w:r>
      <w:r w:rsidRPr="00571743">
        <w:rPr>
          <w:rFonts w:cstheme="minorHAnsi"/>
          <w:i/>
          <w:iCs/>
          <w:color w:val="000000"/>
          <w:sz w:val="24"/>
          <w:szCs w:val="24"/>
          <w:shd w:val="clear" w:color="auto" w:fill="FFFFFF"/>
        </w:rPr>
        <w:t>Child Well-Being</w:t>
      </w:r>
      <w:r w:rsidRPr="00571743">
        <w:rPr>
          <w:rFonts w:cstheme="minorHAnsi"/>
          <w:color w:val="000000"/>
          <w:sz w:val="24"/>
          <w:szCs w:val="24"/>
          <w:shd w:val="clear" w:color="auto" w:fill="FFFFFF"/>
        </w:rPr>
        <w:t>. 1st ed. London: Jessica Kingsley Publishers, p.</w:t>
      </w:r>
    </w:p>
    <w:p w14:paraId="1E0CAF40" w14:textId="1E031AB9" w:rsidR="005D6B8F" w:rsidRPr="005B0F5E" w:rsidRDefault="005D6B8F" w:rsidP="005B0F5E">
      <w:pPr>
        <w:rPr>
          <w:rFonts w:cstheme="minorHAnsi"/>
          <w:color w:val="000000"/>
          <w:sz w:val="24"/>
          <w:szCs w:val="24"/>
          <w:shd w:val="clear" w:color="auto" w:fill="FFFFFF"/>
        </w:rPr>
      </w:pPr>
      <w:r w:rsidRPr="005B0F5E">
        <w:rPr>
          <w:rFonts w:cstheme="minorHAnsi"/>
          <w:color w:val="000000"/>
          <w:sz w:val="24"/>
          <w:szCs w:val="24"/>
          <w:shd w:val="clear" w:color="auto" w:fill="FFFFFF"/>
        </w:rPr>
        <w:t xml:space="preserve">McCowan, T. and </w:t>
      </w:r>
      <w:proofErr w:type="spellStart"/>
      <w:r w:rsidRPr="005B0F5E">
        <w:rPr>
          <w:rFonts w:cstheme="minorHAnsi"/>
          <w:color w:val="000000"/>
          <w:sz w:val="24"/>
          <w:szCs w:val="24"/>
          <w:shd w:val="clear" w:color="auto" w:fill="FFFFFF"/>
        </w:rPr>
        <w:t>Unterhalter</w:t>
      </w:r>
      <w:proofErr w:type="spellEnd"/>
      <w:r w:rsidRPr="005B0F5E">
        <w:rPr>
          <w:rFonts w:cstheme="minorHAnsi"/>
          <w:color w:val="000000"/>
          <w:sz w:val="24"/>
          <w:szCs w:val="24"/>
          <w:shd w:val="clear" w:color="auto" w:fill="FFFFFF"/>
        </w:rPr>
        <w:t>, E., 2022. </w:t>
      </w:r>
      <w:r w:rsidRPr="005B0F5E">
        <w:rPr>
          <w:rFonts w:cstheme="minorHAnsi"/>
          <w:i/>
          <w:iCs/>
          <w:color w:val="000000"/>
          <w:sz w:val="24"/>
          <w:szCs w:val="24"/>
          <w:shd w:val="clear" w:color="auto" w:fill="FFFFFF"/>
        </w:rPr>
        <w:t>Education and international development</w:t>
      </w:r>
      <w:r w:rsidRPr="005B0F5E">
        <w:rPr>
          <w:rFonts w:cstheme="minorHAnsi"/>
          <w:color w:val="000000"/>
          <w:sz w:val="24"/>
          <w:szCs w:val="24"/>
          <w:shd w:val="clear" w:color="auto" w:fill="FFFFFF"/>
        </w:rPr>
        <w:t xml:space="preserve">. 2nd ed. Northwich: Bloomsbury. </w:t>
      </w:r>
    </w:p>
    <w:p w14:paraId="7CA995E9" w14:textId="53CC5A1D" w:rsidR="003E5F7A" w:rsidRPr="005B0F5E" w:rsidRDefault="003E5F7A" w:rsidP="005B0F5E">
      <w:pPr>
        <w:rPr>
          <w:rFonts w:cstheme="minorHAnsi"/>
          <w:color w:val="000000"/>
          <w:sz w:val="24"/>
          <w:szCs w:val="24"/>
          <w:shd w:val="clear" w:color="auto" w:fill="FFFFFF"/>
        </w:rPr>
      </w:pPr>
      <w:r w:rsidRPr="005B0F5E">
        <w:rPr>
          <w:rFonts w:cstheme="minorHAnsi"/>
          <w:color w:val="000000"/>
          <w:sz w:val="24"/>
          <w:szCs w:val="24"/>
          <w:shd w:val="clear" w:color="auto" w:fill="FFFFFF"/>
        </w:rPr>
        <w:t>Mukadi, E., 2017. Influence of Female Genital Mutilation on Girl Child's Education Participation in Primary Schools: A Case Study of the Tugen Community in Baringo County, Kenya. </w:t>
      </w:r>
      <w:r w:rsidRPr="005B0F5E">
        <w:rPr>
          <w:rFonts w:cstheme="minorHAnsi"/>
          <w:i/>
          <w:iCs/>
          <w:color w:val="000000"/>
          <w:sz w:val="24"/>
          <w:szCs w:val="24"/>
          <w:shd w:val="clear" w:color="auto" w:fill="FFFFFF"/>
        </w:rPr>
        <w:t>International Journal of Contemporary Applied Research</w:t>
      </w:r>
      <w:r w:rsidRPr="005B0F5E">
        <w:rPr>
          <w:rFonts w:cstheme="minorHAnsi"/>
          <w:color w:val="000000"/>
          <w:sz w:val="24"/>
          <w:szCs w:val="24"/>
          <w:shd w:val="clear" w:color="auto" w:fill="FFFFFF"/>
        </w:rPr>
        <w:t>, [online] 4(6). Available at: &lt;https://www.ungei.org/sites/default/files/Influence-FGM-Girl-Participation-Primary-School-eng-2017.pdf&gt; [Accessed 27 February 2022]</w:t>
      </w:r>
      <w:r w:rsidR="00F341DD" w:rsidRPr="005B0F5E">
        <w:rPr>
          <w:rFonts w:cstheme="minorHAnsi"/>
          <w:color w:val="000000"/>
          <w:sz w:val="24"/>
          <w:szCs w:val="24"/>
          <w:shd w:val="clear" w:color="auto" w:fill="FFFFFF"/>
        </w:rPr>
        <w:t>, p.40.</w:t>
      </w:r>
    </w:p>
    <w:p w14:paraId="1B114ADD" w14:textId="5A125FB8" w:rsidR="00483C4F" w:rsidRPr="005B0F5E" w:rsidRDefault="00D50866" w:rsidP="005B0F5E">
      <w:pPr>
        <w:rPr>
          <w:rFonts w:cstheme="minorHAnsi"/>
          <w:color w:val="000000"/>
          <w:sz w:val="24"/>
          <w:szCs w:val="24"/>
          <w:shd w:val="clear" w:color="auto" w:fill="FFFFFF"/>
        </w:rPr>
      </w:pPr>
      <w:r w:rsidRPr="005B0F5E">
        <w:rPr>
          <w:rFonts w:cstheme="minorHAnsi"/>
          <w:color w:val="000000"/>
          <w:sz w:val="24"/>
          <w:szCs w:val="24"/>
          <w:shd w:val="clear" w:color="auto" w:fill="FFFFFF"/>
        </w:rPr>
        <w:t>National</w:t>
      </w:r>
      <w:r w:rsidR="00847ABF" w:rsidRPr="005B0F5E">
        <w:rPr>
          <w:rFonts w:cstheme="minorHAnsi"/>
          <w:color w:val="000000"/>
          <w:sz w:val="24"/>
          <w:szCs w:val="24"/>
          <w:shd w:val="clear" w:color="auto" w:fill="FFFFFF"/>
        </w:rPr>
        <w:t xml:space="preserve"> Council for Law Reporting, 2001. </w:t>
      </w:r>
      <w:r w:rsidR="00847ABF" w:rsidRPr="005B0F5E">
        <w:rPr>
          <w:rFonts w:cstheme="minorHAnsi"/>
          <w:i/>
          <w:iCs/>
          <w:color w:val="000000"/>
          <w:sz w:val="24"/>
          <w:szCs w:val="24"/>
          <w:shd w:val="clear" w:color="auto" w:fill="FFFFFF"/>
        </w:rPr>
        <w:t>The Children Act 2001</w:t>
      </w:r>
      <w:r w:rsidR="00847ABF" w:rsidRPr="005B0F5E">
        <w:rPr>
          <w:rFonts w:cstheme="minorHAnsi"/>
          <w:color w:val="000000"/>
          <w:sz w:val="24"/>
          <w:szCs w:val="24"/>
          <w:shd w:val="clear" w:color="auto" w:fill="FFFFFF"/>
        </w:rPr>
        <w:t xml:space="preserve">. Kenya: The National Council for Law Reporting, p.16. </w:t>
      </w:r>
    </w:p>
    <w:p w14:paraId="35F518DA" w14:textId="2AB177C4" w:rsidR="00980103" w:rsidRPr="005B0F5E" w:rsidRDefault="00483C4F" w:rsidP="005B0F5E">
      <w:pPr>
        <w:rPr>
          <w:rFonts w:cstheme="minorHAnsi"/>
          <w:color w:val="000000"/>
          <w:sz w:val="24"/>
          <w:szCs w:val="24"/>
          <w:shd w:val="clear" w:color="auto" w:fill="FFFFFF"/>
        </w:rPr>
      </w:pPr>
      <w:proofErr w:type="spellStart"/>
      <w:r w:rsidRPr="005B0F5E">
        <w:rPr>
          <w:rFonts w:cstheme="minorHAnsi"/>
          <w:color w:val="000000"/>
          <w:sz w:val="24"/>
          <w:szCs w:val="24"/>
          <w:shd w:val="clear" w:color="auto" w:fill="FFFFFF"/>
        </w:rPr>
        <w:t>Nyaundi</w:t>
      </w:r>
      <w:proofErr w:type="spellEnd"/>
      <w:r w:rsidRPr="005B0F5E">
        <w:rPr>
          <w:rFonts w:cstheme="minorHAnsi"/>
          <w:color w:val="000000"/>
          <w:sz w:val="24"/>
          <w:szCs w:val="24"/>
          <w:shd w:val="clear" w:color="auto" w:fill="FFFFFF"/>
        </w:rPr>
        <w:t xml:space="preserve">, L., 2019. </w:t>
      </w:r>
      <w:proofErr w:type="spellStart"/>
      <w:r w:rsidRPr="005B0F5E">
        <w:rPr>
          <w:rFonts w:cstheme="minorHAnsi"/>
          <w:color w:val="000000"/>
          <w:sz w:val="24"/>
          <w:szCs w:val="24"/>
          <w:shd w:val="clear" w:color="auto" w:fill="FFFFFF"/>
        </w:rPr>
        <w:t>Sossion</w:t>
      </w:r>
      <w:proofErr w:type="spellEnd"/>
      <w:r w:rsidRPr="005B0F5E">
        <w:rPr>
          <w:rFonts w:cstheme="minorHAnsi"/>
          <w:color w:val="000000"/>
          <w:sz w:val="24"/>
          <w:szCs w:val="24"/>
          <w:shd w:val="clear" w:color="auto" w:fill="FFFFFF"/>
        </w:rPr>
        <w:t>: 2-6-3-3-3 system bound to fail. </w:t>
      </w:r>
      <w:r w:rsidRPr="005B0F5E">
        <w:rPr>
          <w:rFonts w:cstheme="minorHAnsi"/>
          <w:i/>
          <w:iCs/>
          <w:color w:val="000000"/>
          <w:sz w:val="24"/>
          <w:szCs w:val="24"/>
          <w:shd w:val="clear" w:color="auto" w:fill="FFFFFF"/>
        </w:rPr>
        <w:t>The Star</w:t>
      </w:r>
      <w:r w:rsidRPr="005B0F5E">
        <w:rPr>
          <w:rFonts w:cstheme="minorHAnsi"/>
          <w:color w:val="000000"/>
          <w:sz w:val="24"/>
          <w:szCs w:val="24"/>
          <w:shd w:val="clear" w:color="auto" w:fill="FFFFFF"/>
        </w:rPr>
        <w:t>, [online] p.1. Available at: &lt;https://www.the-star.co.ke/sasa/&gt; [Accessed 5 March 2022]</w:t>
      </w:r>
      <w:r w:rsidRPr="005B0F5E">
        <w:rPr>
          <w:rFonts w:cstheme="minorHAnsi"/>
          <w:color w:val="000000"/>
          <w:sz w:val="24"/>
          <w:szCs w:val="24"/>
          <w:shd w:val="clear" w:color="auto" w:fill="FFFFFF"/>
        </w:rPr>
        <w:t>, p.1.</w:t>
      </w:r>
    </w:p>
    <w:p w14:paraId="0A8B6C2C" w14:textId="76CF0AA2" w:rsidR="00D4154A" w:rsidRPr="005B0F5E" w:rsidRDefault="00980103" w:rsidP="005B0F5E">
      <w:pPr>
        <w:rPr>
          <w:rFonts w:cstheme="minorHAnsi"/>
          <w:color w:val="000000"/>
          <w:sz w:val="24"/>
          <w:szCs w:val="24"/>
          <w:shd w:val="clear" w:color="auto" w:fill="FFFFFF"/>
        </w:rPr>
      </w:pPr>
      <w:r w:rsidRPr="005B0F5E">
        <w:rPr>
          <w:rFonts w:cstheme="minorHAnsi"/>
          <w:color w:val="000000"/>
          <w:sz w:val="24"/>
          <w:szCs w:val="24"/>
          <w:shd w:val="clear" w:color="auto" w:fill="FFFFFF"/>
        </w:rPr>
        <w:t>Republic of Kenya Ministry of Education, 2018. </w:t>
      </w:r>
      <w:r w:rsidRPr="005B0F5E">
        <w:rPr>
          <w:rFonts w:cstheme="minorHAnsi"/>
          <w:i/>
          <w:iCs/>
          <w:color w:val="000000"/>
          <w:sz w:val="24"/>
          <w:szCs w:val="24"/>
          <w:shd w:val="clear" w:color="auto" w:fill="FFFFFF"/>
        </w:rPr>
        <w:t>National Pre-Primary Education Policy Standard Guidelines</w:t>
      </w:r>
      <w:r w:rsidRPr="005B0F5E">
        <w:rPr>
          <w:rFonts w:cstheme="minorHAnsi"/>
          <w:color w:val="000000"/>
          <w:sz w:val="24"/>
          <w:szCs w:val="24"/>
          <w:shd w:val="clear" w:color="auto" w:fill="FFFFFF"/>
        </w:rPr>
        <w:t>. Ministry of Education, p</w:t>
      </w:r>
      <w:r w:rsidR="00461E3D" w:rsidRPr="005B0F5E">
        <w:rPr>
          <w:rFonts w:cstheme="minorHAnsi"/>
          <w:color w:val="000000"/>
          <w:sz w:val="24"/>
          <w:szCs w:val="24"/>
          <w:shd w:val="clear" w:color="auto" w:fill="FFFFFF"/>
        </w:rPr>
        <w:t>.9-15.</w:t>
      </w:r>
    </w:p>
    <w:p w14:paraId="38058991" w14:textId="77777777" w:rsidR="006F7157" w:rsidRPr="005B0F5E" w:rsidRDefault="00D4154A" w:rsidP="005B0F5E">
      <w:pPr>
        <w:rPr>
          <w:rFonts w:cstheme="minorHAnsi"/>
          <w:color w:val="000000"/>
          <w:sz w:val="24"/>
          <w:szCs w:val="24"/>
          <w:shd w:val="clear" w:color="auto" w:fill="FFFFFF"/>
        </w:rPr>
      </w:pPr>
      <w:r w:rsidRPr="005B0F5E">
        <w:rPr>
          <w:rFonts w:cstheme="minorHAnsi"/>
          <w:color w:val="000000"/>
          <w:sz w:val="24"/>
          <w:szCs w:val="24"/>
          <w:shd w:val="clear" w:color="auto" w:fill="FFFFFF"/>
        </w:rPr>
        <w:t>Reyes, G., 2001. </w:t>
      </w:r>
      <w:r w:rsidRPr="005B0F5E">
        <w:rPr>
          <w:rFonts w:cstheme="minorHAnsi"/>
          <w:i/>
          <w:iCs/>
          <w:color w:val="000000"/>
          <w:sz w:val="24"/>
          <w:szCs w:val="24"/>
          <w:shd w:val="clear" w:color="auto" w:fill="FFFFFF"/>
        </w:rPr>
        <w:t>Four Main Theories of Development: Modernisation, Dependency, World-Systems and Globalisation</w:t>
      </w:r>
      <w:r w:rsidRPr="005B0F5E">
        <w:rPr>
          <w:rFonts w:cstheme="minorHAnsi"/>
          <w:color w:val="000000"/>
          <w:sz w:val="24"/>
          <w:szCs w:val="24"/>
          <w:shd w:val="clear" w:color="auto" w:fill="FFFFFF"/>
        </w:rPr>
        <w:t>. [online] Semantics Scholar. Available at: &lt;https://www.semanticscholar.org/paper/Four-Main-Theories-of-Development%3A-Modernization%2C-Reyes/e36b27f7b884e8b5a94d15c1382b99c8416af2ff&gt; [Accessed 23 February 2022], p.2.</w:t>
      </w:r>
      <w:r w:rsidR="006F7157" w:rsidRPr="005B0F5E">
        <w:rPr>
          <w:rFonts w:cstheme="minorHAnsi"/>
          <w:color w:val="000000"/>
          <w:sz w:val="24"/>
          <w:szCs w:val="24"/>
          <w:shd w:val="clear" w:color="auto" w:fill="FFFFFF"/>
        </w:rPr>
        <w:t xml:space="preserve"> </w:t>
      </w:r>
    </w:p>
    <w:p w14:paraId="391D1B94" w14:textId="3204EB75" w:rsidR="00F474EE" w:rsidRPr="005B0F5E" w:rsidRDefault="006F7157" w:rsidP="005B0F5E">
      <w:pPr>
        <w:rPr>
          <w:rFonts w:cstheme="minorHAnsi"/>
          <w:color w:val="000000"/>
          <w:sz w:val="24"/>
          <w:szCs w:val="24"/>
          <w:shd w:val="clear" w:color="auto" w:fill="FFFFFF"/>
        </w:rPr>
      </w:pPr>
      <w:r w:rsidRPr="005B0F5E">
        <w:rPr>
          <w:rFonts w:cstheme="minorHAnsi"/>
          <w:color w:val="000000"/>
          <w:sz w:val="24"/>
          <w:szCs w:val="24"/>
          <w:shd w:val="clear" w:color="auto" w:fill="FFFFFF"/>
        </w:rPr>
        <w:t xml:space="preserve">Rueckert, P., 2019. 10 Barriers </w:t>
      </w:r>
      <w:r w:rsidRPr="005B0F5E">
        <w:rPr>
          <w:rFonts w:cstheme="minorHAnsi"/>
          <w:color w:val="000000"/>
          <w:sz w:val="24"/>
          <w:szCs w:val="24"/>
          <w:shd w:val="clear" w:color="auto" w:fill="FFFFFF"/>
        </w:rPr>
        <w:t>to</w:t>
      </w:r>
      <w:r w:rsidRPr="005B0F5E">
        <w:rPr>
          <w:rFonts w:cstheme="minorHAnsi"/>
          <w:color w:val="000000"/>
          <w:sz w:val="24"/>
          <w:szCs w:val="24"/>
          <w:shd w:val="clear" w:color="auto" w:fill="FFFFFF"/>
        </w:rPr>
        <w:t xml:space="preserve"> Education Around the World. [Blog] </w:t>
      </w:r>
      <w:r w:rsidRPr="005B0F5E">
        <w:rPr>
          <w:rFonts w:cstheme="minorHAnsi"/>
          <w:i/>
          <w:iCs/>
          <w:color w:val="000000"/>
          <w:sz w:val="24"/>
          <w:szCs w:val="24"/>
          <w:shd w:val="clear" w:color="auto" w:fill="FFFFFF"/>
        </w:rPr>
        <w:t>Global Citizen</w:t>
      </w:r>
      <w:r w:rsidRPr="005B0F5E">
        <w:rPr>
          <w:rFonts w:cstheme="minorHAnsi"/>
          <w:color w:val="000000"/>
          <w:sz w:val="24"/>
          <w:szCs w:val="24"/>
          <w:shd w:val="clear" w:color="auto" w:fill="FFFFFF"/>
        </w:rPr>
        <w:t>, Available at: &lt;https://www.globalcitizen.org/en/content/10-barriers-to-education-around-the-world-2/&gt; [Accessed 6 March 2022]</w:t>
      </w:r>
      <w:r w:rsidRPr="005B0F5E">
        <w:rPr>
          <w:rFonts w:cstheme="minorHAnsi"/>
          <w:color w:val="000000"/>
          <w:sz w:val="24"/>
          <w:szCs w:val="24"/>
          <w:shd w:val="clear" w:color="auto" w:fill="FFFFFF"/>
        </w:rPr>
        <w:t>, p.1.</w:t>
      </w:r>
    </w:p>
    <w:p w14:paraId="55F6DE6B" w14:textId="1FCFEED5" w:rsidR="009C1A15" w:rsidRPr="005B0F5E" w:rsidRDefault="00E9697C" w:rsidP="005B0F5E">
      <w:pPr>
        <w:rPr>
          <w:rFonts w:cstheme="minorHAnsi"/>
          <w:color w:val="000000"/>
          <w:sz w:val="24"/>
          <w:szCs w:val="24"/>
          <w:shd w:val="clear" w:color="auto" w:fill="FFFFFF"/>
        </w:rPr>
      </w:pPr>
      <w:r w:rsidRPr="005B0F5E">
        <w:rPr>
          <w:rFonts w:cstheme="minorHAnsi"/>
          <w:color w:val="000000"/>
          <w:sz w:val="24"/>
          <w:szCs w:val="24"/>
          <w:shd w:val="clear" w:color="auto" w:fill="FFFFFF"/>
        </w:rPr>
        <w:lastRenderedPageBreak/>
        <w:t xml:space="preserve"> </w:t>
      </w:r>
      <w:bookmarkStart w:id="3" w:name="_Hlk96881852"/>
      <w:r w:rsidR="00F474EE" w:rsidRPr="005B0F5E">
        <w:rPr>
          <w:rFonts w:cstheme="minorHAnsi"/>
          <w:color w:val="000000"/>
          <w:sz w:val="24"/>
          <w:szCs w:val="24"/>
          <w:shd w:val="clear" w:color="auto" w:fill="FFFFFF"/>
        </w:rPr>
        <w:t>Save the Children, 2021. </w:t>
      </w:r>
      <w:r w:rsidR="00F474EE" w:rsidRPr="005B0F5E">
        <w:rPr>
          <w:rFonts w:cstheme="minorHAnsi"/>
          <w:i/>
          <w:iCs/>
          <w:color w:val="000000"/>
          <w:sz w:val="24"/>
          <w:szCs w:val="24"/>
          <w:shd w:val="clear" w:color="auto" w:fill="FFFFFF"/>
        </w:rPr>
        <w:t>Build Back Forward Better</w:t>
      </w:r>
      <w:r w:rsidR="00F474EE" w:rsidRPr="005B0F5E">
        <w:rPr>
          <w:rFonts w:cstheme="minorHAnsi"/>
          <w:color w:val="000000"/>
          <w:sz w:val="24"/>
          <w:szCs w:val="24"/>
          <w:shd w:val="clear" w:color="auto" w:fill="FFFFFF"/>
        </w:rPr>
        <w:t>. [online] London: Save the Children. Available at: &lt;https://resourcecentre.savethechildren.net/document/build-forward-better-how-global-community-must-act-now-secure-childrens-learning-crises/&gt; [Accessed 6 March 2022]</w:t>
      </w:r>
      <w:r w:rsidR="00F474EE" w:rsidRPr="005B0F5E">
        <w:rPr>
          <w:rFonts w:cstheme="minorHAnsi"/>
          <w:color w:val="000000"/>
          <w:sz w:val="24"/>
          <w:szCs w:val="24"/>
          <w:shd w:val="clear" w:color="auto" w:fill="FFFFFF"/>
        </w:rPr>
        <w:t>, 39.</w:t>
      </w:r>
    </w:p>
    <w:bookmarkEnd w:id="3"/>
    <w:p w14:paraId="0656B0C6" w14:textId="2EDF0669" w:rsidR="00364253" w:rsidRPr="005B0F5E" w:rsidRDefault="009C1A15" w:rsidP="005B0F5E">
      <w:pPr>
        <w:rPr>
          <w:rFonts w:cstheme="minorHAnsi"/>
          <w:color w:val="000000"/>
          <w:sz w:val="24"/>
          <w:szCs w:val="24"/>
          <w:shd w:val="clear" w:color="auto" w:fill="FFFFFF"/>
        </w:rPr>
      </w:pPr>
      <w:r w:rsidRPr="005B0F5E">
        <w:rPr>
          <w:rFonts w:cstheme="minorHAnsi"/>
          <w:color w:val="000000"/>
          <w:sz w:val="24"/>
          <w:szCs w:val="24"/>
          <w:shd w:val="clear" w:color="auto" w:fill="FFFFFF"/>
        </w:rPr>
        <w:t>Shotton, G. and Burton, S., 2019. </w:t>
      </w:r>
      <w:r w:rsidRPr="005B0F5E">
        <w:rPr>
          <w:rFonts w:cstheme="minorHAnsi"/>
          <w:i/>
          <w:iCs/>
          <w:color w:val="000000"/>
          <w:sz w:val="24"/>
          <w:szCs w:val="24"/>
          <w:shd w:val="clear" w:color="auto" w:fill="FFFFFF"/>
        </w:rPr>
        <w:t>Emotional Well-being</w:t>
      </w:r>
      <w:r w:rsidRPr="005B0F5E">
        <w:rPr>
          <w:rFonts w:cstheme="minorHAnsi"/>
          <w:color w:val="000000"/>
          <w:sz w:val="24"/>
          <w:szCs w:val="24"/>
          <w:shd w:val="clear" w:color="auto" w:fill="FFFFFF"/>
        </w:rPr>
        <w:t>. 2nd ed. Oxon: Routledge, p.</w:t>
      </w:r>
      <w:r w:rsidR="00D50866" w:rsidRPr="005B0F5E">
        <w:rPr>
          <w:rFonts w:cstheme="minorHAnsi"/>
          <w:color w:val="000000"/>
          <w:sz w:val="24"/>
          <w:szCs w:val="24"/>
          <w:shd w:val="clear" w:color="auto" w:fill="FFFFFF"/>
        </w:rPr>
        <w:t xml:space="preserve"> 2-4.</w:t>
      </w:r>
    </w:p>
    <w:p w14:paraId="221C6412" w14:textId="3BCDD071" w:rsidR="00C10D9E" w:rsidRPr="005B0F5E" w:rsidRDefault="00364253" w:rsidP="005B0F5E">
      <w:pPr>
        <w:rPr>
          <w:rFonts w:cstheme="minorHAnsi"/>
          <w:color w:val="000000"/>
          <w:sz w:val="24"/>
          <w:szCs w:val="24"/>
          <w:shd w:val="clear" w:color="auto" w:fill="FFFFFF"/>
        </w:rPr>
      </w:pPr>
      <w:r w:rsidRPr="005B0F5E">
        <w:rPr>
          <w:rFonts w:cstheme="minorHAnsi"/>
          <w:color w:val="000000"/>
          <w:sz w:val="24"/>
          <w:szCs w:val="24"/>
          <w:shd w:val="clear" w:color="auto" w:fill="FFFFFF"/>
        </w:rPr>
        <w:t>Simonelli, I., 2021. Children’s Right to Health: Theory versus Practice. </w:t>
      </w:r>
      <w:r w:rsidRPr="005B0F5E">
        <w:rPr>
          <w:rFonts w:cstheme="minorHAnsi"/>
          <w:i/>
          <w:iCs/>
          <w:color w:val="000000"/>
          <w:sz w:val="24"/>
          <w:szCs w:val="24"/>
          <w:shd w:val="clear" w:color="auto" w:fill="FFFFFF"/>
        </w:rPr>
        <w:t>Clinical Health Promotion - Research and Best Practice for patients, staff and community</w:t>
      </w:r>
      <w:r w:rsidRPr="005B0F5E">
        <w:rPr>
          <w:rFonts w:cstheme="minorHAnsi"/>
          <w:color w:val="000000"/>
          <w:sz w:val="24"/>
          <w:szCs w:val="24"/>
          <w:shd w:val="clear" w:color="auto" w:fill="FFFFFF"/>
        </w:rPr>
        <w:t>, [online] 11(2), p.e21012. Available at: &lt;https://clinhealthpromot.org/index.php/clinhp/article/view/clinhp21012/pdf&gt;.</w:t>
      </w:r>
      <w:r w:rsidR="00C10D9E" w:rsidRPr="005B0F5E">
        <w:rPr>
          <w:rFonts w:cstheme="minorHAnsi"/>
          <w:color w:val="000000"/>
          <w:sz w:val="24"/>
          <w:szCs w:val="24"/>
          <w:shd w:val="clear" w:color="auto" w:fill="FFFFFF"/>
        </w:rPr>
        <w:t>2015</w:t>
      </w:r>
      <w:r w:rsidR="00D50866" w:rsidRPr="005B0F5E">
        <w:rPr>
          <w:rFonts w:cstheme="minorHAnsi"/>
          <w:color w:val="000000"/>
          <w:sz w:val="24"/>
          <w:szCs w:val="24"/>
          <w:shd w:val="clear" w:color="auto" w:fill="FFFFFF"/>
        </w:rPr>
        <w:t>, p.1.</w:t>
      </w:r>
    </w:p>
    <w:p w14:paraId="7098D747" w14:textId="14080940" w:rsidR="005F3242" w:rsidRPr="005B0F5E" w:rsidRDefault="000107DB" w:rsidP="005B0F5E">
      <w:pPr>
        <w:rPr>
          <w:rFonts w:cstheme="minorHAnsi"/>
          <w:color w:val="000000"/>
          <w:sz w:val="24"/>
          <w:szCs w:val="24"/>
          <w:shd w:val="clear" w:color="auto" w:fill="FFFFFF"/>
        </w:rPr>
      </w:pPr>
      <w:r w:rsidRPr="005B0F5E">
        <w:rPr>
          <w:rFonts w:cstheme="minorHAnsi"/>
          <w:color w:val="000000"/>
          <w:sz w:val="24"/>
          <w:szCs w:val="24"/>
          <w:shd w:val="clear" w:color="auto" w:fill="FFFFFF"/>
        </w:rPr>
        <w:t>Takayanagi, T., 2021. </w:t>
      </w:r>
      <w:r w:rsidRPr="005B0F5E">
        <w:rPr>
          <w:rFonts w:cstheme="minorHAnsi"/>
          <w:i/>
          <w:iCs/>
          <w:color w:val="000000"/>
          <w:sz w:val="24"/>
          <w:szCs w:val="24"/>
          <w:shd w:val="clear" w:color="auto" w:fill="FFFFFF"/>
        </w:rPr>
        <w:t>Between Development and Tradition: Pre-Primary Education in Rural Kenya</w:t>
      </w:r>
      <w:r w:rsidRPr="005B0F5E">
        <w:rPr>
          <w:rFonts w:cstheme="minorHAnsi"/>
          <w:color w:val="000000"/>
          <w:sz w:val="24"/>
          <w:szCs w:val="24"/>
          <w:shd w:val="clear" w:color="auto" w:fill="FFFFFF"/>
        </w:rPr>
        <w:t>. [online] Globalejournal.org. Available at: &lt;https://globalejournal.org/global-e/march-2021/between-development-and-tradition-pre-primary-education-rural-kenya&gt; [Accessed 6 March 2022]</w:t>
      </w:r>
      <w:r w:rsidRPr="005B0F5E">
        <w:rPr>
          <w:rFonts w:cstheme="minorHAnsi"/>
          <w:color w:val="000000"/>
          <w:sz w:val="24"/>
          <w:szCs w:val="24"/>
          <w:shd w:val="clear" w:color="auto" w:fill="FFFFFF"/>
        </w:rPr>
        <w:t>, p.1.</w:t>
      </w:r>
    </w:p>
    <w:p w14:paraId="4442B1FC" w14:textId="77777777" w:rsidR="00376C53" w:rsidRPr="005B0F5E" w:rsidRDefault="005F3242" w:rsidP="005B0F5E">
      <w:pPr>
        <w:rPr>
          <w:rFonts w:cstheme="minorHAnsi"/>
          <w:color w:val="000000"/>
          <w:sz w:val="24"/>
          <w:szCs w:val="24"/>
          <w:shd w:val="clear" w:color="auto" w:fill="FFFFFF"/>
        </w:rPr>
      </w:pPr>
      <w:proofErr w:type="spellStart"/>
      <w:r w:rsidRPr="005B0F5E">
        <w:rPr>
          <w:rFonts w:cstheme="minorHAnsi"/>
          <w:color w:val="000000"/>
          <w:sz w:val="24"/>
          <w:szCs w:val="24"/>
          <w:shd w:val="clear" w:color="auto" w:fill="FFFFFF"/>
        </w:rPr>
        <w:t>Takayangi</w:t>
      </w:r>
      <w:proofErr w:type="spellEnd"/>
      <w:r w:rsidRPr="005B0F5E">
        <w:rPr>
          <w:rFonts w:cstheme="minorHAnsi"/>
          <w:color w:val="000000"/>
          <w:sz w:val="24"/>
          <w:szCs w:val="24"/>
          <w:shd w:val="clear" w:color="auto" w:fill="FFFFFF"/>
        </w:rPr>
        <w:t>, T., 2019. </w:t>
      </w:r>
      <w:r w:rsidRPr="005B0F5E">
        <w:rPr>
          <w:rFonts w:cstheme="minorHAnsi"/>
          <w:i/>
          <w:iCs/>
          <w:color w:val="000000"/>
          <w:sz w:val="24"/>
          <w:szCs w:val="24"/>
          <w:shd w:val="clear" w:color="auto" w:fill="FFFFFF"/>
        </w:rPr>
        <w:t>Listen to the Voices of Maasai Woman in Kenya</w:t>
      </w:r>
      <w:r w:rsidRPr="005B0F5E">
        <w:rPr>
          <w:rFonts w:cstheme="minorHAnsi"/>
          <w:color w:val="000000"/>
          <w:sz w:val="24"/>
          <w:szCs w:val="24"/>
          <w:shd w:val="clear" w:color="auto" w:fill="FFFFFF"/>
        </w:rPr>
        <w:t>. [online] Scholarworks.wmich.edu. Available at: &lt;https://scholarworks.wmich.edu/cgi/viewcontent.cgi?article=1110&amp;context=ijad&gt; [Accessed 6 March 2022]</w:t>
      </w:r>
      <w:r w:rsidRPr="005B0F5E">
        <w:rPr>
          <w:rFonts w:cstheme="minorHAnsi"/>
          <w:color w:val="000000"/>
          <w:sz w:val="24"/>
          <w:szCs w:val="24"/>
          <w:shd w:val="clear" w:color="auto" w:fill="FFFFFF"/>
        </w:rPr>
        <w:t>, p.</w:t>
      </w:r>
      <w:r w:rsidR="00461E3D" w:rsidRPr="005B0F5E">
        <w:rPr>
          <w:rFonts w:cstheme="minorHAnsi"/>
          <w:color w:val="000000"/>
          <w:sz w:val="24"/>
          <w:szCs w:val="24"/>
          <w:shd w:val="clear" w:color="auto" w:fill="FFFFFF"/>
        </w:rPr>
        <w:t>37.</w:t>
      </w:r>
      <w:r w:rsidR="00376C53" w:rsidRPr="005B0F5E">
        <w:rPr>
          <w:rFonts w:cstheme="minorHAnsi"/>
          <w:color w:val="000000"/>
          <w:sz w:val="24"/>
          <w:szCs w:val="24"/>
          <w:shd w:val="clear" w:color="auto" w:fill="FFFFFF"/>
        </w:rPr>
        <w:t xml:space="preserve"> </w:t>
      </w:r>
    </w:p>
    <w:p w14:paraId="4426589D" w14:textId="05325A11" w:rsidR="003715B2" w:rsidRPr="005B0F5E" w:rsidRDefault="00376C53" w:rsidP="005B0F5E">
      <w:pPr>
        <w:rPr>
          <w:rFonts w:cstheme="minorHAnsi"/>
          <w:color w:val="000000"/>
          <w:sz w:val="24"/>
          <w:szCs w:val="24"/>
          <w:shd w:val="clear" w:color="auto" w:fill="FFFFFF"/>
        </w:rPr>
      </w:pPr>
      <w:proofErr w:type="spellStart"/>
      <w:r w:rsidRPr="005B0F5E">
        <w:rPr>
          <w:rFonts w:cstheme="minorHAnsi"/>
          <w:color w:val="000000"/>
          <w:sz w:val="24"/>
          <w:szCs w:val="24"/>
          <w:shd w:val="clear" w:color="auto" w:fill="FFFFFF"/>
        </w:rPr>
        <w:t>Tarayia</w:t>
      </w:r>
      <w:proofErr w:type="spellEnd"/>
      <w:r w:rsidRPr="005B0F5E">
        <w:rPr>
          <w:rFonts w:cstheme="minorHAnsi"/>
          <w:color w:val="000000"/>
          <w:sz w:val="24"/>
          <w:szCs w:val="24"/>
          <w:shd w:val="clear" w:color="auto" w:fill="FFFFFF"/>
        </w:rPr>
        <w:t>, G., 2004. </w:t>
      </w:r>
      <w:r w:rsidRPr="005B0F5E">
        <w:rPr>
          <w:rFonts w:cstheme="minorHAnsi"/>
          <w:i/>
          <w:iCs/>
          <w:color w:val="000000"/>
          <w:sz w:val="24"/>
          <w:szCs w:val="24"/>
          <w:shd w:val="clear" w:color="auto" w:fill="FFFFFF"/>
        </w:rPr>
        <w:t>The Legal Perspectives of Maasai Culture, Customs and Traditions</w:t>
      </w:r>
      <w:r w:rsidRPr="005B0F5E">
        <w:rPr>
          <w:rFonts w:cstheme="minorHAnsi"/>
          <w:color w:val="000000"/>
          <w:sz w:val="24"/>
          <w:szCs w:val="24"/>
          <w:shd w:val="clear" w:color="auto" w:fill="FFFFFF"/>
        </w:rPr>
        <w:t>. [online] Arizonajournal.org. Available at: &lt;http://arizonajournal.org/wp-content/uploads/2015/11/Tarayia.pdf&gt; [Accessed 6 March 2022]</w:t>
      </w:r>
      <w:r w:rsidRPr="005B0F5E">
        <w:rPr>
          <w:rFonts w:cstheme="minorHAnsi"/>
          <w:color w:val="000000"/>
          <w:sz w:val="24"/>
          <w:szCs w:val="24"/>
          <w:shd w:val="clear" w:color="auto" w:fill="FFFFFF"/>
        </w:rPr>
        <w:t>, 185.</w:t>
      </w:r>
    </w:p>
    <w:p w14:paraId="6C0A258F" w14:textId="77777777" w:rsidR="005D6B8F" w:rsidRPr="005B0F5E" w:rsidRDefault="005D6B8F" w:rsidP="005B0F5E">
      <w:pPr>
        <w:rPr>
          <w:rFonts w:cstheme="minorHAnsi"/>
          <w:color w:val="000000"/>
          <w:sz w:val="24"/>
          <w:szCs w:val="24"/>
          <w:shd w:val="clear" w:color="auto" w:fill="FFFFFF"/>
        </w:rPr>
      </w:pPr>
    </w:p>
    <w:p w14:paraId="731CD8E8" w14:textId="77777777" w:rsidR="005D6B8F" w:rsidRPr="005B0F5E" w:rsidRDefault="005D6B8F" w:rsidP="005B0F5E">
      <w:pPr>
        <w:rPr>
          <w:rFonts w:cstheme="minorHAnsi"/>
          <w:color w:val="000000"/>
          <w:sz w:val="24"/>
          <w:szCs w:val="24"/>
          <w:shd w:val="clear" w:color="auto" w:fill="FFFFFF"/>
        </w:rPr>
      </w:pPr>
      <w:r w:rsidRPr="005B0F5E">
        <w:rPr>
          <w:rFonts w:cstheme="minorHAnsi"/>
          <w:i/>
          <w:iCs/>
          <w:color w:val="000000"/>
          <w:sz w:val="24"/>
          <w:szCs w:val="24"/>
          <w:shd w:val="clear" w:color="auto" w:fill="FFFFFF"/>
        </w:rPr>
        <w:t>The African Charter on the Rights and Welfare of the Child</w:t>
      </w:r>
      <w:r w:rsidRPr="005B0F5E">
        <w:rPr>
          <w:rFonts w:cstheme="minorHAnsi"/>
          <w:color w:val="000000"/>
          <w:sz w:val="24"/>
          <w:szCs w:val="24"/>
          <w:shd w:val="clear" w:color="auto" w:fill="FFFFFF"/>
        </w:rPr>
        <w:t>. [</w:t>
      </w:r>
      <w:proofErr w:type="spellStart"/>
      <w:r w:rsidRPr="005B0F5E">
        <w:rPr>
          <w:rFonts w:cstheme="minorHAnsi"/>
          <w:color w:val="000000"/>
          <w:sz w:val="24"/>
          <w:szCs w:val="24"/>
          <w:shd w:val="clear" w:color="auto" w:fill="FFFFFF"/>
        </w:rPr>
        <w:t>ebook</w:t>
      </w:r>
      <w:proofErr w:type="spellEnd"/>
      <w:r w:rsidRPr="005B0F5E">
        <w:rPr>
          <w:rFonts w:cstheme="minorHAnsi"/>
          <w:color w:val="000000"/>
          <w:sz w:val="24"/>
          <w:szCs w:val="24"/>
          <w:shd w:val="clear" w:color="auto" w:fill="FFFFFF"/>
        </w:rPr>
        <w:t>] The World Health Organization. Available at: &lt;https://www.who.int/hhr/African%20Child%20Charter.pdf&gt; [Accessed 11 February 2022], p.1.</w:t>
      </w:r>
    </w:p>
    <w:p w14:paraId="1B4B83C5" w14:textId="6689FFFC" w:rsidR="00A73D18" w:rsidRPr="005B0F5E" w:rsidRDefault="003715B2" w:rsidP="005B0F5E">
      <w:pPr>
        <w:rPr>
          <w:rFonts w:cstheme="minorHAnsi"/>
          <w:color w:val="000000"/>
          <w:sz w:val="24"/>
          <w:szCs w:val="24"/>
          <w:shd w:val="clear" w:color="auto" w:fill="FFFFFF"/>
        </w:rPr>
      </w:pPr>
      <w:r w:rsidRPr="005B0F5E">
        <w:rPr>
          <w:rFonts w:cstheme="minorHAnsi"/>
          <w:color w:val="000000"/>
          <w:sz w:val="24"/>
          <w:szCs w:val="24"/>
          <w:shd w:val="clear" w:color="auto" w:fill="FFFFFF"/>
        </w:rPr>
        <w:t>Thompson, K., 2017. </w:t>
      </w:r>
      <w:r w:rsidRPr="005B0F5E">
        <w:rPr>
          <w:rFonts w:cstheme="minorHAnsi"/>
          <w:i/>
          <w:iCs/>
          <w:color w:val="000000"/>
          <w:sz w:val="24"/>
          <w:szCs w:val="24"/>
          <w:shd w:val="clear" w:color="auto" w:fill="FFFFFF"/>
        </w:rPr>
        <w:t>Modernization Theory</w:t>
      </w:r>
      <w:r w:rsidRPr="005B0F5E">
        <w:rPr>
          <w:rFonts w:cstheme="minorHAnsi"/>
          <w:color w:val="000000"/>
          <w:sz w:val="24"/>
          <w:szCs w:val="24"/>
          <w:shd w:val="clear" w:color="auto" w:fill="FFFFFF"/>
        </w:rPr>
        <w:t>. [online] Revise Sociology. Available at: &lt;https://revisesociology.com/2017/09/19/modernization-theory/&gt; [Accessed 23 February 2022], p.1.</w:t>
      </w:r>
    </w:p>
    <w:p w14:paraId="71720914" w14:textId="2A53B7C9" w:rsidR="006E60CB" w:rsidRPr="005B0F5E" w:rsidRDefault="00A73D18" w:rsidP="005B0F5E">
      <w:pPr>
        <w:rPr>
          <w:rFonts w:cstheme="minorHAnsi"/>
          <w:color w:val="000000"/>
          <w:sz w:val="24"/>
          <w:szCs w:val="24"/>
          <w:shd w:val="clear" w:color="auto" w:fill="FFFFFF"/>
        </w:rPr>
      </w:pPr>
      <w:r w:rsidRPr="005B0F5E">
        <w:rPr>
          <w:rFonts w:cstheme="minorHAnsi"/>
          <w:color w:val="000000"/>
          <w:sz w:val="24"/>
          <w:szCs w:val="24"/>
          <w:shd w:val="clear" w:color="auto" w:fill="FFFFFF"/>
        </w:rPr>
        <w:t>Thornton, N. and Burgess, J., n.d. </w:t>
      </w:r>
      <w:r w:rsidRPr="005B0F5E">
        <w:rPr>
          <w:rFonts w:cstheme="minorHAnsi"/>
          <w:i/>
          <w:iCs/>
          <w:color w:val="000000"/>
          <w:sz w:val="24"/>
          <w:szCs w:val="24"/>
          <w:shd w:val="clear" w:color="auto" w:fill="FFFFFF"/>
        </w:rPr>
        <w:t>Climate Change in Kenya: Focus on Children</w:t>
      </w:r>
      <w:r w:rsidRPr="005B0F5E">
        <w:rPr>
          <w:rFonts w:cstheme="minorHAnsi"/>
          <w:color w:val="000000"/>
          <w:sz w:val="24"/>
          <w:szCs w:val="24"/>
          <w:shd w:val="clear" w:color="auto" w:fill="FFFFFF"/>
        </w:rPr>
        <w:t>. [online] London: UNICEF. Available at: &lt;https://downloads.unicef.org.uk/wp-content/uploads/2010/09/climatechangekenya2010web.pdf?_adal_sd=www.unicef.org.uk.1644784415169&amp;_adal_ca=so%3DGoogle%26me%3Dorganic%26ca%3D(not%2520set)%26co%3D(not%2520set)%26ke%3D(not%2520set).1644784415169&amp;_adal_cw=1644306074854.1644784415169&amp;_adal_id=2524f5bd-c4e7-48b9-84b3-0ef64e74d99c.1640032354.15.1644784403.1644775670.20df1dea-8be1-4c00-bf31-f5eb6bb83eac.1644784415169&amp;_ga=2.101213379.358461507.1644744365-331807507.1640032354&gt; [Accessed 13 February 2022],</w:t>
      </w:r>
      <w:r w:rsidR="00D50866" w:rsidRPr="005B0F5E">
        <w:rPr>
          <w:rFonts w:cstheme="minorHAnsi"/>
          <w:color w:val="000000"/>
          <w:sz w:val="24"/>
          <w:szCs w:val="24"/>
          <w:shd w:val="clear" w:color="auto" w:fill="FFFFFF"/>
        </w:rPr>
        <w:t xml:space="preserve"> </w:t>
      </w:r>
      <w:r w:rsidRPr="005B0F5E">
        <w:rPr>
          <w:rFonts w:cstheme="minorHAnsi"/>
          <w:color w:val="000000"/>
          <w:sz w:val="24"/>
          <w:szCs w:val="24"/>
          <w:shd w:val="clear" w:color="auto" w:fill="FFFFFF"/>
        </w:rPr>
        <w:t>p.1-</w:t>
      </w:r>
      <w:r w:rsidR="00D50866" w:rsidRPr="005B0F5E">
        <w:rPr>
          <w:rFonts w:cstheme="minorHAnsi"/>
          <w:color w:val="000000"/>
          <w:sz w:val="24"/>
          <w:szCs w:val="24"/>
          <w:shd w:val="clear" w:color="auto" w:fill="FFFFFF"/>
        </w:rPr>
        <w:t>79.</w:t>
      </w:r>
    </w:p>
    <w:p w14:paraId="34A510CF" w14:textId="77777777" w:rsidR="00E50E21" w:rsidRPr="005B0F5E" w:rsidRDefault="006E60CB" w:rsidP="005B0F5E">
      <w:pPr>
        <w:rPr>
          <w:rFonts w:cstheme="minorHAnsi"/>
          <w:color w:val="000000"/>
          <w:sz w:val="24"/>
          <w:szCs w:val="24"/>
          <w:shd w:val="clear" w:color="auto" w:fill="FFFFFF"/>
        </w:rPr>
      </w:pPr>
      <w:r w:rsidRPr="005B0F5E">
        <w:rPr>
          <w:rFonts w:cstheme="minorHAnsi"/>
          <w:color w:val="000000"/>
          <w:sz w:val="24"/>
          <w:szCs w:val="24"/>
          <w:shd w:val="clear" w:color="auto" w:fill="FFFFFF"/>
        </w:rPr>
        <w:t>UNDP. 2022. </w:t>
      </w:r>
      <w:r w:rsidRPr="005B0F5E">
        <w:rPr>
          <w:rFonts w:cstheme="minorHAnsi"/>
          <w:i/>
          <w:iCs/>
          <w:color w:val="000000"/>
          <w:sz w:val="24"/>
          <w:szCs w:val="24"/>
          <w:shd w:val="clear" w:color="auto" w:fill="FFFFFF"/>
        </w:rPr>
        <w:t>Sustainable Development Goals | United Nations Development Programme</w:t>
      </w:r>
      <w:r w:rsidRPr="005B0F5E">
        <w:rPr>
          <w:rFonts w:cstheme="minorHAnsi"/>
          <w:color w:val="000000"/>
          <w:sz w:val="24"/>
          <w:szCs w:val="24"/>
          <w:shd w:val="clear" w:color="auto" w:fill="FFFFFF"/>
        </w:rPr>
        <w:t>. [online] Available at: &lt;https://www.undp.org/sustainable-development-goals&gt; [Accessed 16 February 2022], p.1.</w:t>
      </w:r>
      <w:r w:rsidR="00E50E21" w:rsidRPr="005B0F5E">
        <w:rPr>
          <w:rFonts w:cstheme="minorHAnsi"/>
          <w:color w:val="000000"/>
          <w:sz w:val="24"/>
          <w:szCs w:val="24"/>
          <w:shd w:val="clear" w:color="auto" w:fill="FFFFFF"/>
        </w:rPr>
        <w:t xml:space="preserve"> </w:t>
      </w:r>
    </w:p>
    <w:p w14:paraId="46C84331" w14:textId="7B838D6C" w:rsidR="00364253" w:rsidRPr="005B0F5E" w:rsidRDefault="00E50E21" w:rsidP="005B0F5E">
      <w:pPr>
        <w:rPr>
          <w:rFonts w:cstheme="minorHAnsi"/>
          <w:color w:val="000000"/>
          <w:sz w:val="24"/>
          <w:szCs w:val="24"/>
          <w:shd w:val="clear" w:color="auto" w:fill="FFFFFF"/>
        </w:rPr>
      </w:pPr>
      <w:r w:rsidRPr="005B0F5E">
        <w:rPr>
          <w:rFonts w:cstheme="minorHAnsi"/>
          <w:color w:val="000000"/>
          <w:sz w:val="24"/>
          <w:szCs w:val="24"/>
          <w:shd w:val="clear" w:color="auto" w:fill="FFFFFF"/>
        </w:rPr>
        <w:lastRenderedPageBreak/>
        <w:t>UNESCO, 2015. </w:t>
      </w:r>
      <w:r w:rsidRPr="005B0F5E">
        <w:rPr>
          <w:rFonts w:cstheme="minorHAnsi"/>
          <w:i/>
          <w:iCs/>
          <w:color w:val="000000"/>
          <w:sz w:val="24"/>
          <w:szCs w:val="24"/>
          <w:shd w:val="clear" w:color="auto" w:fill="FFFFFF"/>
        </w:rPr>
        <w:t>Education for All 2000-2015: Achievements and Challenges</w:t>
      </w:r>
      <w:r w:rsidRPr="005B0F5E">
        <w:rPr>
          <w:rFonts w:cstheme="minorHAnsi"/>
          <w:color w:val="000000"/>
          <w:sz w:val="24"/>
          <w:szCs w:val="24"/>
          <w:shd w:val="clear" w:color="auto" w:fill="FFFFFF"/>
        </w:rPr>
        <w:t>. [online] Paris: UNESCO. Available at: &lt;https://unesdoc.unesco.org/in/documentViewer.xhtml?v=2.1.196&amp;id=p::usmarcdef_0000232205&amp;file=/in/rest/annotationSVC/DownloadWatermarkedAttachment/attach_import_788b59d0-339f-4583-9b65-7d332ef0e0f5%3F_%3D232205eng.pdf&amp;locale=en&amp;multi=true&amp;ark=/ark:/48223/pf0000232205/PDF/232205eng.pdf#%5B%7B%22num%22%3A478%2C%22gen%22%3A0%7D%2C%7B%22name%22%3A%22XYZ%22%7D%2Cnull%2Cnull%2C0%5D&gt; [Accessed 20 February 2022], p.65.</w:t>
      </w:r>
    </w:p>
    <w:p w14:paraId="33F98031" w14:textId="6ED17D0D" w:rsidR="00300F25" w:rsidRPr="005B0F5E" w:rsidRDefault="00364253" w:rsidP="005B0F5E">
      <w:pPr>
        <w:rPr>
          <w:rFonts w:cstheme="minorHAnsi"/>
          <w:color w:val="000000"/>
          <w:sz w:val="24"/>
          <w:szCs w:val="24"/>
          <w:shd w:val="clear" w:color="auto" w:fill="FFFFFF"/>
        </w:rPr>
      </w:pPr>
      <w:r w:rsidRPr="005B0F5E">
        <w:rPr>
          <w:rFonts w:cstheme="minorHAnsi"/>
          <w:color w:val="000000"/>
          <w:sz w:val="24"/>
          <w:szCs w:val="24"/>
          <w:shd w:val="clear" w:color="auto" w:fill="FFFFFF"/>
        </w:rPr>
        <w:t>Un.org. 2015. </w:t>
      </w:r>
      <w:r w:rsidRPr="005B0F5E">
        <w:rPr>
          <w:rFonts w:cstheme="minorHAnsi"/>
          <w:i/>
          <w:iCs/>
          <w:color w:val="000000"/>
          <w:sz w:val="24"/>
          <w:szCs w:val="24"/>
          <w:shd w:val="clear" w:color="auto" w:fill="FFFFFF"/>
        </w:rPr>
        <w:t>Universal Declaration of Human Rights</w:t>
      </w:r>
      <w:r w:rsidRPr="005B0F5E">
        <w:rPr>
          <w:rFonts w:cstheme="minorHAnsi"/>
          <w:color w:val="000000"/>
          <w:sz w:val="24"/>
          <w:szCs w:val="24"/>
          <w:shd w:val="clear" w:color="auto" w:fill="FFFFFF"/>
        </w:rPr>
        <w:t xml:space="preserve">. [online] Available at: &lt;https://www.un.org/en/udhrbook/pdf/udhr_booklet_en_web.pdf&gt; [Accessed 6 February 2022], p.4). </w:t>
      </w:r>
    </w:p>
    <w:p w14:paraId="6F6C4CA1" w14:textId="77777777" w:rsidR="009851D5" w:rsidRPr="005B0F5E" w:rsidRDefault="00300F25" w:rsidP="005B0F5E">
      <w:pPr>
        <w:rPr>
          <w:rFonts w:cstheme="minorHAnsi"/>
          <w:color w:val="000000"/>
          <w:sz w:val="24"/>
          <w:szCs w:val="24"/>
          <w:shd w:val="clear" w:color="auto" w:fill="FFFFFF"/>
        </w:rPr>
      </w:pPr>
      <w:r w:rsidRPr="005B0F5E">
        <w:rPr>
          <w:rFonts w:cstheme="minorHAnsi"/>
          <w:color w:val="000000"/>
          <w:sz w:val="24"/>
          <w:szCs w:val="24"/>
          <w:shd w:val="clear" w:color="auto" w:fill="FFFFFF"/>
        </w:rPr>
        <w:t>Woldehanna, T., Gebremedhin, A. and Araya, M., 2017. Is Child Work Detrimental to the Educational Achievement of Children? Results from Young Lives Study in Ethiopia. </w:t>
      </w:r>
      <w:r w:rsidRPr="005B0F5E">
        <w:rPr>
          <w:rFonts w:cstheme="minorHAnsi"/>
          <w:i/>
          <w:iCs/>
          <w:color w:val="000000"/>
          <w:sz w:val="24"/>
          <w:szCs w:val="24"/>
          <w:shd w:val="clear" w:color="auto" w:fill="FFFFFF"/>
        </w:rPr>
        <w:t>Ethiopian Journal of Economics</w:t>
      </w:r>
      <w:r w:rsidRPr="005B0F5E">
        <w:rPr>
          <w:rFonts w:cstheme="minorHAnsi"/>
          <w:color w:val="000000"/>
          <w:sz w:val="24"/>
          <w:szCs w:val="24"/>
          <w:shd w:val="clear" w:color="auto" w:fill="FFFFFF"/>
        </w:rPr>
        <w:t>, 26(1), p</w:t>
      </w:r>
      <w:r w:rsidR="00D50866" w:rsidRPr="005B0F5E">
        <w:rPr>
          <w:rFonts w:cstheme="minorHAnsi"/>
          <w:color w:val="000000"/>
          <w:sz w:val="24"/>
          <w:szCs w:val="24"/>
          <w:shd w:val="clear" w:color="auto" w:fill="FFFFFF"/>
        </w:rPr>
        <w:t>-146</w:t>
      </w:r>
      <w:r w:rsidRPr="005B0F5E">
        <w:rPr>
          <w:rFonts w:cstheme="minorHAnsi"/>
          <w:color w:val="000000"/>
          <w:sz w:val="24"/>
          <w:szCs w:val="24"/>
          <w:shd w:val="clear" w:color="auto" w:fill="FFFFFF"/>
        </w:rPr>
        <w:t>.</w:t>
      </w:r>
      <w:r w:rsidR="009851D5" w:rsidRPr="005B0F5E">
        <w:rPr>
          <w:rFonts w:cstheme="minorHAnsi"/>
          <w:color w:val="000000"/>
          <w:sz w:val="24"/>
          <w:szCs w:val="24"/>
          <w:shd w:val="clear" w:color="auto" w:fill="FFFFFF"/>
        </w:rPr>
        <w:t xml:space="preserve"> </w:t>
      </w:r>
    </w:p>
    <w:p w14:paraId="23B5DBBA" w14:textId="77777777" w:rsidR="005D6B8F" w:rsidRPr="005B0F5E" w:rsidRDefault="009851D5" w:rsidP="005B0F5E">
      <w:pPr>
        <w:rPr>
          <w:rFonts w:cstheme="minorHAnsi"/>
          <w:color w:val="000000"/>
          <w:sz w:val="24"/>
          <w:szCs w:val="24"/>
          <w:shd w:val="clear" w:color="auto" w:fill="FFFFFF"/>
        </w:rPr>
      </w:pPr>
      <w:r w:rsidRPr="005B0F5E">
        <w:rPr>
          <w:rFonts w:cstheme="minorHAnsi"/>
          <w:color w:val="000000"/>
          <w:sz w:val="24"/>
          <w:szCs w:val="24"/>
          <w:shd w:val="clear" w:color="auto" w:fill="FFFFFF"/>
        </w:rPr>
        <w:t>World Bank. 2021. </w:t>
      </w:r>
      <w:r w:rsidRPr="005B0F5E">
        <w:rPr>
          <w:rFonts w:cstheme="minorHAnsi"/>
          <w:i/>
          <w:iCs/>
          <w:color w:val="000000"/>
          <w:sz w:val="24"/>
          <w:szCs w:val="24"/>
          <w:shd w:val="clear" w:color="auto" w:fill="FFFFFF"/>
        </w:rPr>
        <w:t>The World Bank in Kenya</w:t>
      </w:r>
      <w:r w:rsidRPr="005B0F5E">
        <w:rPr>
          <w:rFonts w:cstheme="minorHAnsi"/>
          <w:color w:val="000000"/>
          <w:sz w:val="24"/>
          <w:szCs w:val="24"/>
          <w:shd w:val="clear" w:color="auto" w:fill="FFFFFF"/>
        </w:rPr>
        <w:t>. [online] Available at: &lt;https://www.worldbank.org/en/country/kenya/overview#1&gt; [Accessed 6 March 2022]</w:t>
      </w:r>
      <w:r w:rsidRPr="005B0F5E">
        <w:rPr>
          <w:rFonts w:cstheme="minorHAnsi"/>
          <w:color w:val="000000"/>
          <w:sz w:val="24"/>
          <w:szCs w:val="24"/>
          <w:shd w:val="clear" w:color="auto" w:fill="FFFFFF"/>
        </w:rPr>
        <w:t>, p.1.</w:t>
      </w:r>
      <w:r w:rsidR="005D6B8F" w:rsidRPr="005B0F5E">
        <w:rPr>
          <w:rFonts w:cstheme="minorHAnsi"/>
          <w:color w:val="000000"/>
          <w:sz w:val="24"/>
          <w:szCs w:val="24"/>
          <w:shd w:val="clear" w:color="auto" w:fill="FFFFFF"/>
        </w:rPr>
        <w:t xml:space="preserve"> </w:t>
      </w:r>
    </w:p>
    <w:p w14:paraId="0BC68F89" w14:textId="5C268F29" w:rsidR="00364253" w:rsidRPr="005B0F5E" w:rsidRDefault="005D6B8F" w:rsidP="005B0F5E">
      <w:pPr>
        <w:rPr>
          <w:rFonts w:cstheme="minorHAnsi"/>
          <w:color w:val="000000"/>
          <w:sz w:val="24"/>
          <w:szCs w:val="24"/>
          <w:shd w:val="clear" w:color="auto" w:fill="FFFFFF"/>
        </w:rPr>
      </w:pPr>
      <w:r w:rsidRPr="005B0F5E">
        <w:rPr>
          <w:rFonts w:cstheme="minorHAnsi"/>
          <w:color w:val="000000"/>
          <w:sz w:val="24"/>
          <w:szCs w:val="24"/>
          <w:shd w:val="clear" w:color="auto" w:fill="FFFFFF"/>
        </w:rPr>
        <w:t>Wvi.org. 2022. </w:t>
      </w:r>
      <w:r w:rsidRPr="005B0F5E">
        <w:rPr>
          <w:rFonts w:cstheme="minorHAnsi"/>
          <w:i/>
          <w:iCs/>
          <w:color w:val="000000"/>
          <w:sz w:val="24"/>
          <w:szCs w:val="24"/>
          <w:shd w:val="clear" w:color="auto" w:fill="FFFFFF"/>
        </w:rPr>
        <w:t>Reasons to support the Kenya Children Bill</w:t>
      </w:r>
      <w:r w:rsidRPr="005B0F5E">
        <w:rPr>
          <w:rFonts w:cstheme="minorHAnsi"/>
          <w:color w:val="000000"/>
          <w:sz w:val="24"/>
          <w:szCs w:val="24"/>
          <w:shd w:val="clear" w:color="auto" w:fill="FFFFFF"/>
        </w:rPr>
        <w:t>. [online] Available at: &lt;https://www.wvi.org/stories/kenya/reasons-support-kenya-children-bill&gt; [Accessed 6 March 2022]</w:t>
      </w:r>
      <w:r w:rsidRPr="005B0F5E">
        <w:rPr>
          <w:rFonts w:cstheme="minorHAnsi"/>
          <w:color w:val="000000"/>
          <w:sz w:val="24"/>
          <w:szCs w:val="24"/>
          <w:shd w:val="clear" w:color="auto" w:fill="FFFFFF"/>
        </w:rPr>
        <w:t>, p.1.</w:t>
      </w:r>
    </w:p>
    <w:p w14:paraId="5B7D415A" w14:textId="77777777" w:rsidR="00364253" w:rsidRPr="005B0F5E" w:rsidRDefault="00364253" w:rsidP="005B0F5E">
      <w:pPr>
        <w:rPr>
          <w:rFonts w:cstheme="minorHAnsi"/>
          <w:sz w:val="24"/>
          <w:szCs w:val="24"/>
        </w:rPr>
      </w:pPr>
    </w:p>
    <w:p w14:paraId="7FE1D08A" w14:textId="77777777" w:rsidR="00437C89" w:rsidRPr="005B0F5E" w:rsidRDefault="00437C89" w:rsidP="005B0F5E">
      <w:pPr>
        <w:rPr>
          <w:rFonts w:eastAsiaTheme="majorEastAsia" w:cstheme="minorHAnsi"/>
          <w:color w:val="000000" w:themeColor="text1"/>
          <w:sz w:val="24"/>
          <w:szCs w:val="24"/>
        </w:rPr>
      </w:pPr>
    </w:p>
    <w:p w14:paraId="4550F7A0" w14:textId="77777777" w:rsidR="00437C89" w:rsidRPr="005B0F5E" w:rsidRDefault="00437C89" w:rsidP="005B0F5E">
      <w:pPr>
        <w:rPr>
          <w:rFonts w:eastAsiaTheme="majorEastAsia" w:cstheme="minorHAnsi"/>
          <w:color w:val="000000" w:themeColor="text1"/>
          <w:sz w:val="24"/>
          <w:szCs w:val="24"/>
        </w:rPr>
      </w:pPr>
    </w:p>
    <w:p w14:paraId="6CFC3271" w14:textId="77777777" w:rsidR="00437C89" w:rsidRPr="005B0F5E" w:rsidRDefault="00437C89" w:rsidP="005B0F5E">
      <w:pPr>
        <w:rPr>
          <w:rFonts w:eastAsiaTheme="majorEastAsia" w:cstheme="minorHAnsi"/>
          <w:color w:val="000000" w:themeColor="text1"/>
          <w:sz w:val="24"/>
          <w:szCs w:val="24"/>
        </w:rPr>
      </w:pPr>
    </w:p>
    <w:p w14:paraId="731675B5" w14:textId="77777777" w:rsidR="00437C89" w:rsidRPr="005B0F5E" w:rsidRDefault="00437C89">
      <w:pPr>
        <w:rPr>
          <w:rFonts w:eastAsiaTheme="majorEastAsia" w:cstheme="minorHAnsi"/>
          <w:color w:val="000000" w:themeColor="text1"/>
          <w:sz w:val="24"/>
          <w:szCs w:val="24"/>
        </w:rPr>
      </w:pPr>
    </w:p>
    <w:p w14:paraId="253CF88C" w14:textId="77777777" w:rsidR="00437C89" w:rsidRPr="005B0F5E" w:rsidRDefault="00437C89">
      <w:pPr>
        <w:rPr>
          <w:rFonts w:eastAsiaTheme="majorEastAsia" w:cstheme="minorHAnsi"/>
          <w:color w:val="000000" w:themeColor="text1"/>
          <w:sz w:val="24"/>
          <w:szCs w:val="24"/>
        </w:rPr>
      </w:pPr>
    </w:p>
    <w:p w14:paraId="35C343CA" w14:textId="47FE7D22" w:rsidR="00364253" w:rsidRPr="005B0F5E" w:rsidRDefault="00364253">
      <w:pPr>
        <w:rPr>
          <w:rFonts w:cstheme="minorHAnsi"/>
          <w:sz w:val="24"/>
          <w:szCs w:val="24"/>
        </w:rPr>
      </w:pPr>
    </w:p>
    <w:sectPr w:rsidR="00364253" w:rsidRPr="005B0F5E">
      <w:headerReference w:type="default" r:id="rId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9EDADDD" w14:textId="77777777" w:rsidR="00746EE2" w:rsidRDefault="00746EE2">
      <w:pPr>
        <w:spacing w:after="0" w:line="240" w:lineRule="auto"/>
      </w:pPr>
      <w:r>
        <w:separator/>
      </w:r>
    </w:p>
  </w:endnote>
  <w:endnote w:type="continuationSeparator" w:id="0">
    <w:p w14:paraId="1A1D6E92" w14:textId="77777777" w:rsidR="00746EE2" w:rsidRDefault="00746EE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C4F92EA" w14:textId="77777777" w:rsidR="00746EE2" w:rsidRDefault="00746EE2">
      <w:pPr>
        <w:spacing w:after="0" w:line="240" w:lineRule="auto"/>
      </w:pPr>
      <w:r>
        <w:separator/>
      </w:r>
    </w:p>
  </w:footnote>
  <w:footnote w:type="continuationSeparator" w:id="0">
    <w:p w14:paraId="7C256213" w14:textId="77777777" w:rsidR="00746EE2" w:rsidRDefault="00746EE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F40F794" w14:textId="77777777" w:rsidR="00ED1FD0" w:rsidRDefault="00ED1FD0">
    <w:pPr>
      <w:pStyle w:val="Header"/>
    </w:pPr>
    <w:r>
      <w:t>Rachel Evans – ECIE6004</w:t>
    </w:r>
  </w:p>
  <w:p w14:paraId="2A66D976" w14:textId="77777777" w:rsidR="00ED1FD0" w:rsidRDefault="00ED1FD0">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364253"/>
    <w:rsid w:val="00002537"/>
    <w:rsid w:val="00005D91"/>
    <w:rsid w:val="00006032"/>
    <w:rsid w:val="00006055"/>
    <w:rsid w:val="000107DB"/>
    <w:rsid w:val="0001386B"/>
    <w:rsid w:val="000146D1"/>
    <w:rsid w:val="00015491"/>
    <w:rsid w:val="0001554D"/>
    <w:rsid w:val="000275BD"/>
    <w:rsid w:val="00034B79"/>
    <w:rsid w:val="00043A27"/>
    <w:rsid w:val="00045E0C"/>
    <w:rsid w:val="00050D47"/>
    <w:rsid w:val="00055A7B"/>
    <w:rsid w:val="000616EE"/>
    <w:rsid w:val="000657F0"/>
    <w:rsid w:val="00065A0F"/>
    <w:rsid w:val="000739FA"/>
    <w:rsid w:val="00074B82"/>
    <w:rsid w:val="00074E9D"/>
    <w:rsid w:val="00077DCB"/>
    <w:rsid w:val="00080C71"/>
    <w:rsid w:val="000824C0"/>
    <w:rsid w:val="00085264"/>
    <w:rsid w:val="00096638"/>
    <w:rsid w:val="000A74F0"/>
    <w:rsid w:val="000B060A"/>
    <w:rsid w:val="000B2FAD"/>
    <w:rsid w:val="000B4FAE"/>
    <w:rsid w:val="000C130E"/>
    <w:rsid w:val="000C57E0"/>
    <w:rsid w:val="000C6EBE"/>
    <w:rsid w:val="000D0232"/>
    <w:rsid w:val="000D17B9"/>
    <w:rsid w:val="000D3EC5"/>
    <w:rsid w:val="000E1086"/>
    <w:rsid w:val="000E1351"/>
    <w:rsid w:val="000E2FEB"/>
    <w:rsid w:val="000E667C"/>
    <w:rsid w:val="000F00D3"/>
    <w:rsid w:val="00105230"/>
    <w:rsid w:val="0011042F"/>
    <w:rsid w:val="001111EA"/>
    <w:rsid w:val="00113D00"/>
    <w:rsid w:val="0011538F"/>
    <w:rsid w:val="0012036A"/>
    <w:rsid w:val="001211B5"/>
    <w:rsid w:val="00124A25"/>
    <w:rsid w:val="00134885"/>
    <w:rsid w:val="001426C2"/>
    <w:rsid w:val="001439F3"/>
    <w:rsid w:val="001510AA"/>
    <w:rsid w:val="0015348F"/>
    <w:rsid w:val="001629BD"/>
    <w:rsid w:val="00165373"/>
    <w:rsid w:val="001732E7"/>
    <w:rsid w:val="0017346D"/>
    <w:rsid w:val="00174DA8"/>
    <w:rsid w:val="00174EC5"/>
    <w:rsid w:val="00174F78"/>
    <w:rsid w:val="00185A3D"/>
    <w:rsid w:val="00190C16"/>
    <w:rsid w:val="00191D59"/>
    <w:rsid w:val="001927E3"/>
    <w:rsid w:val="00192C95"/>
    <w:rsid w:val="001933A9"/>
    <w:rsid w:val="00193A11"/>
    <w:rsid w:val="001A2742"/>
    <w:rsid w:val="001A32A9"/>
    <w:rsid w:val="001A424A"/>
    <w:rsid w:val="001B49C5"/>
    <w:rsid w:val="001C369C"/>
    <w:rsid w:val="001E1777"/>
    <w:rsid w:val="001F22C7"/>
    <w:rsid w:val="00202289"/>
    <w:rsid w:val="0020368D"/>
    <w:rsid w:val="002125EC"/>
    <w:rsid w:val="002128E1"/>
    <w:rsid w:val="0021322C"/>
    <w:rsid w:val="00213732"/>
    <w:rsid w:val="00223660"/>
    <w:rsid w:val="00235301"/>
    <w:rsid w:val="00244D73"/>
    <w:rsid w:val="00261368"/>
    <w:rsid w:val="00265559"/>
    <w:rsid w:val="0027251C"/>
    <w:rsid w:val="002813CD"/>
    <w:rsid w:val="00295171"/>
    <w:rsid w:val="002957DD"/>
    <w:rsid w:val="002A26F6"/>
    <w:rsid w:val="002A6E9E"/>
    <w:rsid w:val="002C27DF"/>
    <w:rsid w:val="002C5697"/>
    <w:rsid w:val="002C78CF"/>
    <w:rsid w:val="002E4E0B"/>
    <w:rsid w:val="002F1887"/>
    <w:rsid w:val="002F6A92"/>
    <w:rsid w:val="00300F25"/>
    <w:rsid w:val="00304E89"/>
    <w:rsid w:val="003066BE"/>
    <w:rsid w:val="00316192"/>
    <w:rsid w:val="003252ED"/>
    <w:rsid w:val="00337AC8"/>
    <w:rsid w:val="00341BCA"/>
    <w:rsid w:val="00342661"/>
    <w:rsid w:val="00360465"/>
    <w:rsid w:val="00364253"/>
    <w:rsid w:val="003715B2"/>
    <w:rsid w:val="00376C53"/>
    <w:rsid w:val="00377EC2"/>
    <w:rsid w:val="003814E2"/>
    <w:rsid w:val="00392E58"/>
    <w:rsid w:val="00394A16"/>
    <w:rsid w:val="00396B81"/>
    <w:rsid w:val="00397F18"/>
    <w:rsid w:val="003A6346"/>
    <w:rsid w:val="003A70B9"/>
    <w:rsid w:val="003A741A"/>
    <w:rsid w:val="003C0362"/>
    <w:rsid w:val="003E106A"/>
    <w:rsid w:val="003E4AE1"/>
    <w:rsid w:val="003E5F7A"/>
    <w:rsid w:val="003E6E3C"/>
    <w:rsid w:val="003F1B24"/>
    <w:rsid w:val="003F40A8"/>
    <w:rsid w:val="003F7BD4"/>
    <w:rsid w:val="004029FA"/>
    <w:rsid w:val="004173D7"/>
    <w:rsid w:val="004175F1"/>
    <w:rsid w:val="00417711"/>
    <w:rsid w:val="004230BE"/>
    <w:rsid w:val="00427292"/>
    <w:rsid w:val="00427B56"/>
    <w:rsid w:val="00434A8F"/>
    <w:rsid w:val="004360B0"/>
    <w:rsid w:val="00437C89"/>
    <w:rsid w:val="00444DF4"/>
    <w:rsid w:val="00454D33"/>
    <w:rsid w:val="00456FCA"/>
    <w:rsid w:val="00461E3D"/>
    <w:rsid w:val="004623F3"/>
    <w:rsid w:val="00470CCB"/>
    <w:rsid w:val="00473179"/>
    <w:rsid w:val="00473743"/>
    <w:rsid w:val="00477E63"/>
    <w:rsid w:val="00483C4F"/>
    <w:rsid w:val="0048656D"/>
    <w:rsid w:val="00487F18"/>
    <w:rsid w:val="00491B7E"/>
    <w:rsid w:val="004A3065"/>
    <w:rsid w:val="004B5112"/>
    <w:rsid w:val="004B6AE8"/>
    <w:rsid w:val="004D208D"/>
    <w:rsid w:val="004E78AF"/>
    <w:rsid w:val="004F23CB"/>
    <w:rsid w:val="004F4BFD"/>
    <w:rsid w:val="0051778A"/>
    <w:rsid w:val="00517C3C"/>
    <w:rsid w:val="005259F1"/>
    <w:rsid w:val="00540083"/>
    <w:rsid w:val="0054018A"/>
    <w:rsid w:val="00542D87"/>
    <w:rsid w:val="005432CE"/>
    <w:rsid w:val="00552836"/>
    <w:rsid w:val="00553EA9"/>
    <w:rsid w:val="00560624"/>
    <w:rsid w:val="00560A29"/>
    <w:rsid w:val="00560DAE"/>
    <w:rsid w:val="00571743"/>
    <w:rsid w:val="00573258"/>
    <w:rsid w:val="0057489E"/>
    <w:rsid w:val="0057633B"/>
    <w:rsid w:val="00585B06"/>
    <w:rsid w:val="00587037"/>
    <w:rsid w:val="005936FB"/>
    <w:rsid w:val="0059700E"/>
    <w:rsid w:val="00597727"/>
    <w:rsid w:val="005A4B1E"/>
    <w:rsid w:val="005B0F5E"/>
    <w:rsid w:val="005B147B"/>
    <w:rsid w:val="005C01B0"/>
    <w:rsid w:val="005C2571"/>
    <w:rsid w:val="005C51E3"/>
    <w:rsid w:val="005D69C4"/>
    <w:rsid w:val="005D6B8F"/>
    <w:rsid w:val="005E52DA"/>
    <w:rsid w:val="005F3242"/>
    <w:rsid w:val="005F4268"/>
    <w:rsid w:val="00600561"/>
    <w:rsid w:val="006010C9"/>
    <w:rsid w:val="006068A5"/>
    <w:rsid w:val="0061333A"/>
    <w:rsid w:val="00614DDC"/>
    <w:rsid w:val="00615430"/>
    <w:rsid w:val="00617679"/>
    <w:rsid w:val="00632E17"/>
    <w:rsid w:val="00634EDD"/>
    <w:rsid w:val="006373FA"/>
    <w:rsid w:val="006426D4"/>
    <w:rsid w:val="006508B0"/>
    <w:rsid w:val="006520F5"/>
    <w:rsid w:val="006555CF"/>
    <w:rsid w:val="0066298C"/>
    <w:rsid w:val="006666BD"/>
    <w:rsid w:val="00677C90"/>
    <w:rsid w:val="006873F6"/>
    <w:rsid w:val="00692920"/>
    <w:rsid w:val="006B0739"/>
    <w:rsid w:val="006B3F61"/>
    <w:rsid w:val="006B4300"/>
    <w:rsid w:val="006C15C1"/>
    <w:rsid w:val="006C7E04"/>
    <w:rsid w:val="006D3482"/>
    <w:rsid w:val="006D7174"/>
    <w:rsid w:val="006E08FD"/>
    <w:rsid w:val="006E1796"/>
    <w:rsid w:val="006E5114"/>
    <w:rsid w:val="006E60CB"/>
    <w:rsid w:val="006F565D"/>
    <w:rsid w:val="006F7157"/>
    <w:rsid w:val="00706B2B"/>
    <w:rsid w:val="00714544"/>
    <w:rsid w:val="007157D2"/>
    <w:rsid w:val="0071697C"/>
    <w:rsid w:val="00735A4E"/>
    <w:rsid w:val="00736412"/>
    <w:rsid w:val="00737B33"/>
    <w:rsid w:val="0074275B"/>
    <w:rsid w:val="0074353A"/>
    <w:rsid w:val="00744CDC"/>
    <w:rsid w:val="00746EE2"/>
    <w:rsid w:val="00752DCC"/>
    <w:rsid w:val="0076161D"/>
    <w:rsid w:val="00765EB2"/>
    <w:rsid w:val="0076647F"/>
    <w:rsid w:val="007776ED"/>
    <w:rsid w:val="00786188"/>
    <w:rsid w:val="007A3B98"/>
    <w:rsid w:val="007B2F02"/>
    <w:rsid w:val="007C07C6"/>
    <w:rsid w:val="007C6F4E"/>
    <w:rsid w:val="007C78C8"/>
    <w:rsid w:val="007D23F2"/>
    <w:rsid w:val="007D24A5"/>
    <w:rsid w:val="007D2845"/>
    <w:rsid w:val="007D6F69"/>
    <w:rsid w:val="007E3CE6"/>
    <w:rsid w:val="007E4B2E"/>
    <w:rsid w:val="007F6249"/>
    <w:rsid w:val="00801D38"/>
    <w:rsid w:val="00803151"/>
    <w:rsid w:val="00812116"/>
    <w:rsid w:val="008230FB"/>
    <w:rsid w:val="00823BD7"/>
    <w:rsid w:val="008275AA"/>
    <w:rsid w:val="00830195"/>
    <w:rsid w:val="00830FE9"/>
    <w:rsid w:val="008313EB"/>
    <w:rsid w:val="00833852"/>
    <w:rsid w:val="00834F5D"/>
    <w:rsid w:val="00847ABF"/>
    <w:rsid w:val="008608CE"/>
    <w:rsid w:val="00863488"/>
    <w:rsid w:val="00865756"/>
    <w:rsid w:val="00870E8B"/>
    <w:rsid w:val="00887099"/>
    <w:rsid w:val="0089169E"/>
    <w:rsid w:val="00894516"/>
    <w:rsid w:val="00894985"/>
    <w:rsid w:val="00895935"/>
    <w:rsid w:val="008A2061"/>
    <w:rsid w:val="008A4469"/>
    <w:rsid w:val="008B6C4E"/>
    <w:rsid w:val="008C32DD"/>
    <w:rsid w:val="008C6F29"/>
    <w:rsid w:val="008D49F6"/>
    <w:rsid w:val="008E4189"/>
    <w:rsid w:val="008F3206"/>
    <w:rsid w:val="008F4780"/>
    <w:rsid w:val="008F6D5D"/>
    <w:rsid w:val="009024AE"/>
    <w:rsid w:val="00903B19"/>
    <w:rsid w:val="00904CBC"/>
    <w:rsid w:val="00904CC4"/>
    <w:rsid w:val="00906000"/>
    <w:rsid w:val="00913A01"/>
    <w:rsid w:val="00915447"/>
    <w:rsid w:val="00916EA0"/>
    <w:rsid w:val="009257C7"/>
    <w:rsid w:val="009364B8"/>
    <w:rsid w:val="00937B32"/>
    <w:rsid w:val="0094206F"/>
    <w:rsid w:val="00945226"/>
    <w:rsid w:val="00952CF3"/>
    <w:rsid w:val="00953DA1"/>
    <w:rsid w:val="009578CD"/>
    <w:rsid w:val="00963097"/>
    <w:rsid w:val="00967B78"/>
    <w:rsid w:val="0097683D"/>
    <w:rsid w:val="009768C3"/>
    <w:rsid w:val="009768F3"/>
    <w:rsid w:val="00980103"/>
    <w:rsid w:val="00983EE4"/>
    <w:rsid w:val="009851D5"/>
    <w:rsid w:val="00987F7E"/>
    <w:rsid w:val="00993DDE"/>
    <w:rsid w:val="00994C3A"/>
    <w:rsid w:val="00994E8E"/>
    <w:rsid w:val="009A520C"/>
    <w:rsid w:val="009B0D23"/>
    <w:rsid w:val="009B4075"/>
    <w:rsid w:val="009C1A15"/>
    <w:rsid w:val="009D1A56"/>
    <w:rsid w:val="009F2E6B"/>
    <w:rsid w:val="00A10CA7"/>
    <w:rsid w:val="00A23DDB"/>
    <w:rsid w:val="00A24468"/>
    <w:rsid w:val="00A416D2"/>
    <w:rsid w:val="00A42739"/>
    <w:rsid w:val="00A60E02"/>
    <w:rsid w:val="00A73D18"/>
    <w:rsid w:val="00A77C32"/>
    <w:rsid w:val="00A80665"/>
    <w:rsid w:val="00A859B1"/>
    <w:rsid w:val="00A936B3"/>
    <w:rsid w:val="00A93DF4"/>
    <w:rsid w:val="00A954AD"/>
    <w:rsid w:val="00AA16C8"/>
    <w:rsid w:val="00AA5244"/>
    <w:rsid w:val="00AA692C"/>
    <w:rsid w:val="00AB155E"/>
    <w:rsid w:val="00AC1481"/>
    <w:rsid w:val="00AD0B08"/>
    <w:rsid w:val="00AD18A3"/>
    <w:rsid w:val="00AD65D6"/>
    <w:rsid w:val="00AE0F57"/>
    <w:rsid w:val="00AE2708"/>
    <w:rsid w:val="00AE5272"/>
    <w:rsid w:val="00AF0A07"/>
    <w:rsid w:val="00AF363E"/>
    <w:rsid w:val="00AF6697"/>
    <w:rsid w:val="00B04F0C"/>
    <w:rsid w:val="00B066AA"/>
    <w:rsid w:val="00B1028E"/>
    <w:rsid w:val="00B17795"/>
    <w:rsid w:val="00B3033B"/>
    <w:rsid w:val="00B45215"/>
    <w:rsid w:val="00B46E60"/>
    <w:rsid w:val="00B477E1"/>
    <w:rsid w:val="00B5351C"/>
    <w:rsid w:val="00B564B4"/>
    <w:rsid w:val="00B64E70"/>
    <w:rsid w:val="00B653D7"/>
    <w:rsid w:val="00B66648"/>
    <w:rsid w:val="00B668EA"/>
    <w:rsid w:val="00B73F3D"/>
    <w:rsid w:val="00B80C9B"/>
    <w:rsid w:val="00B840D8"/>
    <w:rsid w:val="00BA0E63"/>
    <w:rsid w:val="00BA6DC4"/>
    <w:rsid w:val="00BC02C6"/>
    <w:rsid w:val="00BC1C43"/>
    <w:rsid w:val="00BC2DE8"/>
    <w:rsid w:val="00BC751A"/>
    <w:rsid w:val="00BE02DE"/>
    <w:rsid w:val="00BF1D49"/>
    <w:rsid w:val="00BF1F90"/>
    <w:rsid w:val="00BF32B8"/>
    <w:rsid w:val="00BF696A"/>
    <w:rsid w:val="00C10D9E"/>
    <w:rsid w:val="00C15875"/>
    <w:rsid w:val="00C2642F"/>
    <w:rsid w:val="00C335CB"/>
    <w:rsid w:val="00C460F8"/>
    <w:rsid w:val="00C60A80"/>
    <w:rsid w:val="00C716F0"/>
    <w:rsid w:val="00C82E2C"/>
    <w:rsid w:val="00C875F5"/>
    <w:rsid w:val="00CD71BB"/>
    <w:rsid w:val="00CE16F8"/>
    <w:rsid w:val="00CE26B4"/>
    <w:rsid w:val="00CF0A6B"/>
    <w:rsid w:val="00CF2319"/>
    <w:rsid w:val="00CF3B9C"/>
    <w:rsid w:val="00CF5F31"/>
    <w:rsid w:val="00CF7AB7"/>
    <w:rsid w:val="00D078BE"/>
    <w:rsid w:val="00D132B7"/>
    <w:rsid w:val="00D26F0E"/>
    <w:rsid w:val="00D314BE"/>
    <w:rsid w:val="00D341C1"/>
    <w:rsid w:val="00D4154A"/>
    <w:rsid w:val="00D50866"/>
    <w:rsid w:val="00D62988"/>
    <w:rsid w:val="00D754BF"/>
    <w:rsid w:val="00D76069"/>
    <w:rsid w:val="00D76A2F"/>
    <w:rsid w:val="00DA4414"/>
    <w:rsid w:val="00DB14DC"/>
    <w:rsid w:val="00DC311D"/>
    <w:rsid w:val="00DE0467"/>
    <w:rsid w:val="00DE11AE"/>
    <w:rsid w:val="00DE36F8"/>
    <w:rsid w:val="00DE7911"/>
    <w:rsid w:val="00E00441"/>
    <w:rsid w:val="00E042C8"/>
    <w:rsid w:val="00E04963"/>
    <w:rsid w:val="00E07E93"/>
    <w:rsid w:val="00E11205"/>
    <w:rsid w:val="00E13346"/>
    <w:rsid w:val="00E14BFF"/>
    <w:rsid w:val="00E16E92"/>
    <w:rsid w:val="00E21DD7"/>
    <w:rsid w:val="00E22E54"/>
    <w:rsid w:val="00E233F7"/>
    <w:rsid w:val="00E27E6F"/>
    <w:rsid w:val="00E311EC"/>
    <w:rsid w:val="00E32A44"/>
    <w:rsid w:val="00E32F7D"/>
    <w:rsid w:val="00E36B1F"/>
    <w:rsid w:val="00E46317"/>
    <w:rsid w:val="00E50E21"/>
    <w:rsid w:val="00E55053"/>
    <w:rsid w:val="00E6621B"/>
    <w:rsid w:val="00E721C4"/>
    <w:rsid w:val="00E77FFC"/>
    <w:rsid w:val="00E81045"/>
    <w:rsid w:val="00E9697C"/>
    <w:rsid w:val="00EA26C9"/>
    <w:rsid w:val="00EB30C4"/>
    <w:rsid w:val="00EC0004"/>
    <w:rsid w:val="00EC20C0"/>
    <w:rsid w:val="00ED1FD0"/>
    <w:rsid w:val="00EE10BF"/>
    <w:rsid w:val="00F10F75"/>
    <w:rsid w:val="00F132D3"/>
    <w:rsid w:val="00F15394"/>
    <w:rsid w:val="00F23BF4"/>
    <w:rsid w:val="00F341DD"/>
    <w:rsid w:val="00F35962"/>
    <w:rsid w:val="00F43150"/>
    <w:rsid w:val="00F46F25"/>
    <w:rsid w:val="00F474EE"/>
    <w:rsid w:val="00F5645B"/>
    <w:rsid w:val="00F62E96"/>
    <w:rsid w:val="00F64F31"/>
    <w:rsid w:val="00F74E35"/>
    <w:rsid w:val="00F7717F"/>
    <w:rsid w:val="00F804A0"/>
    <w:rsid w:val="00F8437E"/>
    <w:rsid w:val="00F86A58"/>
    <w:rsid w:val="00F86B97"/>
    <w:rsid w:val="00F92DA9"/>
    <w:rsid w:val="00F939D7"/>
    <w:rsid w:val="00F97FC1"/>
    <w:rsid w:val="00FA3EAA"/>
    <w:rsid w:val="00FB2528"/>
    <w:rsid w:val="00FD0211"/>
    <w:rsid w:val="00FD071D"/>
    <w:rsid w:val="00FE0310"/>
    <w:rsid w:val="00FE42D0"/>
    <w:rsid w:val="00FE4E1B"/>
    <w:rsid w:val="00FF5B8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976F908"/>
  <w15:docId w15:val="{C560B816-6A53-49AE-96C7-EC9115F730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364253"/>
    <w:pPr>
      <w:tabs>
        <w:tab w:val="center" w:pos="4513"/>
        <w:tab w:val="right" w:pos="9026"/>
      </w:tabs>
      <w:spacing w:after="0" w:line="240" w:lineRule="auto"/>
    </w:pPr>
  </w:style>
  <w:style w:type="character" w:customStyle="1" w:styleId="HeaderChar">
    <w:name w:val="Header Char"/>
    <w:basedOn w:val="DefaultParagraphFont"/>
    <w:link w:val="Header"/>
    <w:uiPriority w:val="99"/>
    <w:rsid w:val="00364253"/>
  </w:style>
  <w:style w:type="paragraph" w:styleId="NormalWeb">
    <w:name w:val="Normal (Web)"/>
    <w:basedOn w:val="Normal"/>
    <w:uiPriority w:val="99"/>
    <w:semiHidden/>
    <w:unhideWhenUsed/>
    <w:rsid w:val="000824C0"/>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unhideWhenUsed/>
    <w:rsid w:val="00F341DD"/>
    <w:rPr>
      <w:color w:val="0563C1" w:themeColor="hyperlink"/>
      <w:u w:val="single"/>
    </w:rPr>
  </w:style>
  <w:style w:type="character" w:styleId="UnresolvedMention">
    <w:name w:val="Unresolved Mention"/>
    <w:basedOn w:val="DefaultParagraphFont"/>
    <w:uiPriority w:val="99"/>
    <w:semiHidden/>
    <w:unhideWhenUsed/>
    <w:rsid w:val="00F341D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998151089">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hull-repository.worktribe.com/output/3469510/the-decolonisation-of-childrens-rights-and-the-colonial-contours-of-the-convention-on-the-rights-of-the-child" TargetMode="Externa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13</Pages>
  <Words>5356</Words>
  <Characters>30534</Characters>
  <Application>Microsoft Office Word</Application>
  <DocSecurity>0</DocSecurity>
  <Lines>254</Lines>
  <Paragraphs>71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35819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Lola</dc:creator>
  <cp:keywords/>
  <dc:description/>
  <cp:lastModifiedBy>Lola</cp:lastModifiedBy>
  <cp:revision>2</cp:revision>
  <dcterms:created xsi:type="dcterms:W3CDTF">2022-03-06T23:40:00Z</dcterms:created>
  <dcterms:modified xsi:type="dcterms:W3CDTF">2022-03-06T23:40:00Z</dcterms:modified>
</cp:coreProperties>
</file>