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5B1AD0" w14:textId="77777777" w:rsidR="00175C8F" w:rsidRDefault="00000000">
      <w:pPr>
        <w:pBdr>
          <w:top w:val="nil"/>
          <w:left w:val="nil"/>
          <w:bottom w:val="nil"/>
          <w:right w:val="nil"/>
          <w:between w:val="nil"/>
        </w:pBdr>
        <w:spacing w:line="240" w:lineRule="auto"/>
        <w:ind w:left="0" w:right="-334" w:hanging="2"/>
        <w:rPr>
          <w:color w:val="000000"/>
          <w:sz w:val="21"/>
          <w:szCs w:val="21"/>
        </w:rPr>
      </w:pPr>
      <w:r>
        <w:rPr>
          <w:noProof/>
          <w:color w:val="000000"/>
          <w:sz w:val="21"/>
          <w:szCs w:val="21"/>
        </w:rPr>
        <w:drawing>
          <wp:inline distT="0" distB="0" distL="114300" distR="114300" wp14:anchorId="5E8A4F8A" wp14:editId="7B1A405D">
            <wp:extent cx="1908175" cy="635635"/>
            <wp:effectExtent l="0" t="0" r="0" b="0"/>
            <wp:docPr id="102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908175" cy="635635"/>
                    </a:xfrm>
                    <a:prstGeom prst="rect">
                      <a:avLst/>
                    </a:prstGeom>
                    <a:ln/>
                  </pic:spPr>
                </pic:pic>
              </a:graphicData>
            </a:graphic>
          </wp:inline>
        </w:drawing>
      </w:r>
    </w:p>
    <w:p w14:paraId="44209ED1" w14:textId="77777777" w:rsidR="00175C8F" w:rsidRDefault="00175C8F">
      <w:pPr>
        <w:pBdr>
          <w:top w:val="nil"/>
          <w:left w:val="nil"/>
          <w:bottom w:val="nil"/>
          <w:right w:val="nil"/>
          <w:between w:val="nil"/>
        </w:pBdr>
        <w:spacing w:line="240" w:lineRule="auto"/>
        <w:ind w:left="0" w:right="-334" w:hanging="2"/>
        <w:rPr>
          <w:color w:val="000000"/>
          <w:sz w:val="21"/>
          <w:szCs w:val="21"/>
        </w:rPr>
      </w:pPr>
    </w:p>
    <w:p w14:paraId="32798F12" w14:textId="77777777" w:rsidR="00175C8F" w:rsidRDefault="00175C8F">
      <w:pPr>
        <w:pBdr>
          <w:top w:val="nil"/>
          <w:left w:val="nil"/>
          <w:bottom w:val="nil"/>
          <w:right w:val="nil"/>
          <w:between w:val="nil"/>
        </w:pBdr>
        <w:spacing w:line="240" w:lineRule="auto"/>
        <w:ind w:left="0" w:right="-334" w:hanging="2"/>
        <w:rPr>
          <w:color w:val="000000"/>
          <w:sz w:val="21"/>
          <w:szCs w:val="21"/>
        </w:rPr>
      </w:pPr>
    </w:p>
    <w:p w14:paraId="7C726287" w14:textId="77777777" w:rsidR="00175C8F" w:rsidRDefault="00000000">
      <w:pPr>
        <w:pBdr>
          <w:top w:val="nil"/>
          <w:left w:val="nil"/>
          <w:bottom w:val="nil"/>
          <w:right w:val="nil"/>
          <w:between w:val="nil"/>
        </w:pBdr>
        <w:spacing w:line="240" w:lineRule="auto"/>
        <w:ind w:left="1" w:right="-334" w:hanging="3"/>
        <w:jc w:val="center"/>
        <w:rPr>
          <w:color w:val="000000"/>
          <w:sz w:val="28"/>
          <w:szCs w:val="28"/>
        </w:rPr>
      </w:pPr>
      <w:r>
        <w:rPr>
          <w:b/>
          <w:color w:val="000000"/>
          <w:sz w:val="28"/>
          <w:szCs w:val="28"/>
        </w:rPr>
        <w:t xml:space="preserve">Postgraduate/Distance Learning </w:t>
      </w:r>
    </w:p>
    <w:p w14:paraId="4B3ACFB3" w14:textId="77777777" w:rsidR="00175C8F" w:rsidRDefault="00000000">
      <w:pPr>
        <w:pBdr>
          <w:top w:val="nil"/>
          <w:left w:val="nil"/>
          <w:bottom w:val="nil"/>
          <w:right w:val="nil"/>
          <w:between w:val="nil"/>
        </w:pBdr>
        <w:spacing w:line="240" w:lineRule="auto"/>
        <w:ind w:left="1" w:right="-334" w:hanging="3"/>
        <w:jc w:val="center"/>
        <w:rPr>
          <w:color w:val="000000"/>
          <w:sz w:val="28"/>
          <w:szCs w:val="28"/>
        </w:rPr>
      </w:pPr>
      <w:r>
        <w:rPr>
          <w:b/>
          <w:color w:val="000000"/>
          <w:sz w:val="28"/>
          <w:szCs w:val="28"/>
        </w:rPr>
        <w:t>Assignment coversheet &amp; feedback form</w:t>
      </w:r>
    </w:p>
    <w:p w14:paraId="2A3EED35" w14:textId="77777777" w:rsidR="00175C8F" w:rsidRDefault="00175C8F">
      <w:pPr>
        <w:ind w:left="1" w:hanging="3"/>
        <w:rPr>
          <w:sz w:val="28"/>
          <w:szCs w:val="28"/>
        </w:rPr>
      </w:pPr>
    </w:p>
    <w:p w14:paraId="4B1EC24D" w14:textId="77777777" w:rsidR="00175C8F" w:rsidRDefault="00000000">
      <w:pPr>
        <w:pStyle w:val="Heading3"/>
        <w:ind w:left="0" w:hanging="2"/>
        <w:jc w:val="center"/>
        <w:rPr>
          <w:rFonts w:ascii="Arial" w:hAnsi="Arial" w:cs="Arial"/>
        </w:rPr>
      </w:pPr>
      <w:r>
        <w:rPr>
          <w:rFonts w:ascii="Arial" w:hAnsi="Arial" w:cs="Arial"/>
        </w:rPr>
        <w:t>THIS SHEET MUST BE THE FIRST PAGE OF THE ASSIGNMENT YOU ARE SUBMITTING  (DO NOT SEND AS A SEPARATE FILE)</w:t>
      </w:r>
    </w:p>
    <w:p w14:paraId="7610D8B7" w14:textId="77777777" w:rsidR="00175C8F" w:rsidRDefault="00175C8F">
      <w:pPr>
        <w:pStyle w:val="Heading3"/>
        <w:ind w:left="0" w:hanging="2"/>
        <w:jc w:val="center"/>
        <w:rPr>
          <w:rFonts w:ascii="Arial" w:hAnsi="Arial" w:cs="Arial"/>
        </w:rPr>
      </w:pPr>
    </w:p>
    <w:tbl>
      <w:tblPr>
        <w:tblStyle w:val="a"/>
        <w:tblW w:w="885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788"/>
        <w:gridCol w:w="423"/>
        <w:gridCol w:w="1557"/>
        <w:gridCol w:w="286"/>
        <w:gridCol w:w="1802"/>
      </w:tblGrid>
      <w:tr w:rsidR="00175C8F" w14:paraId="405124C5" w14:textId="77777777">
        <w:trPr>
          <w:trHeight w:val="614"/>
        </w:trPr>
        <w:tc>
          <w:tcPr>
            <w:tcW w:w="8856" w:type="dxa"/>
            <w:gridSpan w:val="5"/>
          </w:tcPr>
          <w:p w14:paraId="7F56CF06" w14:textId="77777777" w:rsidR="00175C8F" w:rsidRDefault="00000000">
            <w:pPr>
              <w:pBdr>
                <w:top w:val="nil"/>
                <w:left w:val="nil"/>
                <w:bottom w:val="nil"/>
                <w:right w:val="nil"/>
                <w:between w:val="nil"/>
              </w:pBdr>
              <w:spacing w:line="240" w:lineRule="auto"/>
              <w:ind w:left="0" w:right="34" w:hanging="2"/>
              <w:rPr>
                <w:color w:val="000000"/>
                <w:sz w:val="22"/>
                <w:szCs w:val="22"/>
              </w:rPr>
            </w:pPr>
            <w:r>
              <w:rPr>
                <w:b/>
                <w:color w:val="000000"/>
                <w:sz w:val="22"/>
                <w:szCs w:val="22"/>
              </w:rPr>
              <w:t>For completion by the student</w:t>
            </w:r>
            <w:r>
              <w:rPr>
                <w:color w:val="000000"/>
                <w:sz w:val="22"/>
                <w:szCs w:val="22"/>
              </w:rPr>
              <w:t>:</w:t>
            </w:r>
          </w:p>
        </w:tc>
      </w:tr>
      <w:tr w:rsidR="00175C8F" w14:paraId="5AF35339" w14:textId="77777777">
        <w:trPr>
          <w:trHeight w:val="718"/>
        </w:trPr>
        <w:tc>
          <w:tcPr>
            <w:tcW w:w="8856" w:type="dxa"/>
            <w:gridSpan w:val="5"/>
          </w:tcPr>
          <w:p w14:paraId="03FC82B2" w14:textId="77777777" w:rsidR="00175C8F" w:rsidRDefault="00000000">
            <w:pPr>
              <w:pBdr>
                <w:top w:val="nil"/>
                <w:left w:val="nil"/>
                <w:bottom w:val="nil"/>
                <w:right w:val="nil"/>
                <w:between w:val="nil"/>
              </w:pBdr>
              <w:spacing w:line="240" w:lineRule="auto"/>
              <w:ind w:left="0" w:right="34" w:hanging="2"/>
              <w:rPr>
                <w:color w:val="000000"/>
                <w:sz w:val="22"/>
                <w:szCs w:val="22"/>
              </w:rPr>
            </w:pPr>
            <w:r>
              <w:rPr>
                <w:color w:val="000000"/>
                <w:sz w:val="22"/>
                <w:szCs w:val="22"/>
              </w:rPr>
              <w:t>Student Name: Whitney Hill</w:t>
            </w:r>
          </w:p>
          <w:p w14:paraId="092E9413" w14:textId="77777777" w:rsidR="00175C8F" w:rsidRDefault="00175C8F">
            <w:pPr>
              <w:pBdr>
                <w:top w:val="nil"/>
                <w:left w:val="nil"/>
                <w:bottom w:val="nil"/>
                <w:right w:val="nil"/>
                <w:between w:val="nil"/>
              </w:pBdr>
              <w:spacing w:line="240" w:lineRule="auto"/>
              <w:ind w:left="0" w:right="34" w:hanging="2"/>
              <w:rPr>
                <w:color w:val="000000"/>
                <w:sz w:val="22"/>
                <w:szCs w:val="22"/>
              </w:rPr>
            </w:pPr>
          </w:p>
        </w:tc>
      </w:tr>
      <w:tr w:rsidR="00175C8F" w14:paraId="3EB195F3" w14:textId="77777777">
        <w:trPr>
          <w:trHeight w:val="849"/>
        </w:trPr>
        <w:tc>
          <w:tcPr>
            <w:tcW w:w="4788" w:type="dxa"/>
          </w:tcPr>
          <w:p w14:paraId="43CCA5FF" w14:textId="77777777" w:rsidR="00175C8F" w:rsidRDefault="00000000">
            <w:pPr>
              <w:pBdr>
                <w:top w:val="nil"/>
                <w:left w:val="nil"/>
                <w:bottom w:val="nil"/>
                <w:right w:val="nil"/>
                <w:between w:val="nil"/>
              </w:pBdr>
              <w:spacing w:line="240" w:lineRule="auto"/>
              <w:ind w:left="0" w:right="34" w:hanging="2"/>
              <w:rPr>
                <w:color w:val="000000"/>
                <w:sz w:val="22"/>
                <w:szCs w:val="22"/>
              </w:rPr>
            </w:pPr>
            <w:r>
              <w:rPr>
                <w:color w:val="000000"/>
                <w:sz w:val="22"/>
                <w:szCs w:val="22"/>
              </w:rPr>
              <w:t xml:space="preserve">Module code: HPCA7016 </w:t>
            </w:r>
          </w:p>
          <w:p w14:paraId="1D08FDE2" w14:textId="77777777" w:rsidR="00175C8F" w:rsidRDefault="00175C8F">
            <w:pPr>
              <w:pBdr>
                <w:top w:val="nil"/>
                <w:left w:val="nil"/>
                <w:bottom w:val="nil"/>
                <w:right w:val="nil"/>
                <w:between w:val="nil"/>
              </w:pBdr>
              <w:spacing w:line="240" w:lineRule="auto"/>
              <w:ind w:left="0" w:right="34" w:hanging="2"/>
              <w:rPr>
                <w:color w:val="000000"/>
                <w:sz w:val="22"/>
                <w:szCs w:val="22"/>
              </w:rPr>
            </w:pPr>
          </w:p>
          <w:p w14:paraId="7D007D32" w14:textId="77777777" w:rsidR="00175C8F" w:rsidRDefault="00000000">
            <w:pPr>
              <w:pBdr>
                <w:top w:val="nil"/>
                <w:left w:val="nil"/>
                <w:bottom w:val="nil"/>
                <w:right w:val="nil"/>
                <w:between w:val="nil"/>
              </w:pBdr>
              <w:spacing w:line="240" w:lineRule="auto"/>
              <w:ind w:left="0" w:right="34" w:hanging="2"/>
              <w:rPr>
                <w:color w:val="000000"/>
                <w:sz w:val="22"/>
                <w:szCs w:val="22"/>
              </w:rPr>
            </w:pPr>
            <w:r>
              <w:rPr>
                <w:color w:val="000000"/>
                <w:sz w:val="22"/>
                <w:szCs w:val="22"/>
              </w:rPr>
              <w:t>Module title: Researching Con</w:t>
            </w:r>
            <w:r>
              <w:rPr>
                <w:sz w:val="22"/>
                <w:szCs w:val="22"/>
              </w:rPr>
              <w:t>temporary Cosmologies</w:t>
            </w:r>
          </w:p>
        </w:tc>
        <w:tc>
          <w:tcPr>
            <w:tcW w:w="2266" w:type="dxa"/>
            <w:gridSpan w:val="3"/>
          </w:tcPr>
          <w:p w14:paraId="16CFECEA" w14:textId="77777777" w:rsidR="00175C8F" w:rsidRDefault="00000000">
            <w:pPr>
              <w:pBdr>
                <w:top w:val="nil"/>
                <w:left w:val="nil"/>
                <w:bottom w:val="nil"/>
                <w:right w:val="nil"/>
                <w:between w:val="nil"/>
              </w:pBdr>
              <w:spacing w:line="240" w:lineRule="auto"/>
              <w:ind w:left="0" w:right="34" w:hanging="2"/>
              <w:rPr>
                <w:color w:val="000000"/>
                <w:sz w:val="22"/>
                <w:szCs w:val="22"/>
              </w:rPr>
            </w:pPr>
            <w:r>
              <w:rPr>
                <w:color w:val="000000"/>
                <w:sz w:val="22"/>
                <w:szCs w:val="22"/>
              </w:rPr>
              <w:t>Student ID number:</w:t>
            </w:r>
          </w:p>
          <w:p w14:paraId="41C08953" w14:textId="77777777" w:rsidR="00175C8F" w:rsidRDefault="00000000">
            <w:pPr>
              <w:pBdr>
                <w:top w:val="nil"/>
                <w:left w:val="nil"/>
                <w:bottom w:val="nil"/>
                <w:right w:val="nil"/>
                <w:between w:val="nil"/>
              </w:pBdr>
              <w:spacing w:line="240" w:lineRule="auto"/>
              <w:ind w:left="0" w:right="34" w:hanging="2"/>
              <w:rPr>
                <w:sz w:val="22"/>
                <w:szCs w:val="22"/>
              </w:rPr>
            </w:pPr>
            <w:r>
              <w:rPr>
                <w:sz w:val="22"/>
                <w:szCs w:val="22"/>
              </w:rPr>
              <w:t>2209673</w:t>
            </w:r>
          </w:p>
        </w:tc>
        <w:tc>
          <w:tcPr>
            <w:tcW w:w="1802" w:type="dxa"/>
          </w:tcPr>
          <w:p w14:paraId="12611776" w14:textId="77777777" w:rsidR="00175C8F" w:rsidRDefault="00000000">
            <w:pPr>
              <w:pBdr>
                <w:top w:val="nil"/>
                <w:left w:val="nil"/>
                <w:bottom w:val="nil"/>
                <w:right w:val="nil"/>
                <w:between w:val="nil"/>
              </w:pBdr>
              <w:spacing w:line="240" w:lineRule="auto"/>
              <w:ind w:left="0" w:right="34" w:hanging="2"/>
              <w:rPr>
                <w:color w:val="000000"/>
                <w:sz w:val="22"/>
                <w:szCs w:val="22"/>
              </w:rPr>
            </w:pPr>
            <w:r>
              <w:rPr>
                <w:color w:val="000000"/>
                <w:sz w:val="22"/>
                <w:szCs w:val="22"/>
              </w:rPr>
              <w:t>Educational support needs:</w:t>
            </w:r>
          </w:p>
          <w:p w14:paraId="31CDC955" w14:textId="77777777" w:rsidR="00175C8F" w:rsidRDefault="00000000">
            <w:pPr>
              <w:pBdr>
                <w:top w:val="nil"/>
                <w:left w:val="nil"/>
                <w:bottom w:val="nil"/>
                <w:right w:val="nil"/>
                <w:between w:val="nil"/>
              </w:pBdr>
              <w:spacing w:line="240" w:lineRule="auto"/>
              <w:ind w:left="0" w:right="34" w:hanging="2"/>
              <w:rPr>
                <w:color w:val="000000"/>
                <w:sz w:val="22"/>
                <w:szCs w:val="22"/>
              </w:rPr>
            </w:pPr>
            <w:r>
              <w:rPr>
                <w:color w:val="000000"/>
                <w:sz w:val="22"/>
                <w:szCs w:val="22"/>
              </w:rPr>
              <w:t>Yes/No</w:t>
            </w:r>
          </w:p>
        </w:tc>
      </w:tr>
      <w:tr w:rsidR="00175C8F" w14:paraId="1E721E8E" w14:textId="77777777">
        <w:trPr>
          <w:trHeight w:val="1139"/>
        </w:trPr>
        <w:tc>
          <w:tcPr>
            <w:tcW w:w="8856" w:type="dxa"/>
            <w:gridSpan w:val="5"/>
          </w:tcPr>
          <w:p w14:paraId="3DD25D79" w14:textId="77777777" w:rsidR="00175C8F" w:rsidRDefault="00000000">
            <w:pPr>
              <w:pBdr>
                <w:top w:val="nil"/>
                <w:left w:val="nil"/>
                <w:bottom w:val="nil"/>
                <w:right w:val="nil"/>
                <w:between w:val="nil"/>
              </w:pBdr>
              <w:spacing w:line="240" w:lineRule="auto"/>
              <w:ind w:left="0" w:right="34" w:hanging="2"/>
              <w:rPr>
                <w:color w:val="000000"/>
                <w:sz w:val="22"/>
                <w:szCs w:val="22"/>
              </w:rPr>
            </w:pPr>
            <w:r>
              <w:rPr>
                <w:color w:val="000000"/>
                <w:sz w:val="22"/>
                <w:szCs w:val="22"/>
              </w:rPr>
              <w:t>Module tutor: Dr Jack Hunter</w:t>
            </w:r>
          </w:p>
          <w:p w14:paraId="4A58CEC3" w14:textId="77777777" w:rsidR="00175C8F" w:rsidRDefault="00175C8F">
            <w:pPr>
              <w:pBdr>
                <w:top w:val="nil"/>
                <w:left w:val="nil"/>
                <w:bottom w:val="nil"/>
                <w:right w:val="nil"/>
                <w:between w:val="nil"/>
              </w:pBdr>
              <w:spacing w:line="240" w:lineRule="auto"/>
              <w:ind w:left="0" w:right="34" w:hanging="2"/>
              <w:rPr>
                <w:color w:val="000000"/>
                <w:sz w:val="22"/>
                <w:szCs w:val="22"/>
              </w:rPr>
            </w:pPr>
          </w:p>
          <w:p w14:paraId="4C00E695" w14:textId="77777777" w:rsidR="00175C8F" w:rsidRDefault="00175C8F">
            <w:pPr>
              <w:pBdr>
                <w:top w:val="nil"/>
                <w:left w:val="nil"/>
                <w:bottom w:val="nil"/>
                <w:right w:val="nil"/>
                <w:between w:val="nil"/>
              </w:pBdr>
              <w:spacing w:line="240" w:lineRule="auto"/>
              <w:ind w:left="0" w:right="34" w:hanging="2"/>
              <w:rPr>
                <w:color w:val="000000"/>
                <w:sz w:val="22"/>
                <w:szCs w:val="22"/>
              </w:rPr>
            </w:pPr>
          </w:p>
          <w:p w14:paraId="599AB081" w14:textId="77777777" w:rsidR="00175C8F" w:rsidRDefault="00000000">
            <w:pPr>
              <w:pBdr>
                <w:top w:val="nil"/>
                <w:left w:val="nil"/>
                <w:bottom w:val="nil"/>
                <w:right w:val="nil"/>
                <w:between w:val="nil"/>
              </w:pBdr>
              <w:spacing w:line="240" w:lineRule="auto"/>
              <w:ind w:left="0" w:right="34" w:hanging="2"/>
              <w:rPr>
                <w:color w:val="000000"/>
                <w:sz w:val="22"/>
                <w:szCs w:val="22"/>
              </w:rPr>
            </w:pPr>
            <w:r>
              <w:rPr>
                <w:color w:val="000000"/>
                <w:sz w:val="22"/>
                <w:szCs w:val="22"/>
              </w:rPr>
              <w:t>Assignment due date: T</w:t>
            </w:r>
            <w:r>
              <w:rPr>
                <w:sz w:val="22"/>
                <w:szCs w:val="22"/>
              </w:rPr>
              <w:t>hursday 16 March 2023</w:t>
            </w:r>
          </w:p>
        </w:tc>
      </w:tr>
      <w:tr w:rsidR="00175C8F" w14:paraId="69181CE9" w14:textId="77777777">
        <w:trPr>
          <w:trHeight w:val="978"/>
        </w:trPr>
        <w:tc>
          <w:tcPr>
            <w:tcW w:w="8856" w:type="dxa"/>
            <w:gridSpan w:val="5"/>
            <w:tcBorders>
              <w:bottom w:val="single" w:sz="4" w:space="0" w:color="000000"/>
            </w:tcBorders>
          </w:tcPr>
          <w:p w14:paraId="1B0AF153" w14:textId="77777777" w:rsidR="00175C8F" w:rsidRDefault="00000000">
            <w:pPr>
              <w:ind w:left="0" w:hanging="2"/>
              <w:rPr>
                <w:sz w:val="22"/>
                <w:szCs w:val="22"/>
              </w:rPr>
            </w:pPr>
            <w:r>
              <w:rPr>
                <w:sz w:val="22"/>
                <w:szCs w:val="22"/>
              </w:rPr>
              <w:t>If your module has multiple submissions please indicate which piece of work this is.</w:t>
            </w:r>
          </w:p>
          <w:p w14:paraId="0DD8B86D" w14:textId="77777777" w:rsidR="00175C8F" w:rsidRDefault="00175C8F">
            <w:pPr>
              <w:ind w:left="0" w:hanging="2"/>
              <w:rPr>
                <w:sz w:val="22"/>
                <w:szCs w:val="22"/>
              </w:rPr>
            </w:pPr>
          </w:p>
          <w:p w14:paraId="4E27D4B6" w14:textId="77777777" w:rsidR="00175C8F" w:rsidRDefault="00000000">
            <w:pPr>
              <w:ind w:left="0" w:hanging="2"/>
              <w:rPr>
                <w:sz w:val="22"/>
                <w:szCs w:val="22"/>
              </w:rPr>
            </w:pPr>
            <w:r>
              <w:rPr>
                <w:sz w:val="22"/>
                <w:szCs w:val="22"/>
              </w:rPr>
              <w:t>1</w:t>
            </w:r>
            <w:r>
              <w:rPr>
                <w:sz w:val="22"/>
                <w:szCs w:val="22"/>
                <w:vertAlign w:val="superscript"/>
              </w:rPr>
              <w:t xml:space="preserve">st </w:t>
            </w:r>
            <w:r>
              <w:rPr>
                <w:sz w:val="22"/>
                <w:szCs w:val="22"/>
              </w:rPr>
              <w:t>x   2</w:t>
            </w:r>
            <w:r>
              <w:rPr>
                <w:sz w:val="22"/>
                <w:szCs w:val="22"/>
                <w:vertAlign w:val="superscript"/>
              </w:rPr>
              <w:t>nd</w:t>
            </w:r>
            <w:r>
              <w:rPr>
                <w:sz w:val="22"/>
                <w:szCs w:val="22"/>
              </w:rPr>
              <w:t xml:space="preserve">  ☐     3</w:t>
            </w:r>
            <w:r>
              <w:rPr>
                <w:sz w:val="22"/>
                <w:szCs w:val="22"/>
                <w:vertAlign w:val="superscript"/>
              </w:rPr>
              <w:t>rd</w:t>
            </w:r>
            <w:r>
              <w:rPr>
                <w:sz w:val="22"/>
                <w:szCs w:val="22"/>
              </w:rPr>
              <w:t xml:space="preserve">  ☐      4</w:t>
            </w:r>
            <w:r>
              <w:rPr>
                <w:sz w:val="22"/>
                <w:szCs w:val="22"/>
                <w:vertAlign w:val="superscript"/>
              </w:rPr>
              <w:t>th</w:t>
            </w:r>
            <w:r>
              <w:rPr>
                <w:sz w:val="22"/>
                <w:szCs w:val="22"/>
              </w:rPr>
              <w:t xml:space="preserve"> ☐      5</w:t>
            </w:r>
            <w:r>
              <w:rPr>
                <w:sz w:val="22"/>
                <w:szCs w:val="22"/>
                <w:vertAlign w:val="superscript"/>
              </w:rPr>
              <w:t>th</w:t>
            </w:r>
            <w:r>
              <w:rPr>
                <w:sz w:val="22"/>
                <w:szCs w:val="22"/>
              </w:rPr>
              <w:t xml:space="preserve"> ☐      6</w:t>
            </w:r>
            <w:r>
              <w:rPr>
                <w:sz w:val="22"/>
                <w:szCs w:val="22"/>
                <w:vertAlign w:val="superscript"/>
              </w:rPr>
              <w:t>th</w:t>
            </w:r>
            <w:r>
              <w:rPr>
                <w:sz w:val="22"/>
                <w:szCs w:val="22"/>
              </w:rPr>
              <w:t xml:space="preserve"> ☐</w:t>
            </w:r>
          </w:p>
        </w:tc>
      </w:tr>
      <w:tr w:rsidR="00175C8F" w14:paraId="7316999D" w14:textId="77777777">
        <w:trPr>
          <w:trHeight w:val="978"/>
        </w:trPr>
        <w:tc>
          <w:tcPr>
            <w:tcW w:w="8856" w:type="dxa"/>
            <w:gridSpan w:val="5"/>
            <w:shd w:val="clear" w:color="auto" w:fill="D9D9D9"/>
          </w:tcPr>
          <w:p w14:paraId="5D1A0BD5" w14:textId="77777777" w:rsidR="00175C8F" w:rsidRDefault="00000000">
            <w:pPr>
              <w:pBdr>
                <w:top w:val="nil"/>
                <w:left w:val="nil"/>
                <w:bottom w:val="nil"/>
                <w:right w:val="nil"/>
                <w:between w:val="nil"/>
              </w:pBdr>
              <w:spacing w:line="240" w:lineRule="auto"/>
              <w:ind w:left="0" w:right="34" w:hanging="2"/>
              <w:rPr>
                <w:color w:val="000000"/>
                <w:sz w:val="22"/>
                <w:szCs w:val="22"/>
              </w:rPr>
            </w:pPr>
            <w:r>
              <w:rPr>
                <w:color w:val="000000"/>
                <w:sz w:val="22"/>
                <w:szCs w:val="22"/>
              </w:rPr>
              <w:t>I confirm that this is my original work and that I have adhered to the University policy on plagiarism.</w:t>
            </w:r>
          </w:p>
          <w:p w14:paraId="4B44C784" w14:textId="77777777" w:rsidR="00175C8F" w:rsidRDefault="00000000">
            <w:pPr>
              <w:pBdr>
                <w:top w:val="nil"/>
                <w:left w:val="nil"/>
                <w:bottom w:val="nil"/>
                <w:right w:val="nil"/>
                <w:between w:val="nil"/>
              </w:pBdr>
              <w:spacing w:line="240" w:lineRule="auto"/>
              <w:ind w:left="0" w:right="34" w:hanging="2"/>
              <w:rPr>
                <w:color w:val="000000"/>
                <w:sz w:val="22"/>
                <w:szCs w:val="22"/>
              </w:rPr>
            </w:pPr>
            <w:r>
              <w:rPr>
                <w:color w:val="000000"/>
                <w:sz w:val="22"/>
                <w:szCs w:val="22"/>
              </w:rPr>
              <w:t>Signed ……Whitney H</w:t>
            </w:r>
            <w:r>
              <w:rPr>
                <w:sz w:val="22"/>
                <w:szCs w:val="22"/>
              </w:rPr>
              <w:t>ill</w:t>
            </w:r>
            <w:r>
              <w:rPr>
                <w:color w:val="000000"/>
                <w:sz w:val="22"/>
                <w:szCs w:val="22"/>
              </w:rPr>
              <w:t>………………………………………………………</w:t>
            </w:r>
          </w:p>
          <w:p w14:paraId="28A6E454" w14:textId="77777777" w:rsidR="00175C8F" w:rsidRDefault="00000000">
            <w:pPr>
              <w:pBdr>
                <w:top w:val="nil"/>
                <w:left w:val="nil"/>
                <w:bottom w:val="nil"/>
                <w:right w:val="nil"/>
                <w:between w:val="nil"/>
              </w:pBdr>
              <w:spacing w:line="240" w:lineRule="auto"/>
              <w:ind w:left="0" w:right="34" w:hanging="2"/>
              <w:rPr>
                <w:color w:val="000000"/>
                <w:sz w:val="44"/>
                <w:szCs w:val="44"/>
              </w:rPr>
            </w:pPr>
            <w:r>
              <w:rPr>
                <w:b/>
                <w:color w:val="000000"/>
              </w:rPr>
              <w:t xml:space="preserve">Email submission: if you are submitting this form via email, please tick this box </w:t>
            </w:r>
            <w:r>
              <w:rPr>
                <w:b/>
                <w:color w:val="000000"/>
                <w:sz w:val="44"/>
                <w:szCs w:val="44"/>
              </w:rPr>
              <w:t>□</w:t>
            </w:r>
          </w:p>
          <w:p w14:paraId="25922809" w14:textId="77777777" w:rsidR="00175C8F" w:rsidRDefault="00000000">
            <w:pPr>
              <w:pBdr>
                <w:top w:val="nil"/>
                <w:left w:val="nil"/>
                <w:bottom w:val="nil"/>
                <w:right w:val="nil"/>
                <w:between w:val="nil"/>
              </w:pBdr>
              <w:spacing w:line="240" w:lineRule="auto"/>
              <w:ind w:left="0" w:right="34" w:hanging="2"/>
              <w:rPr>
                <w:color w:val="000000"/>
                <w:sz w:val="22"/>
                <w:szCs w:val="22"/>
              </w:rPr>
            </w:pPr>
            <w:r>
              <w:rPr>
                <w:b/>
                <w:color w:val="000000"/>
              </w:rPr>
              <w:t>(as a substitute for your signature) to confirm that you agree to the above declaration.</w:t>
            </w:r>
          </w:p>
        </w:tc>
      </w:tr>
      <w:tr w:rsidR="00175C8F" w14:paraId="6FBD2BD7" w14:textId="77777777">
        <w:trPr>
          <w:trHeight w:val="3972"/>
        </w:trPr>
        <w:tc>
          <w:tcPr>
            <w:tcW w:w="8856" w:type="dxa"/>
            <w:gridSpan w:val="5"/>
          </w:tcPr>
          <w:p w14:paraId="45100CA7" w14:textId="77777777" w:rsidR="00175C8F" w:rsidRDefault="00175C8F">
            <w:pPr>
              <w:ind w:left="0" w:hanging="2"/>
            </w:pPr>
          </w:p>
          <w:p w14:paraId="13C23CCF" w14:textId="77777777" w:rsidR="00175C8F" w:rsidRDefault="00000000">
            <w:pPr>
              <w:ind w:left="0" w:hanging="2"/>
            </w:pPr>
            <w:r>
              <w:rPr>
                <w:b/>
              </w:rPr>
              <w:t>Assignment Mark</w:t>
            </w:r>
          </w:p>
          <w:tbl>
            <w:tblPr>
              <w:tblStyle w:val="a0"/>
              <w:tblW w:w="86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970"/>
              <w:gridCol w:w="1660"/>
            </w:tblGrid>
            <w:tr w:rsidR="00175C8F" w14:paraId="10927D0F" w14:textId="77777777">
              <w:tc>
                <w:tcPr>
                  <w:tcW w:w="6970" w:type="dxa"/>
                </w:tcPr>
                <w:p w14:paraId="1DA39862" w14:textId="77777777" w:rsidR="00175C8F" w:rsidRDefault="00175C8F">
                  <w:pPr>
                    <w:ind w:left="0" w:hanging="2"/>
                    <w:rPr>
                      <w:sz w:val="20"/>
                      <w:szCs w:val="20"/>
                    </w:rPr>
                  </w:pPr>
                </w:p>
                <w:p w14:paraId="2819B082" w14:textId="77777777" w:rsidR="00175C8F" w:rsidRDefault="00000000">
                  <w:pPr>
                    <w:ind w:left="0" w:hanging="2"/>
                    <w:rPr>
                      <w:sz w:val="20"/>
                      <w:szCs w:val="20"/>
                    </w:rPr>
                  </w:pPr>
                  <w:r>
                    <w:rPr>
                      <w:b/>
                      <w:sz w:val="20"/>
                      <w:szCs w:val="20"/>
                    </w:rPr>
                    <w:t>Final Mark</w:t>
                  </w:r>
                </w:p>
                <w:p w14:paraId="7C953AF2" w14:textId="77777777" w:rsidR="00175C8F" w:rsidRDefault="00175C8F">
                  <w:pPr>
                    <w:ind w:left="0" w:hanging="2"/>
                    <w:rPr>
                      <w:sz w:val="20"/>
                      <w:szCs w:val="20"/>
                    </w:rPr>
                  </w:pPr>
                </w:p>
              </w:tc>
              <w:tc>
                <w:tcPr>
                  <w:tcW w:w="1660" w:type="dxa"/>
                </w:tcPr>
                <w:p w14:paraId="04036050" w14:textId="77777777" w:rsidR="00175C8F" w:rsidRDefault="00000000">
                  <w:pPr>
                    <w:ind w:left="0" w:hanging="2"/>
                    <w:rPr>
                      <w:sz w:val="20"/>
                      <w:szCs w:val="20"/>
                    </w:rPr>
                  </w:pPr>
                  <w:r>
                    <w:rPr>
                      <w:sz w:val="20"/>
                      <w:szCs w:val="20"/>
                    </w:rPr>
                    <w:t>WILL BE GIVEN ON TURNITIN</w:t>
                  </w:r>
                </w:p>
              </w:tc>
            </w:tr>
          </w:tbl>
          <w:p w14:paraId="5ED4716E" w14:textId="77777777" w:rsidR="00175C8F" w:rsidRDefault="00175C8F">
            <w:pPr>
              <w:pBdr>
                <w:top w:val="nil"/>
                <w:left w:val="nil"/>
                <w:bottom w:val="nil"/>
                <w:right w:val="nil"/>
                <w:between w:val="nil"/>
              </w:pBdr>
              <w:spacing w:line="240" w:lineRule="auto"/>
              <w:ind w:left="0" w:right="34" w:hanging="2"/>
              <w:rPr>
                <w:color w:val="000000"/>
                <w:sz w:val="22"/>
                <w:szCs w:val="22"/>
              </w:rPr>
            </w:pPr>
          </w:p>
          <w:p w14:paraId="17105FA8" w14:textId="77777777" w:rsidR="00175C8F" w:rsidRDefault="00000000">
            <w:pPr>
              <w:pBdr>
                <w:top w:val="nil"/>
                <w:left w:val="nil"/>
                <w:bottom w:val="nil"/>
                <w:right w:val="nil"/>
                <w:between w:val="nil"/>
              </w:pBdr>
              <w:spacing w:line="240" w:lineRule="auto"/>
              <w:ind w:left="0" w:right="34" w:hanging="2"/>
              <w:rPr>
                <w:color w:val="000000"/>
                <w:sz w:val="22"/>
                <w:szCs w:val="22"/>
              </w:rPr>
            </w:pPr>
            <w:r>
              <w:rPr>
                <w:b/>
                <w:color w:val="000000"/>
                <w:sz w:val="22"/>
                <w:szCs w:val="22"/>
              </w:rPr>
              <w:t>NB.</w:t>
            </w:r>
            <w:r>
              <w:rPr>
                <w:color w:val="000000"/>
                <w:sz w:val="22"/>
                <w:szCs w:val="22"/>
              </w:rPr>
              <w:t xml:space="preserve">  All marks are provisional until confirmed by the Final Examination Board.</w:t>
            </w:r>
          </w:p>
          <w:p w14:paraId="6A326993" w14:textId="77777777" w:rsidR="00175C8F" w:rsidRDefault="00175C8F">
            <w:pPr>
              <w:pBdr>
                <w:top w:val="nil"/>
                <w:left w:val="nil"/>
                <w:bottom w:val="nil"/>
                <w:right w:val="nil"/>
                <w:between w:val="nil"/>
              </w:pBdr>
              <w:spacing w:line="240" w:lineRule="auto"/>
              <w:ind w:left="0" w:hanging="2"/>
              <w:rPr>
                <w:color w:val="000000"/>
                <w:sz w:val="22"/>
                <w:szCs w:val="22"/>
              </w:rPr>
            </w:pPr>
          </w:p>
          <w:p w14:paraId="2B09196D" w14:textId="77777777" w:rsidR="00175C8F" w:rsidRDefault="00000000">
            <w:pPr>
              <w:pBdr>
                <w:top w:val="nil"/>
                <w:left w:val="nil"/>
                <w:bottom w:val="nil"/>
                <w:right w:val="nil"/>
                <w:between w:val="nil"/>
              </w:pBdr>
              <w:spacing w:line="240" w:lineRule="auto"/>
              <w:ind w:left="0" w:hanging="2"/>
              <w:rPr>
                <w:color w:val="000000"/>
                <w:sz w:val="22"/>
                <w:szCs w:val="22"/>
              </w:rPr>
            </w:pPr>
            <w:r>
              <w:rPr>
                <w:b/>
                <w:color w:val="000000"/>
                <w:sz w:val="22"/>
                <w:szCs w:val="22"/>
              </w:rPr>
              <w:t>PLEASE NOTE: ALL COMMENTS WIL BE POSTED ON TURNITIN</w:t>
            </w:r>
          </w:p>
          <w:p w14:paraId="17212917" w14:textId="77777777" w:rsidR="00175C8F" w:rsidRDefault="00175C8F">
            <w:pPr>
              <w:pBdr>
                <w:top w:val="nil"/>
                <w:left w:val="nil"/>
                <w:bottom w:val="nil"/>
                <w:right w:val="nil"/>
                <w:between w:val="nil"/>
              </w:pBdr>
              <w:spacing w:line="240" w:lineRule="auto"/>
              <w:ind w:left="0" w:hanging="2"/>
              <w:rPr>
                <w:color w:val="000000"/>
                <w:sz w:val="22"/>
                <w:szCs w:val="22"/>
              </w:rPr>
            </w:pPr>
          </w:p>
          <w:p w14:paraId="6E321D90" w14:textId="77777777" w:rsidR="00175C8F" w:rsidRDefault="00175C8F">
            <w:pPr>
              <w:pBdr>
                <w:top w:val="nil"/>
                <w:left w:val="nil"/>
                <w:bottom w:val="nil"/>
                <w:right w:val="nil"/>
                <w:between w:val="nil"/>
              </w:pBdr>
              <w:spacing w:line="240" w:lineRule="auto"/>
              <w:ind w:left="0" w:hanging="2"/>
              <w:rPr>
                <w:color w:val="000000"/>
                <w:sz w:val="22"/>
                <w:szCs w:val="22"/>
              </w:rPr>
            </w:pPr>
          </w:p>
          <w:p w14:paraId="13A4FEB9" w14:textId="77777777" w:rsidR="00175C8F" w:rsidRDefault="00000000">
            <w:pPr>
              <w:pBdr>
                <w:top w:val="nil"/>
                <w:left w:val="nil"/>
                <w:bottom w:val="nil"/>
                <w:right w:val="nil"/>
                <w:between w:val="nil"/>
              </w:pBdr>
              <w:spacing w:line="240" w:lineRule="auto"/>
              <w:ind w:left="0" w:hanging="2"/>
              <w:rPr>
                <w:color w:val="000000"/>
                <w:sz w:val="22"/>
                <w:szCs w:val="22"/>
              </w:rPr>
            </w:pPr>
            <w:r>
              <w:rPr>
                <w:b/>
                <w:color w:val="000000"/>
                <w:sz w:val="22"/>
                <w:szCs w:val="22"/>
              </w:rPr>
              <w:t>For completion by Marker 1 :</w:t>
            </w:r>
          </w:p>
          <w:p w14:paraId="3BCCB7C7" w14:textId="77777777" w:rsidR="00175C8F" w:rsidRDefault="00000000">
            <w:pPr>
              <w:pBdr>
                <w:top w:val="nil"/>
                <w:left w:val="nil"/>
                <w:bottom w:val="nil"/>
                <w:right w:val="nil"/>
                <w:between w:val="nil"/>
              </w:pBdr>
              <w:spacing w:before="280" w:after="280" w:line="240" w:lineRule="auto"/>
              <w:ind w:left="0" w:hanging="2"/>
              <w:rPr>
                <w:color w:val="000000"/>
                <w:sz w:val="22"/>
                <w:szCs w:val="22"/>
              </w:rPr>
            </w:pPr>
            <w:r>
              <w:rPr>
                <w:color w:val="000000"/>
                <w:sz w:val="22"/>
                <w:szCs w:val="22"/>
              </w:rPr>
              <w:t>Comments:</w:t>
            </w:r>
          </w:p>
          <w:p w14:paraId="37B32C74" w14:textId="77777777" w:rsidR="00175C8F" w:rsidRDefault="00175C8F">
            <w:pPr>
              <w:pBdr>
                <w:top w:val="nil"/>
                <w:left w:val="nil"/>
                <w:bottom w:val="nil"/>
                <w:right w:val="nil"/>
                <w:between w:val="nil"/>
              </w:pBdr>
              <w:spacing w:before="280" w:line="240" w:lineRule="auto"/>
              <w:ind w:left="0" w:hanging="2"/>
              <w:rPr>
                <w:color w:val="000000"/>
                <w:sz w:val="22"/>
                <w:szCs w:val="22"/>
              </w:rPr>
            </w:pPr>
          </w:p>
        </w:tc>
      </w:tr>
      <w:tr w:rsidR="00175C8F" w14:paraId="2A31AAA8" w14:textId="77777777">
        <w:trPr>
          <w:trHeight w:val="492"/>
        </w:trPr>
        <w:tc>
          <w:tcPr>
            <w:tcW w:w="6768" w:type="dxa"/>
            <w:gridSpan w:val="3"/>
          </w:tcPr>
          <w:p w14:paraId="4747BECE" w14:textId="77777777" w:rsidR="00175C8F" w:rsidRDefault="00000000">
            <w:pPr>
              <w:pBdr>
                <w:top w:val="nil"/>
                <w:left w:val="nil"/>
                <w:bottom w:val="nil"/>
                <w:right w:val="nil"/>
                <w:between w:val="nil"/>
              </w:pBdr>
              <w:spacing w:line="240" w:lineRule="auto"/>
              <w:ind w:left="0" w:right="34" w:hanging="2"/>
              <w:rPr>
                <w:color w:val="000000"/>
                <w:sz w:val="22"/>
                <w:szCs w:val="22"/>
              </w:rPr>
            </w:pPr>
            <w:r>
              <w:rPr>
                <w:color w:val="000000"/>
                <w:sz w:val="22"/>
                <w:szCs w:val="22"/>
              </w:rPr>
              <w:t>Marker’s signature:</w:t>
            </w:r>
          </w:p>
        </w:tc>
        <w:tc>
          <w:tcPr>
            <w:tcW w:w="2088" w:type="dxa"/>
            <w:gridSpan w:val="2"/>
          </w:tcPr>
          <w:p w14:paraId="266FCDAA" w14:textId="77777777" w:rsidR="00175C8F" w:rsidRDefault="00000000">
            <w:pPr>
              <w:pBdr>
                <w:top w:val="nil"/>
                <w:left w:val="nil"/>
                <w:bottom w:val="nil"/>
                <w:right w:val="nil"/>
                <w:between w:val="nil"/>
              </w:pBdr>
              <w:spacing w:line="240" w:lineRule="auto"/>
              <w:ind w:left="0" w:right="34" w:hanging="2"/>
              <w:rPr>
                <w:color w:val="000000"/>
                <w:sz w:val="22"/>
                <w:szCs w:val="22"/>
              </w:rPr>
            </w:pPr>
            <w:r>
              <w:rPr>
                <w:color w:val="000000"/>
                <w:sz w:val="22"/>
                <w:szCs w:val="22"/>
              </w:rPr>
              <w:t>Date:</w:t>
            </w:r>
          </w:p>
        </w:tc>
      </w:tr>
      <w:tr w:rsidR="00175C8F" w14:paraId="07CBE63C" w14:textId="77777777">
        <w:tc>
          <w:tcPr>
            <w:tcW w:w="8856" w:type="dxa"/>
            <w:gridSpan w:val="5"/>
          </w:tcPr>
          <w:p w14:paraId="4E6CB5D7" w14:textId="77777777" w:rsidR="00175C8F" w:rsidRDefault="00175C8F">
            <w:pPr>
              <w:pBdr>
                <w:top w:val="nil"/>
                <w:left w:val="nil"/>
                <w:bottom w:val="nil"/>
                <w:right w:val="nil"/>
                <w:between w:val="nil"/>
              </w:pBdr>
              <w:spacing w:line="240" w:lineRule="auto"/>
              <w:ind w:left="0" w:right="-334" w:hanging="2"/>
              <w:rPr>
                <w:color w:val="000000"/>
                <w:sz w:val="22"/>
                <w:szCs w:val="22"/>
              </w:rPr>
            </w:pPr>
          </w:p>
          <w:p w14:paraId="3B88C588" w14:textId="77777777" w:rsidR="00175C8F" w:rsidRDefault="00000000">
            <w:pPr>
              <w:pBdr>
                <w:top w:val="nil"/>
                <w:left w:val="nil"/>
                <w:bottom w:val="nil"/>
                <w:right w:val="nil"/>
                <w:between w:val="nil"/>
              </w:pBdr>
              <w:spacing w:line="240" w:lineRule="auto"/>
              <w:ind w:left="0" w:right="-334" w:hanging="2"/>
              <w:rPr>
                <w:color w:val="000000"/>
                <w:sz w:val="22"/>
                <w:szCs w:val="22"/>
              </w:rPr>
            </w:pPr>
            <w:r>
              <w:rPr>
                <w:b/>
                <w:color w:val="000000"/>
                <w:sz w:val="22"/>
                <w:szCs w:val="22"/>
              </w:rPr>
              <w:t>For completion by Marker 2/Moderator:</w:t>
            </w:r>
          </w:p>
          <w:p w14:paraId="090ED6BD" w14:textId="77777777" w:rsidR="00175C8F" w:rsidRDefault="00175C8F">
            <w:pPr>
              <w:pBdr>
                <w:top w:val="nil"/>
                <w:left w:val="nil"/>
                <w:bottom w:val="nil"/>
                <w:right w:val="nil"/>
                <w:between w:val="nil"/>
              </w:pBdr>
              <w:spacing w:line="240" w:lineRule="auto"/>
              <w:ind w:left="0" w:right="-334" w:hanging="2"/>
              <w:rPr>
                <w:color w:val="000000"/>
                <w:sz w:val="22"/>
                <w:szCs w:val="22"/>
              </w:rPr>
            </w:pPr>
          </w:p>
          <w:p w14:paraId="1950CC75" w14:textId="77777777" w:rsidR="00175C8F" w:rsidRDefault="00000000">
            <w:pPr>
              <w:pBdr>
                <w:top w:val="nil"/>
                <w:left w:val="nil"/>
                <w:bottom w:val="nil"/>
                <w:right w:val="nil"/>
                <w:between w:val="nil"/>
              </w:pBdr>
              <w:spacing w:line="240" w:lineRule="auto"/>
              <w:ind w:left="0" w:right="-334" w:hanging="2"/>
              <w:rPr>
                <w:color w:val="000000"/>
                <w:sz w:val="22"/>
                <w:szCs w:val="22"/>
              </w:rPr>
            </w:pPr>
            <w:r>
              <w:rPr>
                <w:color w:val="000000"/>
                <w:sz w:val="22"/>
                <w:szCs w:val="22"/>
              </w:rPr>
              <w:t>Comments:</w:t>
            </w:r>
          </w:p>
          <w:p w14:paraId="4BC05608" w14:textId="77777777" w:rsidR="00175C8F" w:rsidRDefault="00175C8F">
            <w:pPr>
              <w:pBdr>
                <w:top w:val="nil"/>
                <w:left w:val="nil"/>
                <w:bottom w:val="nil"/>
                <w:right w:val="nil"/>
                <w:between w:val="nil"/>
              </w:pBdr>
              <w:spacing w:line="240" w:lineRule="auto"/>
              <w:ind w:left="0" w:right="-334" w:hanging="2"/>
              <w:rPr>
                <w:color w:val="000000"/>
                <w:sz w:val="22"/>
                <w:szCs w:val="22"/>
              </w:rPr>
            </w:pPr>
          </w:p>
          <w:p w14:paraId="2CB14D38" w14:textId="77777777" w:rsidR="00175C8F" w:rsidRDefault="00175C8F">
            <w:pPr>
              <w:pBdr>
                <w:top w:val="nil"/>
                <w:left w:val="nil"/>
                <w:bottom w:val="nil"/>
                <w:right w:val="nil"/>
                <w:between w:val="nil"/>
              </w:pBdr>
              <w:spacing w:line="240" w:lineRule="auto"/>
              <w:ind w:left="0" w:right="-334" w:hanging="2"/>
              <w:rPr>
                <w:color w:val="000000"/>
                <w:sz w:val="22"/>
                <w:szCs w:val="22"/>
              </w:rPr>
            </w:pPr>
          </w:p>
          <w:p w14:paraId="28EC2ECB" w14:textId="77777777" w:rsidR="00175C8F" w:rsidRDefault="00175C8F">
            <w:pPr>
              <w:pBdr>
                <w:top w:val="nil"/>
                <w:left w:val="nil"/>
                <w:bottom w:val="nil"/>
                <w:right w:val="nil"/>
                <w:between w:val="nil"/>
              </w:pBdr>
              <w:spacing w:line="240" w:lineRule="auto"/>
              <w:ind w:left="0" w:right="-334" w:hanging="2"/>
              <w:rPr>
                <w:color w:val="000000"/>
                <w:sz w:val="22"/>
                <w:szCs w:val="22"/>
              </w:rPr>
            </w:pPr>
          </w:p>
        </w:tc>
      </w:tr>
      <w:tr w:rsidR="00175C8F" w14:paraId="12630BBF" w14:textId="77777777">
        <w:trPr>
          <w:trHeight w:val="720"/>
        </w:trPr>
        <w:tc>
          <w:tcPr>
            <w:tcW w:w="5211" w:type="dxa"/>
            <w:gridSpan w:val="2"/>
          </w:tcPr>
          <w:p w14:paraId="344C4006" w14:textId="77777777" w:rsidR="00175C8F" w:rsidRDefault="00000000">
            <w:pPr>
              <w:pBdr>
                <w:top w:val="nil"/>
                <w:left w:val="nil"/>
                <w:bottom w:val="nil"/>
                <w:right w:val="nil"/>
                <w:between w:val="nil"/>
              </w:pBdr>
              <w:spacing w:line="240" w:lineRule="auto"/>
              <w:ind w:left="0" w:right="-334" w:hanging="2"/>
              <w:rPr>
                <w:color w:val="000000"/>
                <w:sz w:val="22"/>
                <w:szCs w:val="22"/>
              </w:rPr>
            </w:pPr>
            <w:r>
              <w:rPr>
                <w:color w:val="000000"/>
                <w:sz w:val="22"/>
                <w:szCs w:val="22"/>
              </w:rPr>
              <w:t>Marker’s Signature:</w:t>
            </w:r>
          </w:p>
        </w:tc>
        <w:tc>
          <w:tcPr>
            <w:tcW w:w="3645" w:type="dxa"/>
            <w:gridSpan w:val="3"/>
          </w:tcPr>
          <w:p w14:paraId="6C40F0CE" w14:textId="77777777" w:rsidR="00175C8F" w:rsidRDefault="00000000">
            <w:pPr>
              <w:pBdr>
                <w:top w:val="nil"/>
                <w:left w:val="nil"/>
                <w:bottom w:val="nil"/>
                <w:right w:val="nil"/>
                <w:between w:val="nil"/>
              </w:pBdr>
              <w:spacing w:line="240" w:lineRule="auto"/>
              <w:ind w:left="0" w:right="-334" w:hanging="2"/>
              <w:rPr>
                <w:color w:val="000000"/>
                <w:sz w:val="22"/>
                <w:szCs w:val="22"/>
              </w:rPr>
            </w:pPr>
            <w:r>
              <w:rPr>
                <w:color w:val="000000"/>
                <w:sz w:val="22"/>
                <w:szCs w:val="22"/>
              </w:rPr>
              <w:t>Date:</w:t>
            </w:r>
          </w:p>
        </w:tc>
      </w:tr>
      <w:tr w:rsidR="00175C8F" w14:paraId="0517DDC0" w14:textId="77777777">
        <w:trPr>
          <w:trHeight w:val="720"/>
        </w:trPr>
        <w:tc>
          <w:tcPr>
            <w:tcW w:w="8856" w:type="dxa"/>
            <w:gridSpan w:val="5"/>
          </w:tcPr>
          <w:p w14:paraId="7CC64A11" w14:textId="77777777" w:rsidR="00175C8F" w:rsidRDefault="00000000">
            <w:pPr>
              <w:ind w:left="0" w:hanging="2"/>
              <w:rPr>
                <w:sz w:val="22"/>
                <w:szCs w:val="22"/>
              </w:rPr>
            </w:pPr>
            <w:r>
              <w:rPr>
                <w:b/>
                <w:sz w:val="22"/>
                <w:szCs w:val="22"/>
              </w:rPr>
              <w:t>AGREED INTERNAL MARK (where necessary):</w:t>
            </w:r>
          </w:p>
          <w:p w14:paraId="5E146A68" w14:textId="77777777" w:rsidR="00175C8F" w:rsidRDefault="00175C8F">
            <w:pPr>
              <w:ind w:left="0" w:hanging="2"/>
              <w:rPr>
                <w:sz w:val="22"/>
                <w:szCs w:val="22"/>
              </w:rPr>
            </w:pPr>
          </w:p>
          <w:p w14:paraId="5042F7EA" w14:textId="77777777" w:rsidR="00175C8F" w:rsidRDefault="00000000">
            <w:pPr>
              <w:ind w:left="0" w:hanging="2"/>
              <w:rPr>
                <w:sz w:val="22"/>
                <w:szCs w:val="22"/>
              </w:rPr>
            </w:pPr>
            <w:r>
              <w:rPr>
                <w:b/>
                <w:sz w:val="22"/>
                <w:szCs w:val="22"/>
              </w:rPr>
              <w:t>Comment on process of arriving at agreed mark:</w:t>
            </w:r>
          </w:p>
          <w:p w14:paraId="342DA792" w14:textId="77777777" w:rsidR="00175C8F" w:rsidRDefault="00175C8F">
            <w:pPr>
              <w:ind w:left="0" w:hanging="2"/>
              <w:rPr>
                <w:sz w:val="22"/>
                <w:szCs w:val="22"/>
              </w:rPr>
            </w:pPr>
          </w:p>
          <w:p w14:paraId="56826487" w14:textId="77777777" w:rsidR="00175C8F" w:rsidRDefault="00175C8F">
            <w:pPr>
              <w:ind w:left="0" w:hanging="2"/>
              <w:rPr>
                <w:sz w:val="22"/>
                <w:szCs w:val="22"/>
              </w:rPr>
            </w:pPr>
          </w:p>
          <w:p w14:paraId="63577CBC" w14:textId="77777777" w:rsidR="00175C8F" w:rsidRDefault="00175C8F">
            <w:pPr>
              <w:ind w:left="0" w:hanging="2"/>
              <w:rPr>
                <w:sz w:val="22"/>
                <w:szCs w:val="22"/>
              </w:rPr>
            </w:pPr>
          </w:p>
          <w:p w14:paraId="2E593581" w14:textId="77777777" w:rsidR="00175C8F" w:rsidRDefault="00175C8F">
            <w:pPr>
              <w:ind w:left="0" w:hanging="2"/>
              <w:rPr>
                <w:sz w:val="22"/>
                <w:szCs w:val="22"/>
              </w:rPr>
            </w:pPr>
          </w:p>
          <w:p w14:paraId="2F665D59" w14:textId="77777777" w:rsidR="00175C8F" w:rsidRDefault="00175C8F">
            <w:pPr>
              <w:ind w:left="0" w:hanging="2"/>
              <w:rPr>
                <w:sz w:val="22"/>
                <w:szCs w:val="22"/>
              </w:rPr>
            </w:pPr>
          </w:p>
        </w:tc>
      </w:tr>
      <w:tr w:rsidR="00175C8F" w14:paraId="0303CF88" w14:textId="77777777">
        <w:trPr>
          <w:trHeight w:val="720"/>
        </w:trPr>
        <w:tc>
          <w:tcPr>
            <w:tcW w:w="8856" w:type="dxa"/>
            <w:gridSpan w:val="5"/>
          </w:tcPr>
          <w:p w14:paraId="7FA2CDFC" w14:textId="77777777" w:rsidR="00175C8F" w:rsidRDefault="00000000">
            <w:pPr>
              <w:ind w:left="0" w:hanging="2"/>
              <w:rPr>
                <w:sz w:val="22"/>
                <w:szCs w:val="22"/>
              </w:rPr>
            </w:pPr>
            <w:r>
              <w:rPr>
                <w:b/>
                <w:sz w:val="22"/>
                <w:szCs w:val="22"/>
              </w:rPr>
              <w:t>External Examiner’s comments (if relevant)</w:t>
            </w:r>
          </w:p>
          <w:p w14:paraId="23C54871" w14:textId="77777777" w:rsidR="00175C8F" w:rsidRDefault="00175C8F">
            <w:pPr>
              <w:pBdr>
                <w:top w:val="nil"/>
                <w:left w:val="nil"/>
                <w:bottom w:val="nil"/>
                <w:right w:val="nil"/>
                <w:between w:val="nil"/>
              </w:pBdr>
              <w:spacing w:line="240" w:lineRule="auto"/>
              <w:ind w:left="0" w:right="-334" w:hanging="2"/>
              <w:rPr>
                <w:color w:val="000000"/>
                <w:sz w:val="22"/>
                <w:szCs w:val="22"/>
              </w:rPr>
            </w:pPr>
          </w:p>
          <w:p w14:paraId="6278CF52" w14:textId="77777777" w:rsidR="00175C8F" w:rsidRDefault="00175C8F">
            <w:pPr>
              <w:pBdr>
                <w:top w:val="nil"/>
                <w:left w:val="nil"/>
                <w:bottom w:val="nil"/>
                <w:right w:val="nil"/>
                <w:between w:val="nil"/>
              </w:pBdr>
              <w:spacing w:line="240" w:lineRule="auto"/>
              <w:ind w:left="0" w:right="-334" w:hanging="2"/>
              <w:rPr>
                <w:color w:val="000000"/>
                <w:sz w:val="22"/>
                <w:szCs w:val="22"/>
              </w:rPr>
            </w:pPr>
          </w:p>
          <w:p w14:paraId="4FB66670" w14:textId="77777777" w:rsidR="00175C8F" w:rsidRDefault="00175C8F">
            <w:pPr>
              <w:pBdr>
                <w:top w:val="nil"/>
                <w:left w:val="nil"/>
                <w:bottom w:val="nil"/>
                <w:right w:val="nil"/>
                <w:between w:val="nil"/>
              </w:pBdr>
              <w:spacing w:line="240" w:lineRule="auto"/>
              <w:ind w:left="0" w:right="-334" w:hanging="2"/>
              <w:rPr>
                <w:color w:val="000000"/>
                <w:sz w:val="22"/>
                <w:szCs w:val="22"/>
              </w:rPr>
            </w:pPr>
          </w:p>
          <w:p w14:paraId="2384B4E0" w14:textId="77777777" w:rsidR="00175C8F" w:rsidRDefault="00175C8F">
            <w:pPr>
              <w:pBdr>
                <w:top w:val="nil"/>
                <w:left w:val="nil"/>
                <w:bottom w:val="nil"/>
                <w:right w:val="nil"/>
                <w:between w:val="nil"/>
              </w:pBdr>
              <w:spacing w:line="240" w:lineRule="auto"/>
              <w:ind w:left="0" w:right="-334" w:hanging="2"/>
              <w:rPr>
                <w:color w:val="000000"/>
                <w:sz w:val="22"/>
                <w:szCs w:val="22"/>
              </w:rPr>
            </w:pPr>
          </w:p>
          <w:p w14:paraId="351BB537" w14:textId="77777777" w:rsidR="00175C8F" w:rsidRDefault="00175C8F">
            <w:pPr>
              <w:pBdr>
                <w:top w:val="nil"/>
                <w:left w:val="nil"/>
                <w:bottom w:val="nil"/>
                <w:right w:val="nil"/>
                <w:between w:val="nil"/>
              </w:pBdr>
              <w:spacing w:line="240" w:lineRule="auto"/>
              <w:ind w:left="0" w:right="-334" w:hanging="2"/>
              <w:rPr>
                <w:color w:val="000000"/>
                <w:sz w:val="22"/>
                <w:szCs w:val="22"/>
              </w:rPr>
            </w:pPr>
          </w:p>
        </w:tc>
      </w:tr>
      <w:tr w:rsidR="00175C8F" w14:paraId="5AC3C58F" w14:textId="77777777">
        <w:trPr>
          <w:trHeight w:val="720"/>
        </w:trPr>
        <w:tc>
          <w:tcPr>
            <w:tcW w:w="5211" w:type="dxa"/>
            <w:gridSpan w:val="2"/>
          </w:tcPr>
          <w:p w14:paraId="443D51FF" w14:textId="77777777" w:rsidR="00175C8F" w:rsidRDefault="00000000">
            <w:pPr>
              <w:ind w:left="0" w:hanging="2"/>
              <w:rPr>
                <w:sz w:val="22"/>
                <w:szCs w:val="22"/>
              </w:rPr>
            </w:pPr>
            <w:r>
              <w:rPr>
                <w:sz w:val="22"/>
                <w:szCs w:val="22"/>
              </w:rPr>
              <w:t>External Examiner’s Signature:</w:t>
            </w:r>
          </w:p>
        </w:tc>
        <w:tc>
          <w:tcPr>
            <w:tcW w:w="3645" w:type="dxa"/>
            <w:gridSpan w:val="3"/>
          </w:tcPr>
          <w:p w14:paraId="7F7F8950" w14:textId="77777777" w:rsidR="00175C8F" w:rsidRDefault="00000000">
            <w:pPr>
              <w:ind w:left="0" w:hanging="2"/>
              <w:rPr>
                <w:sz w:val="22"/>
                <w:szCs w:val="22"/>
              </w:rPr>
            </w:pPr>
            <w:r>
              <w:rPr>
                <w:sz w:val="22"/>
                <w:szCs w:val="22"/>
              </w:rPr>
              <w:t>Date:</w:t>
            </w:r>
          </w:p>
        </w:tc>
      </w:tr>
    </w:tbl>
    <w:p w14:paraId="237EF6C3" w14:textId="77777777" w:rsidR="00175C8F" w:rsidRDefault="00000000">
      <w:pPr>
        <w:pStyle w:val="Heading1"/>
        <w:ind w:left="1" w:hanging="3"/>
      </w:pPr>
      <w:bookmarkStart w:id="0" w:name="_heading=h.l1iji2ydiy6s" w:colFirst="0" w:colLast="0"/>
      <w:bookmarkEnd w:id="0"/>
      <w:r>
        <w:br w:type="page"/>
      </w:r>
    </w:p>
    <w:p w14:paraId="58CD5B53" w14:textId="77777777" w:rsidR="00175C8F" w:rsidRDefault="00000000" w:rsidP="00CA24F9">
      <w:pPr>
        <w:pStyle w:val="Heading1"/>
        <w:ind w:left="1" w:hanging="3"/>
      </w:pPr>
      <w:bookmarkStart w:id="1" w:name="_heading=h.da2u17me4n3i" w:colFirst="0" w:colLast="0"/>
      <w:bookmarkEnd w:id="1"/>
      <w:r>
        <w:lastRenderedPageBreak/>
        <w:t>A Critical Comparison of Two Secondary Sources</w:t>
      </w:r>
    </w:p>
    <w:p w14:paraId="593559BD" w14:textId="52C443E4" w:rsidR="00175C8F" w:rsidRDefault="00000000" w:rsidP="00CA24F9">
      <w:pPr>
        <w:ind w:left="0" w:hanging="2"/>
      </w:pPr>
      <w:r>
        <w:t>Word count: 25</w:t>
      </w:r>
      <w:r w:rsidR="00B71E10">
        <w:t>5</w:t>
      </w:r>
      <w:r w:rsidR="00541671">
        <w:t>5</w:t>
      </w:r>
    </w:p>
    <w:p w14:paraId="6EC098A6" w14:textId="77777777" w:rsidR="00175C8F" w:rsidRDefault="00175C8F" w:rsidP="00CA24F9">
      <w:pPr>
        <w:ind w:left="0" w:hanging="2"/>
      </w:pPr>
    </w:p>
    <w:p w14:paraId="6DAD1535" w14:textId="77777777" w:rsidR="00175C8F" w:rsidRDefault="00175C8F" w:rsidP="00CA24F9">
      <w:pPr>
        <w:ind w:left="0" w:hanging="2"/>
      </w:pPr>
    </w:p>
    <w:p w14:paraId="24138AAA" w14:textId="77777777" w:rsidR="00175C8F" w:rsidRDefault="00000000" w:rsidP="00CA24F9">
      <w:pPr>
        <w:ind w:leftChars="0" w:left="0" w:firstLineChars="0" w:firstLine="0"/>
      </w:pPr>
      <w:r>
        <w:rPr>
          <w:b/>
        </w:rPr>
        <w:t>Introduction</w:t>
      </w:r>
    </w:p>
    <w:p w14:paraId="1CBB71B4" w14:textId="77777777" w:rsidR="00175C8F" w:rsidRDefault="00000000" w:rsidP="00CA24F9">
      <w:pPr>
        <w:ind w:left="-2" w:firstLineChars="0" w:firstLine="0"/>
      </w:pPr>
      <w:r>
        <w:t xml:space="preserve">This essay critically compares and contrasts Gillian Bennet’s article ‘“If I Knew You Were Coming I’d Have Baked a Cake”: The Folklore of Foreknowledge in a Neighborhood Group’, published in the journal </w:t>
      </w:r>
      <w:r>
        <w:rPr>
          <w:i/>
        </w:rPr>
        <w:t>Out of the Ordinary: Folklore and the Supernatural</w:t>
      </w:r>
      <w:r>
        <w:t xml:space="preserve"> in 1995</w:t>
      </w:r>
      <w:r>
        <w:rPr>
          <w:vertAlign w:val="superscript"/>
        </w:rPr>
        <w:footnoteReference w:id="1"/>
      </w:r>
      <w:r>
        <w:t xml:space="preserve">, with Jenny Blain’s article “Speaking Shamanistically: Seidr, Academia, and Rationality”, published in the journal </w:t>
      </w:r>
      <w:r>
        <w:rPr>
          <w:i/>
        </w:rPr>
        <w:t>Diskus</w:t>
      </w:r>
      <w:r>
        <w:t xml:space="preserve"> in 2000</w:t>
      </w:r>
      <w:r>
        <w:rPr>
          <w:vertAlign w:val="superscript"/>
        </w:rPr>
        <w:footnoteReference w:id="2"/>
      </w:r>
      <w:r>
        <w:t>.</w:t>
      </w:r>
    </w:p>
    <w:p w14:paraId="5E05C6FA" w14:textId="4F85570A" w:rsidR="00175C8F" w:rsidRDefault="00000000" w:rsidP="00CA24F9">
      <w:pPr>
        <w:ind w:left="-2" w:firstLineChars="186" w:firstLine="446"/>
      </w:pPr>
      <w:r>
        <w:t>Bennet writes and edits books and articles as a folklorist who studies contemporary belief in the supernatural</w:t>
      </w:r>
      <w:r>
        <w:rPr>
          <w:vertAlign w:val="superscript"/>
        </w:rPr>
        <w:footnoteReference w:id="3"/>
      </w:r>
      <w:r>
        <w:t>. The article reviewed here is published in a book of contributed works covering a range of supernatural and folklorish topics. It is written for</w:t>
      </w:r>
      <w:r w:rsidR="00CA24F9">
        <w:t xml:space="preserve"> </w:t>
      </w:r>
      <w:r>
        <w:t>those who also believe in, or are studying, the topics. It seeks to contextualise modern understandings of the folklore surrounding foreknowledge and the way in which society influences this topic.</w:t>
      </w:r>
    </w:p>
    <w:p w14:paraId="1EAF54B1" w14:textId="54410B67" w:rsidR="00175C8F" w:rsidRDefault="00000000" w:rsidP="00CA24F9">
      <w:pPr>
        <w:ind w:left="-2" w:firstLineChars="186" w:firstLine="446"/>
      </w:pPr>
      <w:r>
        <w:t>In contrast, Blain’s article appears to have been written primarily for herself despite being published in a journal. While it ostensibly critiques ethnography as a methodology, the argument delves more into her thoughts on writing academically as an insider</w:t>
      </w:r>
      <w:r w:rsidR="00CA24F9">
        <w:t xml:space="preserve"> </w:t>
      </w:r>
      <w:r>
        <w:t>and her concern that being a member of a group lessens academic credibility. Blain identifies as “Heathen” and practises seiðr, the topic of focus in her essay</w:t>
      </w:r>
      <w:r>
        <w:rPr>
          <w:vertAlign w:val="superscript"/>
        </w:rPr>
        <w:footnoteReference w:id="4"/>
      </w:r>
      <w:r>
        <w:t>, and was a senior lecturer at Sheffield Hallam University at the time of writing the article.</w:t>
      </w:r>
    </w:p>
    <w:p w14:paraId="4750C50B" w14:textId="26056C21" w:rsidR="00175C8F" w:rsidRDefault="00000000" w:rsidP="00CA24F9">
      <w:pPr>
        <w:ind w:left="-2" w:firstLineChars="186" w:firstLine="446"/>
      </w:pPr>
      <w:r>
        <w:t xml:space="preserve">Both authors are also studying lived experience with supernatural topics, but from different starting points </w:t>
      </w:r>
      <w:r w:rsidR="00CA24F9">
        <w:t>in</w:t>
      </w:r>
      <w:r>
        <w:t xml:space="preserve"> personal experience, involvement, and reflexivity.</w:t>
      </w:r>
    </w:p>
    <w:p w14:paraId="00A4206D" w14:textId="77777777" w:rsidR="00175C8F" w:rsidRDefault="00175C8F" w:rsidP="00CA24F9">
      <w:pPr>
        <w:ind w:left="-2" w:firstLineChars="186" w:firstLine="446"/>
      </w:pPr>
    </w:p>
    <w:p w14:paraId="337C9884" w14:textId="77777777" w:rsidR="00175C8F" w:rsidRDefault="00175C8F" w:rsidP="00CA24F9">
      <w:pPr>
        <w:ind w:left="-2" w:firstLineChars="186" w:firstLine="446"/>
      </w:pPr>
    </w:p>
    <w:p w14:paraId="4DF3CC28" w14:textId="77777777" w:rsidR="00175C8F" w:rsidRDefault="00000000" w:rsidP="00CA24F9">
      <w:pPr>
        <w:ind w:leftChars="0" w:left="0" w:firstLineChars="0" w:firstLine="0"/>
        <w:rPr>
          <w:b/>
        </w:rPr>
      </w:pPr>
      <w:r>
        <w:rPr>
          <w:b/>
        </w:rPr>
        <w:t>Reflexivity and positioning</w:t>
      </w:r>
    </w:p>
    <w:p w14:paraId="1CEBF576" w14:textId="75B97946" w:rsidR="00175C8F" w:rsidRDefault="00000000" w:rsidP="00CA24F9">
      <w:pPr>
        <w:ind w:left="-2" w:firstLineChars="0" w:firstLine="0"/>
      </w:pPr>
      <w:r>
        <w:t xml:space="preserve">Blain is a part of the group she’s studying, which is the motivation behind her critique of ethnography and the academic response to insider research. The essay is deeply reflexive; reflecting on her involvement in the practise of seiðr and her perception of its effects on her academic work is the primary purpose. </w:t>
      </w:r>
    </w:p>
    <w:p w14:paraId="23346046" w14:textId="77777777" w:rsidR="00175C8F" w:rsidRDefault="00000000" w:rsidP="00CA24F9">
      <w:pPr>
        <w:ind w:left="-2" w:firstLineChars="186" w:firstLine="446"/>
      </w:pPr>
      <w:r>
        <w:t xml:space="preserve">Blain makes a persuasive point with regard to the possible impacts of her deep personal association with seiðr and its practitioners. As noted by David Hufford, “the general demand for impartiality in scholarship is applied with special stringency to the study of spiritual matters” and there is frequently an assumption that belief is equivalent </w:t>
      </w:r>
      <w:r>
        <w:lastRenderedPageBreak/>
        <w:t>to incompetence when it comes to academic rigour</w:t>
      </w:r>
      <w:r>
        <w:rPr>
          <w:vertAlign w:val="superscript"/>
        </w:rPr>
        <w:footnoteReference w:id="5"/>
      </w:r>
      <w:r>
        <w:t>. The conundrum this creates—whether those on the outside can fully understand the topic of study and whether those on the inside can effectively separate self from practice—is hinted at in Blain’s essay. The result she describes, wherein conferences and the academics attending them repeatedly cover the same, potentially irrelevant questions (e.g. ‘do the spirits exist’)</w:t>
      </w:r>
      <w:r>
        <w:rPr>
          <w:vertAlign w:val="superscript"/>
        </w:rPr>
        <w:footnoteReference w:id="6"/>
      </w:r>
      <w:r>
        <w:t>, illustrates one of the benefits of an insider perspective supported with reflexivity: the ability to move beyond established or long-debated questions to cover new ground.</w:t>
      </w:r>
    </w:p>
    <w:p w14:paraId="2B5E1DF2" w14:textId="77777777" w:rsidR="00175C8F" w:rsidRDefault="00000000" w:rsidP="00CA24F9">
      <w:pPr>
        <w:ind w:left="-2" w:firstLineChars="186" w:firstLine="446"/>
      </w:pPr>
      <w:r>
        <w:t>While Bennett’s role as insider or outsider isn’t explicitly stated, her opening paragraph seems to position her further to the outsider end of the insider-outsider spectrum. She appears to be enough of an outsider that she had a number of ‘false starts’ in meeting and interviewing respondents</w:t>
      </w:r>
      <w:r>
        <w:rPr>
          <w:vertAlign w:val="superscript"/>
        </w:rPr>
        <w:footnoteReference w:id="7"/>
      </w:r>
      <w:r>
        <w:t>. As a result, her findings rely fully on the testimony of respondents and in her accuracy in recording, interpreting, and analysing them in the way the respondents meant them.</w:t>
      </w:r>
    </w:p>
    <w:p w14:paraId="54AF8F73" w14:textId="77777777" w:rsidR="00175C8F" w:rsidRDefault="00000000" w:rsidP="00CA24F9">
      <w:pPr>
        <w:ind w:left="-2" w:firstLineChars="186" w:firstLine="446"/>
      </w:pPr>
      <w:r>
        <w:t>The authors’ differing positions on the insider-outsider spectrum necessarily influenced their methodological approaches.</w:t>
      </w:r>
    </w:p>
    <w:p w14:paraId="6E1F1401" w14:textId="77777777" w:rsidR="00175C8F" w:rsidRDefault="00175C8F" w:rsidP="00CA24F9">
      <w:pPr>
        <w:ind w:left="-2" w:firstLineChars="186" w:firstLine="446"/>
      </w:pPr>
    </w:p>
    <w:p w14:paraId="394F536A" w14:textId="77777777" w:rsidR="00175C8F" w:rsidRDefault="00000000" w:rsidP="00CA24F9">
      <w:pPr>
        <w:ind w:leftChars="0" w:left="0" w:firstLineChars="0" w:firstLine="0"/>
      </w:pPr>
      <w:r>
        <w:rPr>
          <w:b/>
        </w:rPr>
        <w:t>Methodologies</w:t>
      </w:r>
    </w:p>
    <w:p w14:paraId="333FD676" w14:textId="0FF787A5" w:rsidR="00175C8F" w:rsidRDefault="00000000" w:rsidP="00CA24F9">
      <w:pPr>
        <w:ind w:left="-2" w:firstLineChars="0" w:firstLine="0"/>
      </w:pPr>
      <w:r>
        <w:t>Blain’s research effectively demonstrates how membership in the group being studied can aid in deeper understanding. Her first-hand participation in the subject of study</w:t>
      </w:r>
      <w:r w:rsidR="00CA24F9">
        <w:t xml:space="preserve"> </w:t>
      </w:r>
      <w:r>
        <w:t>takes her beyond a venture into a ‘thick description’</w:t>
      </w:r>
      <w:r>
        <w:rPr>
          <w:vertAlign w:val="superscript"/>
        </w:rPr>
        <w:footnoteReference w:id="8"/>
      </w:r>
      <w:r>
        <w:t xml:space="preserve"> and into a lived experience of it. This experience, while possibly difficult to translate to the satisfaction of outsiders, nonetheless is captured for her own study to a depth a total outsider would not be able to reach.</w:t>
      </w:r>
    </w:p>
    <w:p w14:paraId="33133540" w14:textId="135BBED7" w:rsidR="00175C8F" w:rsidRDefault="00000000" w:rsidP="00CA24F9">
      <w:pPr>
        <w:ind w:left="-2" w:firstLineChars="186" w:firstLine="446"/>
      </w:pPr>
      <w:r>
        <w:t xml:space="preserve">As an outsider, Bennett interviewed her participants. While her work is more structured in terms of methodology, there are notable areas for concern. First, the extent to which respondent anonymity can be reasonably assured, given that all of them were interviewed in person in </w:t>
      </w:r>
      <w:r w:rsidR="00CA24F9">
        <w:t>her father’s office</w:t>
      </w:r>
      <w:r>
        <w:t xml:space="preserve">. The table of results, while welcome to review data, includes only one to two respondents in some categories. </w:t>
      </w:r>
      <w:r w:rsidR="00CA24F9">
        <w:t>I</w:t>
      </w:r>
      <w:r>
        <w:t xml:space="preserve">t could be reasonably easy to figure out who each respondent is or might be. Additionally, confidentiality is a concern, as presumably Bennet’s father is present or can overhear these conversations. </w:t>
      </w:r>
    </w:p>
    <w:p w14:paraId="02EE9D90" w14:textId="3653E0D1" w:rsidR="00175C8F" w:rsidRDefault="00000000" w:rsidP="00CA24F9">
      <w:pPr>
        <w:ind w:left="-2" w:firstLineChars="186" w:firstLine="446"/>
      </w:pPr>
      <w:r>
        <w:t xml:space="preserve">Finally, the ethical correctness of using the privacy of a doctor’s office to conduct unrelated research is doubtful. In </w:t>
      </w:r>
      <w:r>
        <w:rPr>
          <w:i/>
        </w:rPr>
        <w:t>Qualitative Research Methods</w:t>
      </w:r>
      <w:r>
        <w:t>, Hennink, Hutter, and Bailey note the importance of minimising harm, which includes shame, embarrassment, or social harm</w:t>
      </w:r>
      <w:r>
        <w:rPr>
          <w:vertAlign w:val="superscript"/>
        </w:rPr>
        <w:footnoteReference w:id="9"/>
      </w:r>
      <w:r>
        <w:t xml:space="preserve">. It isn’t unreasonable to think that being asked about personal beliefs while visiting one’s podiatrist could be a source of embarrassment or social harm. Her father’s sharing of information about his patients is also highly questionable, certainly by modern standards where HIPAA law would forbid such a thing in the United States. </w:t>
      </w:r>
    </w:p>
    <w:p w14:paraId="171F5177" w14:textId="77777777" w:rsidR="00175C8F" w:rsidRDefault="00000000" w:rsidP="00CA24F9">
      <w:pPr>
        <w:ind w:left="-2" w:firstLineChars="186" w:firstLine="446"/>
      </w:pPr>
      <w:r>
        <w:lastRenderedPageBreak/>
        <w:t>There is not a lot of overlap between the methodologies as presented. Bennett’s use of interviews is necessarily limited to what her respondents can or will tell her, which thus limits the depth of her findings. Blain’s participative ethnography lends itself to the consistent and representative perspectives that qualitative researchers advocate for</w:t>
      </w:r>
      <w:r>
        <w:rPr>
          <w:vertAlign w:val="superscript"/>
        </w:rPr>
        <w:footnoteReference w:id="10"/>
      </w:r>
      <w:r>
        <w:t xml:space="preserve">. However, both likely run into a similar difficulty: people who know they’re being studied or observed, even if indirectly as may be the case with Blain, may change their behaviour or answers. </w:t>
      </w:r>
    </w:p>
    <w:p w14:paraId="278505E5" w14:textId="3D561C7D" w:rsidR="00175C8F" w:rsidRDefault="00000000" w:rsidP="00CA24F9">
      <w:pPr>
        <w:ind w:left="-2" w:firstLineChars="186" w:firstLine="446"/>
      </w:pPr>
      <w:r>
        <w:t xml:space="preserve">Neither author mentions using quantitative research for a blended approach. For both articles, the qualitative research </w:t>
      </w:r>
      <w:r w:rsidR="00CA24F9">
        <w:t xml:space="preserve">conducted </w:t>
      </w:r>
      <w:r>
        <w:t>could “act as a source of hunches or hypotheses to be tested by quantitative research”</w:t>
      </w:r>
      <w:r>
        <w:rPr>
          <w:vertAlign w:val="superscript"/>
        </w:rPr>
        <w:footnoteReference w:id="11"/>
      </w:r>
      <w:r>
        <w:t>. For example, Bennett’s findings could be extended to other areas with similar demographic and socio-economic profiles to see if they hold true, or tested with different profiles to see how and where differences in belief occur. Blain’s critique of ethnography and the insider-outsider debate could be tested with a questionnaire to discover the perceptions of fellow academics to see if her fears and doubts are similarly held by others, as well as to explore possible solutions.</w:t>
      </w:r>
    </w:p>
    <w:p w14:paraId="353FED7F" w14:textId="77777777" w:rsidR="00175C8F" w:rsidRDefault="00000000" w:rsidP="00CA24F9">
      <w:pPr>
        <w:ind w:left="-2" w:firstLineChars="186" w:firstLine="446"/>
      </w:pPr>
      <w:r>
        <w:t>It’s possible that the position of each study in the body of academic research played a role in their choice of methodology.</w:t>
      </w:r>
    </w:p>
    <w:p w14:paraId="7086E9AA" w14:textId="77777777" w:rsidR="00175C8F" w:rsidRDefault="00175C8F" w:rsidP="00CA24F9">
      <w:pPr>
        <w:ind w:left="-2" w:firstLineChars="186" w:firstLine="446"/>
      </w:pPr>
    </w:p>
    <w:p w14:paraId="02BF185F" w14:textId="77777777" w:rsidR="00175C8F" w:rsidRDefault="00175C8F" w:rsidP="00CA24F9">
      <w:pPr>
        <w:ind w:left="-2" w:firstLineChars="186" w:firstLine="446"/>
      </w:pPr>
    </w:p>
    <w:p w14:paraId="7816A07E" w14:textId="77777777" w:rsidR="00175C8F" w:rsidRDefault="00000000" w:rsidP="00CA24F9">
      <w:pPr>
        <w:ind w:leftChars="0" w:left="0" w:firstLineChars="0" w:firstLine="0"/>
      </w:pPr>
      <w:r>
        <w:rPr>
          <w:b/>
        </w:rPr>
        <w:t>Literature and sources</w:t>
      </w:r>
    </w:p>
    <w:p w14:paraId="1717F385" w14:textId="6932FCF8" w:rsidR="00175C8F" w:rsidRDefault="00000000" w:rsidP="00CA24F9">
      <w:pPr>
        <w:ind w:left="-2" w:firstLineChars="0" w:firstLine="0"/>
      </w:pPr>
      <w:r>
        <w:t xml:space="preserve">Based on the way historical accounts were covered, Bennett’s work seems to be laying new ground in the area of contemporary supernatural belief. Prior academic research is lacking—perhaps because there wasn’t any available to her at the time—but her own research in the form of interviews is provided. As a result, her study is framed more in the context of primary sources, with some supporting information from modern surveys carried out in the US and the UK about belief in astrology and clairvoyance. Primary texts were drawn from the seventeenth through nineteenth centuries, establishing traditions in British folklore and </w:t>
      </w:r>
      <w:r w:rsidR="00581A3C">
        <w:t>their evolution</w:t>
      </w:r>
      <w:r>
        <w:t xml:space="preserve">. These sources provide context for the tradition which Bennett’s respondents likely had their beliefs and practices shaped by. </w:t>
      </w:r>
    </w:p>
    <w:p w14:paraId="0CE5F589" w14:textId="1EC43526" w:rsidR="00175C8F" w:rsidRDefault="00000000" w:rsidP="00CA24F9">
      <w:pPr>
        <w:ind w:left="-2" w:firstLineChars="186" w:firstLine="446"/>
      </w:pPr>
      <w:r>
        <w:t xml:space="preserve">Though extensive, this context could have been better supported with more examples of the cultural connections Bennett went on to make </w:t>
      </w:r>
      <w:r w:rsidR="0040289A">
        <w:t>in</w:t>
      </w:r>
      <w:r>
        <w:t xml:space="preserve"> her conclusions. For instance, dreams and omens are covered in the literary review, as well as being the focus of the research. However, context related to the historical roles of women in British society is missing. Bennett</w:t>
      </w:r>
      <w:r w:rsidR="0040289A">
        <w:t xml:space="preserve"> </w:t>
      </w:r>
      <w:r>
        <w:t>expounded on her thoughts about how the older women in her study had lived or were influenced by society and culture, and yet unlike the coverage of the supernatural, we have none of the historical context to compare against. Someone not versed in the history or culture of the UK would have to rely entirely on her stated assumptions about what respondents had been taught as children or how their religious beliefs likely influenced their beliefs around supernatural topics</w:t>
      </w:r>
      <w:r>
        <w:rPr>
          <w:vertAlign w:val="superscript"/>
        </w:rPr>
        <w:footnoteReference w:id="12"/>
      </w:r>
      <w:r>
        <w:t xml:space="preserve">. </w:t>
      </w:r>
      <w:r w:rsidR="00B71E10">
        <w:t>The</w:t>
      </w:r>
      <w:r>
        <w:t xml:space="preserve"> reader would also have no idea if this is a new or ongoing situation in Britain, whether it is unusual compared to previous periods, or if there are any previous </w:t>
      </w:r>
      <w:r>
        <w:lastRenderedPageBreak/>
        <w:t>instances of religious upbringing corresponding with a greater willingness to believe in clairvoyance over astrology.</w:t>
      </w:r>
    </w:p>
    <w:p w14:paraId="6D092F6E" w14:textId="48BA0B78" w:rsidR="00175C8F" w:rsidRDefault="00000000" w:rsidP="00CA24F9">
      <w:pPr>
        <w:ind w:left="-2" w:firstLineChars="186" w:firstLine="446"/>
      </w:pPr>
      <w:r>
        <w:t xml:space="preserve">Where Bennett conducted at least a partial literature review, Blain included none. Her essay featured accounts of her own experiences and those of other practitioners, but no up-front grounding in existing research. There are references to other resources later in the article, but these are used to emphasise points or define terms. Readers are left with little to no understanding of the context in which this work is situated. </w:t>
      </w:r>
    </w:p>
    <w:p w14:paraId="146D84AD" w14:textId="1231DC3C" w:rsidR="00175C8F" w:rsidRDefault="00000000" w:rsidP="00CA24F9">
      <w:pPr>
        <w:ind w:left="-2" w:firstLineChars="186" w:firstLine="446"/>
      </w:pPr>
      <w:r>
        <w:t xml:space="preserve">As a result, the argument doesn’t </w:t>
      </w:r>
      <w:r w:rsidR="00B71E10">
        <w:t>offer</w:t>
      </w:r>
      <w:r>
        <w:t xml:space="preserve"> evidence beyond personal anecdotes.</w:t>
      </w:r>
      <w:r w:rsidR="00B71E10">
        <w:t xml:space="preserve"> </w:t>
      </w:r>
      <w:r>
        <w:t xml:space="preserve">Bryman had published on research methods and Geertz had published on culture and ethnography prior to the publication of ‘Speaking Shamanistically’. Both speak on ethnography as a research methodology. Rather than contributing to academic literature, this article mainly reads as an expression of grievances. While it can be </w:t>
      </w:r>
      <w:r w:rsidR="00B71E10">
        <w:t>worthwhile</w:t>
      </w:r>
      <w:r>
        <w:t xml:space="preserve"> to expose an issue </w:t>
      </w:r>
      <w:r w:rsidR="00B71E10">
        <w:t>or concern</w:t>
      </w:r>
      <w:r>
        <w:t>, Blain does herself no favours with the lack of contextualization.</w:t>
      </w:r>
    </w:p>
    <w:p w14:paraId="4887A21C" w14:textId="77777777" w:rsidR="00175C8F" w:rsidRDefault="00000000" w:rsidP="00CA24F9">
      <w:pPr>
        <w:ind w:left="-2" w:firstLineChars="186" w:firstLine="446"/>
      </w:pPr>
      <w:r>
        <w:t>The strengths and weaknesses of each article’s positioning, methodology, and literature review impact the effectiveness of the content.</w:t>
      </w:r>
    </w:p>
    <w:p w14:paraId="1662EE08" w14:textId="77777777" w:rsidR="00175C8F" w:rsidRDefault="00175C8F" w:rsidP="00CA24F9">
      <w:pPr>
        <w:ind w:left="-2" w:firstLineChars="186" w:firstLine="446"/>
      </w:pPr>
    </w:p>
    <w:p w14:paraId="6C5264EC" w14:textId="77777777" w:rsidR="00175C8F" w:rsidRDefault="00175C8F" w:rsidP="00CA24F9">
      <w:pPr>
        <w:ind w:left="-2" w:firstLineChars="186" w:firstLine="446"/>
      </w:pPr>
    </w:p>
    <w:p w14:paraId="2FF69E88" w14:textId="77777777" w:rsidR="00175C8F" w:rsidRDefault="00000000" w:rsidP="00CA24F9">
      <w:pPr>
        <w:ind w:leftChars="0" w:left="0" w:firstLineChars="0" w:firstLine="0"/>
      </w:pPr>
      <w:r>
        <w:rPr>
          <w:b/>
        </w:rPr>
        <w:t>Content</w:t>
      </w:r>
    </w:p>
    <w:p w14:paraId="232C975B" w14:textId="0A8F18A6" w:rsidR="00175C8F" w:rsidRDefault="00000000" w:rsidP="00CA24F9">
      <w:pPr>
        <w:ind w:left="-2" w:firstLineChars="0" w:firstLine="0"/>
      </w:pPr>
      <w:r>
        <w:t xml:space="preserve">While Blain’s essay was published in the University of Marburg’s journal on religious studies, </w:t>
      </w:r>
      <w:r>
        <w:rPr>
          <w:i/>
        </w:rPr>
        <w:t>Diskus</w:t>
      </w:r>
      <w:r>
        <w:t>, the essay lacks a recognizable structure despite its headings, reading as more of a stream-of-consciousness account of the author’s experiences as an academic-cum-practitioner. On the whole, the text rambled and headers didn’t match the content they covered. Additionally, neither the opening anecdote about arriving in Boston nor the following explanation about Blain’s relationship with another practitioner have meaningful bearing on the topic. Blain’s descriptions of her own involvement in the practise would have been sufficient evidence of both her role as an insider and her reflexivity.</w:t>
      </w:r>
    </w:p>
    <w:p w14:paraId="00B750A2" w14:textId="0AF5682E" w:rsidR="00175C8F" w:rsidRDefault="00000000" w:rsidP="00CA24F9">
      <w:pPr>
        <w:ind w:left="-2" w:firstLineChars="186" w:firstLine="446"/>
      </w:pPr>
      <w:r>
        <w:t>Despite describing “feelings of doubt about the ability to publish without sacrificing a career”</w:t>
      </w:r>
      <w:r>
        <w:rPr>
          <w:vertAlign w:val="superscript"/>
        </w:rPr>
        <w:footnoteReference w:id="13"/>
      </w:r>
      <w:r>
        <w:t xml:space="preserve"> related to her insider status, Blain didn’t extend that thought to other identities that would be similarly impacted. Brief intersectional consideration of, for example, Black American scholars studying race in the United States, or Indigenous scholars in formerly colonised countries studying colonisation, could have strengthened her argument about how academia </w:t>
      </w:r>
      <w:r w:rsidR="00B71E10">
        <w:t>views</w:t>
      </w:r>
      <w:r>
        <w:t xml:space="preserve"> insiders and their research. Indeed, many scholars in these groups may face even greater hurdles than Blain herself, given the historical inequity with regard to income, opportunity, and resources for these populations, both in society and in institutions of higher education</w:t>
      </w:r>
      <w:r>
        <w:rPr>
          <w:vertAlign w:val="superscript"/>
        </w:rPr>
        <w:footnoteReference w:id="14"/>
      </w:r>
      <w:r>
        <w:t xml:space="preserve">. This is not to suggest that there needs to be a ‘competition’ for who has it harder, but rather to note that the concerns described go much wider and deeper than touched on in Blain’s essay, which could have been strengthened with the acknowledgement. This might </w:t>
      </w:r>
      <w:r>
        <w:lastRenderedPageBreak/>
        <w:t>have been out of scope for the piece, but so too, arguably, are extended anecdotes about attending weddings in Boston.</w:t>
      </w:r>
    </w:p>
    <w:p w14:paraId="139D10C6" w14:textId="77777777" w:rsidR="00175C8F" w:rsidRDefault="00000000" w:rsidP="00CA24F9">
      <w:pPr>
        <w:ind w:left="-2" w:firstLineChars="186" w:firstLine="446"/>
      </w:pPr>
      <w:r>
        <w:t>The Bennett article follows a clearer structure, laying out the historical background, context, findings, and conclusion in logical order with headers. The findings themselves are broken out and grouped so that similar topics are presented together, with both positive and negative respondent perspectives presented for balance.</w:t>
      </w:r>
    </w:p>
    <w:p w14:paraId="0B993F12" w14:textId="77777777" w:rsidR="00175C8F" w:rsidRDefault="00000000" w:rsidP="00CA24F9">
      <w:pPr>
        <w:ind w:left="-2" w:firstLineChars="186" w:firstLine="446"/>
      </w:pPr>
      <w:r>
        <w:t>Clifford Geertz said that “cultural forms find articulation” in behaviour</w:t>
      </w:r>
      <w:r>
        <w:rPr>
          <w:vertAlign w:val="superscript"/>
        </w:rPr>
        <w:footnoteReference w:id="15"/>
      </w:r>
      <w:r>
        <w:t>, which Bennett illustrates in her connection of respondent beliefs in astrology versus clairvoyance to their socio-cultural roles. Whether these connections are completely correct is in question, however, because the respondents don’t seem to have been asked outright. Instead, Bennett speaks to the “impression” she got with regard to the older female respondents in particular</w:t>
      </w:r>
      <w:r>
        <w:rPr>
          <w:vertAlign w:val="superscript"/>
        </w:rPr>
        <w:footnoteReference w:id="16"/>
      </w:r>
      <w:r>
        <w:t>. Given her position as an outsider, one could argue Bennett may not fully understand the reasoning behind her respondents’ beliefs.</w:t>
      </w:r>
    </w:p>
    <w:p w14:paraId="11154AEE" w14:textId="6E3A8455" w:rsidR="00175C8F" w:rsidRDefault="00000000" w:rsidP="00CA24F9">
      <w:pPr>
        <w:ind w:left="-2" w:firstLineChars="186" w:firstLine="446"/>
      </w:pPr>
      <w:r>
        <w:t>In a way, both pieces demonstrate a similar philosophy from different approaches: true understanding of the nature of the topic under examination isn’t really possible without belonging, at least in part, to the group being studied. This seems to reflect a tenet of human nature: that holding oneself apart, and considering complete rationality as superior, means true empathy and understanding of a topic cannot be achieved. When the topic is people and the relationships between people, their experiences, and each other, this is even more the case.</w:t>
      </w:r>
    </w:p>
    <w:p w14:paraId="78E83CD3" w14:textId="39886F7B" w:rsidR="00175C8F" w:rsidRDefault="00000000" w:rsidP="00CA24F9">
      <w:pPr>
        <w:ind w:left="-2" w:firstLineChars="186" w:firstLine="446"/>
      </w:pPr>
      <w:r>
        <w:t>Both authors also include narrative or literary devices in the title and in the text that stray away from a strictly academic style. While this may be due in part to the nature of the topic being studied</w:t>
      </w:r>
      <w:r w:rsidR="00CA24F9">
        <w:t xml:space="preserve">, </w:t>
      </w:r>
      <w:r>
        <w:t>the wandering nature of the compositions makes it more difficult to parse the key elements of context, methodology, literature review, and findings.</w:t>
      </w:r>
    </w:p>
    <w:p w14:paraId="0072613B" w14:textId="77777777" w:rsidR="00175C8F" w:rsidRDefault="00175C8F" w:rsidP="00CA24F9">
      <w:pPr>
        <w:ind w:left="-2" w:firstLineChars="186" w:firstLine="446"/>
      </w:pPr>
    </w:p>
    <w:p w14:paraId="3F08C5F6" w14:textId="77777777" w:rsidR="00175C8F" w:rsidRDefault="00175C8F" w:rsidP="00CA24F9">
      <w:pPr>
        <w:ind w:left="-2" w:firstLineChars="186" w:firstLine="446"/>
      </w:pPr>
    </w:p>
    <w:p w14:paraId="4E9F4AAE" w14:textId="77777777" w:rsidR="00175C8F" w:rsidRDefault="00000000" w:rsidP="00CA24F9">
      <w:pPr>
        <w:ind w:leftChars="0" w:left="0" w:firstLineChars="0" w:firstLine="0"/>
      </w:pPr>
      <w:r>
        <w:rPr>
          <w:b/>
        </w:rPr>
        <w:t>Conclusion</w:t>
      </w:r>
    </w:p>
    <w:p w14:paraId="5000D21F" w14:textId="77777777" w:rsidR="00175C8F" w:rsidRDefault="00000000" w:rsidP="00CA24F9">
      <w:pPr>
        <w:ind w:left="-2" w:firstLineChars="0" w:firstLine="0"/>
      </w:pPr>
      <w:r>
        <w:t>Overall, Bennett’s was the stronger article despite gaps in the literature review and serious concerns with the methodology. The effort to position the research in historical context, as well as the provision of data tables and a more structured and linear format, made it more effective at communicating the overall research and findings. In contrast, Blain’s was the stronger paper in terms of the depth of the research undertaken. Her accounts were richer and more complete with regard to the subject of study.</w:t>
      </w:r>
    </w:p>
    <w:p w14:paraId="4A89D218" w14:textId="29E5C16F" w:rsidR="00175C8F" w:rsidRDefault="00000000" w:rsidP="00CA24F9">
      <w:pPr>
        <w:ind w:left="-2" w:firstLineChars="186" w:firstLine="446"/>
      </w:pPr>
      <w:r>
        <w:t xml:space="preserve">Any conclusions drawn from comparing and contrasting these two works must also keep in mind the intended audience and purpose. Blain speaks freely about her choices and beliefs, and the impacts she perceives those to have had on both herself and her academic career. In that sense, this may be less a research paper and more an exposé or call to action for other scholars of belief. Blain’s work may have a greater impact on researchers who have also felt embarrassed, dismissed, or overlooked by colleagues with a stance more fixed in the so-called rational or with greater insistence on objectivity. </w:t>
      </w:r>
    </w:p>
    <w:p w14:paraId="244DAC9A" w14:textId="11926DBC" w:rsidR="00175C8F" w:rsidRDefault="00000000" w:rsidP="00CA24F9">
      <w:pPr>
        <w:ind w:left="-2" w:firstLineChars="186" w:firstLine="446"/>
      </w:pPr>
      <w:r>
        <w:lastRenderedPageBreak/>
        <w:t>On the other hand, Bennett appears to be writing for mainstream academia. For communication to be effective it needs to speak the language, whether literal or figurative, of those receiving the message. Of the two papers, Bennett achieves this where Blain does not.</w:t>
      </w:r>
    </w:p>
    <w:p w14:paraId="52E3472B" w14:textId="77777777" w:rsidR="00175C8F" w:rsidRDefault="00000000" w:rsidP="00CA24F9">
      <w:pPr>
        <w:ind w:left="-2" w:firstLineChars="186" w:firstLine="446"/>
      </w:pPr>
      <w:r>
        <w:t xml:space="preserve">While both papers have serious, if differing, gaps in a key area, they also have their own strengths in specific contexts. </w:t>
      </w:r>
    </w:p>
    <w:p w14:paraId="742E1170" w14:textId="77777777" w:rsidR="00175C8F" w:rsidRDefault="00175C8F" w:rsidP="00CA24F9">
      <w:pPr>
        <w:ind w:left="-2" w:firstLineChars="186" w:firstLine="446"/>
      </w:pPr>
    </w:p>
    <w:p w14:paraId="0AA30AD6" w14:textId="77777777" w:rsidR="00AC43EE" w:rsidRDefault="00AC43EE" w:rsidP="00AC43EE">
      <w:pPr>
        <w:ind w:leftChars="0" w:left="0" w:firstLineChars="0" w:firstLine="0"/>
      </w:pPr>
      <w:bookmarkStart w:id="2" w:name="_heading=h.dykt51v1dtnw" w:colFirst="0" w:colLast="0"/>
      <w:bookmarkStart w:id="3" w:name="_heading=h.77wsblogi3y0" w:colFirst="0" w:colLast="0"/>
      <w:bookmarkEnd w:id="2"/>
      <w:bookmarkEnd w:id="3"/>
    </w:p>
    <w:p w14:paraId="483596EC" w14:textId="4707A072" w:rsidR="00175C8F" w:rsidRPr="00AC43EE" w:rsidRDefault="00000000" w:rsidP="00AC43EE">
      <w:pPr>
        <w:pStyle w:val="Heading2"/>
        <w:ind w:left="1" w:hanging="3"/>
        <w:rPr>
          <w:i w:val="0"/>
          <w:iCs w:val="0"/>
        </w:rPr>
      </w:pPr>
      <w:r w:rsidRPr="00AC43EE">
        <w:rPr>
          <w:i w:val="0"/>
          <w:iCs w:val="0"/>
        </w:rPr>
        <w:t>Bibliography</w:t>
      </w:r>
    </w:p>
    <w:p w14:paraId="4AEBBE31" w14:textId="77777777" w:rsidR="00175C8F" w:rsidRDefault="00000000">
      <w:pPr>
        <w:ind w:left="0" w:hanging="2"/>
      </w:pPr>
      <w:r>
        <w:t xml:space="preserve">Bennett, Gillian, ‘“If I Knew You were Coming I’d Have Baked a Cake”: The Folklore of Foreknowledge in a Neighborhood Group’, in </w:t>
      </w:r>
      <w:r>
        <w:rPr>
          <w:i/>
        </w:rPr>
        <w:t>Out of the Ordinary: Folklore and the Supernatural</w:t>
      </w:r>
      <w:r>
        <w:t>, ed. by Barbara Walker, (Logan, Utah: Utah University Press 1995), pp. 122-142, &lt;https://digitalcommons.usu.edu/cgi/viewcontent.cgi?article=1079&amp;context=usupress_pubs&gt; [accessed 13 February 2023]</w:t>
      </w:r>
    </w:p>
    <w:p w14:paraId="50EC2B33" w14:textId="77777777" w:rsidR="00175C8F" w:rsidRDefault="00175C8F">
      <w:pPr>
        <w:ind w:left="0" w:hanging="2"/>
      </w:pPr>
    </w:p>
    <w:p w14:paraId="0F4235B9" w14:textId="77777777" w:rsidR="00175C8F" w:rsidRDefault="00000000">
      <w:pPr>
        <w:ind w:left="0" w:hanging="2"/>
        <w:rPr>
          <w:i/>
        </w:rPr>
      </w:pPr>
      <w:r>
        <w:t xml:space="preserve">Blain, Jenny, ‘Speaking Shamanistically: Seidr, Academia and Rationality’, in </w:t>
      </w:r>
      <w:r>
        <w:rPr>
          <w:i/>
        </w:rPr>
        <w:t>DISKUS Volume</w:t>
      </w:r>
    </w:p>
    <w:p w14:paraId="7A13A6C9" w14:textId="77777777" w:rsidR="00175C8F" w:rsidRDefault="00000000">
      <w:pPr>
        <w:ind w:left="0" w:hanging="2"/>
      </w:pPr>
      <w:r>
        <w:rPr>
          <w:i/>
        </w:rPr>
        <w:t>6</w:t>
      </w:r>
      <w:r>
        <w:t xml:space="preserve"> (2000) &lt;http://jbasr.com/basr/diskus/diskus1-6/blain.txt&gt; [accessed 19 February 2023]</w:t>
      </w:r>
    </w:p>
    <w:p w14:paraId="5EF27024" w14:textId="77777777" w:rsidR="00175C8F" w:rsidRDefault="00175C8F">
      <w:pPr>
        <w:ind w:left="0" w:hanging="2"/>
      </w:pPr>
    </w:p>
    <w:p w14:paraId="15C5107D" w14:textId="77777777" w:rsidR="00175C8F" w:rsidRDefault="00000000">
      <w:pPr>
        <w:ind w:left="0" w:hanging="2"/>
      </w:pPr>
      <w:r>
        <w:t xml:space="preserve">Bryman, Alan, </w:t>
      </w:r>
      <w:r>
        <w:rPr>
          <w:i/>
        </w:rPr>
        <w:t>Quantity and Quality in Social Research</w:t>
      </w:r>
      <w:r>
        <w:t>, (Abingdon: Routledge 1988)</w:t>
      </w:r>
    </w:p>
    <w:p w14:paraId="4416451B" w14:textId="77777777" w:rsidR="00175C8F" w:rsidRDefault="00175C8F">
      <w:pPr>
        <w:ind w:left="0" w:hanging="2"/>
      </w:pPr>
    </w:p>
    <w:p w14:paraId="2565F168" w14:textId="77777777" w:rsidR="00175C8F" w:rsidRDefault="00000000">
      <w:pPr>
        <w:ind w:left="0" w:hanging="2"/>
      </w:pPr>
      <w:r>
        <w:t xml:space="preserve">Ellsworth, Diana, and others / McKinsey, </w:t>
      </w:r>
      <w:r>
        <w:rPr>
          <w:i/>
        </w:rPr>
        <w:t>Racial and ethnic equity in US higher education</w:t>
      </w:r>
      <w:r>
        <w:t xml:space="preserve"> (2022) &lt;https://www.mckinsey.com/industries/education/our-insights/racial-and-ethnic-equity-in-us-higher-education&gt; [accessed 11 March 2023]</w:t>
      </w:r>
    </w:p>
    <w:p w14:paraId="52EAD907" w14:textId="77777777" w:rsidR="00175C8F" w:rsidRDefault="00175C8F">
      <w:pPr>
        <w:ind w:left="0" w:hanging="2"/>
      </w:pPr>
    </w:p>
    <w:p w14:paraId="1694CEDE" w14:textId="77777777" w:rsidR="00175C8F" w:rsidRDefault="00000000">
      <w:pPr>
        <w:ind w:left="0" w:hanging="2"/>
      </w:pPr>
      <w:r>
        <w:t xml:space="preserve">Geertz, Clifford, </w:t>
      </w:r>
      <w:r>
        <w:rPr>
          <w:i/>
        </w:rPr>
        <w:t>The Interpretation of Cultures</w:t>
      </w:r>
      <w:r>
        <w:t>, 3rd edn. (New York: Basic Books 2000)</w:t>
      </w:r>
    </w:p>
    <w:p w14:paraId="65D0CEA6" w14:textId="77777777" w:rsidR="00175C8F" w:rsidRDefault="00175C8F">
      <w:pPr>
        <w:ind w:left="0" w:hanging="2"/>
      </w:pPr>
    </w:p>
    <w:p w14:paraId="16949265" w14:textId="77777777" w:rsidR="00175C8F" w:rsidRDefault="00000000">
      <w:pPr>
        <w:ind w:left="0" w:hanging="2"/>
      </w:pPr>
      <w:r>
        <w:t xml:space="preserve">Hennink, Monique, Inge Hutter and Ajay Bailey, </w:t>
      </w:r>
      <w:r>
        <w:rPr>
          <w:i/>
        </w:rPr>
        <w:t>Qualitative Research Methods</w:t>
      </w:r>
      <w:r>
        <w:t>, 2nd edn. (London: Sage Publications Ltd., 2020)</w:t>
      </w:r>
    </w:p>
    <w:p w14:paraId="5CC0E93B" w14:textId="77777777" w:rsidR="00175C8F" w:rsidRDefault="00175C8F">
      <w:pPr>
        <w:ind w:left="0" w:hanging="2"/>
      </w:pPr>
    </w:p>
    <w:p w14:paraId="6FC073A4" w14:textId="77777777" w:rsidR="00175C8F" w:rsidRDefault="00000000">
      <w:pPr>
        <w:ind w:left="0" w:hanging="2"/>
      </w:pPr>
      <w:r>
        <w:t xml:space="preserve">David J. Hufford, ‘The Scholarly Voice and the Personal Voice: Reflexivity in Belief Studies’ in </w:t>
      </w:r>
      <w:r>
        <w:rPr>
          <w:i/>
        </w:rPr>
        <w:t xml:space="preserve">Western Folklore, </w:t>
      </w:r>
      <w:r>
        <w:t>Vol. 54, No. 1, Reflexivity and the Study of Belief (1995) pp. 57-76 &lt;https://www.jstor.org/stable/1499911&gt; [accessed 3 March 2023]</w:t>
      </w:r>
    </w:p>
    <w:p w14:paraId="45215A68" w14:textId="77777777" w:rsidR="00175C8F" w:rsidRDefault="00175C8F">
      <w:pPr>
        <w:ind w:left="0" w:hanging="2"/>
      </w:pPr>
    </w:p>
    <w:p w14:paraId="2B961D20" w14:textId="77777777" w:rsidR="00175C8F" w:rsidRDefault="00000000">
      <w:pPr>
        <w:ind w:left="0" w:hanging="2"/>
      </w:pPr>
      <w:r>
        <w:t xml:space="preserve">Prydein Press, </w:t>
      </w:r>
      <w:r>
        <w:rPr>
          <w:i/>
        </w:rPr>
        <w:t>Dr. Jenny Blain</w:t>
      </w:r>
      <w:r>
        <w:t xml:space="preserve"> (2018) &lt;http://prydeinpress.com/dr-jenny-blain/&gt; [accessed 11 Mar 2023]</w:t>
      </w:r>
    </w:p>
    <w:p w14:paraId="38E82A32" w14:textId="77777777" w:rsidR="00175C8F" w:rsidRDefault="00175C8F">
      <w:pPr>
        <w:ind w:left="0" w:hanging="2"/>
      </w:pPr>
    </w:p>
    <w:p w14:paraId="3DA78446" w14:textId="77777777" w:rsidR="00175C8F" w:rsidRDefault="00000000">
      <w:pPr>
        <w:ind w:left="0" w:hanging="2"/>
      </w:pPr>
      <w:r>
        <w:t xml:space="preserve">University Press of Colorado, </w:t>
      </w:r>
      <w:r>
        <w:rPr>
          <w:i/>
        </w:rPr>
        <w:t>Gillian Bennett</w:t>
      </w:r>
      <w:r>
        <w:t xml:space="preserve"> (2015) &lt;https://upcolorado.com/our-books/our-authors/item/2403-gillian-bennett&gt; [accessed 11 Mar 2023]</w:t>
      </w:r>
    </w:p>
    <w:sectPr w:rsidR="00175C8F">
      <w:headerReference w:type="default" r:id="rId8"/>
      <w:footerReference w:type="default" r:id="rId9"/>
      <w:pgSz w:w="12240" w:h="15840"/>
      <w:pgMar w:top="1440" w:right="1440" w:bottom="1440" w:left="1440"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E7EF13" w14:textId="77777777" w:rsidR="00CE6C9B" w:rsidRDefault="00CE6C9B">
      <w:pPr>
        <w:spacing w:line="240" w:lineRule="auto"/>
        <w:ind w:left="0" w:hanging="2"/>
      </w:pPr>
      <w:r>
        <w:separator/>
      </w:r>
    </w:p>
  </w:endnote>
  <w:endnote w:type="continuationSeparator" w:id="0">
    <w:p w14:paraId="00ED9AAA" w14:textId="77777777" w:rsidR="00CE6C9B" w:rsidRDefault="00CE6C9B">
      <w:pPr>
        <w:spacing w:line="240" w:lineRule="auto"/>
        <w:ind w:left="0" w:hanging="2"/>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385C29" w14:textId="77777777" w:rsidR="00175C8F" w:rsidRDefault="00000000">
    <w:pPr>
      <w:pBdr>
        <w:top w:val="nil"/>
        <w:left w:val="nil"/>
        <w:bottom w:val="nil"/>
        <w:right w:val="nil"/>
        <w:between w:val="nil"/>
      </w:pBdr>
      <w:tabs>
        <w:tab w:val="center" w:pos="4513"/>
        <w:tab w:val="right" w:pos="9026"/>
      </w:tabs>
      <w:spacing w:line="240" w:lineRule="auto"/>
      <w:ind w:left="0" w:hanging="2"/>
      <w:rPr>
        <w:rFonts w:ascii="Trebuchet MS" w:eastAsia="Trebuchet MS" w:hAnsi="Trebuchet MS" w:cs="Trebuchet MS"/>
        <w:color w:val="000000"/>
        <w:sz w:val="18"/>
        <w:szCs w:val="18"/>
      </w:rPr>
    </w:pPr>
    <w:r>
      <w:rPr>
        <w:rFonts w:ascii="Trebuchet MS" w:eastAsia="Trebuchet MS" w:hAnsi="Trebuchet MS" w:cs="Trebuchet MS"/>
        <w:color w:val="000000"/>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01D27B" w14:textId="77777777" w:rsidR="00CE6C9B" w:rsidRDefault="00CE6C9B">
      <w:pPr>
        <w:spacing w:line="240" w:lineRule="auto"/>
        <w:ind w:left="0" w:hanging="2"/>
      </w:pPr>
      <w:r>
        <w:separator/>
      </w:r>
    </w:p>
  </w:footnote>
  <w:footnote w:type="continuationSeparator" w:id="0">
    <w:p w14:paraId="3A418063" w14:textId="77777777" w:rsidR="00CE6C9B" w:rsidRDefault="00CE6C9B">
      <w:pPr>
        <w:spacing w:line="240" w:lineRule="auto"/>
        <w:ind w:left="0" w:hanging="2"/>
      </w:pPr>
      <w:r>
        <w:continuationSeparator/>
      </w:r>
    </w:p>
  </w:footnote>
  <w:footnote w:id="1">
    <w:p w14:paraId="1CBCEA0A" w14:textId="77777777" w:rsidR="00175C8F" w:rsidRDefault="00000000">
      <w:pPr>
        <w:ind w:left="0" w:hanging="2"/>
        <w:rPr>
          <w:sz w:val="20"/>
          <w:szCs w:val="20"/>
        </w:rPr>
      </w:pPr>
      <w:r>
        <w:rPr>
          <w:vertAlign w:val="superscript"/>
        </w:rPr>
        <w:footnoteRef/>
      </w:r>
      <w:r>
        <w:rPr>
          <w:sz w:val="20"/>
          <w:szCs w:val="20"/>
        </w:rPr>
        <w:t xml:space="preserve"> Gillian Bennett, ‘“If I Knew You were Coming I’d Have Baked a Cake”: The Folklore of Foreknowledge in a Neighborhood Group’, in </w:t>
      </w:r>
      <w:r>
        <w:rPr>
          <w:i/>
          <w:sz w:val="20"/>
          <w:szCs w:val="20"/>
        </w:rPr>
        <w:t>Out of the Ordinary: Folklore and the Supernatural</w:t>
      </w:r>
      <w:r>
        <w:rPr>
          <w:sz w:val="20"/>
          <w:szCs w:val="20"/>
        </w:rPr>
        <w:t>, ed. by Barbara Walker, (Logan, Utah: Utah University Press 1995), pp. 122-142 &lt;https://digitalcommons.usu.edu/cgi/viewcontent.cgi?article=1079&amp;context=usupress_pubs&gt; [accessed 13 February 2023].</w:t>
      </w:r>
    </w:p>
  </w:footnote>
  <w:footnote w:id="2">
    <w:p w14:paraId="166B3E2E" w14:textId="77777777" w:rsidR="00175C8F" w:rsidRDefault="00000000">
      <w:pPr>
        <w:ind w:left="0" w:hanging="2"/>
        <w:rPr>
          <w:sz w:val="20"/>
          <w:szCs w:val="20"/>
        </w:rPr>
      </w:pPr>
      <w:r>
        <w:rPr>
          <w:vertAlign w:val="superscript"/>
        </w:rPr>
        <w:footnoteRef/>
      </w:r>
      <w:r>
        <w:rPr>
          <w:sz w:val="20"/>
          <w:szCs w:val="20"/>
        </w:rPr>
        <w:t xml:space="preserve"> Jenny Blain, ‘Speaking Shamanistically: Seidr, Academia and Rationality’, in DISKUS Volume</w:t>
      </w:r>
    </w:p>
    <w:p w14:paraId="2B3D1532" w14:textId="77777777" w:rsidR="00175C8F" w:rsidRDefault="00000000">
      <w:pPr>
        <w:ind w:left="0" w:hanging="2"/>
        <w:rPr>
          <w:sz w:val="20"/>
          <w:szCs w:val="20"/>
        </w:rPr>
      </w:pPr>
      <w:r>
        <w:rPr>
          <w:sz w:val="20"/>
          <w:szCs w:val="20"/>
        </w:rPr>
        <w:t>6 (2000) &lt;http://jbasr.com/basr/diskus/diskus1-6/blain.txt&gt; [accessed 19 February 2023]</w:t>
      </w:r>
    </w:p>
  </w:footnote>
  <w:footnote w:id="3">
    <w:p w14:paraId="6162F8A0" w14:textId="77777777" w:rsidR="00175C8F" w:rsidRDefault="00000000">
      <w:pPr>
        <w:ind w:left="0" w:hanging="2"/>
        <w:rPr>
          <w:sz w:val="20"/>
          <w:szCs w:val="20"/>
        </w:rPr>
      </w:pPr>
      <w:r>
        <w:rPr>
          <w:vertAlign w:val="superscript"/>
        </w:rPr>
        <w:footnoteRef/>
      </w:r>
      <w:r>
        <w:rPr>
          <w:sz w:val="20"/>
          <w:szCs w:val="20"/>
        </w:rPr>
        <w:t xml:space="preserve"> University Press of Colorado, </w:t>
      </w:r>
      <w:r>
        <w:rPr>
          <w:i/>
          <w:sz w:val="20"/>
          <w:szCs w:val="20"/>
        </w:rPr>
        <w:t>Gillian Bennett</w:t>
      </w:r>
      <w:r>
        <w:rPr>
          <w:sz w:val="20"/>
          <w:szCs w:val="20"/>
        </w:rPr>
        <w:t xml:space="preserve"> (2015) &lt;https://upcolorado.com/our-books/our-authors/item/2403-gillian-bennett&gt; [accessed 11 Mar 2023].</w:t>
      </w:r>
    </w:p>
  </w:footnote>
  <w:footnote w:id="4">
    <w:p w14:paraId="2CE90DAF" w14:textId="77777777" w:rsidR="00175C8F" w:rsidRDefault="00000000">
      <w:pPr>
        <w:ind w:left="0" w:hanging="2"/>
        <w:rPr>
          <w:sz w:val="20"/>
          <w:szCs w:val="20"/>
        </w:rPr>
      </w:pPr>
      <w:r>
        <w:rPr>
          <w:vertAlign w:val="superscript"/>
        </w:rPr>
        <w:footnoteRef/>
      </w:r>
      <w:r>
        <w:rPr>
          <w:sz w:val="20"/>
          <w:szCs w:val="20"/>
        </w:rPr>
        <w:t xml:space="preserve"> Prydein Press, </w:t>
      </w:r>
      <w:r>
        <w:rPr>
          <w:i/>
          <w:sz w:val="20"/>
          <w:szCs w:val="20"/>
        </w:rPr>
        <w:t>Dr. Jenny Blain</w:t>
      </w:r>
      <w:r>
        <w:rPr>
          <w:sz w:val="20"/>
          <w:szCs w:val="20"/>
        </w:rPr>
        <w:t xml:space="preserve"> (2018) &lt;http://prydeinpress.com/dr-jenny-blain/&gt; [accessed 11 Mar 2023].</w:t>
      </w:r>
    </w:p>
  </w:footnote>
  <w:footnote w:id="5">
    <w:p w14:paraId="03BEBA36" w14:textId="77777777" w:rsidR="00175C8F" w:rsidRDefault="00000000">
      <w:pPr>
        <w:ind w:left="0" w:hanging="2"/>
        <w:rPr>
          <w:sz w:val="20"/>
          <w:szCs w:val="20"/>
        </w:rPr>
      </w:pPr>
      <w:r>
        <w:rPr>
          <w:vertAlign w:val="superscript"/>
        </w:rPr>
        <w:footnoteRef/>
      </w:r>
      <w:r>
        <w:rPr>
          <w:sz w:val="20"/>
          <w:szCs w:val="20"/>
        </w:rPr>
        <w:t xml:space="preserve"> David J. Hufford, ‘The Scholarly Voice and the Personal Voice: Reflexivity in Belief Studies (1995), p. 60.</w:t>
      </w:r>
    </w:p>
  </w:footnote>
  <w:footnote w:id="6">
    <w:p w14:paraId="46FA4F9B" w14:textId="77777777" w:rsidR="00175C8F" w:rsidRDefault="00000000">
      <w:pPr>
        <w:ind w:left="0" w:hanging="2"/>
        <w:rPr>
          <w:sz w:val="20"/>
          <w:szCs w:val="20"/>
        </w:rPr>
      </w:pPr>
      <w:r>
        <w:rPr>
          <w:vertAlign w:val="superscript"/>
        </w:rPr>
        <w:footnoteRef/>
      </w:r>
      <w:r>
        <w:rPr>
          <w:sz w:val="20"/>
          <w:szCs w:val="20"/>
        </w:rPr>
        <w:t xml:space="preserve"> Blain, ‘Speaking Shamanistically: Seidr, Academia and Rationality’.</w:t>
      </w:r>
    </w:p>
  </w:footnote>
  <w:footnote w:id="7">
    <w:p w14:paraId="0BCCCAAC" w14:textId="77777777" w:rsidR="00175C8F" w:rsidRDefault="00000000">
      <w:pPr>
        <w:ind w:left="0" w:hanging="2"/>
        <w:rPr>
          <w:sz w:val="20"/>
          <w:szCs w:val="20"/>
        </w:rPr>
      </w:pPr>
      <w:r>
        <w:rPr>
          <w:vertAlign w:val="superscript"/>
        </w:rPr>
        <w:footnoteRef/>
      </w:r>
      <w:r>
        <w:rPr>
          <w:sz w:val="20"/>
          <w:szCs w:val="20"/>
        </w:rPr>
        <w:t xml:space="preserve"> Bennett, ‘“If I Knew You were Coming I’d Have Baked a Cake”: The Folklore of Foreknowledge in a Neighborhood Group’ (1995), p. 127.</w:t>
      </w:r>
    </w:p>
  </w:footnote>
  <w:footnote w:id="8">
    <w:p w14:paraId="4A87E866" w14:textId="77777777" w:rsidR="00175C8F" w:rsidRDefault="00000000">
      <w:pPr>
        <w:ind w:left="0" w:hanging="2"/>
        <w:rPr>
          <w:sz w:val="20"/>
          <w:szCs w:val="20"/>
        </w:rPr>
      </w:pPr>
      <w:r>
        <w:rPr>
          <w:vertAlign w:val="superscript"/>
        </w:rPr>
        <w:footnoteRef/>
      </w:r>
      <w:r>
        <w:rPr>
          <w:sz w:val="20"/>
          <w:szCs w:val="20"/>
        </w:rPr>
        <w:t xml:space="preserve"> Clifford Geertz, </w:t>
      </w:r>
      <w:r>
        <w:rPr>
          <w:i/>
          <w:sz w:val="20"/>
          <w:szCs w:val="20"/>
        </w:rPr>
        <w:t>The Interpretation of Cultures</w:t>
      </w:r>
      <w:r>
        <w:rPr>
          <w:sz w:val="20"/>
          <w:szCs w:val="20"/>
        </w:rPr>
        <w:t>, 3rd edn. (New York: Basic Books 2000), p. 6.</w:t>
      </w:r>
    </w:p>
  </w:footnote>
  <w:footnote w:id="9">
    <w:p w14:paraId="5AEB6892" w14:textId="77777777" w:rsidR="00175C8F" w:rsidRDefault="00000000">
      <w:pPr>
        <w:ind w:left="0" w:hanging="2"/>
        <w:rPr>
          <w:sz w:val="20"/>
          <w:szCs w:val="20"/>
        </w:rPr>
      </w:pPr>
      <w:r>
        <w:rPr>
          <w:vertAlign w:val="superscript"/>
        </w:rPr>
        <w:footnoteRef/>
      </w:r>
      <w:r>
        <w:rPr>
          <w:sz w:val="20"/>
          <w:szCs w:val="20"/>
        </w:rPr>
        <w:t xml:space="preserve"> Monique Hennink, Inge Hutter and Ajay Bailey, </w:t>
      </w:r>
      <w:r>
        <w:rPr>
          <w:i/>
          <w:sz w:val="20"/>
          <w:szCs w:val="20"/>
        </w:rPr>
        <w:t>Qualitative Research Methods</w:t>
      </w:r>
      <w:r>
        <w:rPr>
          <w:sz w:val="20"/>
          <w:szCs w:val="20"/>
        </w:rPr>
        <w:t>, 2nd edn. (London: Sage Publications Ltd., 2020), p. 75.</w:t>
      </w:r>
    </w:p>
  </w:footnote>
  <w:footnote w:id="10">
    <w:p w14:paraId="141788E0" w14:textId="77777777" w:rsidR="00175C8F" w:rsidRDefault="00000000">
      <w:pPr>
        <w:ind w:left="0" w:hanging="2"/>
        <w:rPr>
          <w:sz w:val="20"/>
          <w:szCs w:val="20"/>
        </w:rPr>
      </w:pPr>
      <w:r>
        <w:rPr>
          <w:vertAlign w:val="superscript"/>
        </w:rPr>
        <w:footnoteRef/>
      </w:r>
      <w:r>
        <w:rPr>
          <w:sz w:val="20"/>
          <w:szCs w:val="20"/>
        </w:rPr>
        <w:t xml:space="preserve"> Alan Bryman, </w:t>
      </w:r>
      <w:r>
        <w:rPr>
          <w:i/>
          <w:sz w:val="20"/>
          <w:szCs w:val="20"/>
        </w:rPr>
        <w:t>Quantity and Quality in Social Research</w:t>
      </w:r>
      <w:r>
        <w:rPr>
          <w:sz w:val="20"/>
          <w:szCs w:val="20"/>
        </w:rPr>
        <w:t>, (Abingdon: Routledge 1988), p. 63.</w:t>
      </w:r>
    </w:p>
  </w:footnote>
  <w:footnote w:id="11">
    <w:p w14:paraId="65EAB910" w14:textId="77777777" w:rsidR="00175C8F" w:rsidRDefault="00000000">
      <w:pPr>
        <w:ind w:left="0" w:hanging="2"/>
        <w:rPr>
          <w:sz w:val="20"/>
          <w:szCs w:val="20"/>
        </w:rPr>
      </w:pPr>
      <w:r>
        <w:rPr>
          <w:vertAlign w:val="superscript"/>
        </w:rPr>
        <w:footnoteRef/>
      </w:r>
      <w:r>
        <w:rPr>
          <w:sz w:val="20"/>
          <w:szCs w:val="20"/>
        </w:rPr>
        <w:t xml:space="preserve"> Bryman, </w:t>
      </w:r>
      <w:r>
        <w:rPr>
          <w:i/>
          <w:sz w:val="20"/>
          <w:szCs w:val="20"/>
        </w:rPr>
        <w:t>Quantity and Quality in Social Research</w:t>
      </w:r>
      <w:r>
        <w:rPr>
          <w:sz w:val="20"/>
          <w:szCs w:val="20"/>
        </w:rPr>
        <w:t>, p. 134.</w:t>
      </w:r>
    </w:p>
  </w:footnote>
  <w:footnote w:id="12">
    <w:p w14:paraId="78CA83C9" w14:textId="77777777" w:rsidR="00175C8F" w:rsidRDefault="00000000">
      <w:pPr>
        <w:ind w:left="0" w:hanging="2"/>
        <w:rPr>
          <w:sz w:val="20"/>
          <w:szCs w:val="20"/>
        </w:rPr>
      </w:pPr>
      <w:r>
        <w:rPr>
          <w:vertAlign w:val="superscript"/>
        </w:rPr>
        <w:footnoteRef/>
      </w:r>
      <w:r>
        <w:rPr>
          <w:sz w:val="20"/>
          <w:szCs w:val="20"/>
        </w:rPr>
        <w:t xml:space="preserve"> Bennett, ‘“If I Knew You were Coming I’d Have Baked a Cake”: The Folklore of Foreknowledge in a Neighborhood Group’, p. 133.</w:t>
      </w:r>
    </w:p>
  </w:footnote>
  <w:footnote w:id="13">
    <w:p w14:paraId="0C2EA238" w14:textId="77777777" w:rsidR="00175C8F" w:rsidRDefault="00000000">
      <w:pPr>
        <w:ind w:left="0" w:hanging="2"/>
        <w:rPr>
          <w:sz w:val="20"/>
          <w:szCs w:val="20"/>
        </w:rPr>
      </w:pPr>
      <w:r>
        <w:rPr>
          <w:vertAlign w:val="superscript"/>
        </w:rPr>
        <w:footnoteRef/>
      </w:r>
      <w:r>
        <w:rPr>
          <w:sz w:val="20"/>
          <w:szCs w:val="20"/>
        </w:rPr>
        <w:t xml:space="preserve"> Blain, ‘Speaking Shamanistically: Seidr, Academia and Rationality’.</w:t>
      </w:r>
    </w:p>
  </w:footnote>
  <w:footnote w:id="14">
    <w:p w14:paraId="7411FCE8" w14:textId="77777777" w:rsidR="00175C8F" w:rsidRDefault="00000000">
      <w:pPr>
        <w:ind w:left="0" w:hanging="2"/>
        <w:rPr>
          <w:sz w:val="20"/>
          <w:szCs w:val="20"/>
        </w:rPr>
      </w:pPr>
      <w:r>
        <w:rPr>
          <w:vertAlign w:val="superscript"/>
        </w:rPr>
        <w:footnoteRef/>
      </w:r>
      <w:r>
        <w:rPr>
          <w:sz w:val="20"/>
          <w:szCs w:val="20"/>
        </w:rPr>
        <w:t xml:space="preserve"> Diana Ellsworth, Erin Harding, Jonathan Law, and Duwain Pinder / McKinsey, </w:t>
      </w:r>
      <w:r>
        <w:rPr>
          <w:i/>
          <w:sz w:val="20"/>
          <w:szCs w:val="20"/>
        </w:rPr>
        <w:t>Racial and ethnic equity in US higher education</w:t>
      </w:r>
      <w:r>
        <w:rPr>
          <w:sz w:val="20"/>
          <w:szCs w:val="20"/>
        </w:rPr>
        <w:t xml:space="preserve"> (2022) &lt;https://www.mckinsey.com/industries/education/our-insights/racial-and-ethnic-equity-in-us-higher-education&gt; [accessed 11 March 2023].</w:t>
      </w:r>
    </w:p>
  </w:footnote>
  <w:footnote w:id="15">
    <w:p w14:paraId="712043D1" w14:textId="77777777" w:rsidR="00175C8F" w:rsidRDefault="00000000">
      <w:pPr>
        <w:ind w:left="0" w:hanging="2"/>
        <w:rPr>
          <w:sz w:val="20"/>
          <w:szCs w:val="20"/>
        </w:rPr>
      </w:pPr>
      <w:r>
        <w:rPr>
          <w:vertAlign w:val="superscript"/>
        </w:rPr>
        <w:footnoteRef/>
      </w:r>
      <w:r>
        <w:rPr>
          <w:sz w:val="20"/>
          <w:szCs w:val="20"/>
        </w:rPr>
        <w:t xml:space="preserve"> Geertz, </w:t>
      </w:r>
      <w:r>
        <w:rPr>
          <w:i/>
          <w:sz w:val="20"/>
          <w:szCs w:val="20"/>
        </w:rPr>
        <w:t>The Interpretation of Cultures</w:t>
      </w:r>
      <w:r>
        <w:rPr>
          <w:sz w:val="20"/>
          <w:szCs w:val="20"/>
        </w:rPr>
        <w:t>, p. 19.</w:t>
      </w:r>
    </w:p>
  </w:footnote>
  <w:footnote w:id="16">
    <w:p w14:paraId="7DD6ACB9" w14:textId="77777777" w:rsidR="00175C8F" w:rsidRDefault="00000000">
      <w:pPr>
        <w:ind w:left="0" w:hanging="2"/>
        <w:rPr>
          <w:sz w:val="20"/>
          <w:szCs w:val="20"/>
        </w:rPr>
      </w:pPr>
      <w:r>
        <w:rPr>
          <w:vertAlign w:val="superscript"/>
        </w:rPr>
        <w:footnoteRef/>
      </w:r>
      <w:r>
        <w:rPr>
          <w:sz w:val="20"/>
          <w:szCs w:val="20"/>
        </w:rPr>
        <w:t xml:space="preserve"> Bennett, ‘“If I Knew You were Coming I’d Have Baked a Cake”: The Folklore of Foreknowledge in a Neighborhood Group’, p. 134.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F5ABB4" w14:textId="77777777" w:rsidR="00175C8F" w:rsidRDefault="00000000">
    <w:pPr>
      <w:ind w:left="0" w:hanging="2"/>
      <w:jc w:val="right"/>
    </w:pPr>
    <w:r>
      <w:t xml:space="preserve">Whitney Hill 2209673 | </w:t>
    </w:r>
    <w:r>
      <w:fldChar w:fldCharType="begin"/>
    </w:r>
    <w:r>
      <w:instrText>PAGE</w:instrText>
    </w:r>
    <w:r>
      <w:fldChar w:fldCharType="separate"/>
    </w:r>
    <w:r w:rsidR="00CA24F9">
      <w:rPr>
        <w:noProof/>
      </w:rPr>
      <w:t>1</w:t>
    </w:r>
    <w: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5C8F"/>
    <w:rsid w:val="00175C8F"/>
    <w:rsid w:val="0040289A"/>
    <w:rsid w:val="00541671"/>
    <w:rsid w:val="00581A3C"/>
    <w:rsid w:val="00AC43EE"/>
    <w:rsid w:val="00B71E10"/>
    <w:rsid w:val="00CA24F9"/>
    <w:rsid w:val="00CE6C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BA4BC"/>
  <w15:docId w15:val="{97A3ACA4-C032-4CB8-8100-8FC7FB6BD2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US" w:bidi="ar-SA"/>
      </w:rPr>
    </w:rPrDefault>
    <w:pPrDefault>
      <w:pPr>
        <w:ind w:right="-334"/>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1" w:lineRule="atLeast"/>
      <w:ind w:leftChars="-1" w:left="-1" w:right="0" w:hangingChars="1" w:hanging="1"/>
      <w:textDirection w:val="btLr"/>
      <w:textAlignment w:val="top"/>
      <w:outlineLvl w:val="0"/>
    </w:pPr>
    <w:rPr>
      <w:position w:val="-1"/>
      <w:lang w:eastAsia="zh-CN"/>
    </w:rPr>
  </w:style>
  <w:style w:type="paragraph" w:styleId="Heading1">
    <w:name w:val="heading 1"/>
    <w:basedOn w:val="Normal"/>
    <w:next w:val="Normal"/>
    <w:uiPriority w:val="9"/>
    <w:qFormat/>
    <w:pPr>
      <w:keepNext/>
      <w:spacing w:before="240" w:after="60"/>
    </w:pPr>
    <w:rPr>
      <w:b/>
      <w:bCs/>
      <w:kern w:val="32"/>
      <w:sz w:val="32"/>
      <w:szCs w:val="32"/>
    </w:rPr>
  </w:style>
  <w:style w:type="paragraph" w:styleId="Heading2">
    <w:name w:val="heading 2"/>
    <w:basedOn w:val="Normal"/>
    <w:next w:val="Normal"/>
    <w:uiPriority w:val="9"/>
    <w:unhideWhenUsed/>
    <w:qFormat/>
    <w:pPr>
      <w:keepNext/>
      <w:spacing w:before="240" w:after="60"/>
      <w:outlineLvl w:val="1"/>
    </w:pPr>
    <w:rPr>
      <w:b/>
      <w:bCs/>
      <w:i/>
      <w:iCs/>
      <w:sz w:val="28"/>
      <w:szCs w:val="28"/>
    </w:rPr>
  </w:style>
  <w:style w:type="paragraph" w:styleId="Heading3">
    <w:name w:val="heading 3"/>
    <w:basedOn w:val="Normal"/>
    <w:uiPriority w:val="9"/>
    <w:unhideWhenUsed/>
    <w:qFormat/>
    <w:pPr>
      <w:keepNext/>
      <w:ind w:left="720"/>
      <w:jc w:val="both"/>
      <w:outlineLvl w:val="2"/>
    </w:pPr>
    <w:rPr>
      <w:rFonts w:ascii="Tahoma" w:hAnsi="Tahoma" w:cs="Tahoma"/>
      <w:b/>
      <w:bCs/>
      <w:sz w:val="20"/>
      <w:szCs w:val="20"/>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rmalWeb">
    <w:name w:val="Normal (Web)"/>
    <w:basedOn w:val="Normal"/>
    <w:pPr>
      <w:spacing w:before="100" w:beforeAutospacing="1" w:after="100" w:afterAutospacing="1"/>
    </w:pPr>
    <w:rPr>
      <w:rFonts w:ascii="Georgia" w:hAnsi="Georgia"/>
      <w:color w:val="000000"/>
      <w:sz w:val="21"/>
      <w:szCs w:val="21"/>
    </w:rPr>
  </w:style>
  <w:style w:type="character" w:styleId="CommentReference">
    <w:name w:val="annotation reference"/>
    <w:rPr>
      <w:w w:val="100"/>
      <w:position w:val="-1"/>
      <w:sz w:val="16"/>
      <w:szCs w:val="16"/>
      <w:effect w:val="none"/>
      <w:vertAlign w:val="baseline"/>
      <w:cs w:val="0"/>
      <w:em w:val="none"/>
    </w:rPr>
  </w:style>
  <w:style w:type="paragraph" w:styleId="CommentText">
    <w:name w:val="annotation text"/>
    <w:basedOn w:val="Normal"/>
    <w:rPr>
      <w:sz w:val="20"/>
      <w:szCs w:val="20"/>
      <w:lang/>
    </w:rPr>
  </w:style>
  <w:style w:type="character" w:customStyle="1" w:styleId="CommentTextChar">
    <w:name w:val="Comment Text Char"/>
    <w:rPr>
      <w:w w:val="100"/>
      <w:position w:val="-1"/>
      <w:effect w:val="none"/>
      <w:vertAlign w:val="baseline"/>
      <w:cs w:val="0"/>
      <w:em w:val="none"/>
      <w:lang w:eastAsia="zh-CN"/>
    </w:rPr>
  </w:style>
  <w:style w:type="paragraph" w:styleId="CommentSubject">
    <w:name w:val="annotation subject"/>
    <w:basedOn w:val="CommentText"/>
    <w:next w:val="CommentText"/>
    <w:rPr>
      <w:b/>
      <w:bCs/>
    </w:rPr>
  </w:style>
  <w:style w:type="character" w:customStyle="1" w:styleId="CommentSubjectChar">
    <w:name w:val="Comment Subject Char"/>
    <w:rPr>
      <w:b/>
      <w:bCs/>
      <w:w w:val="100"/>
      <w:position w:val="-1"/>
      <w:effect w:val="none"/>
      <w:vertAlign w:val="baseline"/>
      <w:cs w:val="0"/>
      <w:em w:val="none"/>
      <w:lang w:eastAsia="zh-CN"/>
    </w:rPr>
  </w:style>
  <w:style w:type="paragraph" w:styleId="BalloonText">
    <w:name w:val="Balloon Text"/>
    <w:basedOn w:val="Normal"/>
    <w:rPr>
      <w:rFonts w:ascii="Tahoma" w:hAnsi="Tahoma"/>
      <w:sz w:val="16"/>
      <w:szCs w:val="16"/>
      <w:lang/>
    </w:rPr>
  </w:style>
  <w:style w:type="character" w:customStyle="1" w:styleId="BalloonTextChar">
    <w:name w:val="Balloon Text Char"/>
    <w:rPr>
      <w:rFonts w:ascii="Tahoma" w:hAnsi="Tahoma" w:cs="Tahoma"/>
      <w:w w:val="100"/>
      <w:position w:val="-1"/>
      <w:sz w:val="16"/>
      <w:szCs w:val="16"/>
      <w:effect w:val="none"/>
      <w:vertAlign w:val="baseline"/>
      <w:cs w:val="0"/>
      <w:em w:val="none"/>
      <w:lang w:eastAsia="zh-CN"/>
    </w:rPr>
  </w:style>
  <w:style w:type="paragraph" w:styleId="Header">
    <w:name w:val="header"/>
    <w:basedOn w:val="Normal"/>
    <w:qFormat/>
    <w:pPr>
      <w:tabs>
        <w:tab w:val="center" w:pos="4513"/>
        <w:tab w:val="right" w:pos="9026"/>
      </w:tabs>
    </w:pPr>
    <w:rPr>
      <w:rFonts w:ascii="Trebuchet MS" w:eastAsia="Calibri" w:hAnsi="Trebuchet MS"/>
      <w:sz w:val="22"/>
      <w:szCs w:val="20"/>
      <w:lang/>
    </w:rPr>
  </w:style>
  <w:style w:type="character" w:customStyle="1" w:styleId="HeaderChar">
    <w:name w:val="Header Char"/>
    <w:rPr>
      <w:rFonts w:ascii="Trebuchet MS" w:eastAsia="Calibri" w:hAnsi="Trebuchet MS" w:cs="Tahoma"/>
      <w:w w:val="100"/>
      <w:position w:val="-1"/>
      <w:sz w:val="22"/>
      <w:effect w:val="none"/>
      <w:vertAlign w:val="baseline"/>
      <w:cs w:val="0"/>
      <w:em w:val="none"/>
      <w:lang w:eastAsia="en-US"/>
    </w:rPr>
  </w:style>
  <w:style w:type="paragraph" w:styleId="Footer">
    <w:name w:val="footer"/>
    <w:basedOn w:val="Normal"/>
    <w:pPr>
      <w:tabs>
        <w:tab w:val="center" w:pos="4513"/>
        <w:tab w:val="right" w:pos="9026"/>
      </w:tabs>
    </w:pPr>
    <w:rPr>
      <w:lang/>
    </w:rPr>
  </w:style>
  <w:style w:type="character" w:customStyle="1" w:styleId="FooterChar">
    <w:name w:val="Footer Char"/>
    <w:rPr>
      <w:w w:val="100"/>
      <w:position w:val="-1"/>
      <w:sz w:val="24"/>
      <w:szCs w:val="24"/>
      <w:effect w:val="none"/>
      <w:vertAlign w:val="baseline"/>
      <w:cs w:val="0"/>
      <w:em w:val="none"/>
      <w:lang w:eastAsia="zh-CN"/>
    </w:rPr>
  </w:style>
  <w:style w:type="table" w:styleId="TableGrid">
    <w:name w:val="Table Grid"/>
    <w:basedOn w:val="TableNormal"/>
    <w:pPr>
      <w:suppressAutoHyphens/>
      <w:spacing w:line="1" w:lineRule="atLeast"/>
      <w:ind w:leftChars="-1" w:left="-1" w:right="0" w:hangingChars="1" w:hanging="1"/>
      <w:textDirection w:val="btLr"/>
      <w:textAlignment w:val="top"/>
      <w:outlineLvl w:val="0"/>
    </w:pPr>
    <w:rPr>
      <w:position w:val="-1"/>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1yA/GAlkaJF28/zbwrhN6UCFduQ==">AMUW2mXwc8xh2JF6RDsXRY66YYcznh2rExra6sQ+ZHWlWBWtxeHNJ48S+biSeX94K6Ji0OrNLztG3Ir41UD7MKzjIgimWTpbHvwUcN2CZhkkn66nPWy5T2tGB61P4yWrWl2EasLeH+V+4MucwxEnCDOonONPMtsbXWnx+lg5sNzR0iqezAPTFWX6kB0pcoNWwJ2JjsS+GPLD</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8</Pages>
  <Words>2651</Words>
  <Characters>15114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sa044</dc:creator>
  <cp:lastModifiedBy>Whitney Hill</cp:lastModifiedBy>
  <cp:revision>6</cp:revision>
  <dcterms:created xsi:type="dcterms:W3CDTF">2019-10-07T14:42:00Z</dcterms:created>
  <dcterms:modified xsi:type="dcterms:W3CDTF">2023-03-12T17:09:00Z</dcterms:modified>
</cp:coreProperties>
</file>