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259F8" w:rsidRPr="00961DD0" w:rsidRDefault="000F15B7">
      <w:pPr>
        <w:rPr>
          <w:rFonts w:cstheme="minorHAnsi"/>
        </w:rPr>
      </w:pPr>
      <w:r w:rsidRPr="00961DD0">
        <w:rPr>
          <w:rFonts w:cstheme="minorHAnsi"/>
        </w:rPr>
        <w:t>Philip of Macedon and Athens</w:t>
      </w:r>
    </w:p>
    <w:p w:rsidR="000F15B7" w:rsidRPr="00961DD0" w:rsidRDefault="000F15B7" w:rsidP="000F15B7">
      <w:pPr>
        <w:ind w:left="720"/>
        <w:rPr>
          <w:rFonts w:cstheme="minorHAnsi"/>
        </w:rPr>
      </w:pPr>
      <w:r w:rsidRPr="00961DD0">
        <w:rPr>
          <w:rFonts w:cstheme="minorHAnsi"/>
        </w:rPr>
        <w:t xml:space="preserve">Philips attitude to the Athenians was generally one of avoidance and he attempted to refrain from direct confrontation always trying to keep the peace even when taking Amphipolis and going to war with Athens it was more nominal than a scale conflict with Athens acting in a supportive role to the cities of the Chalcidice, Olynthus being an example of this. Confronted with a growing Macedonian presence the Athenian Assembly split was split into pro-Macedonian and Anti Macedonian factions lead by </w:t>
      </w:r>
      <w:proofErr w:type="spellStart"/>
      <w:r w:rsidRPr="00961DD0">
        <w:rPr>
          <w:rFonts w:cstheme="minorHAnsi"/>
        </w:rPr>
        <w:t>Aeschnies</w:t>
      </w:r>
      <w:proofErr w:type="spellEnd"/>
      <w:r w:rsidRPr="00961DD0">
        <w:rPr>
          <w:rFonts w:cstheme="minorHAnsi"/>
        </w:rPr>
        <w:t xml:space="preserve"> and Demosthenes respectively with members of both groups being a part of the embassies sent to Philip.</w:t>
      </w:r>
    </w:p>
    <w:p w:rsidR="000F15B7" w:rsidRPr="00961DD0" w:rsidRDefault="000F15B7" w:rsidP="000F15B7">
      <w:pPr>
        <w:ind w:left="720"/>
        <w:rPr>
          <w:rFonts w:cstheme="minorHAnsi"/>
        </w:rPr>
      </w:pPr>
      <w:r w:rsidRPr="00961DD0">
        <w:rPr>
          <w:rFonts w:cstheme="minorHAnsi"/>
        </w:rPr>
        <w:t xml:space="preserve">Philip used this scenario to his advantage, by delaying his response to the second embassy until he was close to mainland Greece he all but forced the peace of </w:t>
      </w:r>
      <w:proofErr w:type="spellStart"/>
      <w:r w:rsidRPr="00961DD0">
        <w:rPr>
          <w:rFonts w:cstheme="minorHAnsi"/>
        </w:rPr>
        <w:t>Philocrates</w:t>
      </w:r>
      <w:proofErr w:type="spellEnd"/>
      <w:r w:rsidRPr="00961DD0">
        <w:rPr>
          <w:rFonts w:cstheme="minorHAnsi"/>
        </w:rPr>
        <w:t xml:space="preserve"> as he had the upper hand and could easily take the pass at Thermopylae supported by T</w:t>
      </w:r>
      <w:r w:rsidR="006F2F87" w:rsidRPr="00961DD0">
        <w:rPr>
          <w:rFonts w:cstheme="minorHAnsi"/>
        </w:rPr>
        <w:t>hessaly and at this time Thebes. Demosthenes in most of his works found ways to slander Philip and rile the Athenians to action against the Macedonians.</w:t>
      </w:r>
      <w:r w:rsidR="006F2F87" w:rsidRPr="00961DD0">
        <w:rPr>
          <w:rStyle w:val="FootnoteReference"/>
          <w:rFonts w:cstheme="minorHAnsi"/>
        </w:rPr>
        <w:footnoteReference w:id="1"/>
      </w:r>
      <w:r w:rsidR="006F2F87" w:rsidRPr="00961DD0">
        <w:rPr>
          <w:rFonts w:cstheme="minorHAnsi"/>
        </w:rPr>
        <w:t xml:space="preserve"> Demosthenes brings attention to the Peloponnesian wars and the Spartan Hegemony in his third </w:t>
      </w:r>
      <w:r w:rsidR="00961DD0" w:rsidRPr="00961DD0">
        <w:rPr>
          <w:rFonts w:cstheme="minorHAnsi"/>
        </w:rPr>
        <w:t>philippic</w:t>
      </w:r>
      <w:r w:rsidR="006F2F87" w:rsidRPr="00961DD0">
        <w:rPr>
          <w:rFonts w:cstheme="minorHAnsi"/>
        </w:rPr>
        <w:t xml:space="preserve"> to present Philip as committing worse crimes than that of the Athenians of old and the Spartans</w:t>
      </w:r>
      <w:r w:rsidR="00961DD0" w:rsidRPr="00961DD0">
        <w:rPr>
          <w:rFonts w:cstheme="minorHAnsi"/>
        </w:rPr>
        <w:t>.</w:t>
      </w:r>
      <w:r w:rsidR="006F2F87" w:rsidRPr="00961DD0">
        <w:rPr>
          <w:rFonts w:cstheme="minorHAnsi"/>
        </w:rPr>
        <w:t xml:space="preserve"> </w:t>
      </w:r>
      <w:r w:rsidR="006F2F87" w:rsidRPr="00961DD0">
        <w:rPr>
          <w:rStyle w:val="FootnoteReference"/>
          <w:rFonts w:cstheme="minorHAnsi"/>
        </w:rPr>
        <w:footnoteReference w:id="2"/>
      </w:r>
      <w:r w:rsidR="00961DD0" w:rsidRPr="00961DD0">
        <w:rPr>
          <w:rFonts w:cstheme="minorHAnsi"/>
        </w:rPr>
        <w:t xml:space="preserve"> By using this as a comparative he brings up both a responsibility of the Athenians to do what he considers to be right and also reminds them of Athenian actions to rise up against Sparta’s Hegemony playing on both pride and shame to an extent.</w:t>
      </w:r>
    </w:p>
    <w:p w:rsidR="006F2F87" w:rsidRPr="00961DD0" w:rsidRDefault="00961DD0" w:rsidP="000F15B7">
      <w:pPr>
        <w:ind w:left="720"/>
        <w:rPr>
          <w:rFonts w:cstheme="minorHAnsi"/>
        </w:rPr>
      </w:pPr>
      <w:r w:rsidRPr="00961DD0">
        <w:rPr>
          <w:rFonts w:cstheme="minorHAnsi"/>
        </w:rPr>
        <w:t xml:space="preserve">Despite this Philip himself attempted and succeeded in the most part to avoiding direct conflict with the Athenians by out manoeuvring them politically as well as maintaining an encroaching military presence to the extent that by the time the Athenians had gathered allies to attack the Macedonians they were well prepared to repulse such an assault. Because of this Macedonia had developed from a neighbour that was recognised as outside the Greek world to becoming a dominating force in Greece, being accepted as Hellenic as well as being provided a membership to the </w:t>
      </w:r>
      <w:proofErr w:type="spellStart"/>
      <w:r w:rsidRPr="00961DD0">
        <w:rPr>
          <w:rFonts w:cstheme="minorHAnsi"/>
        </w:rPr>
        <w:t>Amphictyonic</w:t>
      </w:r>
      <w:proofErr w:type="spellEnd"/>
      <w:r w:rsidRPr="00961DD0">
        <w:rPr>
          <w:rFonts w:cstheme="minorHAnsi"/>
        </w:rPr>
        <w:t xml:space="preserve"> council. All this manoeuvring allowed Philip to establish a Macedonian Hegemony in the Greek polis by nature of his influence with both his allies and enemies, relying largely on politicking rather than the strength of his armies which played no small part in his rise to power.</w:t>
      </w:r>
    </w:p>
    <w:p w:rsidR="006F2F87" w:rsidRPr="00961DD0" w:rsidRDefault="006F2F87" w:rsidP="000F15B7">
      <w:pPr>
        <w:ind w:left="720"/>
        <w:rPr>
          <w:rFonts w:cstheme="minorHAnsi"/>
        </w:rPr>
      </w:pPr>
      <w:r w:rsidRPr="00961DD0">
        <w:rPr>
          <w:rFonts w:cstheme="minorHAnsi"/>
        </w:rPr>
        <w:t>Bibliography</w:t>
      </w:r>
    </w:p>
    <w:p w:rsidR="006F2F87" w:rsidRPr="00961DD0" w:rsidRDefault="00961DD0" w:rsidP="000F15B7">
      <w:pPr>
        <w:ind w:left="720"/>
        <w:rPr>
          <w:rFonts w:cstheme="minorHAnsi"/>
          <w:shd w:val="clear" w:color="auto" w:fill="FFFFFF"/>
        </w:rPr>
      </w:pPr>
      <w:r w:rsidRPr="00961DD0">
        <w:rPr>
          <w:rStyle w:val="bibliographicauthorname"/>
          <w:rFonts w:cstheme="minorHAnsi"/>
          <w:shd w:val="clear" w:color="auto" w:fill="FFFFFF"/>
        </w:rPr>
        <w:t>Demo</w:t>
      </w:r>
      <w:bookmarkStart w:id="0" w:name="_GoBack"/>
      <w:bookmarkEnd w:id="0"/>
      <w:r w:rsidRPr="00961DD0">
        <w:rPr>
          <w:rStyle w:val="bibliographicauthorname"/>
          <w:rFonts w:cstheme="minorHAnsi"/>
          <w:shd w:val="clear" w:color="auto" w:fill="FFFFFF"/>
        </w:rPr>
        <w:t>sthenes</w:t>
      </w:r>
      <w:r w:rsidRPr="00961DD0">
        <w:rPr>
          <w:rFonts w:cstheme="minorHAnsi"/>
          <w:shd w:val="clear" w:color="auto" w:fill="FFFFFF"/>
        </w:rPr>
        <w:t>. </w:t>
      </w:r>
      <w:r w:rsidRPr="00961DD0">
        <w:rPr>
          <w:rFonts w:cstheme="minorHAnsi"/>
          <w:i/>
          <w:iCs/>
          <w:shd w:val="clear" w:color="auto" w:fill="FFFFFF"/>
        </w:rPr>
        <w:t xml:space="preserve">Orations, Volume I: </w:t>
      </w:r>
      <w:r w:rsidRPr="00961DD0">
        <w:rPr>
          <w:rFonts w:cstheme="minorHAnsi"/>
          <w:i/>
          <w:iCs/>
          <w:shd w:val="clear" w:color="auto" w:fill="FFFFFF"/>
        </w:rPr>
        <w:t xml:space="preserve">Philippics 3 </w:t>
      </w:r>
      <w:r w:rsidRPr="00961DD0">
        <w:rPr>
          <w:rStyle w:val="translators"/>
          <w:rFonts w:cstheme="minorHAnsi"/>
          <w:shd w:val="clear" w:color="auto" w:fill="FFFFFF"/>
        </w:rPr>
        <w:t>Translated by </w:t>
      </w:r>
      <w:r w:rsidRPr="00961DD0">
        <w:rPr>
          <w:rStyle w:val="contributorname"/>
          <w:rFonts w:cstheme="minorHAnsi"/>
          <w:shd w:val="clear" w:color="auto" w:fill="FFFFFF"/>
        </w:rPr>
        <w:t>J. H. Vince</w:t>
      </w:r>
      <w:r w:rsidRPr="00961DD0">
        <w:rPr>
          <w:rStyle w:val="translators"/>
          <w:rFonts w:cstheme="minorHAnsi"/>
          <w:shd w:val="clear" w:color="auto" w:fill="FFFFFF"/>
        </w:rPr>
        <w:t>. </w:t>
      </w:r>
      <w:r w:rsidRPr="00961DD0">
        <w:rPr>
          <w:rFonts w:cstheme="minorHAnsi"/>
          <w:shd w:val="clear" w:color="auto" w:fill="FFFFFF"/>
        </w:rPr>
        <w:t>Loeb Classical Library 238. Cambridge, MA: Harvard University Press, 1930.</w:t>
      </w:r>
    </w:p>
    <w:p w:rsidR="00961DD0" w:rsidRPr="00961DD0" w:rsidRDefault="00961DD0" w:rsidP="00961DD0">
      <w:pPr>
        <w:spacing w:after="150" w:line="240" w:lineRule="auto"/>
        <w:textAlignment w:val="baseline"/>
        <w:rPr>
          <w:rFonts w:eastAsia="Times New Roman" w:cstheme="minorHAnsi"/>
          <w:lang w:eastAsia="en-GB"/>
        </w:rPr>
      </w:pPr>
      <w:proofErr w:type="spellStart"/>
      <w:r w:rsidRPr="00961DD0">
        <w:rPr>
          <w:rFonts w:eastAsia="Times New Roman" w:cstheme="minorHAnsi"/>
          <w:lang w:eastAsia="en-GB"/>
        </w:rPr>
        <w:t>Markle</w:t>
      </w:r>
      <w:proofErr w:type="spellEnd"/>
      <w:r w:rsidRPr="00961DD0">
        <w:rPr>
          <w:rFonts w:eastAsia="Times New Roman" w:cstheme="minorHAnsi"/>
          <w:lang w:eastAsia="en-GB"/>
        </w:rPr>
        <w:t>, M. (1974). The Strategy of Philip in 346 B.C. </w:t>
      </w:r>
      <w:r w:rsidRPr="00961DD0">
        <w:rPr>
          <w:rFonts w:eastAsia="Times New Roman" w:cstheme="minorHAnsi"/>
          <w:i/>
          <w:iCs/>
          <w:bdr w:val="none" w:sz="0" w:space="0" w:color="auto" w:frame="1"/>
          <w:lang w:eastAsia="en-GB"/>
        </w:rPr>
        <w:t>The Classical Quarterly,</w:t>
      </w:r>
      <w:r w:rsidRPr="00961DD0">
        <w:rPr>
          <w:rFonts w:eastAsia="Times New Roman" w:cstheme="minorHAnsi"/>
          <w:lang w:eastAsia="en-GB"/>
        </w:rPr>
        <w:t> </w:t>
      </w:r>
      <w:r w:rsidRPr="00961DD0">
        <w:rPr>
          <w:rFonts w:eastAsia="Times New Roman" w:cstheme="minorHAnsi"/>
          <w:i/>
          <w:iCs/>
          <w:bdr w:val="none" w:sz="0" w:space="0" w:color="auto" w:frame="1"/>
          <w:lang w:eastAsia="en-GB"/>
        </w:rPr>
        <w:t>24</w:t>
      </w:r>
      <w:r w:rsidRPr="00961DD0">
        <w:rPr>
          <w:rFonts w:eastAsia="Times New Roman" w:cstheme="minorHAnsi"/>
          <w:lang w:eastAsia="en-GB"/>
        </w:rPr>
        <w:t xml:space="preserve">(2), 253-268. </w:t>
      </w:r>
      <w:proofErr w:type="gramStart"/>
      <w:r w:rsidRPr="00961DD0">
        <w:rPr>
          <w:rFonts w:eastAsia="Times New Roman" w:cstheme="minorHAnsi"/>
          <w:lang w:eastAsia="en-GB"/>
        </w:rPr>
        <w:t>doi:</w:t>
      </w:r>
      <w:proofErr w:type="gramEnd"/>
      <w:r w:rsidRPr="00961DD0">
        <w:rPr>
          <w:rFonts w:eastAsia="Times New Roman" w:cstheme="minorHAnsi"/>
          <w:lang w:eastAsia="en-GB"/>
        </w:rPr>
        <w:t>10.1017/S0009838800032791</w:t>
      </w:r>
    </w:p>
    <w:p w:rsidR="00961DD0" w:rsidRPr="00961DD0" w:rsidRDefault="00961DD0" w:rsidP="000F15B7">
      <w:pPr>
        <w:ind w:left="720"/>
        <w:rPr>
          <w:rFonts w:cstheme="minorHAnsi"/>
        </w:rPr>
      </w:pPr>
    </w:p>
    <w:sectPr w:rsidR="00961DD0" w:rsidRPr="00961D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76219" w:rsidRDefault="00376219" w:rsidP="006F2F87">
      <w:pPr>
        <w:spacing w:after="0" w:line="240" w:lineRule="auto"/>
      </w:pPr>
      <w:r>
        <w:separator/>
      </w:r>
    </w:p>
  </w:endnote>
  <w:endnote w:type="continuationSeparator" w:id="0">
    <w:p w:rsidR="00376219" w:rsidRDefault="00376219" w:rsidP="006F2F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76219" w:rsidRDefault="00376219" w:rsidP="006F2F87">
      <w:pPr>
        <w:spacing w:after="0" w:line="240" w:lineRule="auto"/>
      </w:pPr>
      <w:r>
        <w:separator/>
      </w:r>
    </w:p>
  </w:footnote>
  <w:footnote w:type="continuationSeparator" w:id="0">
    <w:p w:rsidR="00376219" w:rsidRDefault="00376219" w:rsidP="006F2F87">
      <w:pPr>
        <w:spacing w:after="0" w:line="240" w:lineRule="auto"/>
      </w:pPr>
      <w:r>
        <w:continuationSeparator/>
      </w:r>
    </w:p>
  </w:footnote>
  <w:footnote w:id="1">
    <w:p w:rsidR="006F2F87" w:rsidRDefault="006F2F87">
      <w:pPr>
        <w:pStyle w:val="FootnoteText"/>
      </w:pPr>
      <w:r>
        <w:rPr>
          <w:rStyle w:val="FootnoteReference"/>
        </w:rPr>
        <w:footnoteRef/>
      </w:r>
      <w:r>
        <w:t xml:space="preserve"> Dem. 9.1-5</w:t>
      </w:r>
    </w:p>
  </w:footnote>
  <w:footnote w:id="2">
    <w:p w:rsidR="006F2F87" w:rsidRDefault="006F2F87">
      <w:pPr>
        <w:pStyle w:val="FootnoteText"/>
      </w:pPr>
      <w:r>
        <w:rPr>
          <w:rStyle w:val="FootnoteReference"/>
        </w:rPr>
        <w:footnoteRef/>
      </w:r>
      <w:r>
        <w:t xml:space="preserve"> Dem. 9 25-26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4829"/>
    <w:rsid w:val="000F15B7"/>
    <w:rsid w:val="00376219"/>
    <w:rsid w:val="003D4829"/>
    <w:rsid w:val="006F2F87"/>
    <w:rsid w:val="00961DD0"/>
    <w:rsid w:val="00C25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51F2DA8-B5D6-478F-89E4-B2DA7077C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F2F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F2F87"/>
    <w:rPr>
      <w:sz w:val="20"/>
      <w:szCs w:val="20"/>
    </w:rPr>
  </w:style>
  <w:style w:type="character" w:styleId="FootnoteReference">
    <w:name w:val="footnote reference"/>
    <w:basedOn w:val="DefaultParagraphFont"/>
    <w:uiPriority w:val="99"/>
    <w:semiHidden/>
    <w:unhideWhenUsed/>
    <w:rsid w:val="006F2F87"/>
    <w:rPr>
      <w:vertAlign w:val="superscript"/>
    </w:rPr>
  </w:style>
  <w:style w:type="character" w:customStyle="1" w:styleId="bibliographicauthorname">
    <w:name w:val="bibliographicauthorname"/>
    <w:basedOn w:val="DefaultParagraphFont"/>
    <w:rsid w:val="00961DD0"/>
  </w:style>
  <w:style w:type="character" w:customStyle="1" w:styleId="translators">
    <w:name w:val="translators"/>
    <w:basedOn w:val="DefaultParagraphFont"/>
    <w:rsid w:val="00961DD0"/>
  </w:style>
  <w:style w:type="character" w:customStyle="1" w:styleId="contributorname">
    <w:name w:val="contributorname"/>
    <w:basedOn w:val="DefaultParagraphFont"/>
    <w:rsid w:val="00961D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891632">
      <w:bodyDiv w:val="1"/>
      <w:marLeft w:val="0"/>
      <w:marRight w:val="0"/>
      <w:marTop w:val="0"/>
      <w:marBottom w:val="0"/>
      <w:divBdr>
        <w:top w:val="none" w:sz="0" w:space="0" w:color="auto"/>
        <w:left w:val="none" w:sz="0" w:space="0" w:color="auto"/>
        <w:bottom w:val="none" w:sz="0" w:space="0" w:color="auto"/>
        <w:right w:val="none" w:sz="0" w:space="0" w:color="auto"/>
      </w:divBdr>
      <w:divsChild>
        <w:div w:id="1653437425">
          <w:marLeft w:val="0"/>
          <w:marRight w:val="0"/>
          <w:marTop w:val="0"/>
          <w:marBottom w:val="0"/>
          <w:divBdr>
            <w:top w:val="single" w:sz="18" w:space="4" w:color="006FCA"/>
            <w:left w:val="single" w:sz="18" w:space="4" w:color="006FCA"/>
            <w:bottom w:val="single" w:sz="18" w:space="4" w:color="006FCA"/>
            <w:right w:val="single" w:sz="18" w:space="4" w:color="006FCA"/>
          </w:divBdr>
          <w:divsChild>
            <w:div w:id="2131314762">
              <w:marLeft w:val="0"/>
              <w:marRight w:val="0"/>
              <w:marTop w:val="0"/>
              <w:marBottom w:val="0"/>
              <w:divBdr>
                <w:top w:val="none" w:sz="0" w:space="0" w:color="auto"/>
                <w:left w:val="none" w:sz="0" w:space="0" w:color="auto"/>
                <w:bottom w:val="none" w:sz="0" w:space="0" w:color="auto"/>
                <w:right w:val="none" w:sz="0" w:space="0" w:color="auto"/>
              </w:divBdr>
              <w:divsChild>
                <w:div w:id="59467725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1</Pages>
  <Words>395</Words>
  <Characters>2252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Fielding</dc:creator>
  <cp:keywords/>
  <dc:description/>
  <cp:lastModifiedBy>Callum Fielding</cp:lastModifiedBy>
  <cp:revision>1</cp:revision>
  <dcterms:created xsi:type="dcterms:W3CDTF">2020-02-02T21:04:00Z</dcterms:created>
  <dcterms:modified xsi:type="dcterms:W3CDTF">2020-02-02T23:57:00Z</dcterms:modified>
</cp:coreProperties>
</file>