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22086B" w14:textId="77777777" w:rsidR="00545A09" w:rsidRPr="000B3653" w:rsidRDefault="00545A09" w:rsidP="00545A09">
      <w:pPr>
        <w:rPr>
          <w:rFonts w:cs="Times New Roman"/>
          <w:b/>
          <w:bCs/>
          <w:sz w:val="44"/>
          <w:szCs w:val="44"/>
        </w:rPr>
      </w:pPr>
      <w:r w:rsidRPr="000B3653">
        <w:rPr>
          <w:rFonts w:cs="Times New Roman"/>
          <w:b/>
          <w:bCs/>
          <w:sz w:val="44"/>
          <w:szCs w:val="44"/>
        </w:rPr>
        <w:t>A critical evaluation of The Relative Judgment Theory and how decision-making bias can influence eyewitness decision-making during a police lineup</w:t>
      </w:r>
      <w:r w:rsidRPr="000B3653">
        <w:rPr>
          <w:rFonts w:cs="Times New Roman"/>
          <w:b/>
          <w:bCs/>
          <w:sz w:val="44"/>
          <w:szCs w:val="44"/>
        </w:rPr>
        <w:br w:type="page"/>
      </w:r>
    </w:p>
    <w:p w14:paraId="04A9B223" w14:textId="77777777" w:rsidR="00545A09" w:rsidRPr="002728A1" w:rsidRDefault="00545A09" w:rsidP="00545A09">
      <w:pPr>
        <w:jc w:val="center"/>
        <w:rPr>
          <w:rFonts w:cs="Times New Roman"/>
          <w:b/>
          <w:bCs/>
          <w:sz w:val="24"/>
          <w:szCs w:val="24"/>
        </w:rPr>
      </w:pPr>
      <w:r w:rsidRPr="002728A1">
        <w:rPr>
          <w:rFonts w:cs="Times New Roman"/>
          <w:b/>
          <w:bCs/>
          <w:sz w:val="24"/>
          <w:szCs w:val="24"/>
        </w:rPr>
        <w:lastRenderedPageBreak/>
        <w:t>AI Acknowledgement</w:t>
      </w:r>
    </w:p>
    <w:p w14:paraId="701DE639" w14:textId="05C0FAEA" w:rsidR="002728A1" w:rsidRPr="002728A1" w:rsidRDefault="002728A1" w:rsidP="002728A1">
      <w:pPr>
        <w:rPr>
          <w:rFonts w:cs="Times New Roman"/>
          <w:sz w:val="24"/>
          <w:szCs w:val="24"/>
        </w:rPr>
      </w:pPr>
      <w:r w:rsidRPr="002728A1">
        <w:rPr>
          <w:rFonts w:cs="Times New Roman"/>
          <w:sz w:val="24"/>
          <w:szCs w:val="24"/>
        </w:rPr>
        <w:t>I acknowledge the use of Grammarly (https://www.grammarly.com/) on </w:t>
      </w:r>
      <w:r>
        <w:rPr>
          <w:rFonts w:cs="Times New Roman"/>
          <w:sz w:val="24"/>
          <w:szCs w:val="24"/>
        </w:rPr>
        <w:t>1 April</w:t>
      </w:r>
      <w:r w:rsidRPr="002728A1">
        <w:rPr>
          <w:rFonts w:cs="Times New Roman"/>
          <w:sz w:val="24"/>
          <w:szCs w:val="24"/>
        </w:rPr>
        <w:t xml:space="preserve"> 2025 to check my work using the prompt(s):</w:t>
      </w:r>
    </w:p>
    <w:p w14:paraId="46161204" w14:textId="77777777" w:rsidR="002728A1" w:rsidRPr="002728A1" w:rsidRDefault="002728A1" w:rsidP="002728A1">
      <w:pPr>
        <w:rPr>
          <w:rFonts w:cs="Times New Roman"/>
          <w:sz w:val="24"/>
          <w:szCs w:val="24"/>
        </w:rPr>
      </w:pPr>
      <w:r w:rsidRPr="002728A1">
        <w:rPr>
          <w:rFonts w:cs="Times New Roman"/>
          <w:sz w:val="24"/>
          <w:szCs w:val="24"/>
        </w:rPr>
        <w:t>1. Please check the following text for readability, grammar and spelling.</w:t>
      </w:r>
    </w:p>
    <w:p w14:paraId="57BE004A" w14:textId="77777777" w:rsidR="002728A1" w:rsidRPr="002728A1" w:rsidRDefault="002728A1" w:rsidP="002728A1">
      <w:pPr>
        <w:rPr>
          <w:rFonts w:cs="Times New Roman"/>
          <w:sz w:val="24"/>
          <w:szCs w:val="24"/>
        </w:rPr>
      </w:pPr>
      <w:r w:rsidRPr="002728A1">
        <w:rPr>
          <w:rFonts w:cs="Times New Roman"/>
          <w:sz w:val="24"/>
          <w:szCs w:val="24"/>
        </w:rPr>
        <w:t>I confirm that I have not presented any AI-generated text as my own work. I confirm I</w:t>
      </w:r>
    </w:p>
    <w:p w14:paraId="2F1DF2BF" w14:textId="77777777" w:rsidR="002728A1" w:rsidRPr="002728A1" w:rsidRDefault="002728A1" w:rsidP="002728A1">
      <w:pPr>
        <w:rPr>
          <w:rFonts w:cs="Times New Roman"/>
          <w:sz w:val="24"/>
          <w:szCs w:val="24"/>
        </w:rPr>
      </w:pPr>
      <w:r w:rsidRPr="002728A1">
        <w:rPr>
          <w:rFonts w:cs="Times New Roman"/>
          <w:sz w:val="24"/>
          <w:szCs w:val="24"/>
        </w:rPr>
        <w:t>have copies of my drafts, notes, and other resources I used before and after the use of</w:t>
      </w:r>
    </w:p>
    <w:p w14:paraId="2AF65764" w14:textId="77777777" w:rsidR="002728A1" w:rsidRPr="002728A1" w:rsidRDefault="002728A1" w:rsidP="002728A1">
      <w:pPr>
        <w:rPr>
          <w:rFonts w:cs="Times New Roman"/>
          <w:sz w:val="24"/>
          <w:szCs w:val="24"/>
        </w:rPr>
      </w:pPr>
      <w:r w:rsidRPr="002728A1">
        <w:rPr>
          <w:rFonts w:cs="Times New Roman"/>
          <w:sz w:val="24"/>
          <w:szCs w:val="24"/>
        </w:rPr>
        <w:t>AI tools which I may be asked to provide in evidence</w:t>
      </w:r>
    </w:p>
    <w:p w14:paraId="47834E2D" w14:textId="77777777" w:rsidR="002728A1" w:rsidRPr="002728A1" w:rsidRDefault="002728A1" w:rsidP="002728A1">
      <w:pPr>
        <w:rPr>
          <w:rFonts w:cs="Times New Roman"/>
          <w:sz w:val="24"/>
          <w:szCs w:val="24"/>
        </w:rPr>
      </w:pPr>
      <w:r w:rsidRPr="002728A1">
        <w:rPr>
          <w:rFonts w:cs="Times New Roman"/>
          <w:sz w:val="24"/>
          <w:szCs w:val="24"/>
        </w:rPr>
        <w:t> </w:t>
      </w:r>
    </w:p>
    <w:p w14:paraId="135AECB1" w14:textId="77777777" w:rsidR="002728A1" w:rsidRPr="002728A1" w:rsidRDefault="002728A1" w:rsidP="002728A1">
      <w:pPr>
        <w:rPr>
          <w:rFonts w:cs="Times New Roman"/>
          <w:sz w:val="24"/>
          <w:szCs w:val="24"/>
        </w:rPr>
      </w:pPr>
      <w:r w:rsidRPr="002728A1">
        <w:rPr>
          <w:rFonts w:cs="Times New Roman"/>
          <w:sz w:val="24"/>
          <w:szCs w:val="24"/>
        </w:rPr>
        <w:t>I acknowledge the use of Google Scholar </w:t>
      </w:r>
      <w:hyperlink r:id="rId4" w:tooltip="Original URL: https://scholar.google.com/. Click or tap if you trust this link." w:history="1">
        <w:r w:rsidRPr="002728A1">
          <w:rPr>
            <w:rStyle w:val="Hyperlink"/>
            <w:rFonts w:cs="Times New Roman"/>
            <w:sz w:val="24"/>
            <w:szCs w:val="24"/>
          </w:rPr>
          <w:t>https://scholar.google.com</w:t>
        </w:r>
      </w:hyperlink>
      <w:r w:rsidRPr="002728A1">
        <w:rPr>
          <w:rFonts w:cs="Times New Roman"/>
          <w:sz w:val="24"/>
          <w:szCs w:val="24"/>
        </w:rPr>
        <w:t> on throughout to support my research using the prompt(s):</w:t>
      </w:r>
    </w:p>
    <w:p w14:paraId="2236FBB3" w14:textId="64E03C1F" w:rsidR="002728A1" w:rsidRPr="002728A1" w:rsidRDefault="002728A1" w:rsidP="002728A1">
      <w:pPr>
        <w:rPr>
          <w:rFonts w:cs="Times New Roman"/>
          <w:sz w:val="24"/>
          <w:szCs w:val="24"/>
        </w:rPr>
      </w:pPr>
      <w:r w:rsidRPr="002728A1">
        <w:rPr>
          <w:rFonts w:cs="Times New Roman"/>
          <w:sz w:val="24"/>
          <w:szCs w:val="24"/>
        </w:rPr>
        <w:t>1. Please provide me with materials on</w:t>
      </w:r>
      <w:r>
        <w:rPr>
          <w:rFonts w:cs="Times New Roman"/>
          <w:sz w:val="24"/>
          <w:szCs w:val="24"/>
        </w:rPr>
        <w:t xml:space="preserve"> eye</w:t>
      </w:r>
      <w:r w:rsidR="00B74559">
        <w:rPr>
          <w:rFonts w:cs="Times New Roman"/>
          <w:sz w:val="24"/>
          <w:szCs w:val="24"/>
        </w:rPr>
        <w:t>witness decision making</w:t>
      </w:r>
    </w:p>
    <w:p w14:paraId="3262BAC0" w14:textId="6C9FB35D" w:rsidR="002728A1" w:rsidRPr="002728A1" w:rsidRDefault="002728A1" w:rsidP="002728A1">
      <w:pPr>
        <w:rPr>
          <w:rFonts w:cs="Times New Roman"/>
          <w:sz w:val="24"/>
          <w:szCs w:val="24"/>
        </w:rPr>
      </w:pPr>
      <w:r w:rsidRPr="002728A1">
        <w:rPr>
          <w:rFonts w:cs="Times New Roman"/>
          <w:sz w:val="24"/>
          <w:szCs w:val="24"/>
        </w:rPr>
        <w:t xml:space="preserve">2. Please provide me with materials on </w:t>
      </w:r>
      <w:r w:rsidR="00B74559">
        <w:rPr>
          <w:rFonts w:cs="Times New Roman"/>
          <w:sz w:val="24"/>
          <w:szCs w:val="24"/>
        </w:rPr>
        <w:t>relative judgement theory eyewitness</w:t>
      </w:r>
      <w:r w:rsidR="007E6321">
        <w:rPr>
          <w:rFonts w:cs="Times New Roman"/>
          <w:sz w:val="24"/>
          <w:szCs w:val="24"/>
        </w:rPr>
        <w:t xml:space="preserve"> testimony</w:t>
      </w:r>
    </w:p>
    <w:p w14:paraId="10A31E7C" w14:textId="77D36AA9" w:rsidR="002728A1" w:rsidRPr="002728A1" w:rsidRDefault="002728A1" w:rsidP="002728A1">
      <w:pPr>
        <w:rPr>
          <w:rFonts w:cs="Times New Roman"/>
          <w:sz w:val="24"/>
          <w:szCs w:val="24"/>
        </w:rPr>
      </w:pPr>
      <w:r w:rsidRPr="002728A1">
        <w:rPr>
          <w:rFonts w:cs="Times New Roman"/>
          <w:sz w:val="24"/>
          <w:szCs w:val="24"/>
        </w:rPr>
        <w:t xml:space="preserve">3. Please provide me with materials on </w:t>
      </w:r>
      <w:r w:rsidR="00B74559">
        <w:rPr>
          <w:rFonts w:cs="Times New Roman"/>
          <w:sz w:val="24"/>
          <w:szCs w:val="24"/>
        </w:rPr>
        <w:t xml:space="preserve">relative judgement theory </w:t>
      </w:r>
      <w:r w:rsidR="003C1D60">
        <w:rPr>
          <w:rFonts w:cs="Times New Roman"/>
          <w:sz w:val="24"/>
          <w:szCs w:val="24"/>
        </w:rPr>
        <w:t xml:space="preserve">eyewitness </w:t>
      </w:r>
      <w:r w:rsidR="007E6321">
        <w:rPr>
          <w:rFonts w:cs="Times New Roman"/>
          <w:sz w:val="24"/>
          <w:szCs w:val="24"/>
        </w:rPr>
        <w:t xml:space="preserve">testimony </w:t>
      </w:r>
      <w:r w:rsidR="003C1D60">
        <w:rPr>
          <w:rFonts w:cs="Times New Roman"/>
          <w:sz w:val="24"/>
          <w:szCs w:val="24"/>
        </w:rPr>
        <w:t>police line</w:t>
      </w:r>
    </w:p>
    <w:p w14:paraId="5CD54081" w14:textId="23339ECD" w:rsidR="002728A1" w:rsidRDefault="003C1D60" w:rsidP="002728A1">
      <w:pPr>
        <w:rPr>
          <w:rFonts w:cs="Times New Roman"/>
          <w:sz w:val="24"/>
          <w:szCs w:val="24"/>
        </w:rPr>
      </w:pPr>
      <w:r>
        <w:rPr>
          <w:rFonts w:cs="Times New Roman"/>
          <w:sz w:val="24"/>
          <w:szCs w:val="24"/>
        </w:rPr>
        <w:t>4</w:t>
      </w:r>
      <w:r w:rsidR="002728A1" w:rsidRPr="002728A1">
        <w:rPr>
          <w:rFonts w:cs="Times New Roman"/>
          <w:sz w:val="24"/>
          <w:szCs w:val="24"/>
        </w:rPr>
        <w:t xml:space="preserve">. Please provide me with materials on </w:t>
      </w:r>
      <w:r>
        <w:rPr>
          <w:rFonts w:cs="Times New Roman"/>
          <w:sz w:val="24"/>
          <w:szCs w:val="24"/>
        </w:rPr>
        <w:t>Decision making bias eyewitness</w:t>
      </w:r>
      <w:r w:rsidR="007E6321">
        <w:rPr>
          <w:rFonts w:cs="Times New Roman"/>
          <w:sz w:val="24"/>
          <w:szCs w:val="24"/>
        </w:rPr>
        <w:t xml:space="preserve"> testimony</w:t>
      </w:r>
    </w:p>
    <w:p w14:paraId="1831A58C" w14:textId="41C83E5A" w:rsidR="003C1D60" w:rsidRPr="003C1D60" w:rsidRDefault="003C51E2" w:rsidP="003C1D60">
      <w:pPr>
        <w:rPr>
          <w:rFonts w:cs="Times New Roman"/>
          <w:sz w:val="24"/>
          <w:szCs w:val="24"/>
        </w:rPr>
      </w:pPr>
      <w:r>
        <w:rPr>
          <w:rFonts w:cs="Times New Roman"/>
          <w:sz w:val="24"/>
          <w:szCs w:val="24"/>
        </w:rPr>
        <w:t>5</w:t>
      </w:r>
      <w:r w:rsidR="003C1D60" w:rsidRPr="003C1D60">
        <w:rPr>
          <w:rFonts w:cs="Times New Roman"/>
          <w:sz w:val="24"/>
          <w:szCs w:val="24"/>
        </w:rPr>
        <w:t xml:space="preserve">. Please provide me with materials on </w:t>
      </w:r>
      <w:r>
        <w:rPr>
          <w:rFonts w:cs="Times New Roman"/>
          <w:sz w:val="24"/>
          <w:szCs w:val="24"/>
        </w:rPr>
        <w:t>memory conformity eyewitness</w:t>
      </w:r>
      <w:r w:rsidR="007E6321">
        <w:rPr>
          <w:rFonts w:cs="Times New Roman"/>
          <w:sz w:val="24"/>
          <w:szCs w:val="24"/>
        </w:rPr>
        <w:t xml:space="preserve"> testimony</w:t>
      </w:r>
    </w:p>
    <w:p w14:paraId="23DC0A30" w14:textId="77777777" w:rsidR="003C1D60" w:rsidRPr="002728A1" w:rsidRDefault="003C1D60" w:rsidP="002728A1">
      <w:pPr>
        <w:rPr>
          <w:rFonts w:cs="Times New Roman"/>
          <w:sz w:val="24"/>
          <w:szCs w:val="24"/>
        </w:rPr>
      </w:pPr>
    </w:p>
    <w:p w14:paraId="7C187D4F" w14:textId="77777777" w:rsidR="002728A1" w:rsidRPr="002728A1" w:rsidRDefault="002728A1" w:rsidP="002728A1">
      <w:pPr>
        <w:rPr>
          <w:rFonts w:cs="Times New Roman"/>
          <w:sz w:val="24"/>
          <w:szCs w:val="24"/>
        </w:rPr>
      </w:pPr>
      <w:r w:rsidRPr="002728A1">
        <w:rPr>
          <w:rFonts w:cs="Times New Roman"/>
          <w:sz w:val="24"/>
          <w:szCs w:val="24"/>
        </w:rPr>
        <w:t>I confirm that I have not presented any AI generated text as my own work. I confirm I</w:t>
      </w:r>
    </w:p>
    <w:p w14:paraId="528C47D8" w14:textId="77777777" w:rsidR="002728A1" w:rsidRPr="002728A1" w:rsidRDefault="002728A1" w:rsidP="002728A1">
      <w:pPr>
        <w:rPr>
          <w:rFonts w:cs="Times New Roman"/>
          <w:sz w:val="24"/>
          <w:szCs w:val="24"/>
        </w:rPr>
      </w:pPr>
      <w:r w:rsidRPr="002728A1">
        <w:rPr>
          <w:rFonts w:cs="Times New Roman"/>
          <w:sz w:val="24"/>
          <w:szCs w:val="24"/>
        </w:rPr>
        <w:t>have copies of my drafts, notes, and other resources I used before, and after the use of</w:t>
      </w:r>
    </w:p>
    <w:p w14:paraId="6AAD04F4" w14:textId="77777777" w:rsidR="002728A1" w:rsidRPr="002728A1" w:rsidRDefault="002728A1" w:rsidP="002728A1">
      <w:pPr>
        <w:rPr>
          <w:rFonts w:cs="Times New Roman"/>
          <w:sz w:val="24"/>
          <w:szCs w:val="24"/>
        </w:rPr>
      </w:pPr>
      <w:r w:rsidRPr="002728A1">
        <w:rPr>
          <w:rFonts w:cs="Times New Roman"/>
          <w:sz w:val="24"/>
          <w:szCs w:val="24"/>
        </w:rPr>
        <w:t>AI tools which I may be asked to provide in evidence.</w:t>
      </w:r>
    </w:p>
    <w:p w14:paraId="6245E498" w14:textId="77777777" w:rsidR="00834250" w:rsidRDefault="002728A1" w:rsidP="002728A1">
      <w:pPr>
        <w:rPr>
          <w:rFonts w:cs="Times New Roman"/>
          <w:sz w:val="24"/>
          <w:szCs w:val="24"/>
        </w:rPr>
      </w:pPr>
      <w:r w:rsidRPr="002728A1">
        <w:rPr>
          <w:rFonts w:cs="Times New Roman"/>
          <w:sz w:val="24"/>
          <w:szCs w:val="24"/>
        </w:rPr>
        <w:t> </w:t>
      </w:r>
    </w:p>
    <w:p w14:paraId="3FFFB032" w14:textId="69CC6B86" w:rsidR="002728A1" w:rsidRPr="002728A1" w:rsidRDefault="002728A1" w:rsidP="002728A1">
      <w:pPr>
        <w:rPr>
          <w:rFonts w:cs="Times New Roman"/>
          <w:sz w:val="24"/>
          <w:szCs w:val="24"/>
        </w:rPr>
      </w:pPr>
      <w:r w:rsidRPr="002728A1">
        <w:rPr>
          <w:rFonts w:cs="Times New Roman"/>
          <w:sz w:val="24"/>
          <w:szCs w:val="24"/>
        </w:rPr>
        <w:t>I confirm that I have not presented any AI-generated text as my own work. I confirm I</w:t>
      </w:r>
    </w:p>
    <w:p w14:paraId="4F1740A9" w14:textId="77777777" w:rsidR="002728A1" w:rsidRPr="002728A1" w:rsidRDefault="002728A1" w:rsidP="002728A1">
      <w:pPr>
        <w:rPr>
          <w:rFonts w:cs="Times New Roman"/>
          <w:sz w:val="24"/>
          <w:szCs w:val="24"/>
        </w:rPr>
      </w:pPr>
      <w:r w:rsidRPr="002728A1">
        <w:rPr>
          <w:rFonts w:cs="Times New Roman"/>
          <w:sz w:val="24"/>
          <w:szCs w:val="24"/>
        </w:rPr>
        <w:t>have copies of my drafts, notes, and other resources I used before, and after the use of</w:t>
      </w:r>
    </w:p>
    <w:p w14:paraId="4A186CB5" w14:textId="77777777" w:rsidR="002728A1" w:rsidRPr="002728A1" w:rsidRDefault="002728A1" w:rsidP="002728A1">
      <w:pPr>
        <w:rPr>
          <w:rFonts w:cs="Times New Roman"/>
          <w:sz w:val="24"/>
          <w:szCs w:val="24"/>
        </w:rPr>
      </w:pPr>
      <w:r w:rsidRPr="002728A1">
        <w:rPr>
          <w:rFonts w:cs="Times New Roman"/>
          <w:sz w:val="24"/>
          <w:szCs w:val="24"/>
        </w:rPr>
        <w:t>AI tools which I may be asked to provide in evidence.</w:t>
      </w:r>
    </w:p>
    <w:p w14:paraId="6CC61512" w14:textId="77777777" w:rsidR="002728A1" w:rsidRPr="002728A1" w:rsidRDefault="002728A1" w:rsidP="002728A1">
      <w:pPr>
        <w:jc w:val="both"/>
        <w:rPr>
          <w:rFonts w:cs="Times New Roman"/>
          <w:b/>
          <w:bCs/>
          <w:sz w:val="24"/>
          <w:szCs w:val="24"/>
        </w:rPr>
      </w:pPr>
    </w:p>
    <w:p w14:paraId="7D23A434" w14:textId="77777777" w:rsidR="00545A09" w:rsidRPr="002728A1" w:rsidRDefault="00545A09" w:rsidP="00545A09">
      <w:pPr>
        <w:rPr>
          <w:rFonts w:cs="Times New Roman"/>
          <w:sz w:val="24"/>
          <w:szCs w:val="24"/>
        </w:rPr>
      </w:pPr>
    </w:p>
    <w:p w14:paraId="5B5F67A2" w14:textId="77777777" w:rsidR="00545A09" w:rsidRPr="002728A1" w:rsidRDefault="00545A09" w:rsidP="00545A09">
      <w:pPr>
        <w:rPr>
          <w:rFonts w:cs="Times New Roman"/>
          <w:sz w:val="24"/>
          <w:szCs w:val="24"/>
        </w:rPr>
        <w:sectPr w:rsidR="00545A09" w:rsidRPr="002728A1" w:rsidSect="00545A09">
          <w:pgSz w:w="11906" w:h="16838"/>
          <w:pgMar w:top="1440" w:right="1440" w:bottom="1440" w:left="1440" w:header="708" w:footer="708" w:gutter="0"/>
          <w:cols w:space="708"/>
          <w:docGrid w:linePitch="360"/>
        </w:sectPr>
      </w:pPr>
    </w:p>
    <w:p w14:paraId="76179EB8" w14:textId="724E0D66" w:rsidR="00545A09" w:rsidRPr="002728A1" w:rsidRDefault="00545A09" w:rsidP="00545A09">
      <w:pPr>
        <w:spacing w:line="480" w:lineRule="auto"/>
        <w:ind w:firstLine="720"/>
        <w:rPr>
          <w:rFonts w:cs="Times New Roman"/>
          <w:sz w:val="24"/>
          <w:szCs w:val="24"/>
        </w:rPr>
      </w:pPr>
      <w:r w:rsidRPr="002728A1">
        <w:rPr>
          <w:rFonts w:cs="Times New Roman"/>
          <w:sz w:val="24"/>
          <w:szCs w:val="24"/>
        </w:rPr>
        <w:lastRenderedPageBreak/>
        <w:t xml:space="preserve">Eyewitness testimony is a vital component of criminal investigations, and inaccuracies in such accounts can result in wrongful convictions (Wise et al., 2014). Eyewitness testimony is defined as an individual's retrospective recounting of an event, particularly in the context of criminal enquiries or legal proceedings (Loftus, 2019). It serves as a form of evidence within judicial settings, often utilised to identify suspects or elucidate details related to an incident or a crime scene (Loftus, 1979) through a police lineup (Wells &amp; Olson, 2003). </w:t>
      </w:r>
      <w:r w:rsidR="000B3653">
        <w:rPr>
          <w:rFonts w:cs="Times New Roman"/>
          <w:sz w:val="24"/>
          <w:szCs w:val="24"/>
        </w:rPr>
        <w:t xml:space="preserve">This </w:t>
      </w:r>
      <w:r w:rsidRPr="002728A1">
        <w:rPr>
          <w:rFonts w:cs="Times New Roman"/>
          <w:sz w:val="24"/>
          <w:szCs w:val="24"/>
        </w:rPr>
        <w:t xml:space="preserve">essay will explore the cognitive and situational factors that influence </w:t>
      </w:r>
      <w:r w:rsidR="000B3653">
        <w:rPr>
          <w:rFonts w:cs="Times New Roman"/>
          <w:sz w:val="24"/>
          <w:szCs w:val="24"/>
        </w:rPr>
        <w:t>eyewitness testimony</w:t>
      </w:r>
      <w:r w:rsidR="007E6321">
        <w:rPr>
          <w:rFonts w:cs="Times New Roman"/>
          <w:sz w:val="24"/>
          <w:szCs w:val="24"/>
        </w:rPr>
        <w:t xml:space="preserve"> accuracy</w:t>
      </w:r>
      <w:r w:rsidRPr="002728A1">
        <w:rPr>
          <w:rFonts w:cs="Times New Roman"/>
          <w:sz w:val="24"/>
          <w:szCs w:val="24"/>
        </w:rPr>
        <w:t xml:space="preserve">. Some of these factors include decision-making bias, memory processes, and environmental conditions such as stress (Deffenbacher et al., 2004; Wells &amp; Olson, 2003). </w:t>
      </w:r>
    </w:p>
    <w:p w14:paraId="0330F621" w14:textId="77777777" w:rsidR="00545A09" w:rsidRPr="002728A1" w:rsidRDefault="00545A09" w:rsidP="00545A09">
      <w:pPr>
        <w:spacing w:line="480" w:lineRule="auto"/>
        <w:ind w:firstLine="720"/>
        <w:rPr>
          <w:rFonts w:cs="Times New Roman"/>
          <w:sz w:val="24"/>
          <w:szCs w:val="24"/>
        </w:rPr>
      </w:pPr>
      <w:r w:rsidRPr="002728A1">
        <w:rPr>
          <w:rFonts w:cs="Times New Roman"/>
          <w:sz w:val="24"/>
          <w:szCs w:val="24"/>
        </w:rPr>
        <w:t xml:space="preserve">A significant psychological explanation for errors in eyewitness identification is the Relative Judgment Theory, proposed by Wells in 1984. This theory posits that witnesses are more likely to select the individual who most closely resembles the perpetrator among the others in a lineup, rather than relying on a direct match with their memory. A police lineup is a systematic identification procedure used in criminal investigations, wherein a witness is presented with a group of individuals who exhibit similar physical characteristics to the suspect (Fitzgerald et al., 2018). This controlled environment aims to facilitate the witness's selection of the perpetrator while minimising the risk of misidentification. Various protocols, including the composition of the lineup and the method of presentation, are carefully designed to maintain the integrity of the identification process (Wells et al., 1998). </w:t>
      </w:r>
    </w:p>
    <w:p w14:paraId="085EF814" w14:textId="3C3BB68B" w:rsidR="00545A09" w:rsidRPr="002728A1" w:rsidRDefault="00545A09" w:rsidP="00545A09">
      <w:pPr>
        <w:spacing w:line="480" w:lineRule="auto"/>
        <w:ind w:firstLine="720"/>
        <w:rPr>
          <w:rFonts w:cs="Times New Roman"/>
          <w:sz w:val="24"/>
          <w:szCs w:val="24"/>
        </w:rPr>
      </w:pPr>
      <w:r w:rsidRPr="002728A1">
        <w:rPr>
          <w:rFonts w:cs="Times New Roman"/>
          <w:sz w:val="24"/>
          <w:szCs w:val="24"/>
        </w:rPr>
        <w:t xml:space="preserve">Lineups can be conducted in various formats, including live presentations, photographs, or video-based methods, with the objective of assessing a witness's </w:t>
      </w:r>
      <w:r w:rsidRPr="002728A1">
        <w:rPr>
          <w:rFonts w:cs="Times New Roman"/>
          <w:sz w:val="24"/>
          <w:szCs w:val="24"/>
        </w:rPr>
        <w:lastRenderedPageBreak/>
        <w:t xml:space="preserve">capacity to accurately identify the perpetrator. However, substantial psychological research indicates that the processes of memory and decision-making involved in eyewitness identification are prone to errors, which can result in misidentification and, in certain cases, wrongful convictions (Wells &amp; Olson, 2003). </w:t>
      </w:r>
    </w:p>
    <w:p w14:paraId="3E5FD190" w14:textId="77777777" w:rsidR="00545A09" w:rsidRPr="002728A1" w:rsidRDefault="00545A09" w:rsidP="00545A09">
      <w:pPr>
        <w:spacing w:line="480" w:lineRule="auto"/>
        <w:ind w:firstLine="720"/>
        <w:rPr>
          <w:rFonts w:cs="Times New Roman"/>
          <w:sz w:val="24"/>
          <w:szCs w:val="24"/>
        </w:rPr>
      </w:pPr>
      <w:r w:rsidRPr="002728A1">
        <w:rPr>
          <w:rFonts w:cs="Times New Roman"/>
          <w:sz w:val="24"/>
          <w:szCs w:val="24"/>
        </w:rPr>
        <w:t>While police lineups rely on a witness’s memory to identify the perpetrator, the process of selection for the eyewitness is not always based on accurate recall. Several factors can influence an eyewitness's decision about who the suspect is. One influential factor in the eyewitness's final decision is decision-making bias, which refers to systematic errors or unconscious heuristics that affect an individual's judgment. In the context of a lineup, this may manifest as a decision to select someone who resembles the perpetrator or to choose an individual even when the actual perpetrator is not present (Tversky &amp; Kahneman, 1974).</w:t>
      </w:r>
    </w:p>
    <w:p w14:paraId="7CF757EB" w14:textId="77777777" w:rsidR="00545A09" w:rsidRPr="002728A1" w:rsidRDefault="00545A09" w:rsidP="00545A09">
      <w:pPr>
        <w:spacing w:line="480" w:lineRule="auto"/>
        <w:ind w:firstLine="720"/>
        <w:rPr>
          <w:rFonts w:cs="Times New Roman"/>
          <w:sz w:val="24"/>
          <w:szCs w:val="24"/>
        </w:rPr>
      </w:pPr>
      <w:r w:rsidRPr="002728A1">
        <w:rPr>
          <w:rFonts w:cs="Times New Roman"/>
          <w:sz w:val="24"/>
          <w:szCs w:val="24"/>
        </w:rPr>
        <w:t xml:space="preserve">This essay will critically evaluate the strengths and limitations of Relative Judgment Theory as an explanation for decision-making errors, drawing from psychological research and evidence. The evaluation will reference an on-campus mock eyewitness interview scenario, where the class was divided into two groups: investigators and eyewitnesses, and further segmented into four pairs, each comprising one investigator and one eyewitness. The eyewitness group viewed a video depicting a scene involving a potential suspect while the investigators waited outside the room. Following the video presentation, the investigators re-entered the room and received specific instructions from the lecturer to avoid asking leading questions or prompting the eyewitness for further details or clarification. Each eyewitness provided their account, which was then compiled to examine the variations in their observations </w:t>
      </w:r>
      <w:r w:rsidRPr="002728A1">
        <w:rPr>
          <w:rFonts w:cs="Times New Roman"/>
          <w:sz w:val="24"/>
          <w:szCs w:val="24"/>
        </w:rPr>
        <w:lastRenderedPageBreak/>
        <w:t>regarding the scene and the suspect's details. In the subsequent week's session, a mock police lineup was presented to the class, and the eyewitnesses were asked to identify the suspect. All but one individual correctly identified the suspect. The investigators were also asked to select the suspect based on the eyewitness accounts provided to them.</w:t>
      </w:r>
    </w:p>
    <w:p w14:paraId="37F4C264" w14:textId="77777777" w:rsidR="00545A09" w:rsidRPr="002728A1" w:rsidRDefault="00545A09" w:rsidP="00545A09">
      <w:pPr>
        <w:spacing w:line="480" w:lineRule="auto"/>
        <w:ind w:firstLine="720"/>
        <w:rPr>
          <w:rFonts w:cs="Times New Roman"/>
          <w:sz w:val="24"/>
          <w:szCs w:val="24"/>
        </w:rPr>
      </w:pPr>
      <w:r w:rsidRPr="002728A1">
        <w:rPr>
          <w:rFonts w:cs="Times New Roman"/>
          <w:sz w:val="24"/>
          <w:szCs w:val="24"/>
        </w:rPr>
        <w:t xml:space="preserve">The eyewitnesses all viewed the same video, yet their accounts of the scene and descriptions of the suspect differed significantly. While most of them accurately described the room and its contents, their depictions of the suspect's facial features, hair, and clothing colours varied. Some described the suspect’s facial features as having a sharp jaw and being clean-shaven, while others provided a different account of key details, such as the colour of the suspect’s clothing, for example, whether the t-shirt was grey or blue, or whether the jeans were light or dark. These distinctions underscore a crucial aspect of eyewitness memory: individuals can witness the same event yet recall it in notably different ways. Reconstructive Memory Theory (Bartlett, 1932) suggests that memory is not merely a static recording but rather a dynamic reconstructive process. When people encounter an event, they retain fragments of their observations, and during later recollection, they unconsciously fill in the missing blanks using their prior knowledge, expectations, or assumptions. In this scenario, some students may have concentrated on the suspect’s clothing, while others focused more on facial features or actions. As a result of these differences in attention and perception, their reconstructions of memory also varied. Chrobak and Zaragoza (2013) found that minor pieces of wrong information or details can lead to memories that are strong but also false. This is especially likely to occur when witnesses have to recount the event themselves. Similarly, Fitzgerald et al. (2018) showed that time influences how </w:t>
      </w:r>
      <w:r w:rsidRPr="002728A1">
        <w:rPr>
          <w:rFonts w:cs="Times New Roman"/>
          <w:sz w:val="24"/>
          <w:szCs w:val="24"/>
        </w:rPr>
        <w:lastRenderedPageBreak/>
        <w:t>the witness remembers the details of faces and showed that eyewitness descriptions of faces, with differences in attention, can also play a role in the accuracy of the memory. According to Tversky and Kahneman (1974), people use mental shortcuts when they are unsure of the details and may attempt to guess the most likely probability or something with which they are familiar. In addition to reconstructive memory, decision-making bias also plays a role. If a witness is unsure of what they saw, they may make an educated guess based on what seems most likely or familiar. For example, if they are unsure of the colour, like grey or blue, they might choose a colour based on their assumption of what a suspect might wear. This form of bias operates unconsciously, reflecting the brain's instinctive approach to making decisions with insufficient information. It illustrates how our mental processes can simplify complexities, often leading us to automatic assumptions rather than deliberate conclusions.</w:t>
      </w:r>
    </w:p>
    <w:p w14:paraId="43D23F15" w14:textId="77777777" w:rsidR="00545A09" w:rsidRPr="002728A1" w:rsidRDefault="00545A09" w:rsidP="00545A09">
      <w:pPr>
        <w:spacing w:line="480" w:lineRule="auto"/>
        <w:ind w:firstLine="720"/>
        <w:rPr>
          <w:rFonts w:cs="Times New Roman"/>
          <w:sz w:val="24"/>
          <w:szCs w:val="24"/>
        </w:rPr>
      </w:pPr>
      <w:r w:rsidRPr="002728A1">
        <w:rPr>
          <w:rFonts w:cs="Times New Roman"/>
          <w:sz w:val="24"/>
          <w:szCs w:val="24"/>
        </w:rPr>
        <w:t>The inconsistency in memory plays a significant role during the lineup process, according to the relative judgment theory (Wells, 1984) when a person’s memory is not clear they are more likely to compare the individuals in the lineup to each other and then choose the one that matches the one they remember even if the actual suspect is not present in the lineup. Wells describes this as a relative judgment, which can lead to incorrect identification. In the classroom scenario, one eyewitness misidentified the suspect. This may have occurred because their original memory was already biased or incomplete, causing them to rely on visual similarity instead of confidence in their ability to remember exactly, described as absolute judgment.</w:t>
      </w:r>
    </w:p>
    <w:p w14:paraId="73CAF0C7" w14:textId="77777777" w:rsidR="00545A09" w:rsidRPr="002728A1" w:rsidRDefault="00545A09" w:rsidP="00545A09">
      <w:pPr>
        <w:spacing w:line="480" w:lineRule="auto"/>
        <w:ind w:firstLine="720"/>
        <w:rPr>
          <w:rFonts w:cs="Times New Roman"/>
          <w:sz w:val="24"/>
          <w:szCs w:val="24"/>
        </w:rPr>
      </w:pPr>
      <w:r w:rsidRPr="002728A1">
        <w:rPr>
          <w:rFonts w:cs="Times New Roman"/>
          <w:sz w:val="24"/>
          <w:szCs w:val="24"/>
        </w:rPr>
        <w:t xml:space="preserve">Recent research conducted by Wixted and Wells (2017) indicates that eyewitnesses tend to make relative judgments when their memory strength is weak, and </w:t>
      </w:r>
      <w:r w:rsidRPr="002728A1">
        <w:rPr>
          <w:rFonts w:cs="Times New Roman"/>
          <w:sz w:val="24"/>
          <w:szCs w:val="24"/>
        </w:rPr>
        <w:lastRenderedPageBreak/>
        <w:t>that confidence in these fragile memories does not reliably predict accuracy. Their findings underscore the notion that when memories are vague or reconstructed, witnesses often depend more on visual comparisons rather than on actual recall.</w:t>
      </w:r>
    </w:p>
    <w:p w14:paraId="4B83EE90" w14:textId="77777777" w:rsidR="00545A09" w:rsidRPr="002728A1" w:rsidRDefault="00545A09" w:rsidP="00545A09">
      <w:pPr>
        <w:spacing w:line="480" w:lineRule="auto"/>
        <w:ind w:firstLine="720"/>
        <w:rPr>
          <w:rFonts w:cs="Times New Roman"/>
          <w:sz w:val="24"/>
          <w:szCs w:val="24"/>
        </w:rPr>
      </w:pPr>
      <w:r w:rsidRPr="002728A1">
        <w:rPr>
          <w:rFonts w:cs="Times New Roman"/>
          <w:sz w:val="24"/>
          <w:szCs w:val="24"/>
        </w:rPr>
        <w:t>During the on-campus session, the four eyewitnesses provided their accounts sequentially, while the remaining participants listened as each individual described what they had observed. This approach inadvertently created an opportunity for memory conformity, whereby subsequent eyewitnesses could be influenced by the statements of those who went first. For instance, if the initial eyewitness claimed that the suspect was wearing a grey t-shirt and had short dark hair, the following eyewitnesses might adopt those details, even if they were uncertain or had witnessed something different. This form of memory influence is often subtle and typically unconscious, yet it can significantly impact the accuracy of later testimonies (Gabbert et al., 2003). The authors' study found that 71% of the participants included false details when discussing the events with other witnesses due to the accounts of other witnesses.</w:t>
      </w:r>
    </w:p>
    <w:p w14:paraId="1F63F649" w14:textId="77777777" w:rsidR="00545A09" w:rsidRPr="002728A1" w:rsidRDefault="00545A09" w:rsidP="00545A09">
      <w:pPr>
        <w:spacing w:line="480" w:lineRule="auto"/>
        <w:ind w:firstLine="720"/>
        <w:rPr>
          <w:rFonts w:cs="Times New Roman"/>
          <w:sz w:val="24"/>
          <w:szCs w:val="24"/>
        </w:rPr>
      </w:pPr>
      <w:r w:rsidRPr="002728A1">
        <w:rPr>
          <w:rFonts w:cs="Times New Roman"/>
          <w:sz w:val="24"/>
          <w:szCs w:val="24"/>
        </w:rPr>
        <w:t>Hope et al. (2007) found that the likelihood of memory conformity is high when witnesses trust their co-witnesses or when the co-witnesses appear confident in their account of events. Skagerberg and Wright (2008) found that individuals not only incorporate details from others' accounts into their memories but may also create blended memories, combinations of their recollections and information obtained from others. This blending can further distort the original memories, resulting in accounts that are more confident yet less accurate.</w:t>
      </w:r>
    </w:p>
    <w:p w14:paraId="58EC1E8B" w14:textId="77777777" w:rsidR="00545A09" w:rsidRPr="002728A1" w:rsidRDefault="00545A09" w:rsidP="00545A09">
      <w:pPr>
        <w:spacing w:line="480" w:lineRule="auto"/>
        <w:ind w:firstLine="720"/>
        <w:rPr>
          <w:rFonts w:cs="Times New Roman"/>
          <w:sz w:val="24"/>
          <w:szCs w:val="24"/>
        </w:rPr>
      </w:pPr>
      <w:r w:rsidRPr="002728A1">
        <w:rPr>
          <w:rFonts w:cs="Times New Roman"/>
          <w:sz w:val="24"/>
          <w:szCs w:val="24"/>
        </w:rPr>
        <w:lastRenderedPageBreak/>
        <w:t>Wright et al. (2000) discovered that some individuals resisted external influence, especially if they had confidence in their memories or possessed a personality that prioritised independence. This finding suggests that individual differences have a significant impact on the occurrence of memory conformity. In a mock set-up, this explains why not all eyewitnesses reported identical details or made the same identifications during a subsequent line-up.</w:t>
      </w:r>
    </w:p>
    <w:p w14:paraId="755C9408" w14:textId="77777777" w:rsidR="00545A09" w:rsidRPr="002728A1" w:rsidRDefault="00545A09" w:rsidP="00545A09">
      <w:pPr>
        <w:spacing w:line="480" w:lineRule="auto"/>
        <w:ind w:firstLine="720"/>
        <w:rPr>
          <w:rFonts w:cs="Times New Roman"/>
          <w:sz w:val="24"/>
          <w:szCs w:val="24"/>
        </w:rPr>
      </w:pPr>
      <w:r w:rsidRPr="002728A1">
        <w:rPr>
          <w:rFonts w:cs="Times New Roman"/>
          <w:sz w:val="24"/>
          <w:szCs w:val="24"/>
        </w:rPr>
        <w:t xml:space="preserve">Memory conformity (Gabbert et al., 2003) primarily influences the recall process prior to a lineup, but it also carries significant implications for decision-making during eyewitness identification. When a witness incorporates another person's description of a suspect into their memory, this can fundamentally alter their mental image of the suspect. As a result, when they later view the line-up, they may be more inclined to engage in relative judgment, selecting the individual who most closely resembles that modified image rather than someone they genuinely recognise from their memory (Wells, 1984). Such memory distortion, coupled with decision-making biases, underscores the complex interplay between witness accounts and identification outcomes, potentially leading to misidentifications that can have significant legal consequences. </w:t>
      </w:r>
    </w:p>
    <w:p w14:paraId="7BA7F96E" w14:textId="77777777" w:rsidR="00545A09" w:rsidRPr="002728A1" w:rsidRDefault="00545A09" w:rsidP="00545A09">
      <w:pPr>
        <w:spacing w:line="480" w:lineRule="auto"/>
        <w:ind w:firstLine="720"/>
        <w:rPr>
          <w:rFonts w:cs="Times New Roman"/>
          <w:sz w:val="24"/>
          <w:szCs w:val="24"/>
        </w:rPr>
      </w:pPr>
      <w:r w:rsidRPr="002728A1">
        <w:rPr>
          <w:rFonts w:cs="Times New Roman"/>
          <w:sz w:val="24"/>
          <w:szCs w:val="24"/>
        </w:rPr>
        <w:t xml:space="preserve">Relative Judgment Theory has had a significant impact on real-world policing procedures, particularly in the handling of eyewitness identification. Research has shown that eyewitnesses often feel pressured to choose someone from a line-up, even when they are unsure. When memory is unclear, individuals tend to compare the presented individuals and select the one who most closely resembles their mental </w:t>
      </w:r>
      <w:r w:rsidRPr="002728A1">
        <w:rPr>
          <w:rFonts w:cs="Times New Roman"/>
          <w:sz w:val="24"/>
          <w:szCs w:val="24"/>
        </w:rPr>
        <w:lastRenderedPageBreak/>
        <w:t>image of the perpetrator (Wells, 1984). This bias increases the risk of misidentification, particularly when the actual suspect is not included in the lineup.</w:t>
      </w:r>
    </w:p>
    <w:p w14:paraId="7618DAFB" w14:textId="77777777" w:rsidR="00545A09" w:rsidRPr="002728A1" w:rsidRDefault="00545A09" w:rsidP="00545A09">
      <w:pPr>
        <w:spacing w:line="480" w:lineRule="auto"/>
        <w:ind w:firstLine="720"/>
        <w:rPr>
          <w:rFonts w:cs="Times New Roman"/>
          <w:sz w:val="24"/>
          <w:szCs w:val="24"/>
        </w:rPr>
      </w:pPr>
      <w:r w:rsidRPr="002728A1">
        <w:rPr>
          <w:rFonts w:cs="Times New Roman"/>
          <w:sz w:val="24"/>
          <w:szCs w:val="24"/>
        </w:rPr>
        <w:t>In the on-campus activity, this process was clearly illustrated. An eyewitness misidentified the suspect, likely due to a combination of memory decay over time and a reliance on visual similarity rather than confident recognition. This aligns with the findings of Wells and Olson (2003), who posited that as time elapses, eyewitnesses become increasingly susceptible to decision-making bias and transition from absolute to relative judgment. As a result of this research, significant changes have been implemented in law enforcement procedures both in the UK and internationally. For instance, sequential line-ups where witnesses view one individual at a time are now commonly employed to mitigate the tendency for relative judgments (Steblay et al., 2001). Furthermore, police are trained to provide neutral instructions, such as informing witnesses that the perpetrator may or may not be present in the lineup to reduce decision-making bias. A study by Malpass and Devine (1981) found that eyewitness identifications rise significantly when lineup instructions imply the suspect's presence. In the study, half of the eyewitnesses received biased instructions suggesting the suspect was present, while the other half received unbiased instructions, allowing them to indicate if the suspect was absent. When the perpetrator was in the lineup, 100% of those given biased instructions identified someone, resulting in a 75% hit rate, which included both correct identifications and false alarms and in the unbiased condition, the hit rate was 83%. This approach lessens the pressure to make a choice and enhances the accuracy of identifications.</w:t>
      </w:r>
    </w:p>
    <w:p w14:paraId="3295D049" w14:textId="77777777" w:rsidR="00545A09" w:rsidRPr="002728A1" w:rsidRDefault="00545A09" w:rsidP="00545A09">
      <w:pPr>
        <w:spacing w:line="480" w:lineRule="auto"/>
        <w:ind w:firstLine="720"/>
        <w:rPr>
          <w:rFonts w:cs="Times New Roman"/>
          <w:sz w:val="24"/>
          <w:szCs w:val="24"/>
        </w:rPr>
      </w:pPr>
      <w:r w:rsidRPr="002728A1">
        <w:rPr>
          <w:rFonts w:cs="Times New Roman"/>
          <w:sz w:val="24"/>
          <w:szCs w:val="24"/>
        </w:rPr>
        <w:lastRenderedPageBreak/>
        <w:t>Guest et al. (2016) identified several limitations of relative judgment theory in explaining absolute identification performance. Their study found that participants struggled with the relative judgment task, suggesting that this process is more complex and less reliable than previously assumed. These findings are relevant to eyewitness identification, as they emphasise the importance of memory processes in recognising individuals. Guest et al. (2016) suggest that absolute identification relies more on exemplar comparison than on relative judgment, meaning that witnesses may recall stored representations of the studied image rather than comparing lineup suspects to each other in real-time.</w:t>
      </w:r>
    </w:p>
    <w:p w14:paraId="38645929" w14:textId="77777777" w:rsidR="00545A09" w:rsidRPr="002728A1" w:rsidRDefault="00545A09" w:rsidP="00545A09">
      <w:pPr>
        <w:spacing w:line="480" w:lineRule="auto"/>
        <w:ind w:firstLine="720"/>
        <w:rPr>
          <w:rFonts w:cs="Times New Roman"/>
          <w:sz w:val="24"/>
          <w:szCs w:val="24"/>
        </w:rPr>
      </w:pPr>
      <w:r w:rsidRPr="002728A1">
        <w:rPr>
          <w:rFonts w:cs="Times New Roman"/>
          <w:sz w:val="24"/>
          <w:szCs w:val="24"/>
        </w:rPr>
        <w:t>Meisters et al. (2018) challenge the relative judgment theory by comparing simultaneous and sequential lineups through ROC curve analysis, challenging the prevailing notion that sequential lineups are inherently superior. It finds that sequential lineups are susceptible to position effects, where the placement of the suspect may influence decision-making, a flaw not present in simultaneous lineups. Additionally, respondents exhibit shifts in their decision criteria, adopting a stricter approach for options presented earlier and a more lenient one for those presented later, which may impact the accuracy of identification. These findings suggest that lineup procedures should take these cognitive biases into account to enhance the reliability of eyewitness identifications, calling into question the exclusive reliance on relative judgment theory.</w:t>
      </w:r>
    </w:p>
    <w:p w14:paraId="7CBD4F29" w14:textId="77777777" w:rsidR="00545A09" w:rsidRPr="002728A1" w:rsidRDefault="00545A09" w:rsidP="00545A09">
      <w:pPr>
        <w:spacing w:line="480" w:lineRule="auto"/>
        <w:ind w:firstLine="720"/>
        <w:rPr>
          <w:rFonts w:cs="Times New Roman"/>
          <w:sz w:val="24"/>
          <w:szCs w:val="24"/>
        </w:rPr>
      </w:pPr>
      <w:r w:rsidRPr="002728A1">
        <w:rPr>
          <w:rFonts w:cs="Times New Roman"/>
          <w:sz w:val="24"/>
          <w:szCs w:val="24"/>
        </w:rPr>
        <w:t xml:space="preserve">Relative Judgment Theory has enhanced our understanding of the mechanisms behind eyewitness errors. Its implementation has resulted in tangible improvements in investigative practices, decreasing the likelihood of innocent individuals being wrongfully accused. Nonetheless, as illustrated in the on-campus example, errors can </w:t>
      </w:r>
      <w:r w:rsidRPr="002728A1">
        <w:rPr>
          <w:rFonts w:cs="Times New Roman"/>
          <w:sz w:val="24"/>
          <w:szCs w:val="24"/>
        </w:rPr>
        <w:lastRenderedPageBreak/>
        <w:t>still arise even with neutral procedures in place. This underscores the importance of recognising that, while procedural changes are beneficial, it is also crucial to comprehend and address psychological biases through proper training and increased awareness. Empirical research, notably the studies conducted by Wells (1984) and Steblay et al. (2001), provides strong support for the Relative Judgment theory and has led to significant changes in policing practices. These advancements include the implementation of sequential line-ups, the provision of neutral instructions, and the adoption of systems like Video Identification Parade Electronic Recording VIPER in the UK, all of which aim to alleviate the pressure to make a selection and promote more accurate, memory-based decisions. Nonetheless, decision-making bias continues to exert a substantial influence, particularly in situations where memory is compromised or contaminated by external information (Memon et al., 2011).</w:t>
      </w:r>
    </w:p>
    <w:p w14:paraId="0592CCDD" w14:textId="77777777" w:rsidR="00545A09" w:rsidRPr="002728A1" w:rsidRDefault="00545A09" w:rsidP="00545A09">
      <w:pPr>
        <w:spacing w:line="480" w:lineRule="auto"/>
        <w:ind w:firstLine="720"/>
        <w:rPr>
          <w:rFonts w:cs="Times New Roman"/>
          <w:sz w:val="24"/>
          <w:szCs w:val="24"/>
        </w:rPr>
      </w:pPr>
      <w:r w:rsidRPr="002728A1">
        <w:rPr>
          <w:rFonts w:cs="Times New Roman"/>
          <w:sz w:val="24"/>
          <w:szCs w:val="24"/>
        </w:rPr>
        <w:t>This was clearly illustrated in the classroom scenario, where eyewitnesses provided differing accounts of the same event, with one individual misidentifying the suspect during the line-up. These discrepancies can be attributed to factors such as reconstructive memory, decision-making bias, and the possibility of memory conformity, particularly after witnesses were exposed to one another's accounts. The misidentification observed in the exercise closely resembles real-world situations, highlighting how even well-intentioned witnesses can make errors under pressure.</w:t>
      </w:r>
    </w:p>
    <w:p w14:paraId="52B059CE" w14:textId="77777777" w:rsidR="00A42B57" w:rsidRDefault="00545A09" w:rsidP="00545A09">
      <w:pPr>
        <w:spacing w:line="480" w:lineRule="auto"/>
        <w:ind w:firstLine="720"/>
        <w:rPr>
          <w:rFonts w:cs="Times New Roman"/>
          <w:sz w:val="24"/>
          <w:szCs w:val="24"/>
        </w:rPr>
        <w:sectPr w:rsidR="00A42B57">
          <w:pgSz w:w="11906" w:h="16838"/>
          <w:pgMar w:top="1440" w:right="1440" w:bottom="1440" w:left="1440" w:header="708" w:footer="708" w:gutter="0"/>
          <w:cols w:space="708"/>
          <w:docGrid w:linePitch="360"/>
        </w:sectPr>
      </w:pPr>
      <w:r w:rsidRPr="002728A1">
        <w:rPr>
          <w:rFonts w:cs="Times New Roman"/>
          <w:sz w:val="24"/>
          <w:szCs w:val="24"/>
        </w:rPr>
        <w:t xml:space="preserve">In conclusion, while Relative Judgement Theory may not account for every aspect of eyewitness error, it offers an essential framework for understanding the psychological processes that influence decision-making in line-ups. Leveraging this </w:t>
      </w:r>
      <w:r w:rsidRPr="002728A1">
        <w:rPr>
          <w:rFonts w:cs="Times New Roman"/>
          <w:sz w:val="24"/>
          <w:szCs w:val="24"/>
        </w:rPr>
        <w:lastRenderedPageBreak/>
        <w:t>knowledge in policing can promote fairer and more accurate outcomes, thereby minimising the risk of wrongfully convicting innocent individuals.</w:t>
      </w:r>
    </w:p>
    <w:p w14:paraId="6BC9DC3A" w14:textId="6B7F4EBC" w:rsidR="00545A09" w:rsidRDefault="00A42B57" w:rsidP="00A42B57">
      <w:pPr>
        <w:spacing w:line="480" w:lineRule="auto"/>
        <w:ind w:firstLine="720"/>
        <w:jc w:val="center"/>
        <w:rPr>
          <w:rFonts w:cs="Times New Roman"/>
          <w:b/>
          <w:bCs/>
          <w:sz w:val="24"/>
          <w:szCs w:val="24"/>
        </w:rPr>
      </w:pPr>
      <w:r w:rsidRPr="00A42B57">
        <w:rPr>
          <w:rFonts w:cs="Times New Roman"/>
          <w:b/>
          <w:bCs/>
          <w:sz w:val="24"/>
          <w:szCs w:val="24"/>
        </w:rPr>
        <w:lastRenderedPageBreak/>
        <w:t>References</w:t>
      </w:r>
    </w:p>
    <w:p w14:paraId="6350869D" w14:textId="77777777" w:rsidR="000B3653" w:rsidRDefault="000B3653" w:rsidP="000B3653">
      <w:pPr>
        <w:pStyle w:val="NormalWeb"/>
        <w:spacing w:before="0" w:beforeAutospacing="0" w:after="0" w:afterAutospacing="0" w:line="480" w:lineRule="auto"/>
        <w:ind w:left="720" w:hanging="720"/>
        <w:rPr>
          <w:rFonts w:ascii="Calibri" w:hAnsi="Calibri" w:cs="Calibri"/>
        </w:rPr>
      </w:pPr>
      <w:r>
        <w:rPr>
          <w:rFonts w:ascii="Calibri" w:hAnsi="Calibri" w:cs="Calibri"/>
        </w:rPr>
        <w:t xml:space="preserve">Fitzgerald, R. J., Price, H. L., &amp; Valentine, T. (2018). Eyewitness identification: Live, photo, and video lineups. </w:t>
      </w:r>
      <w:r>
        <w:rPr>
          <w:rFonts w:ascii="Calibri" w:hAnsi="Calibri" w:cs="Calibri"/>
          <w:i/>
          <w:iCs/>
        </w:rPr>
        <w:t>Psychology Public Policy and Law</w:t>
      </w:r>
      <w:r>
        <w:rPr>
          <w:rFonts w:ascii="Calibri" w:hAnsi="Calibri" w:cs="Calibri"/>
        </w:rPr>
        <w:t xml:space="preserve">, </w:t>
      </w:r>
      <w:r>
        <w:rPr>
          <w:rFonts w:ascii="Calibri" w:hAnsi="Calibri" w:cs="Calibri"/>
          <w:i/>
          <w:iCs/>
        </w:rPr>
        <w:t>24</w:t>
      </w:r>
      <w:r>
        <w:rPr>
          <w:rFonts w:ascii="Calibri" w:hAnsi="Calibri" w:cs="Calibri"/>
        </w:rPr>
        <w:t xml:space="preserve">(3), 307–325. </w:t>
      </w:r>
      <w:r>
        <w:rPr>
          <w:rStyle w:val="url"/>
          <w:rFonts w:ascii="Calibri" w:eastAsiaTheme="majorEastAsia" w:hAnsi="Calibri" w:cs="Calibri"/>
        </w:rPr>
        <w:t>https://doi.org/10.1037/law0000164</w:t>
      </w:r>
    </w:p>
    <w:p w14:paraId="2349255B" w14:textId="77777777" w:rsidR="000B3653" w:rsidRDefault="000B3653" w:rsidP="000B3653">
      <w:pPr>
        <w:pStyle w:val="NormalWeb"/>
        <w:spacing w:before="0" w:beforeAutospacing="0" w:after="0" w:afterAutospacing="0" w:line="480" w:lineRule="auto"/>
        <w:ind w:left="720" w:hanging="720"/>
        <w:rPr>
          <w:rFonts w:ascii="Calibri" w:hAnsi="Calibri" w:cs="Calibri"/>
        </w:rPr>
      </w:pPr>
      <w:r>
        <w:rPr>
          <w:rFonts w:ascii="Calibri" w:hAnsi="Calibri" w:cs="Calibri"/>
        </w:rPr>
        <w:t xml:space="preserve">Gabbert, F., Memon, A., &amp; Allan, K. (2003). Memory conformity: can eyewitnesses influence each other’s memories for an event? </w:t>
      </w:r>
      <w:r>
        <w:rPr>
          <w:rFonts w:ascii="Calibri" w:hAnsi="Calibri" w:cs="Calibri"/>
          <w:i/>
          <w:iCs/>
        </w:rPr>
        <w:t>Applied Cognitive Psychology</w:t>
      </w:r>
      <w:r>
        <w:rPr>
          <w:rFonts w:ascii="Calibri" w:hAnsi="Calibri" w:cs="Calibri"/>
        </w:rPr>
        <w:t xml:space="preserve">, </w:t>
      </w:r>
      <w:r>
        <w:rPr>
          <w:rFonts w:ascii="Calibri" w:hAnsi="Calibri" w:cs="Calibri"/>
          <w:i/>
          <w:iCs/>
        </w:rPr>
        <w:t>17</w:t>
      </w:r>
      <w:r>
        <w:rPr>
          <w:rFonts w:ascii="Calibri" w:hAnsi="Calibri" w:cs="Calibri"/>
        </w:rPr>
        <w:t xml:space="preserve">(5), 533–543. </w:t>
      </w:r>
      <w:r>
        <w:rPr>
          <w:rStyle w:val="url"/>
          <w:rFonts w:ascii="Calibri" w:eastAsiaTheme="majorEastAsia" w:hAnsi="Calibri" w:cs="Calibri"/>
        </w:rPr>
        <w:t>https://doi.org/10.1002/acp.885</w:t>
      </w:r>
    </w:p>
    <w:p w14:paraId="482AD240" w14:textId="77777777" w:rsidR="000B3653" w:rsidRDefault="000B3653" w:rsidP="000B3653">
      <w:pPr>
        <w:pStyle w:val="NormalWeb"/>
        <w:spacing w:before="0" w:beforeAutospacing="0" w:after="0" w:afterAutospacing="0" w:line="480" w:lineRule="auto"/>
        <w:ind w:left="720" w:hanging="720"/>
        <w:rPr>
          <w:rFonts w:ascii="Calibri" w:hAnsi="Calibri" w:cs="Calibri"/>
        </w:rPr>
      </w:pPr>
      <w:r>
        <w:rPr>
          <w:rFonts w:ascii="Calibri" w:hAnsi="Calibri" w:cs="Calibri"/>
        </w:rPr>
        <w:t xml:space="preserve">Guest, D., Adelman, J. S., &amp; Kent, C. (2015). Relative judgement is relatively difficult: Evidence against the role of relative judgement in absolute identification. </w:t>
      </w:r>
      <w:r>
        <w:rPr>
          <w:rFonts w:ascii="Calibri" w:hAnsi="Calibri" w:cs="Calibri"/>
          <w:i/>
          <w:iCs/>
        </w:rPr>
        <w:t>Psychonomic Bulletin &amp; Review</w:t>
      </w:r>
      <w:r>
        <w:rPr>
          <w:rFonts w:ascii="Calibri" w:hAnsi="Calibri" w:cs="Calibri"/>
        </w:rPr>
        <w:t xml:space="preserve">, </w:t>
      </w:r>
      <w:r>
        <w:rPr>
          <w:rFonts w:ascii="Calibri" w:hAnsi="Calibri" w:cs="Calibri"/>
          <w:i/>
          <w:iCs/>
        </w:rPr>
        <w:t>23</w:t>
      </w:r>
      <w:r>
        <w:rPr>
          <w:rFonts w:ascii="Calibri" w:hAnsi="Calibri" w:cs="Calibri"/>
        </w:rPr>
        <w:t xml:space="preserve">(3), 922–931. </w:t>
      </w:r>
      <w:r>
        <w:rPr>
          <w:rStyle w:val="url"/>
          <w:rFonts w:ascii="Calibri" w:eastAsiaTheme="majorEastAsia" w:hAnsi="Calibri" w:cs="Calibri"/>
        </w:rPr>
        <w:t>https://doi.org/10.3758/s13423-015-0940-2</w:t>
      </w:r>
    </w:p>
    <w:p w14:paraId="2DD0B1F3" w14:textId="77777777" w:rsidR="000B3653" w:rsidRDefault="000B3653" w:rsidP="000B3653">
      <w:pPr>
        <w:pStyle w:val="NormalWeb"/>
        <w:spacing w:before="0" w:beforeAutospacing="0" w:after="0" w:afterAutospacing="0" w:line="480" w:lineRule="auto"/>
        <w:ind w:left="720" w:hanging="720"/>
        <w:rPr>
          <w:rFonts w:ascii="Calibri" w:hAnsi="Calibri" w:cs="Calibri"/>
        </w:rPr>
      </w:pPr>
      <w:r>
        <w:rPr>
          <w:rFonts w:ascii="Calibri" w:hAnsi="Calibri" w:cs="Calibri"/>
        </w:rPr>
        <w:t xml:space="preserve">Hartmann, W. E., &amp; Gone, J. P. (2012). Incorporating traditional healing into an urban American Indian health organization: A case study of community member perspectives. </w:t>
      </w:r>
      <w:r>
        <w:rPr>
          <w:rFonts w:ascii="Calibri" w:hAnsi="Calibri" w:cs="Calibri"/>
          <w:i/>
          <w:iCs/>
        </w:rPr>
        <w:t>Journal of Counseling Psychology</w:t>
      </w:r>
      <w:r>
        <w:rPr>
          <w:rFonts w:ascii="Calibri" w:hAnsi="Calibri" w:cs="Calibri"/>
        </w:rPr>
        <w:t xml:space="preserve">, </w:t>
      </w:r>
      <w:r>
        <w:rPr>
          <w:rFonts w:ascii="Calibri" w:hAnsi="Calibri" w:cs="Calibri"/>
          <w:i/>
          <w:iCs/>
        </w:rPr>
        <w:t>59</w:t>
      </w:r>
      <w:r>
        <w:rPr>
          <w:rFonts w:ascii="Calibri" w:hAnsi="Calibri" w:cs="Calibri"/>
        </w:rPr>
        <w:t xml:space="preserve">(4), 542–554. </w:t>
      </w:r>
      <w:r>
        <w:rPr>
          <w:rStyle w:val="url"/>
          <w:rFonts w:ascii="Calibri" w:eastAsiaTheme="majorEastAsia" w:hAnsi="Calibri" w:cs="Calibri"/>
        </w:rPr>
        <w:t>https://doi.org/10.1037/a0029067</w:t>
      </w:r>
    </w:p>
    <w:p w14:paraId="3A4782CE" w14:textId="77777777" w:rsidR="000B3653" w:rsidRDefault="000B3653" w:rsidP="000B3653">
      <w:pPr>
        <w:pStyle w:val="NormalWeb"/>
        <w:spacing w:before="0" w:beforeAutospacing="0" w:after="0" w:afterAutospacing="0" w:line="480" w:lineRule="auto"/>
        <w:ind w:left="720" w:hanging="720"/>
        <w:rPr>
          <w:rFonts w:ascii="Calibri" w:hAnsi="Calibri" w:cs="Calibri"/>
        </w:rPr>
      </w:pPr>
      <w:r>
        <w:rPr>
          <w:rFonts w:ascii="Calibri" w:hAnsi="Calibri" w:cs="Calibri"/>
        </w:rPr>
        <w:t xml:space="preserve">Hope, L., Ost, J., Gabbert, F., Healey, S., &amp; Lenton, E. (2007). “With a little help from my friends. . .”: The role of co-witness relationship in susceptibility to misinformation. </w:t>
      </w:r>
      <w:r>
        <w:rPr>
          <w:rFonts w:ascii="Calibri" w:hAnsi="Calibri" w:cs="Calibri"/>
          <w:i/>
          <w:iCs/>
        </w:rPr>
        <w:t>Acta Psychologica</w:t>
      </w:r>
      <w:r>
        <w:rPr>
          <w:rFonts w:ascii="Calibri" w:hAnsi="Calibri" w:cs="Calibri"/>
        </w:rPr>
        <w:t xml:space="preserve">, </w:t>
      </w:r>
      <w:r>
        <w:rPr>
          <w:rFonts w:ascii="Calibri" w:hAnsi="Calibri" w:cs="Calibri"/>
          <w:i/>
          <w:iCs/>
        </w:rPr>
        <w:t>127</w:t>
      </w:r>
      <w:r>
        <w:rPr>
          <w:rFonts w:ascii="Calibri" w:hAnsi="Calibri" w:cs="Calibri"/>
        </w:rPr>
        <w:t xml:space="preserve">(2), 476–484. </w:t>
      </w:r>
      <w:r>
        <w:rPr>
          <w:rStyle w:val="url"/>
          <w:rFonts w:ascii="Calibri" w:eastAsiaTheme="majorEastAsia" w:hAnsi="Calibri" w:cs="Calibri"/>
        </w:rPr>
        <w:t>https://doi.org/10.1016/j.actpsy.2007.08.010</w:t>
      </w:r>
    </w:p>
    <w:p w14:paraId="6471F645" w14:textId="77777777" w:rsidR="000B3653" w:rsidRDefault="000B3653" w:rsidP="000B3653">
      <w:pPr>
        <w:pStyle w:val="NormalWeb"/>
        <w:spacing w:before="0" w:beforeAutospacing="0" w:after="0" w:afterAutospacing="0" w:line="480" w:lineRule="auto"/>
        <w:ind w:left="720" w:hanging="720"/>
        <w:rPr>
          <w:rFonts w:ascii="Calibri" w:hAnsi="Calibri" w:cs="Calibri"/>
        </w:rPr>
      </w:pPr>
      <w:r>
        <w:rPr>
          <w:rFonts w:ascii="Calibri" w:hAnsi="Calibri" w:cs="Calibri"/>
        </w:rPr>
        <w:t xml:space="preserve">Loftus, E. F. (2019). Eyewitness testimony. </w:t>
      </w:r>
      <w:r>
        <w:rPr>
          <w:rFonts w:ascii="Calibri" w:hAnsi="Calibri" w:cs="Calibri"/>
          <w:i/>
          <w:iCs/>
        </w:rPr>
        <w:t>Applied Cognitive Psychology</w:t>
      </w:r>
      <w:r>
        <w:rPr>
          <w:rFonts w:ascii="Calibri" w:hAnsi="Calibri" w:cs="Calibri"/>
        </w:rPr>
        <w:t xml:space="preserve">, </w:t>
      </w:r>
      <w:r>
        <w:rPr>
          <w:rFonts w:ascii="Calibri" w:hAnsi="Calibri" w:cs="Calibri"/>
          <w:i/>
          <w:iCs/>
        </w:rPr>
        <w:t>33</w:t>
      </w:r>
      <w:r>
        <w:rPr>
          <w:rFonts w:ascii="Calibri" w:hAnsi="Calibri" w:cs="Calibri"/>
        </w:rPr>
        <w:t xml:space="preserve">(4), 498–503. </w:t>
      </w:r>
      <w:r>
        <w:rPr>
          <w:rStyle w:val="url"/>
          <w:rFonts w:ascii="Calibri" w:eastAsiaTheme="majorEastAsia" w:hAnsi="Calibri" w:cs="Calibri"/>
        </w:rPr>
        <w:t>https://doi.org/10.1002/acp.3542</w:t>
      </w:r>
    </w:p>
    <w:p w14:paraId="0301A251" w14:textId="77777777" w:rsidR="000B3653" w:rsidRDefault="000B3653" w:rsidP="000B3653">
      <w:pPr>
        <w:pStyle w:val="NormalWeb"/>
        <w:spacing w:before="0" w:beforeAutospacing="0" w:after="0" w:afterAutospacing="0" w:line="480" w:lineRule="auto"/>
        <w:ind w:left="720" w:hanging="720"/>
        <w:rPr>
          <w:rFonts w:ascii="Calibri" w:hAnsi="Calibri" w:cs="Calibri"/>
        </w:rPr>
      </w:pPr>
      <w:r>
        <w:rPr>
          <w:rFonts w:ascii="Calibri" w:hAnsi="Calibri" w:cs="Calibri"/>
        </w:rPr>
        <w:t xml:space="preserve">Malpass, R. S., &amp; Devine, P. G. (1981). Eyewitness identification: Lineup instructions and the absence of the offender. </w:t>
      </w:r>
      <w:r>
        <w:rPr>
          <w:rFonts w:ascii="Calibri" w:hAnsi="Calibri" w:cs="Calibri"/>
          <w:i/>
          <w:iCs/>
        </w:rPr>
        <w:t>Journal of Applied Psychology</w:t>
      </w:r>
      <w:r>
        <w:rPr>
          <w:rFonts w:ascii="Calibri" w:hAnsi="Calibri" w:cs="Calibri"/>
        </w:rPr>
        <w:t xml:space="preserve">, </w:t>
      </w:r>
      <w:r>
        <w:rPr>
          <w:rFonts w:ascii="Calibri" w:hAnsi="Calibri" w:cs="Calibri"/>
          <w:i/>
          <w:iCs/>
        </w:rPr>
        <w:t>66</w:t>
      </w:r>
      <w:r>
        <w:rPr>
          <w:rFonts w:ascii="Calibri" w:hAnsi="Calibri" w:cs="Calibri"/>
        </w:rPr>
        <w:t xml:space="preserve">(4), 482–489. </w:t>
      </w:r>
      <w:r>
        <w:rPr>
          <w:rStyle w:val="url"/>
          <w:rFonts w:ascii="Calibri" w:eastAsiaTheme="majorEastAsia" w:hAnsi="Calibri" w:cs="Calibri"/>
        </w:rPr>
        <w:t>https://doi.org/10.1037/0021-9010.66.4.482</w:t>
      </w:r>
    </w:p>
    <w:p w14:paraId="70BCAA74" w14:textId="77777777" w:rsidR="000B3653" w:rsidRDefault="000B3653" w:rsidP="000B3653">
      <w:pPr>
        <w:pStyle w:val="NormalWeb"/>
        <w:spacing w:before="0" w:beforeAutospacing="0" w:after="0" w:afterAutospacing="0" w:line="480" w:lineRule="auto"/>
        <w:ind w:left="720" w:hanging="720"/>
        <w:rPr>
          <w:rFonts w:ascii="Calibri" w:hAnsi="Calibri" w:cs="Calibri"/>
        </w:rPr>
      </w:pPr>
      <w:r>
        <w:rPr>
          <w:rFonts w:ascii="Calibri" w:hAnsi="Calibri" w:cs="Calibri"/>
        </w:rPr>
        <w:lastRenderedPageBreak/>
        <w:t xml:space="preserve">Meisters, J., Diedenhofen, B., &amp; Musch, J. (2018). Eyewitness identification in simultaneous and sequential lineups: an investigation of position effects using receiver operating characteristics. </w:t>
      </w:r>
      <w:r>
        <w:rPr>
          <w:rFonts w:ascii="Calibri" w:hAnsi="Calibri" w:cs="Calibri"/>
          <w:i/>
          <w:iCs/>
        </w:rPr>
        <w:t>Memory</w:t>
      </w:r>
      <w:r>
        <w:rPr>
          <w:rFonts w:ascii="Calibri" w:hAnsi="Calibri" w:cs="Calibri"/>
        </w:rPr>
        <w:t xml:space="preserve">, </w:t>
      </w:r>
      <w:r>
        <w:rPr>
          <w:rFonts w:ascii="Calibri" w:hAnsi="Calibri" w:cs="Calibri"/>
          <w:i/>
          <w:iCs/>
        </w:rPr>
        <w:t>26</w:t>
      </w:r>
      <w:r>
        <w:rPr>
          <w:rFonts w:ascii="Calibri" w:hAnsi="Calibri" w:cs="Calibri"/>
        </w:rPr>
        <w:t xml:space="preserve">(9), 1297–1309. </w:t>
      </w:r>
      <w:r>
        <w:rPr>
          <w:rStyle w:val="url"/>
          <w:rFonts w:ascii="Calibri" w:eastAsiaTheme="majorEastAsia" w:hAnsi="Calibri" w:cs="Calibri"/>
        </w:rPr>
        <w:t>https://doi.org/10.1080/09658211.2018.1464581</w:t>
      </w:r>
    </w:p>
    <w:p w14:paraId="10E42AB8" w14:textId="77777777" w:rsidR="000B3653" w:rsidRDefault="000B3653" w:rsidP="000B3653">
      <w:pPr>
        <w:pStyle w:val="NormalWeb"/>
        <w:spacing w:before="0" w:beforeAutospacing="0" w:after="0" w:afterAutospacing="0" w:line="480" w:lineRule="auto"/>
        <w:ind w:left="720" w:hanging="720"/>
        <w:rPr>
          <w:rFonts w:ascii="Calibri" w:hAnsi="Calibri" w:cs="Calibri"/>
        </w:rPr>
      </w:pPr>
      <w:r>
        <w:rPr>
          <w:rFonts w:ascii="Calibri" w:hAnsi="Calibri" w:cs="Calibri"/>
        </w:rPr>
        <w:t xml:space="preserve">Memon, A., Havard, C., Clifford, B., Gabbert, F., &amp; Watt, M. (2011). A field evaluation of the VIPER system: a new technique for eliciting eyewitness identification evidence. </w:t>
      </w:r>
      <w:r>
        <w:rPr>
          <w:rFonts w:ascii="Calibri" w:hAnsi="Calibri" w:cs="Calibri"/>
          <w:i/>
          <w:iCs/>
        </w:rPr>
        <w:t>Psychology Crime and Law</w:t>
      </w:r>
      <w:r>
        <w:rPr>
          <w:rFonts w:ascii="Calibri" w:hAnsi="Calibri" w:cs="Calibri"/>
        </w:rPr>
        <w:t xml:space="preserve">, </w:t>
      </w:r>
      <w:r>
        <w:rPr>
          <w:rFonts w:ascii="Calibri" w:hAnsi="Calibri" w:cs="Calibri"/>
          <w:i/>
          <w:iCs/>
        </w:rPr>
        <w:t>17</w:t>
      </w:r>
      <w:r>
        <w:rPr>
          <w:rFonts w:ascii="Calibri" w:hAnsi="Calibri" w:cs="Calibri"/>
        </w:rPr>
        <w:t xml:space="preserve">(8), 711–729. </w:t>
      </w:r>
      <w:r>
        <w:rPr>
          <w:rStyle w:val="url"/>
          <w:rFonts w:ascii="Calibri" w:eastAsiaTheme="majorEastAsia" w:hAnsi="Calibri" w:cs="Calibri"/>
        </w:rPr>
        <w:t>https://doi.org/10.1080/10683160903524333</w:t>
      </w:r>
    </w:p>
    <w:p w14:paraId="1C4781BA" w14:textId="77777777" w:rsidR="000B3653" w:rsidRDefault="000B3653" w:rsidP="000B3653">
      <w:pPr>
        <w:pStyle w:val="NormalWeb"/>
        <w:spacing w:before="0" w:beforeAutospacing="0" w:after="0" w:afterAutospacing="0" w:line="480" w:lineRule="auto"/>
        <w:ind w:left="720" w:hanging="720"/>
        <w:rPr>
          <w:rFonts w:ascii="Calibri" w:hAnsi="Calibri" w:cs="Calibri"/>
        </w:rPr>
      </w:pPr>
      <w:r>
        <w:rPr>
          <w:rFonts w:ascii="Calibri" w:hAnsi="Calibri" w:cs="Calibri"/>
        </w:rPr>
        <w:t xml:space="preserve">Skagerberg, E. M., &amp; Wright, D. B. (2008). The prevalence of co-witnesses and co-witness discussions in real eyewitnesses. </w:t>
      </w:r>
      <w:r>
        <w:rPr>
          <w:rFonts w:ascii="Calibri" w:hAnsi="Calibri" w:cs="Calibri"/>
          <w:i/>
          <w:iCs/>
        </w:rPr>
        <w:t>Psychology Crime and Law</w:t>
      </w:r>
      <w:r>
        <w:rPr>
          <w:rFonts w:ascii="Calibri" w:hAnsi="Calibri" w:cs="Calibri"/>
        </w:rPr>
        <w:t xml:space="preserve">, </w:t>
      </w:r>
      <w:r>
        <w:rPr>
          <w:rFonts w:ascii="Calibri" w:hAnsi="Calibri" w:cs="Calibri"/>
          <w:i/>
          <w:iCs/>
        </w:rPr>
        <w:t>14</w:t>
      </w:r>
      <w:r>
        <w:rPr>
          <w:rFonts w:ascii="Calibri" w:hAnsi="Calibri" w:cs="Calibri"/>
        </w:rPr>
        <w:t xml:space="preserve">(6), 513–521. </w:t>
      </w:r>
      <w:r>
        <w:rPr>
          <w:rStyle w:val="url"/>
          <w:rFonts w:ascii="Calibri" w:eastAsiaTheme="majorEastAsia" w:hAnsi="Calibri" w:cs="Calibri"/>
        </w:rPr>
        <w:t>https://doi.org/10.1080/10683160801948980</w:t>
      </w:r>
    </w:p>
    <w:p w14:paraId="7E488ED7" w14:textId="77777777" w:rsidR="000B3653" w:rsidRDefault="000B3653" w:rsidP="000B3653">
      <w:pPr>
        <w:pStyle w:val="NormalWeb"/>
        <w:spacing w:before="0" w:beforeAutospacing="0" w:after="0" w:afterAutospacing="0" w:line="480" w:lineRule="auto"/>
        <w:ind w:left="720" w:hanging="720"/>
        <w:rPr>
          <w:rFonts w:ascii="Calibri" w:hAnsi="Calibri" w:cs="Calibri"/>
        </w:rPr>
      </w:pPr>
      <w:r>
        <w:rPr>
          <w:rFonts w:ascii="Calibri" w:hAnsi="Calibri" w:cs="Calibri"/>
        </w:rPr>
        <w:t xml:space="preserve">Tversky, A., &amp; Kahneman, D. (1974). Judgment under Uncertainty: Heuristics and Biases. </w:t>
      </w:r>
      <w:r>
        <w:rPr>
          <w:rFonts w:ascii="Calibri" w:hAnsi="Calibri" w:cs="Calibri"/>
          <w:i/>
          <w:iCs/>
        </w:rPr>
        <w:t>Science</w:t>
      </w:r>
      <w:r>
        <w:rPr>
          <w:rFonts w:ascii="Calibri" w:hAnsi="Calibri" w:cs="Calibri"/>
        </w:rPr>
        <w:t xml:space="preserve">, </w:t>
      </w:r>
      <w:r>
        <w:rPr>
          <w:rFonts w:ascii="Calibri" w:hAnsi="Calibri" w:cs="Calibri"/>
          <w:i/>
          <w:iCs/>
        </w:rPr>
        <w:t>185</w:t>
      </w:r>
      <w:r>
        <w:rPr>
          <w:rFonts w:ascii="Calibri" w:hAnsi="Calibri" w:cs="Calibri"/>
        </w:rPr>
        <w:t xml:space="preserve">(4157), 1124–1131. </w:t>
      </w:r>
      <w:r>
        <w:rPr>
          <w:rStyle w:val="url"/>
          <w:rFonts w:ascii="Calibri" w:eastAsiaTheme="majorEastAsia" w:hAnsi="Calibri" w:cs="Calibri"/>
        </w:rPr>
        <w:t>https://doi.org/10.1126/science.185.4157.1124</w:t>
      </w:r>
    </w:p>
    <w:p w14:paraId="409CB8E1" w14:textId="77777777" w:rsidR="000B3653" w:rsidRDefault="000B3653" w:rsidP="000B3653">
      <w:pPr>
        <w:pStyle w:val="NormalWeb"/>
        <w:spacing w:before="0" w:beforeAutospacing="0" w:after="0" w:afterAutospacing="0" w:line="480" w:lineRule="auto"/>
        <w:ind w:left="720" w:hanging="720"/>
        <w:rPr>
          <w:rFonts w:ascii="Calibri" w:hAnsi="Calibri" w:cs="Calibri"/>
        </w:rPr>
      </w:pPr>
      <w:r>
        <w:rPr>
          <w:rFonts w:ascii="Calibri" w:hAnsi="Calibri" w:cs="Calibri"/>
        </w:rPr>
        <w:t xml:space="preserve">Wise, R. A., Sartori, G., Magnussen, S., &amp; Safer, M. A. (2014). An examination of the causes and solutions to eyewitness error. </w:t>
      </w:r>
      <w:r>
        <w:rPr>
          <w:rFonts w:ascii="Calibri" w:hAnsi="Calibri" w:cs="Calibri"/>
          <w:i/>
          <w:iCs/>
        </w:rPr>
        <w:t>Frontiers in Psychiatry</w:t>
      </w:r>
      <w:r>
        <w:rPr>
          <w:rFonts w:ascii="Calibri" w:hAnsi="Calibri" w:cs="Calibri"/>
        </w:rPr>
        <w:t xml:space="preserve">, </w:t>
      </w:r>
      <w:r>
        <w:rPr>
          <w:rFonts w:ascii="Calibri" w:hAnsi="Calibri" w:cs="Calibri"/>
          <w:i/>
          <w:iCs/>
        </w:rPr>
        <w:t>5</w:t>
      </w:r>
      <w:r>
        <w:rPr>
          <w:rFonts w:ascii="Calibri" w:hAnsi="Calibri" w:cs="Calibri"/>
        </w:rPr>
        <w:t xml:space="preserve">. </w:t>
      </w:r>
      <w:r>
        <w:rPr>
          <w:rStyle w:val="url"/>
          <w:rFonts w:ascii="Calibri" w:eastAsiaTheme="majorEastAsia" w:hAnsi="Calibri" w:cs="Calibri"/>
        </w:rPr>
        <w:t>https://doi.org/10.3389/fpsyt.2014.00102</w:t>
      </w:r>
    </w:p>
    <w:p w14:paraId="576D636F" w14:textId="77777777" w:rsidR="000B3653" w:rsidRDefault="000B3653" w:rsidP="000B3653">
      <w:pPr>
        <w:pStyle w:val="NormalWeb"/>
        <w:spacing w:before="0" w:beforeAutospacing="0" w:after="0" w:afterAutospacing="0" w:line="480" w:lineRule="auto"/>
        <w:ind w:left="720" w:hanging="720"/>
        <w:rPr>
          <w:rFonts w:ascii="Calibri" w:hAnsi="Calibri" w:cs="Calibri"/>
        </w:rPr>
      </w:pPr>
      <w:r>
        <w:rPr>
          <w:rFonts w:ascii="Calibri" w:hAnsi="Calibri" w:cs="Calibri"/>
        </w:rPr>
        <w:t xml:space="preserve">Wright, D. B., Self, G., &amp; Justice, C. (2000). Memory conformity: Exploring misinformation effects when presented by another person. </w:t>
      </w:r>
      <w:r>
        <w:rPr>
          <w:rFonts w:ascii="Calibri" w:hAnsi="Calibri" w:cs="Calibri"/>
          <w:i/>
          <w:iCs/>
        </w:rPr>
        <w:t>British Journal of Psychology</w:t>
      </w:r>
      <w:r>
        <w:rPr>
          <w:rFonts w:ascii="Calibri" w:hAnsi="Calibri" w:cs="Calibri"/>
        </w:rPr>
        <w:t xml:space="preserve">, </w:t>
      </w:r>
      <w:r>
        <w:rPr>
          <w:rFonts w:ascii="Calibri" w:hAnsi="Calibri" w:cs="Calibri"/>
          <w:i/>
          <w:iCs/>
        </w:rPr>
        <w:t>91</w:t>
      </w:r>
      <w:r>
        <w:rPr>
          <w:rFonts w:ascii="Calibri" w:hAnsi="Calibri" w:cs="Calibri"/>
        </w:rPr>
        <w:t xml:space="preserve">(2), 189–202. </w:t>
      </w:r>
      <w:r>
        <w:rPr>
          <w:rStyle w:val="url"/>
          <w:rFonts w:ascii="Calibri" w:eastAsiaTheme="majorEastAsia" w:hAnsi="Calibri" w:cs="Calibri"/>
        </w:rPr>
        <w:t>https://doi.org/10.1348/000712600161781</w:t>
      </w:r>
    </w:p>
    <w:p w14:paraId="281C3D39" w14:textId="77777777" w:rsidR="00A42B57" w:rsidRPr="00A42B57" w:rsidRDefault="00A42B57" w:rsidP="00A42B57">
      <w:pPr>
        <w:spacing w:line="480" w:lineRule="auto"/>
        <w:ind w:firstLine="720"/>
        <w:rPr>
          <w:rFonts w:cs="Times New Roman"/>
          <w:b/>
          <w:bCs/>
          <w:sz w:val="24"/>
          <w:szCs w:val="24"/>
        </w:rPr>
      </w:pPr>
    </w:p>
    <w:p w14:paraId="3A1281C6" w14:textId="77777777" w:rsidR="00545A09" w:rsidRPr="002728A1" w:rsidRDefault="00545A09" w:rsidP="00545A09">
      <w:pPr>
        <w:spacing w:line="480" w:lineRule="auto"/>
        <w:ind w:firstLine="720"/>
        <w:rPr>
          <w:rFonts w:cs="Times New Roman"/>
          <w:sz w:val="24"/>
          <w:szCs w:val="24"/>
        </w:rPr>
      </w:pPr>
    </w:p>
    <w:p w14:paraId="73096790" w14:textId="77777777" w:rsidR="00545A09" w:rsidRPr="002728A1" w:rsidRDefault="00545A09" w:rsidP="00545A09">
      <w:pPr>
        <w:spacing w:line="480" w:lineRule="auto"/>
        <w:ind w:firstLine="720"/>
        <w:rPr>
          <w:rFonts w:cs="Times New Roman"/>
          <w:sz w:val="24"/>
          <w:szCs w:val="24"/>
        </w:rPr>
      </w:pPr>
    </w:p>
    <w:p w14:paraId="4D92FD14" w14:textId="77777777" w:rsidR="003A5CDB" w:rsidRPr="002728A1" w:rsidRDefault="003A5CDB"/>
    <w:sectPr w:rsidR="003A5CDB" w:rsidRPr="002728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D17"/>
    <w:rsid w:val="00045D79"/>
    <w:rsid w:val="000B3653"/>
    <w:rsid w:val="002211F7"/>
    <w:rsid w:val="002728A1"/>
    <w:rsid w:val="002A6D17"/>
    <w:rsid w:val="003A5CDB"/>
    <w:rsid w:val="003C1D60"/>
    <w:rsid w:val="003C51E2"/>
    <w:rsid w:val="004242C7"/>
    <w:rsid w:val="00545A09"/>
    <w:rsid w:val="007E6321"/>
    <w:rsid w:val="00834250"/>
    <w:rsid w:val="009B29DD"/>
    <w:rsid w:val="00A42B57"/>
    <w:rsid w:val="00B74559"/>
    <w:rsid w:val="00DF71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B1550D"/>
  <w15:chartTrackingRefBased/>
  <w15:docId w15:val="{074FF210-D616-4FB3-8522-09A2735037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5A09"/>
  </w:style>
  <w:style w:type="paragraph" w:styleId="Heading1">
    <w:name w:val="heading 1"/>
    <w:basedOn w:val="Normal"/>
    <w:next w:val="Normal"/>
    <w:link w:val="Heading1Char"/>
    <w:uiPriority w:val="9"/>
    <w:qFormat/>
    <w:rsid w:val="002A6D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6D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6D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6D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6D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6D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6D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6D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6D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6D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6D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6D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6D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6D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6D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6D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6D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6D17"/>
    <w:rPr>
      <w:rFonts w:eastAsiaTheme="majorEastAsia" w:cstheme="majorBidi"/>
      <w:color w:val="272727" w:themeColor="text1" w:themeTint="D8"/>
    </w:rPr>
  </w:style>
  <w:style w:type="paragraph" w:styleId="Title">
    <w:name w:val="Title"/>
    <w:basedOn w:val="Normal"/>
    <w:next w:val="Normal"/>
    <w:link w:val="TitleChar"/>
    <w:uiPriority w:val="10"/>
    <w:qFormat/>
    <w:rsid w:val="002A6D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6D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6D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6D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6D17"/>
    <w:pPr>
      <w:spacing w:before="160"/>
      <w:jc w:val="center"/>
    </w:pPr>
    <w:rPr>
      <w:i/>
      <w:iCs/>
      <w:color w:val="404040" w:themeColor="text1" w:themeTint="BF"/>
    </w:rPr>
  </w:style>
  <w:style w:type="character" w:customStyle="1" w:styleId="QuoteChar">
    <w:name w:val="Quote Char"/>
    <w:basedOn w:val="DefaultParagraphFont"/>
    <w:link w:val="Quote"/>
    <w:uiPriority w:val="29"/>
    <w:rsid w:val="002A6D17"/>
    <w:rPr>
      <w:i/>
      <w:iCs/>
      <w:color w:val="404040" w:themeColor="text1" w:themeTint="BF"/>
    </w:rPr>
  </w:style>
  <w:style w:type="paragraph" w:styleId="ListParagraph">
    <w:name w:val="List Paragraph"/>
    <w:basedOn w:val="Normal"/>
    <w:uiPriority w:val="34"/>
    <w:qFormat/>
    <w:rsid w:val="002A6D17"/>
    <w:pPr>
      <w:ind w:left="720"/>
      <w:contextualSpacing/>
    </w:pPr>
  </w:style>
  <w:style w:type="character" w:styleId="IntenseEmphasis">
    <w:name w:val="Intense Emphasis"/>
    <w:basedOn w:val="DefaultParagraphFont"/>
    <w:uiPriority w:val="21"/>
    <w:qFormat/>
    <w:rsid w:val="002A6D17"/>
    <w:rPr>
      <w:i/>
      <w:iCs/>
      <w:color w:val="0F4761" w:themeColor="accent1" w:themeShade="BF"/>
    </w:rPr>
  </w:style>
  <w:style w:type="paragraph" w:styleId="IntenseQuote">
    <w:name w:val="Intense Quote"/>
    <w:basedOn w:val="Normal"/>
    <w:next w:val="Normal"/>
    <w:link w:val="IntenseQuoteChar"/>
    <w:uiPriority w:val="30"/>
    <w:qFormat/>
    <w:rsid w:val="002A6D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6D17"/>
    <w:rPr>
      <w:i/>
      <w:iCs/>
      <w:color w:val="0F4761" w:themeColor="accent1" w:themeShade="BF"/>
    </w:rPr>
  </w:style>
  <w:style w:type="character" w:styleId="IntenseReference">
    <w:name w:val="Intense Reference"/>
    <w:basedOn w:val="DefaultParagraphFont"/>
    <w:uiPriority w:val="32"/>
    <w:qFormat/>
    <w:rsid w:val="002A6D17"/>
    <w:rPr>
      <w:b/>
      <w:bCs/>
      <w:smallCaps/>
      <w:color w:val="0F4761" w:themeColor="accent1" w:themeShade="BF"/>
      <w:spacing w:val="5"/>
    </w:rPr>
  </w:style>
  <w:style w:type="character" w:styleId="Hyperlink">
    <w:name w:val="Hyperlink"/>
    <w:basedOn w:val="DefaultParagraphFont"/>
    <w:uiPriority w:val="99"/>
    <w:unhideWhenUsed/>
    <w:rsid w:val="002728A1"/>
    <w:rPr>
      <w:color w:val="467886" w:themeColor="hyperlink"/>
      <w:u w:val="single"/>
    </w:rPr>
  </w:style>
  <w:style w:type="character" w:styleId="UnresolvedMention">
    <w:name w:val="Unresolved Mention"/>
    <w:basedOn w:val="DefaultParagraphFont"/>
    <w:uiPriority w:val="99"/>
    <w:semiHidden/>
    <w:unhideWhenUsed/>
    <w:rsid w:val="002728A1"/>
    <w:rPr>
      <w:color w:val="605E5C"/>
      <w:shd w:val="clear" w:color="auto" w:fill="E1DFDD"/>
    </w:rPr>
  </w:style>
  <w:style w:type="paragraph" w:styleId="NormalWeb">
    <w:name w:val="Normal (Web)"/>
    <w:basedOn w:val="Normal"/>
    <w:uiPriority w:val="99"/>
    <w:semiHidden/>
    <w:unhideWhenUsed/>
    <w:rsid w:val="000B365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rl">
    <w:name w:val="url"/>
    <w:basedOn w:val="DefaultParagraphFont"/>
    <w:rsid w:val="000B36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292919">
      <w:bodyDiv w:val="1"/>
      <w:marLeft w:val="0"/>
      <w:marRight w:val="0"/>
      <w:marTop w:val="0"/>
      <w:marBottom w:val="0"/>
      <w:divBdr>
        <w:top w:val="none" w:sz="0" w:space="0" w:color="auto"/>
        <w:left w:val="none" w:sz="0" w:space="0" w:color="auto"/>
        <w:bottom w:val="none" w:sz="0" w:space="0" w:color="auto"/>
        <w:right w:val="none" w:sz="0" w:space="0" w:color="auto"/>
      </w:divBdr>
      <w:divsChild>
        <w:div w:id="1169713396">
          <w:marLeft w:val="-720"/>
          <w:marRight w:val="0"/>
          <w:marTop w:val="0"/>
          <w:marBottom w:val="0"/>
          <w:divBdr>
            <w:top w:val="none" w:sz="0" w:space="0" w:color="auto"/>
            <w:left w:val="none" w:sz="0" w:space="0" w:color="auto"/>
            <w:bottom w:val="none" w:sz="0" w:space="0" w:color="auto"/>
            <w:right w:val="none" w:sz="0" w:space="0" w:color="auto"/>
          </w:divBdr>
        </w:div>
      </w:divsChild>
    </w:div>
    <w:div w:id="570696632">
      <w:bodyDiv w:val="1"/>
      <w:marLeft w:val="0"/>
      <w:marRight w:val="0"/>
      <w:marTop w:val="0"/>
      <w:marBottom w:val="0"/>
      <w:divBdr>
        <w:top w:val="none" w:sz="0" w:space="0" w:color="auto"/>
        <w:left w:val="none" w:sz="0" w:space="0" w:color="auto"/>
        <w:bottom w:val="none" w:sz="0" w:space="0" w:color="auto"/>
        <w:right w:val="none" w:sz="0" w:space="0" w:color="auto"/>
      </w:divBdr>
      <w:divsChild>
        <w:div w:id="943151368">
          <w:marLeft w:val="0"/>
          <w:marRight w:val="0"/>
          <w:marTop w:val="0"/>
          <w:marBottom w:val="160"/>
          <w:divBdr>
            <w:top w:val="none" w:sz="0" w:space="0" w:color="auto"/>
            <w:left w:val="none" w:sz="0" w:space="0" w:color="auto"/>
            <w:bottom w:val="none" w:sz="0" w:space="0" w:color="auto"/>
            <w:right w:val="none" w:sz="0" w:space="0" w:color="auto"/>
          </w:divBdr>
        </w:div>
        <w:div w:id="919682041">
          <w:marLeft w:val="0"/>
          <w:marRight w:val="0"/>
          <w:marTop w:val="0"/>
          <w:marBottom w:val="160"/>
          <w:divBdr>
            <w:top w:val="none" w:sz="0" w:space="0" w:color="auto"/>
            <w:left w:val="none" w:sz="0" w:space="0" w:color="auto"/>
            <w:bottom w:val="none" w:sz="0" w:space="0" w:color="auto"/>
            <w:right w:val="none" w:sz="0" w:space="0" w:color="auto"/>
          </w:divBdr>
        </w:div>
        <w:div w:id="1404719591">
          <w:marLeft w:val="0"/>
          <w:marRight w:val="0"/>
          <w:marTop w:val="0"/>
          <w:marBottom w:val="160"/>
          <w:divBdr>
            <w:top w:val="none" w:sz="0" w:space="0" w:color="auto"/>
            <w:left w:val="none" w:sz="0" w:space="0" w:color="auto"/>
            <w:bottom w:val="none" w:sz="0" w:space="0" w:color="auto"/>
            <w:right w:val="none" w:sz="0" w:space="0" w:color="auto"/>
          </w:divBdr>
        </w:div>
        <w:div w:id="568464055">
          <w:marLeft w:val="0"/>
          <w:marRight w:val="0"/>
          <w:marTop w:val="0"/>
          <w:marBottom w:val="160"/>
          <w:divBdr>
            <w:top w:val="none" w:sz="0" w:space="0" w:color="auto"/>
            <w:left w:val="none" w:sz="0" w:space="0" w:color="auto"/>
            <w:bottom w:val="none" w:sz="0" w:space="0" w:color="auto"/>
            <w:right w:val="none" w:sz="0" w:space="0" w:color="auto"/>
          </w:divBdr>
        </w:div>
        <w:div w:id="32778434">
          <w:marLeft w:val="0"/>
          <w:marRight w:val="0"/>
          <w:marTop w:val="0"/>
          <w:marBottom w:val="160"/>
          <w:divBdr>
            <w:top w:val="none" w:sz="0" w:space="0" w:color="auto"/>
            <w:left w:val="none" w:sz="0" w:space="0" w:color="auto"/>
            <w:bottom w:val="none" w:sz="0" w:space="0" w:color="auto"/>
            <w:right w:val="none" w:sz="0" w:space="0" w:color="auto"/>
          </w:divBdr>
        </w:div>
        <w:div w:id="939526242">
          <w:marLeft w:val="0"/>
          <w:marRight w:val="0"/>
          <w:marTop w:val="0"/>
          <w:marBottom w:val="160"/>
          <w:divBdr>
            <w:top w:val="none" w:sz="0" w:space="0" w:color="auto"/>
            <w:left w:val="none" w:sz="0" w:space="0" w:color="auto"/>
            <w:bottom w:val="none" w:sz="0" w:space="0" w:color="auto"/>
            <w:right w:val="none" w:sz="0" w:space="0" w:color="auto"/>
          </w:divBdr>
        </w:div>
        <w:div w:id="568540267">
          <w:marLeft w:val="0"/>
          <w:marRight w:val="0"/>
          <w:marTop w:val="0"/>
          <w:marBottom w:val="160"/>
          <w:divBdr>
            <w:top w:val="none" w:sz="0" w:space="0" w:color="auto"/>
            <w:left w:val="none" w:sz="0" w:space="0" w:color="auto"/>
            <w:bottom w:val="none" w:sz="0" w:space="0" w:color="auto"/>
            <w:right w:val="none" w:sz="0" w:space="0" w:color="auto"/>
          </w:divBdr>
        </w:div>
        <w:div w:id="2134712164">
          <w:marLeft w:val="0"/>
          <w:marRight w:val="0"/>
          <w:marTop w:val="0"/>
          <w:marBottom w:val="160"/>
          <w:divBdr>
            <w:top w:val="none" w:sz="0" w:space="0" w:color="auto"/>
            <w:left w:val="none" w:sz="0" w:space="0" w:color="auto"/>
            <w:bottom w:val="none" w:sz="0" w:space="0" w:color="auto"/>
            <w:right w:val="none" w:sz="0" w:space="0" w:color="auto"/>
          </w:divBdr>
        </w:div>
        <w:div w:id="1666010580">
          <w:marLeft w:val="0"/>
          <w:marRight w:val="0"/>
          <w:marTop w:val="0"/>
          <w:marBottom w:val="160"/>
          <w:divBdr>
            <w:top w:val="none" w:sz="0" w:space="0" w:color="auto"/>
            <w:left w:val="none" w:sz="0" w:space="0" w:color="auto"/>
            <w:bottom w:val="none" w:sz="0" w:space="0" w:color="auto"/>
            <w:right w:val="none" w:sz="0" w:space="0" w:color="auto"/>
          </w:divBdr>
        </w:div>
        <w:div w:id="1300452607">
          <w:marLeft w:val="0"/>
          <w:marRight w:val="0"/>
          <w:marTop w:val="0"/>
          <w:marBottom w:val="160"/>
          <w:divBdr>
            <w:top w:val="none" w:sz="0" w:space="0" w:color="auto"/>
            <w:left w:val="none" w:sz="0" w:space="0" w:color="auto"/>
            <w:bottom w:val="none" w:sz="0" w:space="0" w:color="auto"/>
            <w:right w:val="none" w:sz="0" w:space="0" w:color="auto"/>
          </w:divBdr>
        </w:div>
        <w:div w:id="1403020072">
          <w:marLeft w:val="0"/>
          <w:marRight w:val="0"/>
          <w:marTop w:val="0"/>
          <w:marBottom w:val="160"/>
          <w:divBdr>
            <w:top w:val="none" w:sz="0" w:space="0" w:color="auto"/>
            <w:left w:val="none" w:sz="0" w:space="0" w:color="auto"/>
            <w:bottom w:val="none" w:sz="0" w:space="0" w:color="auto"/>
            <w:right w:val="none" w:sz="0" w:space="0" w:color="auto"/>
          </w:divBdr>
        </w:div>
        <w:div w:id="397047792">
          <w:marLeft w:val="0"/>
          <w:marRight w:val="0"/>
          <w:marTop w:val="0"/>
          <w:marBottom w:val="160"/>
          <w:divBdr>
            <w:top w:val="none" w:sz="0" w:space="0" w:color="auto"/>
            <w:left w:val="none" w:sz="0" w:space="0" w:color="auto"/>
            <w:bottom w:val="none" w:sz="0" w:space="0" w:color="auto"/>
            <w:right w:val="none" w:sz="0" w:space="0" w:color="auto"/>
          </w:divBdr>
        </w:div>
        <w:div w:id="1789809029">
          <w:marLeft w:val="0"/>
          <w:marRight w:val="0"/>
          <w:marTop w:val="0"/>
          <w:marBottom w:val="160"/>
          <w:divBdr>
            <w:top w:val="none" w:sz="0" w:space="0" w:color="auto"/>
            <w:left w:val="none" w:sz="0" w:space="0" w:color="auto"/>
            <w:bottom w:val="none" w:sz="0" w:space="0" w:color="auto"/>
            <w:right w:val="none" w:sz="0" w:space="0" w:color="auto"/>
          </w:divBdr>
        </w:div>
        <w:div w:id="1850758430">
          <w:marLeft w:val="0"/>
          <w:marRight w:val="0"/>
          <w:marTop w:val="0"/>
          <w:marBottom w:val="160"/>
          <w:divBdr>
            <w:top w:val="none" w:sz="0" w:space="0" w:color="auto"/>
            <w:left w:val="none" w:sz="0" w:space="0" w:color="auto"/>
            <w:bottom w:val="none" w:sz="0" w:space="0" w:color="auto"/>
            <w:right w:val="none" w:sz="0" w:space="0" w:color="auto"/>
          </w:divBdr>
        </w:div>
        <w:div w:id="2092047195">
          <w:marLeft w:val="0"/>
          <w:marRight w:val="0"/>
          <w:marTop w:val="0"/>
          <w:marBottom w:val="160"/>
          <w:divBdr>
            <w:top w:val="none" w:sz="0" w:space="0" w:color="auto"/>
            <w:left w:val="none" w:sz="0" w:space="0" w:color="auto"/>
            <w:bottom w:val="none" w:sz="0" w:space="0" w:color="auto"/>
            <w:right w:val="none" w:sz="0" w:space="0" w:color="auto"/>
          </w:divBdr>
        </w:div>
        <w:div w:id="297031081">
          <w:marLeft w:val="0"/>
          <w:marRight w:val="0"/>
          <w:marTop w:val="0"/>
          <w:marBottom w:val="160"/>
          <w:divBdr>
            <w:top w:val="none" w:sz="0" w:space="0" w:color="auto"/>
            <w:left w:val="none" w:sz="0" w:space="0" w:color="auto"/>
            <w:bottom w:val="none" w:sz="0" w:space="0" w:color="auto"/>
            <w:right w:val="none" w:sz="0" w:space="0" w:color="auto"/>
          </w:divBdr>
        </w:div>
        <w:div w:id="1289579632">
          <w:marLeft w:val="0"/>
          <w:marRight w:val="0"/>
          <w:marTop w:val="0"/>
          <w:marBottom w:val="160"/>
          <w:divBdr>
            <w:top w:val="none" w:sz="0" w:space="0" w:color="auto"/>
            <w:left w:val="none" w:sz="0" w:space="0" w:color="auto"/>
            <w:bottom w:val="none" w:sz="0" w:space="0" w:color="auto"/>
            <w:right w:val="none" w:sz="0" w:space="0" w:color="auto"/>
          </w:divBdr>
        </w:div>
        <w:div w:id="665286333">
          <w:marLeft w:val="0"/>
          <w:marRight w:val="0"/>
          <w:marTop w:val="0"/>
          <w:marBottom w:val="160"/>
          <w:divBdr>
            <w:top w:val="none" w:sz="0" w:space="0" w:color="auto"/>
            <w:left w:val="none" w:sz="0" w:space="0" w:color="auto"/>
            <w:bottom w:val="none" w:sz="0" w:space="0" w:color="auto"/>
            <w:right w:val="none" w:sz="0" w:space="0" w:color="auto"/>
          </w:divBdr>
        </w:div>
        <w:div w:id="1499348599">
          <w:marLeft w:val="0"/>
          <w:marRight w:val="0"/>
          <w:marTop w:val="0"/>
          <w:marBottom w:val="160"/>
          <w:divBdr>
            <w:top w:val="none" w:sz="0" w:space="0" w:color="auto"/>
            <w:left w:val="none" w:sz="0" w:space="0" w:color="auto"/>
            <w:bottom w:val="none" w:sz="0" w:space="0" w:color="auto"/>
            <w:right w:val="none" w:sz="0" w:space="0" w:color="auto"/>
          </w:divBdr>
        </w:div>
        <w:div w:id="1744569315">
          <w:marLeft w:val="0"/>
          <w:marRight w:val="0"/>
          <w:marTop w:val="0"/>
          <w:marBottom w:val="160"/>
          <w:divBdr>
            <w:top w:val="none" w:sz="0" w:space="0" w:color="auto"/>
            <w:left w:val="none" w:sz="0" w:space="0" w:color="auto"/>
            <w:bottom w:val="none" w:sz="0" w:space="0" w:color="auto"/>
            <w:right w:val="none" w:sz="0" w:space="0" w:color="auto"/>
          </w:divBdr>
        </w:div>
        <w:div w:id="437261087">
          <w:marLeft w:val="0"/>
          <w:marRight w:val="0"/>
          <w:marTop w:val="0"/>
          <w:marBottom w:val="160"/>
          <w:divBdr>
            <w:top w:val="none" w:sz="0" w:space="0" w:color="auto"/>
            <w:left w:val="none" w:sz="0" w:space="0" w:color="auto"/>
            <w:bottom w:val="none" w:sz="0" w:space="0" w:color="auto"/>
            <w:right w:val="none" w:sz="0" w:space="0" w:color="auto"/>
          </w:divBdr>
        </w:div>
        <w:div w:id="135998345">
          <w:marLeft w:val="0"/>
          <w:marRight w:val="0"/>
          <w:marTop w:val="0"/>
          <w:marBottom w:val="160"/>
          <w:divBdr>
            <w:top w:val="none" w:sz="0" w:space="0" w:color="auto"/>
            <w:left w:val="none" w:sz="0" w:space="0" w:color="auto"/>
            <w:bottom w:val="none" w:sz="0" w:space="0" w:color="auto"/>
            <w:right w:val="none" w:sz="0" w:space="0" w:color="auto"/>
          </w:divBdr>
        </w:div>
        <w:div w:id="1055545077">
          <w:marLeft w:val="0"/>
          <w:marRight w:val="0"/>
          <w:marTop w:val="0"/>
          <w:marBottom w:val="160"/>
          <w:divBdr>
            <w:top w:val="none" w:sz="0" w:space="0" w:color="auto"/>
            <w:left w:val="none" w:sz="0" w:space="0" w:color="auto"/>
            <w:bottom w:val="none" w:sz="0" w:space="0" w:color="auto"/>
            <w:right w:val="none" w:sz="0" w:space="0" w:color="auto"/>
          </w:divBdr>
        </w:div>
      </w:divsChild>
    </w:div>
    <w:div w:id="748695124">
      <w:bodyDiv w:val="1"/>
      <w:marLeft w:val="0"/>
      <w:marRight w:val="0"/>
      <w:marTop w:val="0"/>
      <w:marBottom w:val="0"/>
      <w:divBdr>
        <w:top w:val="none" w:sz="0" w:space="0" w:color="auto"/>
        <w:left w:val="none" w:sz="0" w:space="0" w:color="auto"/>
        <w:bottom w:val="none" w:sz="0" w:space="0" w:color="auto"/>
        <w:right w:val="none" w:sz="0" w:space="0" w:color="auto"/>
      </w:divBdr>
      <w:divsChild>
        <w:div w:id="867836208">
          <w:marLeft w:val="0"/>
          <w:marRight w:val="0"/>
          <w:marTop w:val="0"/>
          <w:marBottom w:val="160"/>
          <w:divBdr>
            <w:top w:val="none" w:sz="0" w:space="0" w:color="auto"/>
            <w:left w:val="none" w:sz="0" w:space="0" w:color="auto"/>
            <w:bottom w:val="none" w:sz="0" w:space="0" w:color="auto"/>
            <w:right w:val="none" w:sz="0" w:space="0" w:color="auto"/>
          </w:divBdr>
        </w:div>
        <w:div w:id="1193570197">
          <w:marLeft w:val="0"/>
          <w:marRight w:val="0"/>
          <w:marTop w:val="0"/>
          <w:marBottom w:val="160"/>
          <w:divBdr>
            <w:top w:val="none" w:sz="0" w:space="0" w:color="auto"/>
            <w:left w:val="none" w:sz="0" w:space="0" w:color="auto"/>
            <w:bottom w:val="none" w:sz="0" w:space="0" w:color="auto"/>
            <w:right w:val="none" w:sz="0" w:space="0" w:color="auto"/>
          </w:divBdr>
        </w:div>
        <w:div w:id="1059472244">
          <w:marLeft w:val="0"/>
          <w:marRight w:val="0"/>
          <w:marTop w:val="0"/>
          <w:marBottom w:val="160"/>
          <w:divBdr>
            <w:top w:val="none" w:sz="0" w:space="0" w:color="auto"/>
            <w:left w:val="none" w:sz="0" w:space="0" w:color="auto"/>
            <w:bottom w:val="none" w:sz="0" w:space="0" w:color="auto"/>
            <w:right w:val="none" w:sz="0" w:space="0" w:color="auto"/>
          </w:divBdr>
        </w:div>
        <w:div w:id="1720394421">
          <w:marLeft w:val="0"/>
          <w:marRight w:val="0"/>
          <w:marTop w:val="0"/>
          <w:marBottom w:val="160"/>
          <w:divBdr>
            <w:top w:val="none" w:sz="0" w:space="0" w:color="auto"/>
            <w:left w:val="none" w:sz="0" w:space="0" w:color="auto"/>
            <w:bottom w:val="none" w:sz="0" w:space="0" w:color="auto"/>
            <w:right w:val="none" w:sz="0" w:space="0" w:color="auto"/>
          </w:divBdr>
        </w:div>
        <w:div w:id="2071731405">
          <w:marLeft w:val="0"/>
          <w:marRight w:val="0"/>
          <w:marTop w:val="0"/>
          <w:marBottom w:val="160"/>
          <w:divBdr>
            <w:top w:val="none" w:sz="0" w:space="0" w:color="auto"/>
            <w:left w:val="none" w:sz="0" w:space="0" w:color="auto"/>
            <w:bottom w:val="none" w:sz="0" w:space="0" w:color="auto"/>
            <w:right w:val="none" w:sz="0" w:space="0" w:color="auto"/>
          </w:divBdr>
        </w:div>
        <w:div w:id="1890650444">
          <w:marLeft w:val="0"/>
          <w:marRight w:val="0"/>
          <w:marTop w:val="0"/>
          <w:marBottom w:val="160"/>
          <w:divBdr>
            <w:top w:val="none" w:sz="0" w:space="0" w:color="auto"/>
            <w:left w:val="none" w:sz="0" w:space="0" w:color="auto"/>
            <w:bottom w:val="none" w:sz="0" w:space="0" w:color="auto"/>
            <w:right w:val="none" w:sz="0" w:space="0" w:color="auto"/>
          </w:divBdr>
        </w:div>
        <w:div w:id="620377537">
          <w:marLeft w:val="0"/>
          <w:marRight w:val="0"/>
          <w:marTop w:val="0"/>
          <w:marBottom w:val="160"/>
          <w:divBdr>
            <w:top w:val="none" w:sz="0" w:space="0" w:color="auto"/>
            <w:left w:val="none" w:sz="0" w:space="0" w:color="auto"/>
            <w:bottom w:val="none" w:sz="0" w:space="0" w:color="auto"/>
            <w:right w:val="none" w:sz="0" w:space="0" w:color="auto"/>
          </w:divBdr>
        </w:div>
        <w:div w:id="947813618">
          <w:marLeft w:val="0"/>
          <w:marRight w:val="0"/>
          <w:marTop w:val="0"/>
          <w:marBottom w:val="160"/>
          <w:divBdr>
            <w:top w:val="none" w:sz="0" w:space="0" w:color="auto"/>
            <w:left w:val="none" w:sz="0" w:space="0" w:color="auto"/>
            <w:bottom w:val="none" w:sz="0" w:space="0" w:color="auto"/>
            <w:right w:val="none" w:sz="0" w:space="0" w:color="auto"/>
          </w:divBdr>
        </w:div>
        <w:div w:id="1955987655">
          <w:marLeft w:val="0"/>
          <w:marRight w:val="0"/>
          <w:marTop w:val="0"/>
          <w:marBottom w:val="160"/>
          <w:divBdr>
            <w:top w:val="none" w:sz="0" w:space="0" w:color="auto"/>
            <w:left w:val="none" w:sz="0" w:space="0" w:color="auto"/>
            <w:bottom w:val="none" w:sz="0" w:space="0" w:color="auto"/>
            <w:right w:val="none" w:sz="0" w:space="0" w:color="auto"/>
          </w:divBdr>
        </w:div>
        <w:div w:id="1693998044">
          <w:marLeft w:val="0"/>
          <w:marRight w:val="0"/>
          <w:marTop w:val="0"/>
          <w:marBottom w:val="160"/>
          <w:divBdr>
            <w:top w:val="none" w:sz="0" w:space="0" w:color="auto"/>
            <w:left w:val="none" w:sz="0" w:space="0" w:color="auto"/>
            <w:bottom w:val="none" w:sz="0" w:space="0" w:color="auto"/>
            <w:right w:val="none" w:sz="0" w:space="0" w:color="auto"/>
          </w:divBdr>
        </w:div>
        <w:div w:id="985167210">
          <w:marLeft w:val="0"/>
          <w:marRight w:val="0"/>
          <w:marTop w:val="0"/>
          <w:marBottom w:val="160"/>
          <w:divBdr>
            <w:top w:val="none" w:sz="0" w:space="0" w:color="auto"/>
            <w:left w:val="none" w:sz="0" w:space="0" w:color="auto"/>
            <w:bottom w:val="none" w:sz="0" w:space="0" w:color="auto"/>
            <w:right w:val="none" w:sz="0" w:space="0" w:color="auto"/>
          </w:divBdr>
        </w:div>
        <w:div w:id="72093480">
          <w:marLeft w:val="0"/>
          <w:marRight w:val="0"/>
          <w:marTop w:val="0"/>
          <w:marBottom w:val="160"/>
          <w:divBdr>
            <w:top w:val="none" w:sz="0" w:space="0" w:color="auto"/>
            <w:left w:val="none" w:sz="0" w:space="0" w:color="auto"/>
            <w:bottom w:val="none" w:sz="0" w:space="0" w:color="auto"/>
            <w:right w:val="none" w:sz="0" w:space="0" w:color="auto"/>
          </w:divBdr>
        </w:div>
        <w:div w:id="30040667">
          <w:marLeft w:val="0"/>
          <w:marRight w:val="0"/>
          <w:marTop w:val="0"/>
          <w:marBottom w:val="160"/>
          <w:divBdr>
            <w:top w:val="none" w:sz="0" w:space="0" w:color="auto"/>
            <w:left w:val="none" w:sz="0" w:space="0" w:color="auto"/>
            <w:bottom w:val="none" w:sz="0" w:space="0" w:color="auto"/>
            <w:right w:val="none" w:sz="0" w:space="0" w:color="auto"/>
          </w:divBdr>
        </w:div>
        <w:div w:id="1801071627">
          <w:marLeft w:val="0"/>
          <w:marRight w:val="0"/>
          <w:marTop w:val="0"/>
          <w:marBottom w:val="160"/>
          <w:divBdr>
            <w:top w:val="none" w:sz="0" w:space="0" w:color="auto"/>
            <w:left w:val="none" w:sz="0" w:space="0" w:color="auto"/>
            <w:bottom w:val="none" w:sz="0" w:space="0" w:color="auto"/>
            <w:right w:val="none" w:sz="0" w:space="0" w:color="auto"/>
          </w:divBdr>
        </w:div>
        <w:div w:id="655383478">
          <w:marLeft w:val="0"/>
          <w:marRight w:val="0"/>
          <w:marTop w:val="0"/>
          <w:marBottom w:val="160"/>
          <w:divBdr>
            <w:top w:val="none" w:sz="0" w:space="0" w:color="auto"/>
            <w:left w:val="none" w:sz="0" w:space="0" w:color="auto"/>
            <w:bottom w:val="none" w:sz="0" w:space="0" w:color="auto"/>
            <w:right w:val="none" w:sz="0" w:space="0" w:color="auto"/>
          </w:divBdr>
        </w:div>
        <w:div w:id="2114595188">
          <w:marLeft w:val="0"/>
          <w:marRight w:val="0"/>
          <w:marTop w:val="0"/>
          <w:marBottom w:val="160"/>
          <w:divBdr>
            <w:top w:val="none" w:sz="0" w:space="0" w:color="auto"/>
            <w:left w:val="none" w:sz="0" w:space="0" w:color="auto"/>
            <w:bottom w:val="none" w:sz="0" w:space="0" w:color="auto"/>
            <w:right w:val="none" w:sz="0" w:space="0" w:color="auto"/>
          </w:divBdr>
        </w:div>
        <w:div w:id="1698505079">
          <w:marLeft w:val="0"/>
          <w:marRight w:val="0"/>
          <w:marTop w:val="0"/>
          <w:marBottom w:val="160"/>
          <w:divBdr>
            <w:top w:val="none" w:sz="0" w:space="0" w:color="auto"/>
            <w:left w:val="none" w:sz="0" w:space="0" w:color="auto"/>
            <w:bottom w:val="none" w:sz="0" w:space="0" w:color="auto"/>
            <w:right w:val="none" w:sz="0" w:space="0" w:color="auto"/>
          </w:divBdr>
        </w:div>
        <w:div w:id="1589193936">
          <w:marLeft w:val="0"/>
          <w:marRight w:val="0"/>
          <w:marTop w:val="0"/>
          <w:marBottom w:val="160"/>
          <w:divBdr>
            <w:top w:val="none" w:sz="0" w:space="0" w:color="auto"/>
            <w:left w:val="none" w:sz="0" w:space="0" w:color="auto"/>
            <w:bottom w:val="none" w:sz="0" w:space="0" w:color="auto"/>
            <w:right w:val="none" w:sz="0" w:space="0" w:color="auto"/>
          </w:divBdr>
        </w:div>
        <w:div w:id="714041174">
          <w:marLeft w:val="0"/>
          <w:marRight w:val="0"/>
          <w:marTop w:val="0"/>
          <w:marBottom w:val="160"/>
          <w:divBdr>
            <w:top w:val="none" w:sz="0" w:space="0" w:color="auto"/>
            <w:left w:val="none" w:sz="0" w:space="0" w:color="auto"/>
            <w:bottom w:val="none" w:sz="0" w:space="0" w:color="auto"/>
            <w:right w:val="none" w:sz="0" w:space="0" w:color="auto"/>
          </w:divBdr>
        </w:div>
        <w:div w:id="1777551996">
          <w:marLeft w:val="0"/>
          <w:marRight w:val="0"/>
          <w:marTop w:val="0"/>
          <w:marBottom w:val="160"/>
          <w:divBdr>
            <w:top w:val="none" w:sz="0" w:space="0" w:color="auto"/>
            <w:left w:val="none" w:sz="0" w:space="0" w:color="auto"/>
            <w:bottom w:val="none" w:sz="0" w:space="0" w:color="auto"/>
            <w:right w:val="none" w:sz="0" w:space="0" w:color="auto"/>
          </w:divBdr>
        </w:div>
        <w:div w:id="270746611">
          <w:marLeft w:val="0"/>
          <w:marRight w:val="0"/>
          <w:marTop w:val="0"/>
          <w:marBottom w:val="160"/>
          <w:divBdr>
            <w:top w:val="none" w:sz="0" w:space="0" w:color="auto"/>
            <w:left w:val="none" w:sz="0" w:space="0" w:color="auto"/>
            <w:bottom w:val="none" w:sz="0" w:space="0" w:color="auto"/>
            <w:right w:val="none" w:sz="0" w:space="0" w:color="auto"/>
          </w:divBdr>
        </w:div>
        <w:div w:id="1796370143">
          <w:marLeft w:val="0"/>
          <w:marRight w:val="0"/>
          <w:marTop w:val="0"/>
          <w:marBottom w:val="160"/>
          <w:divBdr>
            <w:top w:val="none" w:sz="0" w:space="0" w:color="auto"/>
            <w:left w:val="none" w:sz="0" w:space="0" w:color="auto"/>
            <w:bottom w:val="none" w:sz="0" w:space="0" w:color="auto"/>
            <w:right w:val="none" w:sz="0" w:space="0" w:color="auto"/>
          </w:divBdr>
        </w:div>
        <w:div w:id="2064912393">
          <w:marLeft w:val="0"/>
          <w:marRight w:val="0"/>
          <w:marTop w:val="0"/>
          <w:marBottom w:val="160"/>
          <w:divBdr>
            <w:top w:val="none" w:sz="0" w:space="0" w:color="auto"/>
            <w:left w:val="none" w:sz="0" w:space="0" w:color="auto"/>
            <w:bottom w:val="none" w:sz="0" w:space="0" w:color="auto"/>
            <w:right w:val="none" w:sz="0" w:space="0" w:color="auto"/>
          </w:divBdr>
        </w:div>
      </w:divsChild>
    </w:div>
    <w:div w:id="1470439823">
      <w:bodyDiv w:val="1"/>
      <w:marLeft w:val="0"/>
      <w:marRight w:val="0"/>
      <w:marTop w:val="0"/>
      <w:marBottom w:val="0"/>
      <w:divBdr>
        <w:top w:val="none" w:sz="0" w:space="0" w:color="auto"/>
        <w:left w:val="none" w:sz="0" w:space="0" w:color="auto"/>
        <w:bottom w:val="none" w:sz="0" w:space="0" w:color="auto"/>
        <w:right w:val="none" w:sz="0" w:space="0" w:color="auto"/>
      </w:divBdr>
      <w:divsChild>
        <w:div w:id="463039518">
          <w:marLeft w:val="-720"/>
          <w:marRight w:val="0"/>
          <w:marTop w:val="0"/>
          <w:marBottom w:val="0"/>
          <w:divBdr>
            <w:top w:val="none" w:sz="0" w:space="0" w:color="auto"/>
            <w:left w:val="none" w:sz="0" w:space="0" w:color="auto"/>
            <w:bottom w:val="none" w:sz="0" w:space="0" w:color="auto"/>
            <w:right w:val="none" w:sz="0" w:space="0" w:color="auto"/>
          </w:divBdr>
        </w:div>
      </w:divsChild>
    </w:div>
    <w:div w:id="2058966985">
      <w:bodyDiv w:val="1"/>
      <w:marLeft w:val="0"/>
      <w:marRight w:val="0"/>
      <w:marTop w:val="0"/>
      <w:marBottom w:val="0"/>
      <w:divBdr>
        <w:top w:val="none" w:sz="0" w:space="0" w:color="auto"/>
        <w:left w:val="none" w:sz="0" w:space="0" w:color="auto"/>
        <w:bottom w:val="none" w:sz="0" w:space="0" w:color="auto"/>
        <w:right w:val="none" w:sz="0" w:space="0" w:color="auto"/>
      </w:divBdr>
      <w:divsChild>
        <w:div w:id="49574513">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eur01.safelinks.protection.outlook.com/?url=https%3A%2F%2Fscholar.google.com%2F&amp;data=05%7C02%7C2219390%40student.uwtsd.ac.uk%7Ca1e22cf876bc4079710e08dd33c1884e%7C4e0f11f9046e45059cb8db2152311e21%7C0%7C0%7C638723628486634922%7CUnknown%7CTWFpbGZsb3d8eyJFbXB0eU1hcGkiOnRydWUsIlYiOiIwLjAuMDAwMCIsIlAiOiJXaW4zMiIsIkFOIjoiTWFpbCIsIldUIjoyfQ%3D%3D%7C0%7C%7C%7C&amp;sdata=nlKCBtyzIDgbyZAZEO%2FmHiSXkrKbn80RoNmJzi3zUgA%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14</Pages>
  <Words>3031</Words>
  <Characters>18573</Characters>
  <Application>Microsoft Office Word</Application>
  <DocSecurity>0</DocSecurity>
  <Lines>290</Lines>
  <Paragraphs>54</Paragraphs>
  <ScaleCrop>false</ScaleCrop>
  <Company/>
  <LinksUpToDate>false</LinksUpToDate>
  <CharactersWithSpaces>21550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Shaheena Kenyon</dc:creator>
  <cp:keywords/>
  <dc:description/>
  <cp:lastModifiedBy>Shaheena Kenyon</cp:lastModifiedBy>
  <cp:revision>11</cp:revision>
  <dcterms:created xsi:type="dcterms:W3CDTF">2025-04-01T21:50:00Z</dcterms:created>
  <dcterms:modified xsi:type="dcterms:W3CDTF">2025-04-01T22:13:00Z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a6935554-266f-4a91-948d-2853ae471273</vt:lpwstr>
  </property>
</Properties>
</file>