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777581D" w:rsidR="7908378C" w:rsidRDefault="7908378C" w:rsidP="33572C6E">
            <w:pPr>
              <w:ind w:right="237"/>
              <w:rPr>
                <w:b/>
                <w:bCs/>
                <w:color w:val="auto"/>
                <w:sz w:val="32"/>
                <w:szCs w:val="32"/>
              </w:rPr>
            </w:pPr>
            <w:r w:rsidRPr="33572C6E">
              <w:rPr>
                <w:b/>
                <w:bCs/>
                <w:color w:val="auto"/>
                <w:sz w:val="32"/>
                <w:szCs w:val="32"/>
              </w:rPr>
              <w:t xml:space="preserve">Learner name: </w:t>
            </w:r>
            <w:r w:rsidR="009951DF">
              <w:rPr>
                <w:b/>
                <w:bCs/>
                <w:color w:val="auto"/>
                <w:sz w:val="32"/>
                <w:szCs w:val="32"/>
              </w:rPr>
              <w:t xml:space="preserve">Thomas Jenkins </w:t>
            </w:r>
          </w:p>
          <w:p w14:paraId="3A3A802D" w14:textId="77777777" w:rsidR="33572C6E" w:rsidRDefault="33572C6E" w:rsidP="33572C6E">
            <w:pPr>
              <w:ind w:right="237"/>
              <w:rPr>
                <w:b/>
                <w:bCs/>
                <w:color w:val="auto"/>
                <w:sz w:val="32"/>
                <w:szCs w:val="32"/>
              </w:rPr>
            </w:pPr>
          </w:p>
          <w:p w14:paraId="7883A53E" w14:textId="77669ACC" w:rsidR="7908378C" w:rsidRDefault="7908378C" w:rsidP="33572C6E">
            <w:pPr>
              <w:ind w:right="237"/>
              <w:rPr>
                <w:b/>
                <w:bCs/>
                <w:color w:val="auto"/>
                <w:sz w:val="32"/>
                <w:szCs w:val="32"/>
              </w:rPr>
            </w:pPr>
            <w:r w:rsidRPr="33572C6E">
              <w:rPr>
                <w:b/>
                <w:bCs/>
                <w:color w:val="auto"/>
                <w:sz w:val="32"/>
                <w:szCs w:val="32"/>
              </w:rPr>
              <w:t>Learner’s University Registration Number:</w:t>
            </w:r>
            <w:r w:rsidR="009951DF">
              <w:rPr>
                <w:b/>
                <w:bCs/>
                <w:color w:val="auto"/>
                <w:sz w:val="32"/>
                <w:szCs w:val="32"/>
              </w:rPr>
              <w:t xml:space="preserve"> 2117612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627A5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364D6ECF"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71A79B8" w14:textId="77777777" w:rsidR="00B332A8" w:rsidRDefault="00B332A8" w:rsidP="009951DF">
      <w:pPr>
        <w:pStyle w:val="xmsonormal"/>
        <w:shd w:val="clear" w:color="auto" w:fill="FFFFFF"/>
        <w:spacing w:before="0" w:after="0"/>
        <w:rPr>
          <w:rFonts w:ascii="Calibri" w:hAnsi="Calibri" w:cs="Calibri"/>
          <w:color w:val="000000"/>
          <w:sz w:val="22"/>
          <w:szCs w:val="22"/>
        </w:rPr>
      </w:pPr>
    </w:p>
    <w:p w14:paraId="522836CF" w14:textId="269CC411" w:rsidR="00C432F4" w:rsidRPr="00B332A8" w:rsidRDefault="00B332A8" w:rsidP="009951DF">
      <w:pPr>
        <w:pStyle w:val="xmsonormal"/>
        <w:shd w:val="clear" w:color="auto" w:fill="FFFFFF"/>
        <w:spacing w:before="0" w:after="0"/>
        <w:rPr>
          <w:rFonts w:ascii="Calibri" w:hAnsi="Calibri" w:cs="Calibri"/>
          <w:b/>
          <w:bCs/>
          <w:color w:val="000000"/>
          <w:sz w:val="22"/>
          <w:szCs w:val="22"/>
        </w:rPr>
      </w:pPr>
      <w:r w:rsidRPr="00B332A8">
        <w:rPr>
          <w:rFonts w:ascii="Calibri" w:hAnsi="Calibri" w:cs="Calibri"/>
          <w:b/>
          <w:bCs/>
          <w:color w:val="000000"/>
          <w:sz w:val="22"/>
          <w:szCs w:val="22"/>
        </w:rPr>
        <w:t>Introduction</w:t>
      </w:r>
    </w:p>
    <w:p w14:paraId="42041A0E" w14:textId="625E2E6F"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This essay aims to focus on an incident that included a vulnerable 17-year-old victim. I will demonstrate how I played a significant role in what actions were taken to prevent re-victimisation and </w:t>
      </w:r>
      <w:proofErr w:type="gramStart"/>
      <w:r w:rsidRPr="00705A00">
        <w:rPr>
          <w:rFonts w:asciiTheme="minorHAnsi" w:hAnsiTheme="minorHAnsi" w:cstheme="minorHAnsi"/>
          <w:color w:val="000000"/>
          <w:sz w:val="22"/>
          <w:szCs w:val="22"/>
        </w:rPr>
        <w:t>how  I</w:t>
      </w:r>
      <w:proofErr w:type="gramEnd"/>
      <w:r w:rsidRPr="00705A00">
        <w:rPr>
          <w:rFonts w:asciiTheme="minorHAnsi" w:hAnsiTheme="minorHAnsi" w:cstheme="minorHAnsi"/>
          <w:color w:val="000000"/>
          <w:sz w:val="22"/>
          <w:szCs w:val="22"/>
        </w:rPr>
        <w:t xml:space="preserve"> was able to provide support to the vulnerable victim.</w:t>
      </w:r>
      <w:r w:rsidR="00C432F4" w:rsidRPr="00705A00">
        <w:rPr>
          <w:rFonts w:asciiTheme="minorHAnsi" w:hAnsiTheme="minorHAnsi" w:cstheme="minorHAnsi"/>
          <w:color w:val="000000"/>
          <w:sz w:val="22"/>
          <w:szCs w:val="22"/>
        </w:rPr>
        <w:t xml:space="preserve"> </w:t>
      </w:r>
      <w:r w:rsidRPr="00705A00">
        <w:rPr>
          <w:rFonts w:asciiTheme="minorHAnsi" w:hAnsiTheme="minorHAnsi" w:cstheme="minorHAnsi"/>
          <w:color w:val="000000"/>
          <w:sz w:val="22"/>
          <w:szCs w:val="22"/>
        </w:rPr>
        <w:t>This incident presented as a positive outcome for the vulnerable victim involved.</w:t>
      </w:r>
    </w:p>
    <w:p w14:paraId="7ABECFAA" w14:textId="77777777" w:rsidR="00B332A8"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The incident that I have chosen to focus on during my first few months on the Criminal Investigation Department (CID) is an attempted burglary involving a prolific burglar and a vulnerable 17-year-old female. </w:t>
      </w:r>
    </w:p>
    <w:p w14:paraId="5D4C708B" w14:textId="01185E49" w:rsidR="00B332A8" w:rsidRDefault="00B332A8" w:rsidP="009951DF">
      <w:pPr>
        <w:pStyle w:val="xmsonormal"/>
        <w:shd w:val="clear" w:color="auto" w:fill="FFFFFF"/>
        <w:spacing w:before="0" w:after="0"/>
        <w:rPr>
          <w:rFonts w:ascii="Calibri" w:hAnsi="Calibri" w:cs="Calibri"/>
          <w:color w:val="000000"/>
          <w:sz w:val="22"/>
          <w:szCs w:val="22"/>
        </w:rPr>
      </w:pPr>
    </w:p>
    <w:p w14:paraId="1EE5CAAC" w14:textId="4211F2E9" w:rsidR="00705A00" w:rsidRPr="00705A00" w:rsidRDefault="00705A00" w:rsidP="009951DF">
      <w:pPr>
        <w:pStyle w:val="xmsonormal"/>
        <w:shd w:val="clear" w:color="auto" w:fill="FFFFFF"/>
        <w:spacing w:before="0" w:after="0"/>
        <w:rPr>
          <w:rFonts w:ascii="Calibri" w:hAnsi="Calibri" w:cs="Calibri"/>
          <w:b/>
          <w:bCs/>
          <w:color w:val="000000"/>
          <w:sz w:val="22"/>
          <w:szCs w:val="22"/>
        </w:rPr>
      </w:pPr>
      <w:r w:rsidRPr="00705A00">
        <w:rPr>
          <w:rFonts w:ascii="Calibri" w:hAnsi="Calibri" w:cs="Calibri"/>
          <w:b/>
          <w:bCs/>
          <w:color w:val="000000"/>
          <w:sz w:val="22"/>
          <w:szCs w:val="22"/>
        </w:rPr>
        <w:t xml:space="preserve">Main Body </w:t>
      </w:r>
    </w:p>
    <w:p w14:paraId="66EF6C8E" w14:textId="0531A9D1"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A call had come through to South Wales Police for a possible break in for a burglary. The person who had reported this was a </w:t>
      </w:r>
      <w:proofErr w:type="gramStart"/>
      <w:r w:rsidRPr="00705A00">
        <w:rPr>
          <w:rFonts w:asciiTheme="minorHAnsi" w:hAnsiTheme="minorHAnsi" w:cstheme="minorHAnsi"/>
          <w:color w:val="000000"/>
          <w:sz w:val="22"/>
          <w:szCs w:val="22"/>
        </w:rPr>
        <w:t>17 year old</w:t>
      </w:r>
      <w:proofErr w:type="gramEnd"/>
      <w:r w:rsidRPr="00705A00">
        <w:rPr>
          <w:rFonts w:asciiTheme="minorHAnsi" w:hAnsiTheme="minorHAnsi" w:cstheme="minorHAnsi"/>
          <w:color w:val="000000"/>
          <w:sz w:val="22"/>
          <w:szCs w:val="22"/>
        </w:rPr>
        <w:t xml:space="preserve"> female who had just arrived back from school. She had gone upstairs to her bedroom when suddenly she could hear noises coming from downstairs. At this point she decided to go back downstairs to see what the noise was. She then realised that there was a male in the kitchen with a hammer who had managed to come through the kitchen window whilst she was inside the house. The victim had then sprinted back upstairs and locked herself in her room and contacted the police by dialling 999. Whilst on the phone to police she had managed to give a description of the male and what he was wearing.</w:t>
      </w:r>
    </w:p>
    <w:p w14:paraId="0A247F5F"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The information passed on by the female victim played an important part in the investigation. The call had come over the air from the control room staff and a response police officer who happened to be </w:t>
      </w:r>
      <w:proofErr w:type="gramStart"/>
      <w:r w:rsidRPr="00705A00">
        <w:rPr>
          <w:rFonts w:asciiTheme="minorHAnsi" w:hAnsiTheme="minorHAnsi" w:cstheme="minorHAnsi"/>
          <w:color w:val="000000"/>
          <w:sz w:val="22"/>
          <w:szCs w:val="22"/>
        </w:rPr>
        <w:t>in the area of</w:t>
      </w:r>
      <w:proofErr w:type="gramEnd"/>
      <w:r w:rsidRPr="00705A00">
        <w:rPr>
          <w:rFonts w:asciiTheme="minorHAnsi" w:hAnsiTheme="minorHAnsi" w:cstheme="minorHAnsi"/>
          <w:color w:val="000000"/>
          <w:sz w:val="22"/>
          <w:szCs w:val="22"/>
        </w:rPr>
        <w:t xml:space="preserve"> where this attempted burglary took place was able to act very quickly. The victim had given an accurate description of what the suspect was wearing and what he looked like (blue varsity jacket, </w:t>
      </w:r>
      <w:proofErr w:type="gramStart"/>
      <w:r w:rsidRPr="00705A00">
        <w:rPr>
          <w:rFonts w:asciiTheme="minorHAnsi" w:hAnsiTheme="minorHAnsi" w:cstheme="minorHAnsi"/>
          <w:color w:val="000000"/>
          <w:sz w:val="22"/>
          <w:szCs w:val="22"/>
        </w:rPr>
        <w:t>jeans</w:t>
      </w:r>
      <w:proofErr w:type="gramEnd"/>
      <w:r w:rsidRPr="00705A00">
        <w:rPr>
          <w:rFonts w:asciiTheme="minorHAnsi" w:hAnsiTheme="minorHAnsi" w:cstheme="minorHAnsi"/>
          <w:color w:val="000000"/>
          <w:sz w:val="22"/>
          <w:szCs w:val="22"/>
        </w:rPr>
        <w:t xml:space="preserve"> and white trainers, 5ft 8-9, slim build dark hair). The control room was able to relay this over the air to the response officer who then managed to identify the suspect and made an effective arrest 2 minutes away from where the incident took place.</w:t>
      </w:r>
    </w:p>
    <w:p w14:paraId="353715B0"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lastRenderedPageBreak/>
        <w:t>HMICFRS (2020) advises that the control room is one of the engine rooms of a police force. The force would not have an accurate picture of demand if the proper systems and procedures aren't in place. This will impair its capacity to adequately respond to calls and investigate crimes.</w:t>
      </w:r>
    </w:p>
    <w:p w14:paraId="1D47C0EE"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Due to many factors including the effective communication between the control room and response officers the suspect was quickly </w:t>
      </w:r>
      <w:proofErr w:type="gramStart"/>
      <w:r w:rsidRPr="00705A00">
        <w:rPr>
          <w:rFonts w:asciiTheme="minorHAnsi" w:hAnsiTheme="minorHAnsi" w:cstheme="minorHAnsi"/>
          <w:color w:val="000000"/>
          <w:sz w:val="22"/>
          <w:szCs w:val="22"/>
        </w:rPr>
        <w:t>identified</w:t>
      </w:r>
      <w:proofErr w:type="gramEnd"/>
      <w:r w:rsidRPr="00705A00">
        <w:rPr>
          <w:rFonts w:asciiTheme="minorHAnsi" w:hAnsiTheme="minorHAnsi" w:cstheme="minorHAnsi"/>
          <w:color w:val="000000"/>
          <w:sz w:val="22"/>
          <w:szCs w:val="22"/>
        </w:rPr>
        <w:t xml:space="preserve"> and an effective arrest was carried out.</w:t>
      </w:r>
    </w:p>
    <w:p w14:paraId="64C12295"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w:t>
      </w:r>
    </w:p>
    <w:p w14:paraId="605889D7"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CID were made aware of the call as soon as it had come over the air. This was due to the incident being an ‘on -going’ break in. I had made my way to the incident location with my sergeant where response officers were already present with the 17-year-old victim. My initial actions were to ensure her wellbeing and safety. I knew that this incident would affect her due to her age and the fact that she was in the house on her own at the time. I could tell that she was shaken up and having dealt with previous burglaries before I was aware of the physical and mental impact incidents of this nature can have on victims. She was also very upset at the fact that she didn’t lock the garden gate and was blaming herself.  </w:t>
      </w:r>
    </w:p>
    <w:p w14:paraId="3FACE388" w14:textId="73B6B38B"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Victim support (2022) tells us that </w:t>
      </w:r>
      <w:r w:rsidR="00C432F4" w:rsidRPr="00705A00">
        <w:rPr>
          <w:rFonts w:asciiTheme="minorHAnsi" w:hAnsiTheme="minorHAnsi" w:cstheme="minorHAnsi"/>
          <w:color w:val="000000"/>
          <w:sz w:val="22"/>
          <w:szCs w:val="22"/>
        </w:rPr>
        <w:t xml:space="preserve">Even if nothing has been taken, picturing a stranger in your </w:t>
      </w:r>
      <w:proofErr w:type="gramStart"/>
      <w:r w:rsidR="00C432F4" w:rsidRPr="00705A00">
        <w:rPr>
          <w:rFonts w:asciiTheme="minorHAnsi" w:hAnsiTheme="minorHAnsi" w:cstheme="minorHAnsi"/>
          <w:color w:val="000000"/>
          <w:sz w:val="22"/>
          <w:szCs w:val="22"/>
        </w:rPr>
        <w:t>home</w:t>
      </w:r>
      <w:proofErr w:type="gramEnd"/>
      <w:r w:rsidR="00C432F4" w:rsidRPr="00705A00">
        <w:rPr>
          <w:rFonts w:asciiTheme="minorHAnsi" w:hAnsiTheme="minorHAnsi" w:cstheme="minorHAnsi"/>
          <w:color w:val="000000"/>
          <w:sz w:val="22"/>
          <w:szCs w:val="22"/>
        </w:rPr>
        <w:t xml:space="preserve"> and feeling as though your security has been invaded can be unsettling. It is critical to remember that if you neglected to protect a window or door or if the burglar tricked you, it is not your fault. Even if they don't go into </w:t>
      </w:r>
      <w:proofErr w:type="gramStart"/>
      <w:r w:rsidR="00C432F4" w:rsidRPr="00705A00">
        <w:rPr>
          <w:rFonts w:asciiTheme="minorHAnsi" w:hAnsiTheme="minorHAnsi" w:cstheme="minorHAnsi"/>
          <w:color w:val="000000"/>
          <w:sz w:val="22"/>
          <w:szCs w:val="22"/>
        </w:rPr>
        <w:t>great detail</w:t>
      </w:r>
      <w:proofErr w:type="gramEnd"/>
      <w:r w:rsidR="00C432F4" w:rsidRPr="00705A00">
        <w:rPr>
          <w:rFonts w:asciiTheme="minorHAnsi" w:hAnsiTheme="minorHAnsi" w:cstheme="minorHAnsi"/>
          <w:color w:val="000000"/>
          <w:sz w:val="22"/>
          <w:szCs w:val="22"/>
        </w:rPr>
        <w:t xml:space="preserve"> about what transpired, some people hold themselves accountable. Particularly young children might experience severe fear and may need consolation.</w:t>
      </w:r>
    </w:p>
    <w:p w14:paraId="66A1BDDB"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w:t>
      </w:r>
    </w:p>
    <w:p w14:paraId="65FD7883"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I knew had to think about the empathetic language, trying not to be patronising due to her age and to reassure her as I knew she genuinely needed comfort. I knew this would be important from the start as this could influence the victim’s perception of the police and could have a negative effect if I was not caring and reassuring. </w:t>
      </w:r>
    </w:p>
    <w:p w14:paraId="48052064"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I also knew that engaging with her would hopefully help her to relax meaning that I would be able to gather as much information from her as possible. This would also be extremely important as any small detail could be crucial to the </w:t>
      </w:r>
      <w:proofErr w:type="gramStart"/>
      <w:r w:rsidRPr="00705A00">
        <w:rPr>
          <w:rFonts w:asciiTheme="minorHAnsi" w:hAnsiTheme="minorHAnsi" w:cstheme="minorHAnsi"/>
          <w:color w:val="000000"/>
          <w:sz w:val="22"/>
          <w:szCs w:val="22"/>
        </w:rPr>
        <w:t>investigation</w:t>
      </w:r>
      <w:proofErr w:type="gramEnd"/>
      <w:r w:rsidRPr="00705A00">
        <w:rPr>
          <w:rFonts w:asciiTheme="minorHAnsi" w:hAnsiTheme="minorHAnsi" w:cstheme="minorHAnsi"/>
          <w:color w:val="000000"/>
          <w:sz w:val="22"/>
          <w:szCs w:val="22"/>
        </w:rPr>
        <w:t xml:space="preserve"> and I needed her to know she could trust me and tell me anything. </w:t>
      </w:r>
    </w:p>
    <w:p w14:paraId="07B87E43"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color w:val="000000"/>
          <w:sz w:val="22"/>
          <w:szCs w:val="22"/>
        </w:rPr>
        <w:t>Miguel (2022) tells us that a police encounter with a victim of a crime can have a significant impact on later investigations and prosecutions as well as the victim's experience with the incident. The degree to which the victim demonstrates the qualities of an ideal victim may have a significant impact on the consequences of such meetings.</w:t>
      </w:r>
    </w:p>
    <w:p w14:paraId="4BD09353"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color w:val="000000"/>
          <w:sz w:val="22"/>
          <w:szCs w:val="22"/>
        </w:rPr>
        <w:t> </w:t>
      </w:r>
    </w:p>
    <w:p w14:paraId="1C623952" w14:textId="0A4C1EE9" w:rsidR="00B332A8"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I also had to consider whether the victim would be entitled to enhanced services. Due to her </w:t>
      </w:r>
      <w:proofErr w:type="gramStart"/>
      <w:r w:rsidRPr="00705A00">
        <w:rPr>
          <w:rFonts w:asciiTheme="minorHAnsi" w:hAnsiTheme="minorHAnsi" w:cstheme="minorHAnsi"/>
          <w:color w:val="000000"/>
          <w:sz w:val="22"/>
          <w:szCs w:val="22"/>
        </w:rPr>
        <w:t>age</w:t>
      </w:r>
      <w:proofErr w:type="gramEnd"/>
      <w:r w:rsidRPr="00705A00">
        <w:rPr>
          <w:rFonts w:asciiTheme="minorHAnsi" w:hAnsiTheme="minorHAnsi" w:cstheme="minorHAnsi"/>
          <w:color w:val="000000"/>
          <w:sz w:val="22"/>
          <w:szCs w:val="22"/>
        </w:rPr>
        <w:t xml:space="preserve"> she would be classed as a vulnerable victim. </w:t>
      </w:r>
      <w:r w:rsidR="00B332A8" w:rsidRPr="00705A00">
        <w:rPr>
          <w:rFonts w:asciiTheme="minorHAnsi" w:hAnsiTheme="minorHAnsi" w:cstheme="minorHAnsi"/>
          <w:color w:val="000000"/>
          <w:sz w:val="22"/>
          <w:szCs w:val="22"/>
        </w:rPr>
        <w:t xml:space="preserve">This meant that she would be able to have further support through the process of going to court </w:t>
      </w:r>
      <w:proofErr w:type="gramStart"/>
      <w:r w:rsidR="00B332A8" w:rsidRPr="00705A00">
        <w:rPr>
          <w:rFonts w:asciiTheme="minorHAnsi" w:hAnsiTheme="minorHAnsi" w:cstheme="minorHAnsi"/>
          <w:color w:val="000000"/>
          <w:sz w:val="22"/>
          <w:szCs w:val="22"/>
        </w:rPr>
        <w:t>and also</w:t>
      </w:r>
      <w:proofErr w:type="gramEnd"/>
      <w:r w:rsidR="00B332A8" w:rsidRPr="00705A00">
        <w:rPr>
          <w:rFonts w:asciiTheme="minorHAnsi" w:hAnsiTheme="minorHAnsi" w:cstheme="minorHAnsi"/>
          <w:color w:val="000000"/>
          <w:sz w:val="22"/>
          <w:szCs w:val="22"/>
        </w:rPr>
        <w:t xml:space="preserve"> within the court room. </w:t>
      </w:r>
    </w:p>
    <w:p w14:paraId="66BBF856" w14:textId="254A79B5" w:rsidR="009951DF" w:rsidRPr="00705A00" w:rsidRDefault="00C432F4"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t xml:space="preserve">A vulnerable victim is </w:t>
      </w:r>
      <w:r w:rsidR="009951DF" w:rsidRPr="00705A00">
        <w:rPr>
          <w:rFonts w:asciiTheme="minorHAnsi" w:hAnsiTheme="minorHAnsi" w:cstheme="minorHAnsi"/>
          <w:color w:val="000000"/>
          <w:sz w:val="22"/>
          <w:szCs w:val="22"/>
        </w:rPr>
        <w:t xml:space="preserve">Dev (2019) explained that if a victim fits into one of the three enhanced categories of victims, they are eligible for additional support. These groups include those who have been the targets of the most severe crimes, such as sexual assault and domestic abuse, as well as those who have been consistently singled out for attention. If a vulnerable victim met the following criteria: they were under the age of 18 at the time the offence occurred. These enhanced services fall under a category called ‘Special measures’, these are put in place when the victim </w:t>
      </w:r>
      <w:proofErr w:type="gramStart"/>
      <w:r w:rsidR="009951DF" w:rsidRPr="00705A00">
        <w:rPr>
          <w:rFonts w:asciiTheme="minorHAnsi" w:hAnsiTheme="minorHAnsi" w:cstheme="minorHAnsi"/>
          <w:color w:val="000000"/>
          <w:sz w:val="22"/>
          <w:szCs w:val="22"/>
        </w:rPr>
        <w:t>has to</w:t>
      </w:r>
      <w:proofErr w:type="gramEnd"/>
      <w:r w:rsidR="009951DF" w:rsidRPr="00705A00">
        <w:rPr>
          <w:rFonts w:asciiTheme="minorHAnsi" w:hAnsiTheme="minorHAnsi" w:cstheme="minorHAnsi"/>
          <w:color w:val="000000"/>
          <w:sz w:val="22"/>
          <w:szCs w:val="22"/>
        </w:rPr>
        <w:t xml:space="preserve"> attend court and assists them when having to give evidence. The Ministry of Justice (2015) defines "Special Measures" as referring to the actions a court may order to help threatened or vulnerable witnesses provide their strongest evidence in court which include: giving evidence in private, removal of wigs and gowns by judges, video recorded statement which is pre-recorded before trial.</w:t>
      </w:r>
      <w:r w:rsidRPr="00705A00">
        <w:rPr>
          <w:rFonts w:asciiTheme="minorHAnsi" w:hAnsiTheme="minorHAnsi" w:cstheme="minorHAnsi"/>
          <w:color w:val="000000"/>
          <w:sz w:val="22"/>
          <w:szCs w:val="22"/>
        </w:rPr>
        <w:t xml:space="preserve"> With these </w:t>
      </w:r>
      <w:r w:rsidR="00B332A8" w:rsidRPr="00705A00">
        <w:rPr>
          <w:rFonts w:asciiTheme="minorHAnsi" w:hAnsiTheme="minorHAnsi" w:cstheme="minorHAnsi"/>
          <w:color w:val="000000"/>
          <w:sz w:val="22"/>
          <w:szCs w:val="22"/>
        </w:rPr>
        <w:t xml:space="preserve">special measures in place a victim can feel more comfortable when providing their evidence. This is crucial as this can have a big impact on how their evidence comes across within the court room and how the jury and judge can interpret it. </w:t>
      </w:r>
    </w:p>
    <w:p w14:paraId="5432F0A7"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color w:val="000000"/>
          <w:sz w:val="22"/>
          <w:szCs w:val="22"/>
        </w:rPr>
        <w:t> </w:t>
      </w:r>
    </w:p>
    <w:p w14:paraId="414728B6" w14:textId="77777777" w:rsidR="009951DF" w:rsidRPr="00705A00" w:rsidRDefault="009951DF" w:rsidP="009951DF">
      <w:pPr>
        <w:pStyle w:val="xmsonormal"/>
        <w:shd w:val="clear" w:color="auto" w:fill="FFFFFF"/>
        <w:spacing w:before="0" w:after="0"/>
        <w:rPr>
          <w:rFonts w:asciiTheme="minorHAnsi" w:hAnsiTheme="minorHAnsi" w:cstheme="minorHAnsi"/>
          <w:color w:val="000000"/>
          <w:sz w:val="22"/>
          <w:szCs w:val="22"/>
        </w:rPr>
      </w:pPr>
      <w:r w:rsidRPr="00705A00">
        <w:rPr>
          <w:rFonts w:asciiTheme="minorHAnsi" w:hAnsiTheme="minorHAnsi" w:cstheme="minorHAnsi"/>
          <w:color w:val="000000"/>
          <w:sz w:val="22"/>
          <w:szCs w:val="22"/>
        </w:rPr>
        <w:lastRenderedPageBreak/>
        <w:t xml:space="preserve">After explaining that the victim was entitled to enhanced support, I was then able to take a statement from her with her father present to act as an appropriate adult due to her age. Following the </w:t>
      </w:r>
      <w:proofErr w:type="gramStart"/>
      <w:r w:rsidRPr="00705A00">
        <w:rPr>
          <w:rFonts w:asciiTheme="minorHAnsi" w:hAnsiTheme="minorHAnsi" w:cstheme="minorHAnsi"/>
          <w:color w:val="000000"/>
          <w:sz w:val="22"/>
          <w:szCs w:val="22"/>
        </w:rPr>
        <w:t>statement</w:t>
      </w:r>
      <w:proofErr w:type="gramEnd"/>
      <w:r w:rsidRPr="00705A00">
        <w:rPr>
          <w:rFonts w:asciiTheme="minorHAnsi" w:hAnsiTheme="minorHAnsi" w:cstheme="minorHAnsi"/>
          <w:color w:val="000000"/>
          <w:sz w:val="22"/>
          <w:szCs w:val="22"/>
        </w:rPr>
        <w:t xml:space="preserve"> I also informed her that she was able to give a ‘Victim personal statement’ if she wanted to. I explained that this statement is based on how this incident has made her feel and that this would get read out in a court room also. </w:t>
      </w:r>
    </w:p>
    <w:p w14:paraId="61F19320" w14:textId="395DB53F"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color w:val="000000"/>
          <w:sz w:val="22"/>
          <w:szCs w:val="22"/>
        </w:rPr>
        <w:t>The Ministry of Justice (2013) describes a victim personal statement (VPS)</w:t>
      </w:r>
      <w:r w:rsidR="00B332A8" w:rsidRPr="00705A00">
        <w:rPr>
          <w:rFonts w:asciiTheme="minorHAnsi" w:hAnsiTheme="minorHAnsi" w:cstheme="minorHAnsi"/>
          <w:color w:val="000000"/>
          <w:sz w:val="22"/>
          <w:szCs w:val="22"/>
        </w:rPr>
        <w:t xml:space="preserve"> </w:t>
      </w:r>
      <w:proofErr w:type="gramStart"/>
      <w:r w:rsidR="00B332A8" w:rsidRPr="00705A00">
        <w:rPr>
          <w:rFonts w:asciiTheme="minorHAnsi" w:hAnsiTheme="minorHAnsi" w:cstheme="minorHAnsi"/>
          <w:color w:val="000000"/>
          <w:sz w:val="22"/>
          <w:szCs w:val="22"/>
        </w:rPr>
        <w:t>as,  i</w:t>
      </w:r>
      <w:r w:rsidRPr="00705A00">
        <w:rPr>
          <w:rFonts w:asciiTheme="minorHAnsi" w:hAnsiTheme="minorHAnsi" w:cstheme="minorHAnsi"/>
          <w:color w:val="000000"/>
          <w:sz w:val="22"/>
          <w:szCs w:val="22"/>
        </w:rPr>
        <w:t>f</w:t>
      </w:r>
      <w:proofErr w:type="gramEnd"/>
      <w:r w:rsidRPr="00705A00">
        <w:rPr>
          <w:rFonts w:asciiTheme="minorHAnsi" w:hAnsiTheme="minorHAnsi" w:cstheme="minorHAnsi"/>
          <w:color w:val="000000"/>
          <w:sz w:val="22"/>
          <w:szCs w:val="22"/>
        </w:rPr>
        <w:t> </w:t>
      </w:r>
      <w:r w:rsidRPr="00705A00">
        <w:rPr>
          <w:rFonts w:asciiTheme="minorHAnsi" w:hAnsiTheme="minorHAnsi" w:cstheme="minorHAnsi"/>
          <w:color w:val="000000"/>
          <w:sz w:val="22"/>
          <w:szCs w:val="22"/>
          <w:shd w:val="clear" w:color="auto" w:fill="FFFFFF"/>
        </w:rPr>
        <w:t>you </w:t>
      </w:r>
      <w:r w:rsidRPr="00705A00">
        <w:rPr>
          <w:rFonts w:asciiTheme="minorHAnsi" w:hAnsiTheme="minorHAnsi" w:cstheme="minorHAnsi"/>
          <w:color w:val="000000"/>
          <w:sz w:val="22"/>
          <w:szCs w:val="22"/>
        </w:rPr>
        <w:t>have been a victim of crime, it is a way for you to inform the criminal justice system about the crime you were a victim of and how it affected you on a physical, emotional, psychological, financial, and/or other level. By assisting others in understanding how the crime has affected you, your VPS is crucial and gives you a voice in the criminal justice system.</w:t>
      </w:r>
    </w:p>
    <w:p w14:paraId="0BA617A2" w14:textId="77777777" w:rsidR="009951DF" w:rsidRPr="00705A00" w:rsidRDefault="009951DF" w:rsidP="009951DF">
      <w:pPr>
        <w:rPr>
          <w:rFonts w:asciiTheme="minorHAnsi" w:hAnsiTheme="minorHAnsi" w:cstheme="minorHAnsi"/>
          <w:sz w:val="22"/>
          <w:szCs w:val="22"/>
        </w:rPr>
      </w:pPr>
    </w:p>
    <w:p w14:paraId="7DE54FA1" w14:textId="5AFF05A8"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 xml:space="preserve">After taking the victim personal statement I then explained what would happen next. I advised that I would </w:t>
      </w:r>
      <w:proofErr w:type="gramStart"/>
      <w:r w:rsidRPr="00705A00">
        <w:rPr>
          <w:rFonts w:asciiTheme="minorHAnsi" w:hAnsiTheme="minorHAnsi" w:cstheme="minorHAnsi"/>
          <w:sz w:val="22"/>
          <w:szCs w:val="22"/>
        </w:rPr>
        <w:t>now  be</w:t>
      </w:r>
      <w:proofErr w:type="gramEnd"/>
      <w:r w:rsidRPr="00705A00">
        <w:rPr>
          <w:rFonts w:asciiTheme="minorHAnsi" w:hAnsiTheme="minorHAnsi" w:cstheme="minorHAnsi"/>
          <w:sz w:val="22"/>
          <w:szCs w:val="22"/>
        </w:rPr>
        <w:t xml:space="preserve"> linking with CSI who were also in attendance. I felt it was important to ensure my victim was informed every step of the way.</w:t>
      </w:r>
    </w:p>
    <w:p w14:paraId="0488DAB9" w14:textId="77777777" w:rsidR="00B332A8" w:rsidRPr="00705A00" w:rsidRDefault="00B332A8" w:rsidP="009951DF">
      <w:pPr>
        <w:rPr>
          <w:rFonts w:asciiTheme="minorHAnsi" w:hAnsiTheme="minorHAnsi" w:cstheme="minorHAnsi"/>
          <w:sz w:val="22"/>
          <w:szCs w:val="22"/>
        </w:rPr>
      </w:pPr>
    </w:p>
    <w:p w14:paraId="612CD304" w14:textId="0453D60C"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After discussing the incident with CSI and informing them of them of the detailed circumstances that the victim had given me, they were then able to find fingerprints on the kitchen window and a footprint mark on the kitchen windowsill. As explained previously in this essay, it was very important to get every detail from the victim no matter how insignificant it may have seemed as without obtaining the detail of where exactly the burglar had broken into the house and how he gained entry, CSI may not have been able to find the footwear mark on the windowsill.</w:t>
      </w:r>
    </w:p>
    <w:p w14:paraId="1F473CF0" w14:textId="77777777" w:rsidR="00B332A8" w:rsidRPr="00705A00" w:rsidRDefault="00B332A8" w:rsidP="009951DF">
      <w:pPr>
        <w:rPr>
          <w:rFonts w:asciiTheme="minorHAnsi" w:hAnsiTheme="minorHAnsi" w:cstheme="minorHAnsi"/>
          <w:sz w:val="22"/>
          <w:szCs w:val="22"/>
        </w:rPr>
      </w:pPr>
    </w:p>
    <w:p w14:paraId="0FA8204A" w14:textId="0AF98DF8"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I knew that teamworking with CSI was important and communicating with them in a clear and precise way whilst explaining the circumstances was crucial in enabling them to gather the evidence.</w:t>
      </w:r>
    </w:p>
    <w:p w14:paraId="3FEB7692" w14:textId="45A0ABF0"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Byrd (2019) explains that in crime scene investigations, collaboration is crucial. Several individuals from various teams / organisations may be involved in the entire investigation. Every person plays a crucial part in the research process. The importance of ongoing communication between all parties is crucial.</w:t>
      </w:r>
    </w:p>
    <w:p w14:paraId="3FF0E11E" w14:textId="77777777" w:rsidR="00705A00" w:rsidRDefault="00705A00" w:rsidP="009951DF"/>
    <w:p w14:paraId="61408C50" w14:textId="0EBFA361" w:rsidR="00B332A8" w:rsidRPr="00705A00" w:rsidRDefault="00705A00" w:rsidP="009951DF">
      <w:pPr>
        <w:rPr>
          <w:b/>
          <w:bCs/>
        </w:rPr>
      </w:pPr>
      <w:r w:rsidRPr="00705A00">
        <w:rPr>
          <w:b/>
          <w:bCs/>
        </w:rPr>
        <w:t xml:space="preserve">Conclusion </w:t>
      </w:r>
    </w:p>
    <w:p w14:paraId="4730A803" w14:textId="675D896D" w:rsidR="009951DF"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 xml:space="preserve">The outcome of this investigation was an extremely positive one for South Wales Police. The suspect had been a prolific burglar and had a history for breaking into properties that were unoccupied. He also had a modus operandi (MO) for targeting properties that had young people living at the address. </w:t>
      </w:r>
    </w:p>
    <w:p w14:paraId="0A6E03CD" w14:textId="77777777" w:rsidR="00705A00" w:rsidRPr="00705A00" w:rsidRDefault="00705A00" w:rsidP="009951DF">
      <w:pPr>
        <w:rPr>
          <w:rFonts w:asciiTheme="minorHAnsi" w:hAnsiTheme="minorHAnsi" w:cstheme="minorHAnsi"/>
          <w:sz w:val="22"/>
          <w:szCs w:val="22"/>
        </w:rPr>
      </w:pPr>
    </w:p>
    <w:p w14:paraId="30AA674A" w14:textId="77777777"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 xml:space="preserve">The Cornell Law School (2020) defines Modus Operandi as a way of doing things. Modus operandi is a term used in criminal law to describe a mode of operation or a pattern of illegal activity that is so distinct that different crimes or wrongdoings are assumed to be the work of the same individual. Evidence of further crimes may be included </w:t>
      </w:r>
      <w:proofErr w:type="gramStart"/>
      <w:r w:rsidRPr="00705A00">
        <w:rPr>
          <w:rFonts w:asciiTheme="minorHAnsi" w:hAnsiTheme="minorHAnsi" w:cstheme="minorHAnsi"/>
          <w:sz w:val="22"/>
          <w:szCs w:val="22"/>
        </w:rPr>
        <w:t>on the basis of</w:t>
      </w:r>
      <w:proofErr w:type="gramEnd"/>
      <w:r w:rsidRPr="00705A00">
        <w:rPr>
          <w:rFonts w:asciiTheme="minorHAnsi" w:hAnsiTheme="minorHAnsi" w:cstheme="minorHAnsi"/>
          <w:sz w:val="22"/>
          <w:szCs w:val="22"/>
        </w:rPr>
        <w:t xml:space="preserve"> modus operandi.</w:t>
      </w:r>
    </w:p>
    <w:p w14:paraId="14494073" w14:textId="6C84D2E4"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 xml:space="preserve"> This offender was a repeat offender and would often look to commit burglaries in the same areas. However, on this occasion this was not an area of regular burglaries and the offender had not targeted this area previously. </w:t>
      </w:r>
    </w:p>
    <w:p w14:paraId="3E9B5EC7" w14:textId="77777777" w:rsidR="00B332A8" w:rsidRPr="00705A00" w:rsidRDefault="00B332A8" w:rsidP="009951DF">
      <w:pPr>
        <w:rPr>
          <w:rFonts w:asciiTheme="minorHAnsi" w:hAnsiTheme="minorHAnsi" w:cstheme="minorHAnsi"/>
          <w:sz w:val="22"/>
          <w:szCs w:val="22"/>
        </w:rPr>
      </w:pPr>
    </w:p>
    <w:p w14:paraId="593A48F4" w14:textId="77777777"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I knew that we needed to get as much evidence as possible for this and knew that we needed to get a conviction for the offender as I did not want the victim or the property to become repeat victims.</w:t>
      </w:r>
    </w:p>
    <w:p w14:paraId="2C0D95EE" w14:textId="698FCC23"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 xml:space="preserve">Hobbs (1997) tell us that A home's likelihood of being targeted again after a break-in is four times higher than it is for homes that have never been burgled previously. </w:t>
      </w:r>
    </w:p>
    <w:p w14:paraId="265380E7" w14:textId="77777777" w:rsidR="00B332A8" w:rsidRPr="00705A00" w:rsidRDefault="00B332A8" w:rsidP="009951DF">
      <w:pPr>
        <w:rPr>
          <w:rFonts w:asciiTheme="minorHAnsi" w:hAnsiTheme="minorHAnsi" w:cstheme="minorHAnsi"/>
          <w:sz w:val="22"/>
          <w:szCs w:val="22"/>
        </w:rPr>
      </w:pPr>
    </w:p>
    <w:p w14:paraId="203D8469" w14:textId="77777777"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I was able to gather all the possible evidence that I could obtain form this case which included CCTV which showed the offender in the same clothing as the victim described in the original call to police.</w:t>
      </w:r>
    </w:p>
    <w:p w14:paraId="730D656A" w14:textId="357A65CF"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lastRenderedPageBreak/>
        <w:t>A footwear mark which CSI lifted form the scene which also matched the suspect’s footwear that he was wearing when committing the offence along with fingerprints that matched the suspects enabled CSI to identify the suspect as they all came back as a positive match.</w:t>
      </w:r>
    </w:p>
    <w:p w14:paraId="33A092A9" w14:textId="77777777" w:rsidR="00B332A8" w:rsidRPr="00705A00" w:rsidRDefault="00B332A8" w:rsidP="009951DF">
      <w:pPr>
        <w:rPr>
          <w:rFonts w:asciiTheme="minorHAnsi" w:hAnsiTheme="minorHAnsi" w:cstheme="minorHAnsi"/>
          <w:sz w:val="22"/>
          <w:szCs w:val="22"/>
        </w:rPr>
      </w:pPr>
    </w:p>
    <w:p w14:paraId="63F89954" w14:textId="352BDCE9" w:rsidR="009951DF" w:rsidRPr="00705A00" w:rsidRDefault="009951DF" w:rsidP="009951DF">
      <w:pPr>
        <w:rPr>
          <w:rFonts w:asciiTheme="minorHAnsi" w:hAnsiTheme="minorHAnsi" w:cstheme="minorHAnsi"/>
          <w:sz w:val="22"/>
          <w:szCs w:val="22"/>
        </w:rPr>
      </w:pPr>
      <w:r w:rsidRPr="00705A00">
        <w:rPr>
          <w:rFonts w:asciiTheme="minorHAnsi" w:hAnsiTheme="minorHAnsi" w:cstheme="minorHAnsi"/>
          <w:sz w:val="22"/>
          <w:szCs w:val="22"/>
        </w:rPr>
        <w:t xml:space="preserve">With all this evidence I then created and constructed a file that would be sent to CPS </w:t>
      </w:r>
      <w:proofErr w:type="gramStart"/>
      <w:r w:rsidRPr="00705A00">
        <w:rPr>
          <w:rFonts w:asciiTheme="minorHAnsi" w:hAnsiTheme="minorHAnsi" w:cstheme="minorHAnsi"/>
          <w:sz w:val="22"/>
          <w:szCs w:val="22"/>
        </w:rPr>
        <w:t>in order to</w:t>
      </w:r>
      <w:proofErr w:type="gramEnd"/>
      <w:r w:rsidRPr="00705A00">
        <w:rPr>
          <w:rFonts w:asciiTheme="minorHAnsi" w:hAnsiTheme="minorHAnsi" w:cstheme="minorHAnsi"/>
          <w:sz w:val="22"/>
          <w:szCs w:val="22"/>
        </w:rPr>
        <w:t xml:space="preserve"> charge the suspect. This file included all the evidence that was needed to get successful result in charging the suspect with the burglary. The file was sent to</w:t>
      </w:r>
      <w:r w:rsidR="00B332A8" w:rsidRPr="00705A00">
        <w:rPr>
          <w:rFonts w:asciiTheme="minorHAnsi" w:hAnsiTheme="minorHAnsi" w:cstheme="minorHAnsi"/>
          <w:sz w:val="22"/>
          <w:szCs w:val="22"/>
        </w:rPr>
        <w:t>o</w:t>
      </w:r>
      <w:r w:rsidRPr="00705A00">
        <w:rPr>
          <w:rFonts w:asciiTheme="minorHAnsi" w:hAnsiTheme="minorHAnsi" w:cstheme="minorHAnsi"/>
          <w:sz w:val="22"/>
          <w:szCs w:val="22"/>
        </w:rPr>
        <w:t xml:space="preserve"> CPS who then came back with charges for attempt burglary on the suspect. I have now received the court result for the offender who was sent to two years in prison. I was then able to update the victim regarding this positive outcome. The victim and her parents thanked me and South Wales Police for our efforts in obtaining a very positive result. An article of the incident was also published on ‘Wales online’ which outlined the importance of my specific role along with the efforts of CSI being able to lift the footwear mark impression and link this to the suspect. </w:t>
      </w:r>
    </w:p>
    <w:p w14:paraId="53A0C7DA" w14:textId="399483D9" w:rsidR="009951DF" w:rsidRDefault="009951DF" w:rsidP="5B843AF0">
      <w:pPr>
        <w:ind w:right="237"/>
        <w:jc w:val="both"/>
        <w:rPr>
          <w:rFonts w:asciiTheme="minorHAnsi" w:eastAsia="Arial" w:hAnsiTheme="minorHAnsi" w:cstheme="minorHAnsi"/>
          <w:color w:val="000000" w:themeColor="text1"/>
          <w:sz w:val="22"/>
          <w:szCs w:val="22"/>
        </w:rPr>
      </w:pPr>
    </w:p>
    <w:p w14:paraId="1192F467" w14:textId="421C4650" w:rsidR="00705A00" w:rsidRDefault="00705A00" w:rsidP="5B843AF0">
      <w:pPr>
        <w:ind w:right="237"/>
        <w:jc w:val="both"/>
        <w:rPr>
          <w:rFonts w:asciiTheme="minorHAnsi" w:eastAsia="Arial" w:hAnsiTheme="minorHAnsi" w:cstheme="minorHAnsi"/>
          <w:color w:val="000000" w:themeColor="text1"/>
          <w:sz w:val="22"/>
          <w:szCs w:val="22"/>
        </w:rPr>
      </w:pPr>
      <w:r>
        <w:rPr>
          <w:rFonts w:asciiTheme="minorHAnsi" w:eastAsia="Arial" w:hAnsiTheme="minorHAnsi" w:cstheme="minorHAnsi"/>
          <w:color w:val="000000" w:themeColor="text1"/>
          <w:sz w:val="22"/>
          <w:szCs w:val="22"/>
        </w:rPr>
        <w:t xml:space="preserve">Word Count 1914. </w:t>
      </w:r>
    </w:p>
    <w:p w14:paraId="51C241AE" w14:textId="245E8927" w:rsidR="00705A00" w:rsidRDefault="00705A00" w:rsidP="5B843AF0">
      <w:pPr>
        <w:ind w:right="237"/>
        <w:jc w:val="both"/>
        <w:rPr>
          <w:rFonts w:asciiTheme="minorHAnsi" w:eastAsia="Arial" w:hAnsiTheme="minorHAnsi" w:cstheme="minorHAnsi"/>
          <w:color w:val="000000" w:themeColor="text1"/>
          <w:sz w:val="22"/>
          <w:szCs w:val="22"/>
        </w:rPr>
      </w:pPr>
    </w:p>
    <w:p w14:paraId="59C067F2" w14:textId="77777777" w:rsidR="00705A00" w:rsidRPr="00705A00" w:rsidRDefault="00705A00" w:rsidP="5B843AF0">
      <w:pPr>
        <w:ind w:right="237"/>
        <w:jc w:val="both"/>
        <w:rPr>
          <w:rFonts w:asciiTheme="minorHAnsi" w:eastAsia="Arial" w:hAnsiTheme="minorHAnsi" w:cstheme="minorHAnsi"/>
          <w:color w:val="000000" w:themeColor="text1"/>
          <w:sz w:val="22"/>
          <w:szCs w:val="22"/>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0DD32ED" w14:textId="77777777" w:rsidR="009951DF" w:rsidRDefault="009951DF" w:rsidP="0FF883D4">
      <w:pPr>
        <w:ind w:right="237"/>
        <w:jc w:val="both"/>
        <w:rPr>
          <w:b/>
          <w:bCs/>
          <w:color w:val="000000" w:themeColor="text1"/>
          <w:sz w:val="28"/>
          <w:szCs w:val="28"/>
        </w:rPr>
      </w:pPr>
    </w:p>
    <w:p w14:paraId="6DD73107" w14:textId="77777777" w:rsidR="009951DF" w:rsidRDefault="009951DF" w:rsidP="0FF883D4">
      <w:pPr>
        <w:ind w:right="237"/>
        <w:jc w:val="both"/>
        <w:rPr>
          <w:b/>
          <w:bCs/>
          <w:color w:val="000000" w:themeColor="text1"/>
          <w:sz w:val="28"/>
          <w:szCs w:val="28"/>
        </w:rPr>
      </w:pPr>
    </w:p>
    <w:p w14:paraId="0F48B32A" w14:textId="7380DD7D"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014C0163" w14:textId="0BA425E3" w:rsidR="009951DF" w:rsidRDefault="009951DF" w:rsidP="009951DF">
      <w:pPr>
        <w:pStyle w:val="xmsonormal"/>
        <w:shd w:val="clear" w:color="auto" w:fill="FFFFFF"/>
        <w:spacing w:before="0" w:after="0"/>
        <w:rPr>
          <w:rFonts w:ascii="Calibri" w:hAnsi="Calibri" w:cs="Calibri"/>
          <w:color w:val="FF0000"/>
          <w:sz w:val="22"/>
          <w:szCs w:val="22"/>
        </w:rPr>
      </w:pPr>
    </w:p>
    <w:p w14:paraId="334E2C2A" w14:textId="46739495" w:rsidR="00705A00" w:rsidRPr="00705A00" w:rsidRDefault="00705A00" w:rsidP="009951DF">
      <w:pPr>
        <w:pStyle w:val="xmsonormal"/>
        <w:shd w:val="clear" w:color="auto" w:fill="FFFFFF"/>
        <w:spacing w:before="0" w:after="0"/>
        <w:rPr>
          <w:rFonts w:asciiTheme="minorHAnsi" w:hAnsiTheme="minorHAnsi" w:cstheme="minorHAnsi"/>
          <w:b/>
          <w:bCs/>
          <w:sz w:val="22"/>
          <w:szCs w:val="22"/>
        </w:rPr>
      </w:pPr>
      <w:r w:rsidRPr="00705A00">
        <w:rPr>
          <w:rFonts w:asciiTheme="minorHAnsi" w:hAnsiTheme="minorHAnsi" w:cstheme="minorHAnsi"/>
          <w:b/>
          <w:bCs/>
          <w:sz w:val="22"/>
          <w:szCs w:val="22"/>
        </w:rPr>
        <w:t>Introduction</w:t>
      </w:r>
    </w:p>
    <w:p w14:paraId="1EAF5727" w14:textId="34A38C59"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This essay is based on a complex investigation which involved a serious assault of Grievous Bodily Harm (GBH).  I will be discussing the fast-track actions used within the investigation and how support was provided to both the victim and to the co-accused. This essay also aims to highlight the personal values I demonstrated throughout the investigation and shows the attitude and approach I used </w:t>
      </w:r>
      <w:proofErr w:type="gramStart"/>
      <w:r w:rsidRPr="00705A00">
        <w:rPr>
          <w:rFonts w:asciiTheme="minorHAnsi" w:hAnsiTheme="minorHAnsi" w:cstheme="minorHAnsi"/>
          <w:sz w:val="22"/>
          <w:szCs w:val="22"/>
        </w:rPr>
        <w:t>in order to</w:t>
      </w:r>
      <w:proofErr w:type="gramEnd"/>
      <w:r w:rsidRPr="00705A00">
        <w:rPr>
          <w:rFonts w:asciiTheme="minorHAnsi" w:hAnsiTheme="minorHAnsi" w:cstheme="minorHAnsi"/>
          <w:sz w:val="22"/>
          <w:szCs w:val="22"/>
        </w:rPr>
        <w:t xml:space="preserve"> get the best outcome. This investigation was complex in nature due to the limited information given by the victim and due to the many agencies and partners involved.</w:t>
      </w:r>
    </w:p>
    <w:p w14:paraId="47AF40CB" w14:textId="443D11BB"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w:t>
      </w:r>
    </w:p>
    <w:p w14:paraId="75DE068D" w14:textId="734704CB" w:rsidR="00705A00" w:rsidRPr="00705A00" w:rsidRDefault="00705A00" w:rsidP="009951DF">
      <w:pPr>
        <w:pStyle w:val="xmsonormal"/>
        <w:shd w:val="clear" w:color="auto" w:fill="FFFFFF"/>
        <w:spacing w:before="0" w:after="0"/>
        <w:rPr>
          <w:rFonts w:asciiTheme="minorHAnsi" w:hAnsiTheme="minorHAnsi" w:cstheme="minorHAnsi"/>
          <w:b/>
          <w:bCs/>
          <w:sz w:val="22"/>
          <w:szCs w:val="22"/>
        </w:rPr>
      </w:pPr>
      <w:r w:rsidRPr="00705A00">
        <w:rPr>
          <w:rFonts w:asciiTheme="minorHAnsi" w:hAnsiTheme="minorHAnsi" w:cstheme="minorHAnsi"/>
          <w:b/>
          <w:bCs/>
          <w:sz w:val="22"/>
          <w:szCs w:val="22"/>
        </w:rPr>
        <w:t xml:space="preserve">Main Body </w:t>
      </w:r>
    </w:p>
    <w:p w14:paraId="29558C7B" w14:textId="2503536C"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A call had come through at 02:00am to the police in relation to an assault that had amounted to </w:t>
      </w:r>
      <w:r w:rsidR="00705A00" w:rsidRPr="00705A00">
        <w:rPr>
          <w:rFonts w:asciiTheme="minorHAnsi" w:hAnsiTheme="minorHAnsi" w:cstheme="minorHAnsi"/>
          <w:sz w:val="22"/>
          <w:szCs w:val="22"/>
        </w:rPr>
        <w:t>Grievous</w:t>
      </w:r>
      <w:r w:rsidRPr="00705A00">
        <w:rPr>
          <w:rFonts w:asciiTheme="minorHAnsi" w:hAnsiTheme="minorHAnsi" w:cstheme="minorHAnsi"/>
          <w:sz w:val="22"/>
          <w:szCs w:val="22"/>
        </w:rPr>
        <w:t xml:space="preserve"> Bodily Harm due to the injuries that were sustained by the victim. The victim had been assaulted only several metres away from the police station. He had been assaulted outside a block of flats by the suspect and allegedly by the 3 other people he was with. The victim had been with the three other co-accused people on the day of the incident as they all live in the same assisted accommodation. They had all been drinking alcohol during the day and then decided to visit a friend of one of the co accused. The victim had gone along with these people as he knew them and trusted them. As they arrived at the flats the suspect came from his apartment with what appeared to be a metal torch and then used this to assault the victim. </w:t>
      </w:r>
    </w:p>
    <w:p w14:paraId="51FB1144"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w:t>
      </w:r>
    </w:p>
    <w:p w14:paraId="27D23B97"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As I had finished my shift I was not back in until the following day, so I was not able to work on this investigation from the start. My initial thoughts focused on” the golden hour” opportunities for any CCTV / ring doorbell, witnesses and speaking with the victim to make sure they were ok and to obtain a statement from them.</w:t>
      </w:r>
    </w:p>
    <w:p w14:paraId="4744DA2F"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I knew that the golden hour would be crucial and that this would ensure we had the best evidence to show or explain first-hand what had happened.</w:t>
      </w:r>
    </w:p>
    <w:p w14:paraId="37731E1B" w14:textId="3E4D1176" w:rsidR="009951DF"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According to the Police oracle (2023) The advantages of making the most of early possibilities for evidence gathering and advancing urgent inquiries are comparable to those in a medical environment, except that there are risks to both life and the potential loss of evidence that can never be recovered.</w:t>
      </w:r>
    </w:p>
    <w:p w14:paraId="2DA3AB11" w14:textId="77777777" w:rsidR="00705A00" w:rsidRPr="00705A00" w:rsidRDefault="00705A00" w:rsidP="009951DF">
      <w:pPr>
        <w:pStyle w:val="xmsonormal"/>
        <w:shd w:val="clear" w:color="auto" w:fill="FFFFFF"/>
        <w:spacing w:before="0" w:after="0"/>
        <w:rPr>
          <w:rFonts w:asciiTheme="minorHAnsi" w:hAnsiTheme="minorHAnsi" w:cstheme="minorHAnsi"/>
          <w:sz w:val="22"/>
          <w:szCs w:val="22"/>
        </w:rPr>
      </w:pPr>
    </w:p>
    <w:p w14:paraId="5656D443"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What made these actions complex was that there </w:t>
      </w:r>
      <w:proofErr w:type="gramStart"/>
      <w:r w:rsidRPr="00705A00">
        <w:rPr>
          <w:rFonts w:asciiTheme="minorHAnsi" w:hAnsiTheme="minorHAnsi" w:cstheme="minorHAnsi"/>
          <w:sz w:val="22"/>
          <w:szCs w:val="22"/>
        </w:rPr>
        <w:t>was</w:t>
      </w:r>
      <w:proofErr w:type="gramEnd"/>
      <w:r w:rsidRPr="00705A00">
        <w:rPr>
          <w:rFonts w:asciiTheme="minorHAnsi" w:hAnsiTheme="minorHAnsi" w:cstheme="minorHAnsi"/>
          <w:sz w:val="22"/>
          <w:szCs w:val="22"/>
        </w:rPr>
        <w:t xml:space="preserve"> limited CCTV / ring doorbell opportunities on the street where the assault had taken place. I was given instructions from my sergeant which I needed to process quickly. This included house-to house enquiries for CCTV or ring door-bell footage. This was unsuccessful. I then took the initiative and popped into a local barber shop where they did have footage of where the assault took place. However, this only showed the victim stumbling up the street when they were heading towards the police station. This was frustrating as there was no evidence to show who had done this.</w:t>
      </w:r>
    </w:p>
    <w:p w14:paraId="5C1A021A" w14:textId="77777777" w:rsidR="009951DF" w:rsidRPr="00705A00"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w:t>
      </w:r>
    </w:p>
    <w:p w14:paraId="6CCF91A2" w14:textId="31179471" w:rsidR="009951DF" w:rsidRDefault="009951DF" w:rsidP="009951DF">
      <w:pPr>
        <w:pStyle w:val="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I knew that I had to speak with the victim who had been in hospital and had received a CT scan. I was sceptical of what the victim was going to tell me as on the initial call the victim did not mention any names but only a nickname.  My colleague and I arrived at the hospital and managed to take the victim home as he was discharged from the hospital. We then began to retrieve a statement from the victim who unfortunately could not remember a great deal and was unable to disclose the name of the main suspect and a clear description of what this male suspect looked like.</w:t>
      </w:r>
    </w:p>
    <w:p w14:paraId="70A67E6D" w14:textId="77777777" w:rsidR="00705A00" w:rsidRPr="00705A00" w:rsidRDefault="00705A00" w:rsidP="009951DF">
      <w:pPr>
        <w:pStyle w:val="xmsonormal"/>
        <w:shd w:val="clear" w:color="auto" w:fill="FFFFFF"/>
        <w:spacing w:before="0" w:after="0"/>
        <w:rPr>
          <w:rFonts w:asciiTheme="minorHAnsi" w:hAnsiTheme="minorHAnsi" w:cstheme="minorHAnsi"/>
          <w:sz w:val="22"/>
          <w:szCs w:val="22"/>
        </w:rPr>
      </w:pPr>
    </w:p>
    <w:p w14:paraId="7212ED28"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As per </w:t>
      </w:r>
      <w:proofErr w:type="spellStart"/>
      <w:r w:rsidRPr="00705A00">
        <w:rPr>
          <w:rFonts w:asciiTheme="minorHAnsi" w:hAnsiTheme="minorHAnsi" w:cstheme="minorHAnsi"/>
          <w:sz w:val="22"/>
          <w:szCs w:val="22"/>
        </w:rPr>
        <w:t>NIDirect</w:t>
      </w:r>
      <w:proofErr w:type="spellEnd"/>
      <w:r w:rsidRPr="00705A00">
        <w:rPr>
          <w:rFonts w:asciiTheme="minorHAnsi" w:hAnsiTheme="minorHAnsi" w:cstheme="minorHAnsi"/>
          <w:sz w:val="22"/>
          <w:szCs w:val="22"/>
        </w:rPr>
        <w:t xml:space="preserve"> (2015) they advise that a victim should provide the police with as much information as they can about the offence while giving a statement. This includes descriptions, identifying marks, </w:t>
      </w:r>
      <w:r w:rsidRPr="00705A00">
        <w:rPr>
          <w:rFonts w:asciiTheme="minorHAnsi" w:hAnsiTheme="minorHAnsi" w:cstheme="minorHAnsi"/>
          <w:sz w:val="22"/>
          <w:szCs w:val="22"/>
        </w:rPr>
        <w:lastRenderedPageBreak/>
        <w:t xml:space="preserve">or serial numbers of any stolen or damaged property, </w:t>
      </w:r>
      <w:proofErr w:type="gramStart"/>
      <w:r w:rsidRPr="00705A00">
        <w:rPr>
          <w:rFonts w:asciiTheme="minorHAnsi" w:hAnsiTheme="minorHAnsi" w:cstheme="minorHAnsi"/>
          <w:sz w:val="22"/>
          <w:szCs w:val="22"/>
        </w:rPr>
        <w:t>descriptions</w:t>
      </w:r>
      <w:proofErr w:type="gramEnd"/>
      <w:r w:rsidRPr="00705A00">
        <w:rPr>
          <w:rFonts w:asciiTheme="minorHAnsi" w:hAnsiTheme="minorHAnsi" w:cstheme="minorHAnsi"/>
          <w:sz w:val="22"/>
          <w:szCs w:val="22"/>
        </w:rPr>
        <w:t xml:space="preserve"> or names of any participants in the crime or witnesses, registration numbers of any vehicles present at the scene.</w:t>
      </w:r>
    </w:p>
    <w:p w14:paraId="5B211ABB"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As the victim could not provide us with much of the key information this made things difficult.</w:t>
      </w:r>
    </w:p>
    <w:p w14:paraId="200B53DF"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A few hours later we had to take a second statement from the victim as he had advised us </w:t>
      </w:r>
      <w:proofErr w:type="gramStart"/>
      <w:r w:rsidRPr="00705A00">
        <w:rPr>
          <w:rFonts w:asciiTheme="minorHAnsi" w:hAnsiTheme="minorHAnsi" w:cstheme="minorHAnsi"/>
          <w:sz w:val="22"/>
          <w:szCs w:val="22"/>
        </w:rPr>
        <w:t>that</w:t>
      </w:r>
      <w:proofErr w:type="gramEnd"/>
    </w:p>
    <w:p w14:paraId="6D9D66FA" w14:textId="15952C31" w:rsidR="009951DF"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previously he had given us inaccurate information. He advised that the description he had given us in the first statement of what the main suspect looked like was not accurate. It was then that I needed to adopt my skills of patience and understanding as the investigation had been delayed due to inaccurate information.</w:t>
      </w:r>
    </w:p>
    <w:p w14:paraId="16CD06B8" w14:textId="77777777" w:rsidR="00705A00" w:rsidRPr="00705A00" w:rsidRDefault="00705A00" w:rsidP="009951DF">
      <w:pPr>
        <w:pStyle w:val="xxmsonormal"/>
        <w:shd w:val="clear" w:color="auto" w:fill="FFFFFF"/>
        <w:spacing w:before="0" w:after="0"/>
        <w:rPr>
          <w:rFonts w:asciiTheme="minorHAnsi" w:hAnsiTheme="minorHAnsi" w:cstheme="minorHAnsi"/>
          <w:sz w:val="22"/>
          <w:szCs w:val="22"/>
        </w:rPr>
      </w:pPr>
    </w:p>
    <w:p w14:paraId="4A848446" w14:textId="5287716F"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I knew that it was vital that we had accurate information and   accurate details from the victim. This in turn made the investigation more complex. However even though the victim could not give a full name of the suspect and an accurate description, he was able to provide the names of the co-accused and what their role was. These co- accused had already been arrested by the response officer on the night of the assault. This proved to be a big benefit as we knew we could interview these accused and potentially get a full name of the main suspect involved.</w:t>
      </w:r>
    </w:p>
    <w:p w14:paraId="58D34A38"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w:t>
      </w:r>
    </w:p>
    <w:p w14:paraId="3CD3298D" w14:textId="78811C83" w:rsidR="009951DF"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I then had to interview the three co-accused that were with the victim at the time of the </w:t>
      </w:r>
      <w:r w:rsidR="00705A00" w:rsidRPr="00705A00">
        <w:rPr>
          <w:rFonts w:asciiTheme="minorHAnsi" w:hAnsiTheme="minorHAnsi" w:cstheme="minorHAnsi"/>
          <w:sz w:val="22"/>
          <w:szCs w:val="22"/>
        </w:rPr>
        <w:t>assault I</w:t>
      </w:r>
      <w:r w:rsidRPr="00705A00">
        <w:rPr>
          <w:rFonts w:asciiTheme="minorHAnsi" w:hAnsiTheme="minorHAnsi" w:cstheme="minorHAnsi"/>
          <w:sz w:val="22"/>
          <w:szCs w:val="22"/>
        </w:rPr>
        <w:t xml:space="preserve"> made sure I had planned the interviews accordingly and put together questions that I believed would encourage the co- accused to talk about what had happened and tell us who the main suspect was. These questions would be short, </w:t>
      </w:r>
      <w:proofErr w:type="gramStart"/>
      <w:r w:rsidRPr="00705A00">
        <w:rPr>
          <w:rFonts w:asciiTheme="minorHAnsi" w:hAnsiTheme="minorHAnsi" w:cstheme="minorHAnsi"/>
          <w:sz w:val="22"/>
          <w:szCs w:val="22"/>
        </w:rPr>
        <w:t>open</w:t>
      </w:r>
      <w:proofErr w:type="gramEnd"/>
      <w:r w:rsidRPr="00705A00">
        <w:rPr>
          <w:rFonts w:asciiTheme="minorHAnsi" w:hAnsiTheme="minorHAnsi" w:cstheme="minorHAnsi"/>
          <w:sz w:val="22"/>
          <w:szCs w:val="22"/>
        </w:rPr>
        <w:t xml:space="preserve"> and easy to understand in order to obtain as much information as possible.</w:t>
      </w:r>
    </w:p>
    <w:p w14:paraId="20A1F7FF" w14:textId="77777777" w:rsidR="00705A00" w:rsidRPr="00705A00" w:rsidRDefault="00705A00" w:rsidP="009951DF">
      <w:pPr>
        <w:pStyle w:val="xxmsonormal"/>
        <w:shd w:val="clear" w:color="auto" w:fill="FFFFFF"/>
        <w:spacing w:before="0" w:after="0"/>
        <w:rPr>
          <w:rFonts w:asciiTheme="minorHAnsi" w:hAnsiTheme="minorHAnsi" w:cstheme="minorHAnsi"/>
          <w:sz w:val="22"/>
          <w:szCs w:val="22"/>
        </w:rPr>
      </w:pPr>
    </w:p>
    <w:p w14:paraId="0BEDCC95" w14:textId="77DD3281" w:rsidR="009951DF"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 The college of policing (2022) explains that </w:t>
      </w:r>
      <w:r w:rsidR="00627A5F">
        <w:rPr>
          <w:rFonts w:asciiTheme="minorHAnsi" w:hAnsiTheme="minorHAnsi" w:cstheme="minorHAnsi"/>
          <w:sz w:val="22"/>
          <w:szCs w:val="22"/>
        </w:rPr>
        <w:t>q</w:t>
      </w:r>
      <w:r w:rsidR="00627A5F" w:rsidRPr="00627A5F">
        <w:rPr>
          <w:rFonts w:asciiTheme="minorHAnsi" w:hAnsiTheme="minorHAnsi" w:cstheme="minorHAnsi"/>
          <w:sz w:val="22"/>
          <w:szCs w:val="22"/>
        </w:rPr>
        <w:t>uestions should be as straightforward as succinct as possible. They should refrain from using jargon or other terminology that the interviewee would find difficult to understand. One question type that might be useful in eliciting information from the interviewee is the open-ended question.</w:t>
      </w:r>
    </w:p>
    <w:p w14:paraId="0A41B3A3" w14:textId="77777777" w:rsidR="00705A00" w:rsidRPr="00705A00" w:rsidRDefault="00705A00" w:rsidP="009951DF">
      <w:pPr>
        <w:pStyle w:val="xxmsonormal"/>
        <w:shd w:val="clear" w:color="auto" w:fill="FFFFFF"/>
        <w:spacing w:before="0" w:after="0"/>
        <w:rPr>
          <w:rFonts w:asciiTheme="minorHAnsi" w:hAnsiTheme="minorHAnsi" w:cstheme="minorHAnsi"/>
          <w:sz w:val="22"/>
          <w:szCs w:val="22"/>
        </w:rPr>
      </w:pPr>
    </w:p>
    <w:p w14:paraId="3CCE391C"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Examples of the questions I prepared and asked were:</w:t>
      </w:r>
    </w:p>
    <w:p w14:paraId="4E71BDDD" w14:textId="58290718"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w:t>
      </w:r>
      <w:proofErr w:type="gramStart"/>
      <w:r w:rsidRPr="00705A00">
        <w:rPr>
          <w:rFonts w:asciiTheme="minorHAnsi" w:hAnsiTheme="minorHAnsi" w:cstheme="minorHAnsi"/>
          <w:sz w:val="22"/>
          <w:szCs w:val="22"/>
        </w:rPr>
        <w:t>who</w:t>
      </w:r>
      <w:proofErr w:type="gramEnd"/>
      <w:r w:rsidRPr="00705A00">
        <w:rPr>
          <w:rFonts w:asciiTheme="minorHAnsi" w:hAnsiTheme="minorHAnsi" w:cstheme="minorHAnsi"/>
          <w:sz w:val="22"/>
          <w:szCs w:val="22"/>
        </w:rPr>
        <w:t xml:space="preserve"> were you with?’, ‘what happened?’ ‘</w:t>
      </w:r>
      <w:proofErr w:type="gramStart"/>
      <w:r w:rsidRPr="00705A00">
        <w:rPr>
          <w:rFonts w:asciiTheme="minorHAnsi" w:hAnsiTheme="minorHAnsi" w:cstheme="minorHAnsi"/>
          <w:sz w:val="22"/>
          <w:szCs w:val="22"/>
        </w:rPr>
        <w:t>who</w:t>
      </w:r>
      <w:proofErr w:type="gramEnd"/>
      <w:r w:rsidRPr="00705A00">
        <w:rPr>
          <w:rFonts w:asciiTheme="minorHAnsi" w:hAnsiTheme="minorHAnsi" w:cstheme="minorHAnsi"/>
          <w:sz w:val="22"/>
          <w:szCs w:val="22"/>
        </w:rPr>
        <w:t xml:space="preserve"> is the suspect?’. </w:t>
      </w:r>
    </w:p>
    <w:p w14:paraId="7C8DA731"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These questions would have helped me and my colleagues in this investigation. However, the interviews proved to be difficult due to all three of the co-accused answering ‘no comment’ in </w:t>
      </w:r>
      <w:proofErr w:type="gramStart"/>
      <w:r w:rsidRPr="00705A00">
        <w:rPr>
          <w:rFonts w:asciiTheme="minorHAnsi" w:hAnsiTheme="minorHAnsi" w:cstheme="minorHAnsi"/>
          <w:sz w:val="22"/>
          <w:szCs w:val="22"/>
        </w:rPr>
        <w:t>the  interview</w:t>
      </w:r>
      <w:proofErr w:type="gramEnd"/>
      <w:r w:rsidRPr="00705A00">
        <w:rPr>
          <w:rFonts w:asciiTheme="minorHAnsi" w:hAnsiTheme="minorHAnsi" w:cstheme="minorHAnsi"/>
          <w:sz w:val="22"/>
          <w:szCs w:val="22"/>
        </w:rPr>
        <w:t>.</w:t>
      </w:r>
    </w:p>
    <w:p w14:paraId="6153EFD2"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p>
    <w:p w14:paraId="6C243037"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My personal qualities that came across very clearly in the three interviews with each of the co-accused were my patience, my calm </w:t>
      </w:r>
      <w:proofErr w:type="gramStart"/>
      <w:r w:rsidRPr="00705A00">
        <w:rPr>
          <w:rFonts w:asciiTheme="minorHAnsi" w:hAnsiTheme="minorHAnsi" w:cstheme="minorHAnsi"/>
          <w:sz w:val="22"/>
          <w:szCs w:val="22"/>
        </w:rPr>
        <w:t>manner</w:t>
      </w:r>
      <w:proofErr w:type="gramEnd"/>
      <w:r w:rsidRPr="00705A00">
        <w:rPr>
          <w:rFonts w:asciiTheme="minorHAnsi" w:hAnsiTheme="minorHAnsi" w:cstheme="minorHAnsi"/>
          <w:sz w:val="22"/>
          <w:szCs w:val="22"/>
        </w:rPr>
        <w:t xml:space="preserve"> and my understanding of their situation. </w:t>
      </w:r>
    </w:p>
    <w:p w14:paraId="435AA185"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As I probed further in the interviews even when they had answered no comment it was clear that they were reluctant to say who the main suspect was even when I had given them the nickname of the main suspect.</w:t>
      </w:r>
    </w:p>
    <w:p w14:paraId="06F348C1"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p>
    <w:p w14:paraId="3E3ADAFF" w14:textId="7977732E"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As soon as I asked why they would not tell me they all told me that they feared what would happen to them if they had given the full name of the suspect. I had to reassure them that nothing would happen to them and that they would be safeguarded after being interviewed however they continued to be reluctant to say who this suspect was. I felt that I had built a rapport with one of the </w:t>
      </w:r>
      <w:proofErr w:type="gramStart"/>
      <w:r w:rsidRPr="00705A00">
        <w:rPr>
          <w:rFonts w:asciiTheme="minorHAnsi" w:hAnsiTheme="minorHAnsi" w:cstheme="minorHAnsi"/>
          <w:sz w:val="22"/>
          <w:szCs w:val="22"/>
        </w:rPr>
        <w:t>co-accused in particular</w:t>
      </w:r>
      <w:proofErr w:type="gramEnd"/>
      <w:r w:rsidRPr="00705A00">
        <w:rPr>
          <w:rFonts w:asciiTheme="minorHAnsi" w:hAnsiTheme="minorHAnsi" w:cstheme="minorHAnsi"/>
          <w:sz w:val="22"/>
          <w:szCs w:val="22"/>
        </w:rPr>
        <w:t xml:space="preserve">. He was starting to show some emotion and was becoming less tense. I thought that by using my personal qualities and to reassure him that he would eventually </w:t>
      </w:r>
      <w:proofErr w:type="gramStart"/>
      <w:r w:rsidRPr="00705A00">
        <w:rPr>
          <w:rFonts w:asciiTheme="minorHAnsi" w:hAnsiTheme="minorHAnsi" w:cstheme="minorHAnsi"/>
          <w:sz w:val="22"/>
          <w:szCs w:val="22"/>
        </w:rPr>
        <w:t>open up</w:t>
      </w:r>
      <w:proofErr w:type="gramEnd"/>
      <w:r w:rsidRPr="00705A00">
        <w:rPr>
          <w:rFonts w:asciiTheme="minorHAnsi" w:hAnsiTheme="minorHAnsi" w:cstheme="minorHAnsi"/>
          <w:sz w:val="22"/>
          <w:szCs w:val="22"/>
        </w:rPr>
        <w:t xml:space="preserve">, however this not the case and this made the case more complex and frustrating for myself and my colleagues working on the case. We decided that we would have to bail the co accused as there was little to no involvement with them at the </w:t>
      </w:r>
      <w:proofErr w:type="gramStart"/>
      <w:r w:rsidRPr="00705A00">
        <w:rPr>
          <w:rFonts w:asciiTheme="minorHAnsi" w:hAnsiTheme="minorHAnsi" w:cstheme="minorHAnsi"/>
          <w:sz w:val="22"/>
          <w:szCs w:val="22"/>
        </w:rPr>
        <w:t>scene</w:t>
      </w:r>
      <w:proofErr w:type="gramEnd"/>
      <w:r w:rsidRPr="00705A00">
        <w:rPr>
          <w:rFonts w:asciiTheme="minorHAnsi" w:hAnsiTheme="minorHAnsi" w:cstheme="minorHAnsi"/>
          <w:sz w:val="22"/>
          <w:szCs w:val="22"/>
        </w:rPr>
        <w:t xml:space="preserve"> I had to make sure that with their bail conditions they would have to have no contact with the victim and also will have reside elsewhere, this was put in place not only to safeguard the victim but also to safeguard the co-accused. As per the CPS (2017) only in cases when it is essential to guarantee that the exceptions to bail be addressed may </w:t>
      </w:r>
      <w:r w:rsidRPr="00705A00">
        <w:rPr>
          <w:rFonts w:asciiTheme="minorHAnsi" w:hAnsiTheme="minorHAnsi" w:cstheme="minorHAnsi"/>
          <w:sz w:val="22"/>
          <w:szCs w:val="22"/>
        </w:rPr>
        <w:lastRenderedPageBreak/>
        <w:t xml:space="preserve">conditions of bail be imposed. Remand in custody should only be requested when bail restrictions are insufficient to satisfy the exceptions to bail. I knew that we would be unable to remand ay of the co-accused due to their lack of involvement. </w:t>
      </w:r>
    </w:p>
    <w:p w14:paraId="72F03C07"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p>
    <w:p w14:paraId="053BDF1E"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Over the next few </w:t>
      </w:r>
      <w:proofErr w:type="gramStart"/>
      <w:r w:rsidRPr="00705A00">
        <w:rPr>
          <w:rFonts w:asciiTheme="minorHAnsi" w:hAnsiTheme="minorHAnsi" w:cstheme="minorHAnsi"/>
          <w:sz w:val="22"/>
          <w:szCs w:val="22"/>
        </w:rPr>
        <w:t>days</w:t>
      </w:r>
      <w:proofErr w:type="gramEnd"/>
      <w:r w:rsidRPr="00705A00">
        <w:rPr>
          <w:rFonts w:asciiTheme="minorHAnsi" w:hAnsiTheme="minorHAnsi" w:cstheme="minorHAnsi"/>
          <w:sz w:val="22"/>
          <w:szCs w:val="22"/>
        </w:rPr>
        <w:t xml:space="preserve"> I was looking for where else I would be able to find any evidence of who the suspect was and if there were any leads to go on, however this was becoming more and more difficult as each venue felt as if it had been explored. </w:t>
      </w:r>
      <w:proofErr w:type="gramStart"/>
      <w:r w:rsidRPr="00705A00">
        <w:rPr>
          <w:rFonts w:asciiTheme="minorHAnsi" w:hAnsiTheme="minorHAnsi" w:cstheme="minorHAnsi"/>
          <w:sz w:val="22"/>
          <w:szCs w:val="22"/>
        </w:rPr>
        <w:t>However</w:t>
      </w:r>
      <w:proofErr w:type="gramEnd"/>
      <w:r w:rsidRPr="00705A00">
        <w:rPr>
          <w:rFonts w:asciiTheme="minorHAnsi" w:hAnsiTheme="minorHAnsi" w:cstheme="minorHAnsi"/>
          <w:sz w:val="22"/>
          <w:szCs w:val="22"/>
        </w:rPr>
        <w:t xml:space="preserve"> I received a phone call from the co-accused who I built a rapport with in the interview who advised me that he was hearing from other people that the main suspect was actually blaming the assault on the co -accused. Due to this the co accused </w:t>
      </w:r>
      <w:proofErr w:type="gramStart"/>
      <w:r w:rsidRPr="00705A00">
        <w:rPr>
          <w:rFonts w:asciiTheme="minorHAnsi" w:hAnsiTheme="minorHAnsi" w:cstheme="minorHAnsi"/>
          <w:sz w:val="22"/>
          <w:szCs w:val="22"/>
        </w:rPr>
        <w:t>actually came</w:t>
      </w:r>
      <w:proofErr w:type="gramEnd"/>
      <w:r w:rsidRPr="00705A00">
        <w:rPr>
          <w:rFonts w:asciiTheme="minorHAnsi" w:hAnsiTheme="minorHAnsi" w:cstheme="minorHAnsi"/>
          <w:sz w:val="22"/>
          <w:szCs w:val="22"/>
        </w:rPr>
        <w:t xml:space="preserve"> forward and gave the main suspects full name. I thanked him greatly and assured him that the main suspect will not know who has told me this information. I was straight away able to look the name up on our system which brought up a person who had a big history with violence and was residing at the flats where the assault took place, this person also matched the description given by the victim. </w:t>
      </w:r>
    </w:p>
    <w:p w14:paraId="64EB3E10"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p>
    <w:p w14:paraId="2FB8E68C" w14:textId="79A74620"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I was then able to arrest this suspect on suspicion of assault by GBH</w:t>
      </w:r>
      <w:r w:rsidR="00627A5F">
        <w:rPr>
          <w:rFonts w:asciiTheme="minorHAnsi" w:hAnsiTheme="minorHAnsi" w:cstheme="minorHAnsi"/>
          <w:sz w:val="22"/>
          <w:szCs w:val="22"/>
        </w:rPr>
        <w:t xml:space="preserve"> (Section 20 Offences against the persons act 1861), </w:t>
      </w:r>
      <w:r w:rsidRPr="00705A00">
        <w:rPr>
          <w:rFonts w:asciiTheme="minorHAnsi" w:hAnsiTheme="minorHAnsi" w:cstheme="minorHAnsi"/>
          <w:sz w:val="22"/>
          <w:szCs w:val="22"/>
        </w:rPr>
        <w:t xml:space="preserve">once I had done </w:t>
      </w:r>
      <w:proofErr w:type="gramStart"/>
      <w:r w:rsidRPr="00705A00">
        <w:rPr>
          <w:rFonts w:asciiTheme="minorHAnsi" w:hAnsiTheme="minorHAnsi" w:cstheme="minorHAnsi"/>
          <w:sz w:val="22"/>
          <w:szCs w:val="22"/>
        </w:rPr>
        <w:t>this</w:t>
      </w:r>
      <w:proofErr w:type="gramEnd"/>
      <w:r w:rsidRPr="00705A00">
        <w:rPr>
          <w:rFonts w:asciiTheme="minorHAnsi" w:hAnsiTheme="minorHAnsi" w:cstheme="minorHAnsi"/>
          <w:sz w:val="22"/>
          <w:szCs w:val="22"/>
        </w:rPr>
        <w:t xml:space="preserve"> I was then able to contact the council who own the flats and gave them the information they needed in order to access the CCTV within the flats. They were then able to send me footage of the day in question with the relevant times. The footage showed the suspect coming from his flat with a metal torch in his hand and proceeded to walk outside the flats. It </w:t>
      </w:r>
      <w:proofErr w:type="spellStart"/>
      <w:r w:rsidRPr="00705A00">
        <w:rPr>
          <w:rFonts w:asciiTheme="minorHAnsi" w:hAnsiTheme="minorHAnsi" w:cstheme="minorHAnsi"/>
          <w:sz w:val="22"/>
          <w:szCs w:val="22"/>
        </w:rPr>
        <w:t>the</w:t>
      </w:r>
      <w:proofErr w:type="spellEnd"/>
      <w:r w:rsidRPr="00705A00">
        <w:rPr>
          <w:rFonts w:asciiTheme="minorHAnsi" w:hAnsiTheme="minorHAnsi" w:cstheme="minorHAnsi"/>
          <w:sz w:val="22"/>
          <w:szCs w:val="22"/>
        </w:rPr>
        <w:t xml:space="preserve"> showed moments later where he had returned into the block of flats still holding the torch. </w:t>
      </w:r>
      <w:proofErr w:type="spellStart"/>
      <w:r w:rsidRPr="00705A00">
        <w:rPr>
          <w:rFonts w:asciiTheme="minorHAnsi" w:hAnsiTheme="minorHAnsi" w:cstheme="minorHAnsi"/>
          <w:sz w:val="22"/>
          <w:szCs w:val="22"/>
        </w:rPr>
        <w:t>Calipsa</w:t>
      </w:r>
      <w:proofErr w:type="spellEnd"/>
      <w:r w:rsidRPr="00705A00">
        <w:rPr>
          <w:rFonts w:asciiTheme="minorHAnsi" w:hAnsiTheme="minorHAnsi" w:cstheme="minorHAnsi"/>
          <w:sz w:val="22"/>
          <w:szCs w:val="22"/>
        </w:rPr>
        <w:t xml:space="preserve"> (2020) explains how CCTV can be important for the reduction of crime but also Instead, video evidence can be a crucial resource for later suspect tracking. In this case were able to put this footage to the suspect in interview and ask him questions</w:t>
      </w:r>
    </w:p>
    <w:p w14:paraId="3CED5591" w14:textId="77777777" w:rsidR="00705A00" w:rsidRPr="00705A00" w:rsidRDefault="00705A00" w:rsidP="009951DF">
      <w:pPr>
        <w:pStyle w:val="xxmsonormal"/>
        <w:shd w:val="clear" w:color="auto" w:fill="FFFFFF"/>
        <w:spacing w:before="0" w:after="0"/>
        <w:rPr>
          <w:rFonts w:asciiTheme="minorHAnsi" w:hAnsiTheme="minorHAnsi" w:cstheme="minorHAnsi"/>
          <w:sz w:val="22"/>
          <w:szCs w:val="22"/>
        </w:rPr>
      </w:pPr>
    </w:p>
    <w:p w14:paraId="3D8FE8D0" w14:textId="449255AB" w:rsidR="00705A00" w:rsidRPr="00705A00" w:rsidRDefault="00705A00" w:rsidP="009951DF">
      <w:pPr>
        <w:pStyle w:val="xxmsonormal"/>
        <w:shd w:val="clear" w:color="auto" w:fill="FFFFFF"/>
        <w:spacing w:before="0" w:after="0"/>
        <w:rPr>
          <w:rFonts w:asciiTheme="minorHAnsi" w:hAnsiTheme="minorHAnsi" w:cstheme="minorHAnsi"/>
          <w:b/>
          <w:bCs/>
          <w:sz w:val="22"/>
          <w:szCs w:val="22"/>
        </w:rPr>
      </w:pPr>
      <w:r w:rsidRPr="00705A00">
        <w:rPr>
          <w:rFonts w:asciiTheme="minorHAnsi" w:hAnsiTheme="minorHAnsi" w:cstheme="minorHAnsi"/>
          <w:b/>
          <w:bCs/>
          <w:sz w:val="22"/>
          <w:szCs w:val="22"/>
        </w:rPr>
        <w:t xml:space="preserve">Conclusion </w:t>
      </w:r>
    </w:p>
    <w:p w14:paraId="0D2C9E00" w14:textId="6742F126" w:rsidR="009951DF" w:rsidRPr="00705A00" w:rsidRDefault="00627A5F" w:rsidP="009951DF">
      <w:pPr>
        <w:pStyle w:val="xxmsonormal"/>
        <w:shd w:val="clear" w:color="auto" w:fill="FFFFFF"/>
        <w:spacing w:before="0" w:after="0"/>
        <w:rPr>
          <w:rFonts w:asciiTheme="minorHAnsi" w:hAnsiTheme="minorHAnsi" w:cstheme="minorHAnsi"/>
          <w:sz w:val="22"/>
          <w:szCs w:val="22"/>
        </w:rPr>
      </w:pPr>
      <w:r>
        <w:rPr>
          <w:rFonts w:asciiTheme="minorHAnsi" w:hAnsiTheme="minorHAnsi" w:cstheme="minorHAnsi"/>
          <w:sz w:val="22"/>
          <w:szCs w:val="22"/>
        </w:rPr>
        <w:t>In conc</w:t>
      </w:r>
      <w:r w:rsidRPr="00705A00">
        <w:rPr>
          <w:rFonts w:asciiTheme="minorHAnsi" w:hAnsiTheme="minorHAnsi" w:cstheme="minorHAnsi"/>
          <w:sz w:val="22"/>
          <w:szCs w:val="22"/>
        </w:rPr>
        <w:t>l</w:t>
      </w:r>
      <w:r>
        <w:rPr>
          <w:rFonts w:asciiTheme="minorHAnsi" w:hAnsiTheme="minorHAnsi" w:cstheme="minorHAnsi"/>
          <w:sz w:val="22"/>
          <w:szCs w:val="22"/>
        </w:rPr>
        <w:t>usion</w:t>
      </w:r>
      <w:r w:rsidR="009951DF" w:rsidRPr="00705A00">
        <w:rPr>
          <w:rFonts w:asciiTheme="minorHAnsi" w:hAnsiTheme="minorHAnsi" w:cstheme="minorHAnsi"/>
          <w:sz w:val="22"/>
          <w:szCs w:val="22"/>
        </w:rPr>
        <w:t xml:space="preserve"> knew that the victim had been involved in a traumatic experience and that I now needed to safeguard the victim and offer help and assistance from partners and multi agencies.</w:t>
      </w:r>
    </w:p>
    <w:p w14:paraId="03B618E1" w14:textId="77777777" w:rsidR="009951DF" w:rsidRPr="00705A00" w:rsidRDefault="009951DF" w:rsidP="009951DF">
      <w:pPr>
        <w:pStyle w:val="xxmsonormal"/>
        <w:shd w:val="clear" w:color="auto" w:fill="FFFFFF"/>
        <w:spacing w:before="0" w:after="0"/>
        <w:rPr>
          <w:rFonts w:asciiTheme="minorHAnsi" w:hAnsiTheme="minorHAnsi" w:cstheme="minorHAnsi"/>
          <w:sz w:val="22"/>
          <w:szCs w:val="22"/>
        </w:rPr>
      </w:pPr>
      <w:r w:rsidRPr="00705A00">
        <w:rPr>
          <w:rFonts w:asciiTheme="minorHAnsi" w:hAnsiTheme="minorHAnsi" w:cstheme="minorHAnsi"/>
          <w:sz w:val="22"/>
          <w:szCs w:val="22"/>
        </w:rPr>
        <w:t xml:space="preserve">South Tyneside (2018) explains that police investigations into crimes take precedence over all other inquiries. However, a multi-agency strategy should be agreed upon to guarantee that the adult's interests and personal preferences are </w:t>
      </w:r>
      <w:proofErr w:type="gramStart"/>
      <w:r w:rsidRPr="00705A00">
        <w:rPr>
          <w:rFonts w:asciiTheme="minorHAnsi" w:hAnsiTheme="minorHAnsi" w:cstheme="minorHAnsi"/>
          <w:sz w:val="22"/>
          <w:szCs w:val="22"/>
        </w:rPr>
        <w:t>taken into account</w:t>
      </w:r>
      <w:proofErr w:type="gramEnd"/>
      <w:r w:rsidRPr="00705A00">
        <w:rPr>
          <w:rFonts w:asciiTheme="minorHAnsi" w:hAnsiTheme="minorHAnsi" w:cstheme="minorHAnsi"/>
          <w:sz w:val="22"/>
          <w:szCs w:val="22"/>
        </w:rPr>
        <w:t xml:space="preserve"> at all times, even if the adult chooses not to offer any evidence or support a prosecution. The wellbeing of the adult, as well as that of others, including children, is of utmost importance, and ongoing risk assessment is necessary to make sure that the outcome is favourable to and helps their wellbeing.</w:t>
      </w:r>
    </w:p>
    <w:p w14:paraId="31BDFFAB" w14:textId="213A3915" w:rsidR="009951DF" w:rsidRDefault="009951DF" w:rsidP="0FF883D4">
      <w:pPr>
        <w:ind w:right="237"/>
        <w:jc w:val="both"/>
        <w:rPr>
          <w:b/>
          <w:bCs/>
          <w:color w:val="auto"/>
          <w:sz w:val="28"/>
          <w:szCs w:val="28"/>
        </w:rPr>
      </w:pPr>
    </w:p>
    <w:p w14:paraId="51AC8D0E" w14:textId="4D1984CC" w:rsidR="00627A5F" w:rsidRPr="00627A5F" w:rsidRDefault="00627A5F" w:rsidP="0FF883D4">
      <w:pPr>
        <w:ind w:right="237"/>
        <w:jc w:val="both"/>
        <w:rPr>
          <w:rFonts w:asciiTheme="minorHAnsi" w:hAnsiTheme="minorHAnsi" w:cstheme="minorHAnsi"/>
          <w:color w:val="auto"/>
          <w:sz w:val="22"/>
          <w:szCs w:val="22"/>
        </w:rPr>
      </w:pPr>
      <w:r w:rsidRPr="00627A5F">
        <w:rPr>
          <w:rFonts w:asciiTheme="minorHAnsi" w:hAnsiTheme="minorHAnsi" w:cstheme="minorHAnsi"/>
          <w:color w:val="auto"/>
          <w:sz w:val="22"/>
          <w:szCs w:val="22"/>
        </w:rPr>
        <w:t>Word count 1823</w:t>
      </w:r>
    </w:p>
    <w:p w14:paraId="66D27FA2" w14:textId="2E573F43" w:rsidR="0FF883D4" w:rsidRPr="009951DF" w:rsidRDefault="0FF883D4" w:rsidP="0FF883D4">
      <w:pPr>
        <w:ind w:right="237"/>
        <w:jc w:val="both"/>
        <w:rPr>
          <w:color w:val="auto"/>
          <w:sz w:val="24"/>
          <w:szCs w:val="24"/>
        </w:rPr>
      </w:pPr>
    </w:p>
    <w:p w14:paraId="68085F9A" w14:textId="1708B427" w:rsidR="0FF883D4" w:rsidRPr="009951DF" w:rsidRDefault="0FF883D4" w:rsidP="0FF883D4">
      <w:pPr>
        <w:ind w:right="237"/>
        <w:jc w:val="both"/>
        <w:rPr>
          <w:color w:val="auto"/>
          <w:sz w:val="24"/>
          <w:szCs w:val="24"/>
        </w:rPr>
      </w:pPr>
    </w:p>
    <w:p w14:paraId="424576ED" w14:textId="4904159A" w:rsidR="0FF883D4" w:rsidRPr="009951DF" w:rsidRDefault="0FF883D4" w:rsidP="0FF883D4">
      <w:pPr>
        <w:ind w:right="237"/>
        <w:jc w:val="both"/>
        <w:rPr>
          <w:color w:val="auto"/>
          <w:sz w:val="24"/>
          <w:szCs w:val="24"/>
        </w:rPr>
      </w:pPr>
    </w:p>
    <w:p w14:paraId="7CCC989E" w14:textId="5D7DD8E1" w:rsidR="0FF883D4" w:rsidRPr="009951DF" w:rsidRDefault="0FF883D4" w:rsidP="0FF883D4">
      <w:pPr>
        <w:ind w:right="237"/>
        <w:jc w:val="both"/>
        <w:rPr>
          <w:color w:val="auto"/>
          <w:sz w:val="24"/>
          <w:szCs w:val="24"/>
        </w:rPr>
      </w:pPr>
    </w:p>
    <w:p w14:paraId="3DB202D7" w14:textId="796D15F7" w:rsidR="0FF883D4" w:rsidRPr="009951DF" w:rsidRDefault="0FF883D4" w:rsidP="0FF883D4">
      <w:pPr>
        <w:ind w:right="237"/>
        <w:jc w:val="both"/>
        <w:rPr>
          <w:color w:val="auto"/>
          <w:sz w:val="24"/>
          <w:szCs w:val="24"/>
        </w:rPr>
      </w:pPr>
    </w:p>
    <w:p w14:paraId="550E30AF" w14:textId="77777777" w:rsidR="00025650" w:rsidRPr="009951DF" w:rsidRDefault="00025650" w:rsidP="00340E9A">
      <w:pPr>
        <w:ind w:right="237"/>
        <w:jc w:val="both"/>
        <w:rPr>
          <w:b/>
          <w:color w:val="auto"/>
          <w:sz w:val="24"/>
          <w:szCs w:val="24"/>
        </w:rPr>
      </w:pPr>
    </w:p>
    <w:p w14:paraId="1C6E93E6" w14:textId="77777777" w:rsidR="00025650" w:rsidRPr="00E676F7" w:rsidRDefault="00025650" w:rsidP="00340E9A">
      <w:pPr>
        <w:ind w:right="237"/>
      </w:pPr>
      <w:r w:rsidRPr="009951DF">
        <w:rPr>
          <w:color w:val="auto"/>
        </w:rP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95FF2A2" w14:textId="77777777" w:rsidR="00627A5F" w:rsidRDefault="00627A5F" w:rsidP="009951DF">
      <w:pPr>
        <w:rPr>
          <w:rFonts w:ascii="Roboto" w:hAnsi="Roboto"/>
          <w:color w:val="747F8B"/>
          <w:sz w:val="21"/>
          <w:szCs w:val="21"/>
          <w:shd w:val="clear" w:color="auto" w:fill="E3E8EE"/>
        </w:rPr>
      </w:pPr>
    </w:p>
    <w:p w14:paraId="30EC1016" w14:textId="77777777" w:rsidR="00627A5F" w:rsidRDefault="00627A5F" w:rsidP="009951DF">
      <w:pPr>
        <w:rPr>
          <w:rFonts w:ascii="Roboto" w:hAnsi="Roboto"/>
          <w:color w:val="747F8B"/>
          <w:sz w:val="21"/>
          <w:szCs w:val="21"/>
          <w:shd w:val="clear" w:color="auto" w:fill="E3E8EE"/>
        </w:rPr>
      </w:pPr>
    </w:p>
    <w:p w14:paraId="6B31F0A9" w14:textId="77777777" w:rsidR="00627A5F" w:rsidRDefault="00627A5F" w:rsidP="009951DF">
      <w:pPr>
        <w:rPr>
          <w:rFonts w:ascii="Roboto" w:hAnsi="Roboto"/>
          <w:color w:val="747F8B"/>
          <w:sz w:val="21"/>
          <w:szCs w:val="21"/>
          <w:shd w:val="clear" w:color="auto" w:fill="E3E8EE"/>
        </w:rPr>
      </w:pPr>
    </w:p>
    <w:p w14:paraId="75EA66F9" w14:textId="77777777" w:rsidR="00627A5F" w:rsidRDefault="00627A5F" w:rsidP="009951DF">
      <w:pPr>
        <w:rPr>
          <w:rFonts w:ascii="Roboto" w:hAnsi="Roboto"/>
          <w:color w:val="747F8B"/>
          <w:sz w:val="21"/>
          <w:szCs w:val="21"/>
          <w:shd w:val="clear" w:color="auto" w:fill="E3E8EE"/>
        </w:rPr>
      </w:pPr>
    </w:p>
    <w:p w14:paraId="3C7D47BB" w14:textId="77777777" w:rsidR="00627A5F" w:rsidRDefault="00627A5F" w:rsidP="009951DF">
      <w:pPr>
        <w:rPr>
          <w:color w:val="747F8B"/>
          <w:shd w:val="clear" w:color="auto" w:fill="E3E8EE"/>
        </w:rPr>
      </w:pPr>
    </w:p>
    <w:p w14:paraId="2D35B2B7" w14:textId="77777777" w:rsidR="00627A5F" w:rsidRDefault="00627A5F" w:rsidP="009951DF">
      <w:pPr>
        <w:rPr>
          <w:rFonts w:ascii="Roboto" w:hAnsi="Roboto"/>
          <w:color w:val="747F8B"/>
          <w:sz w:val="21"/>
          <w:szCs w:val="21"/>
          <w:shd w:val="clear" w:color="auto" w:fill="E3E8EE"/>
        </w:rPr>
      </w:pPr>
    </w:p>
    <w:p w14:paraId="0015F1E6" w14:textId="77777777" w:rsidR="00627A5F" w:rsidRDefault="00627A5F" w:rsidP="009951DF">
      <w:pPr>
        <w:rPr>
          <w:rFonts w:ascii="Roboto" w:hAnsi="Roboto"/>
          <w:color w:val="747F8B"/>
          <w:sz w:val="21"/>
          <w:szCs w:val="21"/>
          <w:shd w:val="clear" w:color="auto" w:fill="E3E8EE"/>
        </w:rPr>
      </w:pPr>
    </w:p>
    <w:p w14:paraId="64EDA8BE" w14:textId="77777777" w:rsidR="00627A5F" w:rsidRDefault="00627A5F" w:rsidP="009951DF">
      <w:pPr>
        <w:rPr>
          <w:rFonts w:ascii="Roboto" w:hAnsi="Roboto"/>
          <w:color w:val="747F8B"/>
          <w:sz w:val="21"/>
          <w:szCs w:val="21"/>
          <w:shd w:val="clear" w:color="auto" w:fill="E3E8EE"/>
        </w:rPr>
      </w:pPr>
    </w:p>
    <w:p w14:paraId="0C6F76F7" w14:textId="77777777" w:rsidR="00627A5F" w:rsidRPr="006E0F3A" w:rsidRDefault="00627A5F" w:rsidP="009951DF">
      <w:pPr>
        <w:rPr>
          <w:rFonts w:ascii="Roboto" w:hAnsi="Roboto"/>
          <w:color w:val="747F8B"/>
          <w:sz w:val="21"/>
          <w:szCs w:val="21"/>
          <w:shd w:val="clear" w:color="auto" w:fill="E3E8EE"/>
        </w:rPr>
      </w:pPr>
    </w:p>
    <w:p w14:paraId="7A68F663" w14:textId="77777777" w:rsidR="00627A5F" w:rsidRDefault="00627A5F" w:rsidP="009951DF">
      <w:pPr>
        <w:rPr>
          <w:rFonts w:ascii="Roboto" w:hAnsi="Roboto"/>
          <w:color w:val="747F8B"/>
          <w:sz w:val="21"/>
          <w:szCs w:val="21"/>
          <w:shd w:val="clear" w:color="auto" w:fill="E3E8EE"/>
        </w:rPr>
      </w:pPr>
      <w:r>
        <w:rPr>
          <w:rFonts w:ascii="Roboto" w:hAnsi="Roboto"/>
          <w:color w:val="747F8B"/>
          <w:sz w:val="21"/>
          <w:szCs w:val="21"/>
          <w:shd w:val="clear" w:color="auto" w:fill="E3E8EE"/>
        </w:rPr>
        <w:t>Bridgeman, C. and Hobbs, L. (1997). </w:t>
      </w:r>
      <w:r>
        <w:rPr>
          <w:rFonts w:ascii="Roboto" w:hAnsi="Roboto"/>
          <w:i/>
          <w:iCs/>
          <w:color w:val="747F8B"/>
          <w:sz w:val="21"/>
          <w:szCs w:val="21"/>
          <w:shd w:val="clear" w:color="auto" w:fill="E3E8EE"/>
        </w:rPr>
        <w:t>Preventing Repeat Victimisation: the police officers’ guide Domestic Violence Commercial Burglary Racial Incidents Bullying Vandalism Computer Crime Armed Robbery Witness Intimidation Car Crime School Property Crime Obscene Telephone Calls Stalking Burglary Domestic Violence Commercial Burglary Racial Incidents Bullying Vandalism Computer Crime Armed Robbery Witness Intimidation Car Crime School Property Crime Obscene Telephone Calls Stalking</w:t>
      </w:r>
      <w:r>
        <w:rPr>
          <w:rFonts w:ascii="Roboto" w:hAnsi="Roboto"/>
          <w:color w:val="747F8B"/>
          <w:sz w:val="21"/>
          <w:szCs w:val="21"/>
          <w:shd w:val="clear" w:color="auto" w:fill="E3E8EE"/>
        </w:rPr>
        <w:t xml:space="preserve">. [online] Available at: </w:t>
      </w:r>
      <w:hyperlink r:id="rId21" w:history="1">
        <w:r>
          <w:rPr>
            <w:rStyle w:val="Hyperlink"/>
            <w:rFonts w:ascii="Roboto" w:hAnsi="Roboto"/>
            <w:sz w:val="21"/>
            <w:szCs w:val="21"/>
            <w:shd w:val="clear" w:color="auto" w:fill="E3E8EE"/>
          </w:rPr>
          <w:t>https://popcenter.asu.edu/sites/default/files/problems/domestic_violence/PDFs/Bridgeman&amp;Hobbs_1997.pdf</w:t>
        </w:r>
      </w:hyperlink>
      <w:r>
        <w:rPr>
          <w:rFonts w:ascii="Roboto" w:hAnsi="Roboto"/>
          <w:color w:val="747F8B"/>
          <w:sz w:val="21"/>
          <w:szCs w:val="21"/>
          <w:shd w:val="clear" w:color="auto" w:fill="E3E8EE"/>
        </w:rPr>
        <w:t xml:space="preserve">. </w:t>
      </w:r>
    </w:p>
    <w:p w14:paraId="2B339F19" w14:textId="617C58D6" w:rsidR="00627A5F" w:rsidRDefault="00627A5F" w:rsidP="009951DF">
      <w:r>
        <w:rPr>
          <w:rFonts w:ascii="Roboto" w:hAnsi="Roboto"/>
          <w:color w:val="747F8B"/>
          <w:sz w:val="21"/>
          <w:szCs w:val="21"/>
          <w:shd w:val="clear" w:color="auto" w:fill="E3E8EE"/>
        </w:rPr>
        <w:t xml:space="preserve"> </w:t>
      </w:r>
    </w:p>
    <w:p w14:paraId="766B52DA" w14:textId="77777777" w:rsidR="00627A5F" w:rsidRDefault="00627A5F" w:rsidP="009951DF">
      <w:r>
        <w:rPr>
          <w:rFonts w:ascii="Roboto" w:hAnsi="Roboto"/>
          <w:color w:val="747F8B"/>
          <w:sz w:val="21"/>
          <w:szCs w:val="21"/>
          <w:shd w:val="clear" w:color="auto" w:fill="E3E8EE"/>
        </w:rPr>
        <w:t>Byrd, M. (2019). </w:t>
      </w:r>
      <w:r>
        <w:rPr>
          <w:rFonts w:ascii="Roboto" w:hAnsi="Roboto"/>
          <w:i/>
          <w:iCs/>
          <w:color w:val="747F8B"/>
          <w:sz w:val="21"/>
          <w:szCs w:val="21"/>
          <w:shd w:val="clear" w:color="auto" w:fill="E3E8EE"/>
        </w:rPr>
        <w:t>Duty Description for the Crime Scene Investigator</w:t>
      </w:r>
      <w:r>
        <w:rPr>
          <w:rFonts w:ascii="Roboto" w:hAnsi="Roboto"/>
          <w:color w:val="747F8B"/>
          <w:sz w:val="21"/>
          <w:szCs w:val="21"/>
          <w:shd w:val="clear" w:color="auto" w:fill="E3E8EE"/>
        </w:rPr>
        <w:t xml:space="preserve">. [online] Crime-scene-investigator.net. Available at: </w:t>
      </w:r>
      <w:hyperlink r:id="rId22" w:history="1">
        <w:r>
          <w:rPr>
            <w:rStyle w:val="Hyperlink"/>
            <w:rFonts w:ascii="Roboto" w:hAnsi="Roboto"/>
            <w:sz w:val="21"/>
            <w:szCs w:val="21"/>
            <w:shd w:val="clear" w:color="auto" w:fill="E3E8EE"/>
          </w:rPr>
          <w:t>https://www.crime-scene-investigator.net/dutydescription.html</w:t>
        </w:r>
      </w:hyperlink>
      <w:r>
        <w:rPr>
          <w:rFonts w:ascii="Roboto" w:hAnsi="Roboto"/>
          <w:color w:val="747F8B"/>
          <w:sz w:val="21"/>
          <w:szCs w:val="21"/>
          <w:shd w:val="clear" w:color="auto" w:fill="E3E8EE"/>
        </w:rPr>
        <w:t xml:space="preserve">.  </w:t>
      </w:r>
    </w:p>
    <w:p w14:paraId="0E566E0F" w14:textId="77777777" w:rsidR="00627A5F" w:rsidRDefault="00627A5F" w:rsidP="009951DF">
      <w:pPr>
        <w:rPr>
          <w:rFonts w:ascii="Calibri" w:hAnsi="Calibri"/>
          <w:color w:val="auto"/>
          <w:sz w:val="22"/>
          <w:szCs w:val="22"/>
        </w:rPr>
      </w:pPr>
      <w:r>
        <w:br/>
      </w:r>
      <w:proofErr w:type="spellStart"/>
      <w:r>
        <w:rPr>
          <w:rFonts w:ascii="Roboto" w:hAnsi="Roboto"/>
          <w:color w:val="747F8B"/>
          <w:sz w:val="21"/>
          <w:szCs w:val="21"/>
          <w:shd w:val="clear" w:color="auto" w:fill="E3E8EE"/>
        </w:rPr>
        <w:t>Calipsa</w:t>
      </w:r>
      <w:proofErr w:type="spellEnd"/>
      <w:r>
        <w:rPr>
          <w:rFonts w:ascii="Roboto" w:hAnsi="Roboto"/>
          <w:color w:val="747F8B"/>
          <w:sz w:val="21"/>
          <w:szCs w:val="21"/>
          <w:shd w:val="clear" w:color="auto" w:fill="E3E8EE"/>
        </w:rPr>
        <w:t xml:space="preserve"> (2020). </w:t>
      </w:r>
      <w:r>
        <w:rPr>
          <w:rFonts w:ascii="Roboto" w:hAnsi="Roboto"/>
          <w:i/>
          <w:iCs/>
          <w:color w:val="747F8B"/>
          <w:sz w:val="21"/>
          <w:szCs w:val="21"/>
          <w:shd w:val="clear" w:color="auto" w:fill="E3E8EE"/>
        </w:rPr>
        <w:t>CCTV statistics in the UK: your questions answered</w:t>
      </w:r>
      <w:r>
        <w:rPr>
          <w:rFonts w:ascii="Roboto" w:hAnsi="Roboto"/>
          <w:color w:val="747F8B"/>
          <w:sz w:val="21"/>
          <w:szCs w:val="21"/>
          <w:shd w:val="clear" w:color="auto" w:fill="E3E8EE"/>
        </w:rPr>
        <w:t>. [online] www.calipsa.io. Available at: https://www.calipsa.io/blog/cctv-statistics-in-the-uk-your-questions-answered</w:t>
      </w:r>
    </w:p>
    <w:p w14:paraId="24C8E87A" w14:textId="27C11C57" w:rsidR="00627A5F" w:rsidRDefault="00627A5F" w:rsidP="009951DF">
      <w:pPr>
        <w:rPr>
          <w:rStyle w:val="Hyperlink"/>
          <w:rFonts w:ascii="Roboto" w:hAnsi="Roboto"/>
          <w:sz w:val="21"/>
          <w:szCs w:val="21"/>
          <w:shd w:val="clear" w:color="auto" w:fill="E3E8EE"/>
        </w:rPr>
      </w:pPr>
      <w:r>
        <w:br/>
      </w:r>
      <w:r>
        <w:rPr>
          <w:rFonts w:ascii="Roboto" w:hAnsi="Roboto"/>
          <w:color w:val="747F8B"/>
          <w:sz w:val="21"/>
          <w:szCs w:val="21"/>
          <w:shd w:val="clear" w:color="auto" w:fill="E3E8EE"/>
        </w:rPr>
        <w:t>College of Policing (2022). </w:t>
      </w:r>
      <w:r>
        <w:rPr>
          <w:rFonts w:ascii="Roboto" w:hAnsi="Roboto"/>
          <w:i/>
          <w:iCs/>
          <w:color w:val="747F8B"/>
          <w:sz w:val="21"/>
          <w:szCs w:val="21"/>
          <w:shd w:val="clear" w:color="auto" w:fill="E3E8EE"/>
        </w:rPr>
        <w:t>Investigative interviewing</w:t>
      </w:r>
      <w:r>
        <w:rPr>
          <w:rFonts w:ascii="Roboto" w:hAnsi="Roboto"/>
          <w:color w:val="747F8B"/>
          <w:sz w:val="21"/>
          <w:szCs w:val="21"/>
          <w:shd w:val="clear" w:color="auto" w:fill="E3E8EE"/>
        </w:rPr>
        <w:t xml:space="preserve">. [online] College of Policing. Available at: </w:t>
      </w:r>
      <w:hyperlink r:id="rId23" w:history="1">
        <w:r>
          <w:rPr>
            <w:rStyle w:val="Hyperlink"/>
            <w:rFonts w:ascii="Roboto" w:hAnsi="Roboto"/>
            <w:sz w:val="21"/>
            <w:szCs w:val="21"/>
            <w:shd w:val="clear" w:color="auto" w:fill="E3E8EE"/>
          </w:rPr>
          <w:t>https://www.college.police.uk/app/investigation/investigative-interviewing/investigative-interviewing</w:t>
        </w:r>
      </w:hyperlink>
    </w:p>
    <w:p w14:paraId="3669107F" w14:textId="77777777" w:rsidR="00627A5F" w:rsidRDefault="00627A5F" w:rsidP="009951DF">
      <w:pPr>
        <w:rPr>
          <w:rFonts w:ascii="Calibri" w:hAnsi="Calibri"/>
          <w:color w:val="auto"/>
          <w:sz w:val="22"/>
          <w:szCs w:val="22"/>
        </w:rPr>
      </w:pPr>
    </w:p>
    <w:p w14:paraId="66A0A1D9" w14:textId="77777777" w:rsidR="00627A5F" w:rsidRDefault="00627A5F" w:rsidP="009951DF">
      <w:pPr>
        <w:rPr>
          <w:rFonts w:ascii="Roboto" w:hAnsi="Roboto"/>
          <w:color w:val="747F8B"/>
          <w:sz w:val="21"/>
          <w:szCs w:val="21"/>
          <w:shd w:val="clear" w:color="auto" w:fill="E3E8EE"/>
        </w:rPr>
      </w:pPr>
      <w:r>
        <w:rPr>
          <w:rFonts w:ascii="Roboto" w:hAnsi="Roboto"/>
          <w:color w:val="747F8B"/>
          <w:sz w:val="21"/>
          <w:szCs w:val="21"/>
          <w:shd w:val="clear" w:color="auto" w:fill="E3E8EE"/>
        </w:rPr>
        <w:t>Cornell Law School (2020). </w:t>
      </w:r>
      <w:r>
        <w:rPr>
          <w:rFonts w:ascii="Roboto" w:hAnsi="Roboto"/>
          <w:i/>
          <w:iCs/>
          <w:color w:val="747F8B"/>
          <w:sz w:val="21"/>
          <w:szCs w:val="21"/>
          <w:shd w:val="clear" w:color="auto" w:fill="E3E8EE"/>
        </w:rPr>
        <w:t>Modus Operandi</w:t>
      </w:r>
      <w:r>
        <w:rPr>
          <w:rFonts w:ascii="Roboto" w:hAnsi="Roboto"/>
          <w:color w:val="747F8B"/>
          <w:sz w:val="21"/>
          <w:szCs w:val="21"/>
          <w:shd w:val="clear" w:color="auto" w:fill="E3E8EE"/>
        </w:rPr>
        <w:t xml:space="preserve">. [online] LII / Legal Information Institute. Available at: </w:t>
      </w:r>
      <w:hyperlink r:id="rId24" w:anchor=":~:text=Primary%20tabs" w:history="1">
        <w:r>
          <w:rPr>
            <w:rStyle w:val="Hyperlink"/>
            <w:rFonts w:ascii="Roboto" w:hAnsi="Roboto"/>
            <w:sz w:val="21"/>
            <w:szCs w:val="21"/>
            <w:shd w:val="clear" w:color="auto" w:fill="E3E8EE"/>
          </w:rPr>
          <w:t>https://www.law.cornell.edu/wex/modus_operandi#:~:text=Primary%20tabs</w:t>
        </w:r>
      </w:hyperlink>
      <w:r>
        <w:rPr>
          <w:rFonts w:ascii="Roboto" w:hAnsi="Roboto"/>
          <w:color w:val="747F8B"/>
          <w:sz w:val="21"/>
          <w:szCs w:val="21"/>
          <w:shd w:val="clear" w:color="auto" w:fill="E3E8EE"/>
        </w:rPr>
        <w:t>.</w:t>
      </w:r>
    </w:p>
    <w:p w14:paraId="4A8B5E8C" w14:textId="77AA9846" w:rsidR="00627A5F" w:rsidRDefault="00627A5F" w:rsidP="009951DF">
      <w:r>
        <w:rPr>
          <w:rFonts w:ascii="Roboto" w:hAnsi="Roboto"/>
          <w:color w:val="747F8B"/>
          <w:sz w:val="21"/>
          <w:szCs w:val="21"/>
          <w:shd w:val="clear" w:color="auto" w:fill="E3E8EE"/>
        </w:rPr>
        <w:t xml:space="preserve"> </w:t>
      </w:r>
    </w:p>
    <w:p w14:paraId="5FB6EC9C" w14:textId="77777777" w:rsidR="00627A5F" w:rsidRDefault="00627A5F" w:rsidP="009951DF">
      <w:r>
        <w:rPr>
          <w:rFonts w:ascii="Roboto" w:hAnsi="Roboto"/>
          <w:color w:val="747F8B"/>
          <w:sz w:val="21"/>
          <w:szCs w:val="21"/>
          <w:shd w:val="clear" w:color="auto" w:fill="E3E8EE"/>
        </w:rPr>
        <w:t>CPS (2017). </w:t>
      </w:r>
      <w:r>
        <w:rPr>
          <w:rFonts w:ascii="Roboto" w:hAnsi="Roboto"/>
          <w:i/>
          <w:iCs/>
          <w:color w:val="747F8B"/>
          <w:sz w:val="21"/>
          <w:szCs w:val="21"/>
          <w:shd w:val="clear" w:color="auto" w:fill="E3E8EE"/>
        </w:rPr>
        <w:t>Bail | the Crown Prosecution Service</w:t>
      </w:r>
      <w:r>
        <w:rPr>
          <w:rFonts w:ascii="Roboto" w:hAnsi="Roboto"/>
          <w:color w:val="747F8B"/>
          <w:sz w:val="21"/>
          <w:szCs w:val="21"/>
          <w:shd w:val="clear" w:color="auto" w:fill="E3E8EE"/>
        </w:rPr>
        <w:t xml:space="preserve">. [online] Cps.gov.uk. Available at: </w:t>
      </w:r>
      <w:hyperlink r:id="rId25" w:history="1">
        <w:r>
          <w:rPr>
            <w:rStyle w:val="Hyperlink"/>
            <w:rFonts w:ascii="Roboto" w:hAnsi="Roboto"/>
            <w:sz w:val="21"/>
            <w:szCs w:val="21"/>
            <w:shd w:val="clear" w:color="auto" w:fill="E3E8EE"/>
          </w:rPr>
          <w:t>https://www.cps.gov.uk/legal-guidance/bail</w:t>
        </w:r>
      </w:hyperlink>
    </w:p>
    <w:p w14:paraId="055F6FCF" w14:textId="77777777" w:rsidR="00627A5F" w:rsidRDefault="00627A5F" w:rsidP="009951DF">
      <w:pPr>
        <w:rPr>
          <w:rFonts w:ascii="Roboto" w:hAnsi="Roboto"/>
          <w:color w:val="747F8B"/>
          <w:sz w:val="21"/>
          <w:szCs w:val="21"/>
          <w:shd w:val="clear" w:color="auto" w:fill="E3E8EE"/>
        </w:rPr>
      </w:pPr>
      <w:r>
        <w:br/>
      </w:r>
      <w:r>
        <w:rPr>
          <w:rFonts w:ascii="Roboto" w:hAnsi="Roboto"/>
          <w:color w:val="747F8B"/>
          <w:sz w:val="21"/>
          <w:szCs w:val="21"/>
          <w:shd w:val="clear" w:color="auto" w:fill="E3E8EE"/>
        </w:rPr>
        <w:t>Dev (2019). </w:t>
      </w:r>
      <w:r>
        <w:rPr>
          <w:rFonts w:ascii="Roboto" w:hAnsi="Roboto"/>
          <w:i/>
          <w:iCs/>
          <w:color w:val="747F8B"/>
          <w:sz w:val="21"/>
          <w:szCs w:val="21"/>
          <w:shd w:val="clear" w:color="auto" w:fill="E3E8EE"/>
        </w:rPr>
        <w:t>What is a ‘vulnerable victim’?</w:t>
      </w:r>
      <w:r>
        <w:rPr>
          <w:rFonts w:ascii="Roboto" w:hAnsi="Roboto"/>
          <w:color w:val="747F8B"/>
          <w:sz w:val="21"/>
          <w:szCs w:val="21"/>
          <w:shd w:val="clear" w:color="auto" w:fill="E3E8EE"/>
        </w:rPr>
        <w:t xml:space="preserve"> [online] Central Chambers Manchester. Available at: </w:t>
      </w:r>
      <w:hyperlink r:id="rId26" w:history="1">
        <w:r>
          <w:rPr>
            <w:rStyle w:val="Hyperlink"/>
            <w:rFonts w:ascii="Roboto" w:hAnsi="Roboto"/>
            <w:sz w:val="21"/>
            <w:szCs w:val="21"/>
            <w:shd w:val="clear" w:color="auto" w:fill="E3E8EE"/>
          </w:rPr>
          <w:t>https://centralchambers.co.uk/what-is-a-vulnerable-victim/</w:t>
        </w:r>
      </w:hyperlink>
      <w:r>
        <w:rPr>
          <w:rFonts w:ascii="Roboto" w:hAnsi="Roboto"/>
          <w:color w:val="747F8B"/>
          <w:sz w:val="21"/>
          <w:szCs w:val="21"/>
          <w:shd w:val="clear" w:color="auto" w:fill="E3E8EE"/>
        </w:rPr>
        <w:t>.</w:t>
      </w:r>
    </w:p>
    <w:p w14:paraId="07A00F04" w14:textId="3B6DFBBE" w:rsidR="00627A5F" w:rsidRDefault="00627A5F" w:rsidP="009951DF">
      <w:r>
        <w:rPr>
          <w:rFonts w:ascii="Roboto" w:hAnsi="Roboto"/>
          <w:color w:val="747F8B"/>
          <w:sz w:val="21"/>
          <w:szCs w:val="21"/>
          <w:shd w:val="clear" w:color="auto" w:fill="E3E8EE"/>
        </w:rPr>
        <w:t xml:space="preserve"> </w:t>
      </w:r>
    </w:p>
    <w:p w14:paraId="15427F46" w14:textId="77777777" w:rsidR="00627A5F" w:rsidRDefault="00627A5F" w:rsidP="009951DF">
      <w:pPr>
        <w:rPr>
          <w:rFonts w:ascii="Roboto" w:hAnsi="Roboto"/>
          <w:color w:val="747F8B"/>
          <w:sz w:val="21"/>
          <w:szCs w:val="21"/>
          <w:shd w:val="clear" w:color="auto" w:fill="E3E8EE"/>
        </w:rPr>
      </w:pPr>
      <w:r>
        <w:rPr>
          <w:rFonts w:ascii="Roboto" w:hAnsi="Roboto"/>
          <w:color w:val="747F8B"/>
          <w:sz w:val="21"/>
          <w:szCs w:val="21"/>
          <w:shd w:val="clear" w:color="auto" w:fill="E3E8EE"/>
        </w:rPr>
        <w:t>HMICFRS (2020). A Call for Help. </w:t>
      </w:r>
      <w:r>
        <w:rPr>
          <w:rFonts w:ascii="Roboto" w:hAnsi="Roboto"/>
          <w:i/>
          <w:iCs/>
          <w:color w:val="747F8B"/>
          <w:sz w:val="21"/>
          <w:szCs w:val="21"/>
          <w:shd w:val="clear" w:color="auto" w:fill="E3E8EE"/>
        </w:rPr>
        <w:t>Science</w:t>
      </w:r>
      <w:r>
        <w:rPr>
          <w:rFonts w:ascii="Roboto" w:hAnsi="Roboto"/>
          <w:color w:val="747F8B"/>
          <w:sz w:val="21"/>
          <w:szCs w:val="21"/>
          <w:shd w:val="clear" w:color="auto" w:fill="E3E8EE"/>
        </w:rPr>
        <w:t>, 221(4614), pp.943–943</w:t>
      </w:r>
    </w:p>
    <w:p w14:paraId="226CC6F9" w14:textId="58CEEC0C" w:rsidR="00627A5F" w:rsidRDefault="00627A5F" w:rsidP="009951DF">
      <w:r>
        <w:rPr>
          <w:rFonts w:ascii="Roboto" w:hAnsi="Roboto"/>
          <w:color w:val="747F8B"/>
          <w:sz w:val="21"/>
          <w:szCs w:val="21"/>
          <w:shd w:val="clear" w:color="auto" w:fill="E3E8EE"/>
        </w:rPr>
        <w:t xml:space="preserve"> </w:t>
      </w:r>
    </w:p>
    <w:p w14:paraId="754AFCBE" w14:textId="77777777" w:rsidR="00627A5F" w:rsidRDefault="00627A5F" w:rsidP="009951DF">
      <w:proofErr w:type="spellStart"/>
      <w:r>
        <w:rPr>
          <w:rFonts w:ascii="Roboto" w:hAnsi="Roboto"/>
          <w:color w:val="747F8B"/>
          <w:sz w:val="21"/>
          <w:szCs w:val="21"/>
          <w:shd w:val="clear" w:color="auto" w:fill="E3E8EE"/>
        </w:rPr>
        <w:t>Inzunza</w:t>
      </w:r>
      <w:proofErr w:type="spellEnd"/>
      <w:r>
        <w:rPr>
          <w:rFonts w:ascii="Roboto" w:hAnsi="Roboto"/>
          <w:color w:val="747F8B"/>
          <w:sz w:val="21"/>
          <w:szCs w:val="21"/>
          <w:shd w:val="clear" w:color="auto" w:fill="E3E8EE"/>
        </w:rPr>
        <w:t xml:space="preserve">, M. (2022). The significance of victim </w:t>
      </w:r>
      <w:proofErr w:type="spellStart"/>
      <w:r>
        <w:rPr>
          <w:rFonts w:ascii="Roboto" w:hAnsi="Roboto"/>
          <w:color w:val="747F8B"/>
          <w:sz w:val="21"/>
          <w:szCs w:val="21"/>
          <w:shd w:val="clear" w:color="auto" w:fill="E3E8EE"/>
        </w:rPr>
        <w:t>ideality</w:t>
      </w:r>
      <w:proofErr w:type="spellEnd"/>
      <w:r>
        <w:rPr>
          <w:rFonts w:ascii="Roboto" w:hAnsi="Roboto"/>
          <w:color w:val="747F8B"/>
          <w:sz w:val="21"/>
          <w:szCs w:val="21"/>
          <w:shd w:val="clear" w:color="auto" w:fill="E3E8EE"/>
        </w:rPr>
        <w:t xml:space="preserve"> in interactions between crime victims and police officers. </w:t>
      </w:r>
      <w:r>
        <w:rPr>
          <w:i/>
          <w:iCs/>
        </w:rPr>
        <w:t>International Journal of Law, Crime and Justice</w:t>
      </w:r>
      <w:r>
        <w:t xml:space="preserve">, 68, p.100522. </w:t>
      </w:r>
      <w:proofErr w:type="spellStart"/>
      <w:proofErr w:type="gramStart"/>
      <w:r>
        <w:t>doi:https</w:t>
      </w:r>
      <w:proofErr w:type="spellEnd"/>
      <w:r>
        <w:t>://doi.org/10.1016/j.ijlcj.2021.100522</w:t>
      </w:r>
      <w:proofErr w:type="gramEnd"/>
    </w:p>
    <w:p w14:paraId="421A12FA" w14:textId="39510C20" w:rsidR="00627A5F" w:rsidRDefault="00627A5F" w:rsidP="009951DF">
      <w:r>
        <w:t xml:space="preserve"> </w:t>
      </w:r>
    </w:p>
    <w:p w14:paraId="6F38CB7E" w14:textId="77777777" w:rsidR="00627A5F" w:rsidRDefault="00627A5F" w:rsidP="009951DF">
      <w:pPr>
        <w:rPr>
          <w:rStyle w:val="Hyperlink"/>
          <w:shd w:val="clear" w:color="auto" w:fill="E3E8EE"/>
        </w:rPr>
      </w:pPr>
      <w:r>
        <w:rPr>
          <w:rFonts w:ascii="Roboto" w:hAnsi="Roboto"/>
          <w:color w:val="747F8B"/>
          <w:sz w:val="21"/>
          <w:szCs w:val="21"/>
          <w:shd w:val="clear" w:color="auto" w:fill="E3E8EE"/>
        </w:rPr>
        <w:t>Ministry of justice (2013). </w:t>
      </w:r>
      <w:r>
        <w:rPr>
          <w:i/>
          <w:iCs/>
          <w:color w:val="747F8B"/>
          <w:shd w:val="clear" w:color="auto" w:fill="E3E8EE"/>
        </w:rPr>
        <w:t>Making a Victim Personal Statement</w:t>
      </w:r>
      <w:r>
        <w:rPr>
          <w:color w:val="747F8B"/>
          <w:shd w:val="clear" w:color="auto" w:fill="E3E8EE"/>
        </w:rPr>
        <w:t xml:space="preserve">. [online] Available at: </w:t>
      </w:r>
      <w:hyperlink r:id="rId27" w:history="1">
        <w:r>
          <w:rPr>
            <w:rStyle w:val="Hyperlink"/>
            <w:shd w:val="clear" w:color="auto" w:fill="E3E8EE"/>
          </w:rPr>
          <w:t>https://assets.publishing.service.gov.uk/government/uploads/system/uploads/attachment_data/file/264625/victims-vps-guidance.pdf</w:t>
        </w:r>
      </w:hyperlink>
    </w:p>
    <w:p w14:paraId="7D56D676" w14:textId="33195E06" w:rsidR="00627A5F" w:rsidRDefault="00627A5F" w:rsidP="009951DF">
      <w:r>
        <w:rPr>
          <w:color w:val="747F8B"/>
          <w:shd w:val="clear" w:color="auto" w:fill="E3E8EE"/>
        </w:rPr>
        <w:t xml:space="preserve"> </w:t>
      </w:r>
    </w:p>
    <w:p w14:paraId="076E5E50" w14:textId="77777777" w:rsidR="00627A5F" w:rsidRDefault="00627A5F" w:rsidP="009951DF">
      <w:r>
        <w:rPr>
          <w:rFonts w:ascii="Roboto" w:hAnsi="Roboto"/>
          <w:color w:val="747F8B"/>
          <w:sz w:val="21"/>
          <w:szCs w:val="21"/>
          <w:shd w:val="clear" w:color="auto" w:fill="E3E8EE"/>
        </w:rPr>
        <w:t>Ministry of Justice (2015). </w:t>
      </w:r>
      <w:r>
        <w:rPr>
          <w:i/>
          <w:iCs/>
          <w:color w:val="747F8B"/>
          <w:shd w:val="clear" w:color="auto" w:fill="E3E8EE"/>
        </w:rPr>
        <w:t>Code of Practice for Victims of Crime</w:t>
      </w:r>
      <w:r>
        <w:rPr>
          <w:color w:val="747F8B"/>
          <w:shd w:val="clear" w:color="auto" w:fill="E3E8EE"/>
        </w:rPr>
        <w:t xml:space="preserve">. [online] Available at: </w:t>
      </w:r>
      <w:hyperlink r:id="rId28" w:history="1">
        <w:r>
          <w:rPr>
            <w:rStyle w:val="Hyperlink"/>
            <w:shd w:val="clear" w:color="auto" w:fill="E3E8EE"/>
          </w:rPr>
          <w:t>https://www.cps.gov.uk/sites/default/files/documents/legal_guidance/OD_000049.pdf</w:t>
        </w:r>
      </w:hyperlink>
      <w:r>
        <w:rPr>
          <w:color w:val="747F8B"/>
          <w:shd w:val="clear" w:color="auto" w:fill="E3E8EE"/>
        </w:rPr>
        <w:t xml:space="preserve"> </w:t>
      </w:r>
    </w:p>
    <w:p w14:paraId="3024D6D7" w14:textId="70E38D44" w:rsidR="00627A5F" w:rsidRDefault="00627A5F" w:rsidP="009951DF">
      <w:pPr>
        <w:rPr>
          <w:rFonts w:ascii="Roboto" w:hAnsi="Roboto"/>
          <w:color w:val="747F8B"/>
          <w:sz w:val="21"/>
          <w:szCs w:val="21"/>
          <w:shd w:val="clear" w:color="auto" w:fill="E3E8EE"/>
        </w:rPr>
      </w:pPr>
      <w:r>
        <w:br/>
      </w:r>
      <w:proofErr w:type="spellStart"/>
      <w:r>
        <w:rPr>
          <w:rFonts w:ascii="Roboto" w:hAnsi="Roboto"/>
          <w:color w:val="747F8B"/>
          <w:sz w:val="21"/>
          <w:szCs w:val="21"/>
          <w:shd w:val="clear" w:color="auto" w:fill="E3E8EE"/>
        </w:rPr>
        <w:t>NIDirect</w:t>
      </w:r>
      <w:proofErr w:type="spellEnd"/>
      <w:r>
        <w:rPr>
          <w:rFonts w:ascii="Roboto" w:hAnsi="Roboto"/>
          <w:color w:val="747F8B"/>
          <w:sz w:val="21"/>
          <w:szCs w:val="21"/>
          <w:shd w:val="clear" w:color="auto" w:fill="E3E8EE"/>
        </w:rPr>
        <w:t xml:space="preserve"> (2015). </w:t>
      </w:r>
      <w:r>
        <w:rPr>
          <w:rFonts w:ascii="Roboto" w:hAnsi="Roboto"/>
          <w:i/>
          <w:iCs/>
          <w:color w:val="747F8B"/>
          <w:sz w:val="21"/>
          <w:szCs w:val="21"/>
          <w:shd w:val="clear" w:color="auto" w:fill="E3E8EE"/>
        </w:rPr>
        <w:t>Giving a statement to the police</w:t>
      </w:r>
      <w:r>
        <w:rPr>
          <w:rFonts w:ascii="Roboto" w:hAnsi="Roboto"/>
          <w:color w:val="747F8B"/>
          <w:sz w:val="21"/>
          <w:szCs w:val="21"/>
          <w:shd w:val="clear" w:color="auto" w:fill="E3E8EE"/>
        </w:rPr>
        <w:t xml:space="preserve">. [online] </w:t>
      </w:r>
      <w:proofErr w:type="spellStart"/>
      <w:r>
        <w:rPr>
          <w:rFonts w:ascii="Roboto" w:hAnsi="Roboto"/>
          <w:color w:val="747F8B"/>
          <w:sz w:val="21"/>
          <w:szCs w:val="21"/>
          <w:shd w:val="clear" w:color="auto" w:fill="E3E8EE"/>
        </w:rPr>
        <w:t>nidirect</w:t>
      </w:r>
      <w:proofErr w:type="spellEnd"/>
      <w:r>
        <w:rPr>
          <w:rFonts w:ascii="Roboto" w:hAnsi="Roboto"/>
          <w:color w:val="747F8B"/>
          <w:sz w:val="21"/>
          <w:szCs w:val="21"/>
          <w:shd w:val="clear" w:color="auto" w:fill="E3E8EE"/>
        </w:rPr>
        <w:t xml:space="preserve">. Available at: </w:t>
      </w:r>
      <w:hyperlink r:id="rId29" w:history="1">
        <w:r>
          <w:rPr>
            <w:rStyle w:val="Hyperlink"/>
            <w:rFonts w:ascii="Roboto" w:hAnsi="Roboto"/>
            <w:sz w:val="21"/>
            <w:szCs w:val="21"/>
            <w:shd w:val="clear" w:color="auto" w:fill="E3E8EE"/>
          </w:rPr>
          <w:t>https://www.nidirect.gov.uk/articles/giving-statement-police</w:t>
        </w:r>
      </w:hyperlink>
      <w:r>
        <w:rPr>
          <w:rFonts w:ascii="Roboto" w:hAnsi="Roboto"/>
          <w:color w:val="747F8B"/>
          <w:sz w:val="21"/>
          <w:szCs w:val="21"/>
          <w:shd w:val="clear" w:color="auto" w:fill="E3E8EE"/>
        </w:rPr>
        <w:t>.</w:t>
      </w:r>
    </w:p>
    <w:p w14:paraId="64AF6A81" w14:textId="77777777" w:rsidR="00627A5F" w:rsidRDefault="00627A5F" w:rsidP="009951DF"/>
    <w:p w14:paraId="1052BD4A" w14:textId="3895B9FF" w:rsidR="00627A5F" w:rsidRDefault="00627A5F" w:rsidP="009951DF">
      <w:pPr>
        <w:rPr>
          <w:rFonts w:ascii="Roboto" w:hAnsi="Roboto"/>
          <w:color w:val="747F8B"/>
          <w:sz w:val="21"/>
          <w:szCs w:val="21"/>
          <w:shd w:val="clear" w:color="auto" w:fill="E3E8EE"/>
        </w:rPr>
      </w:pPr>
      <w:r>
        <w:rPr>
          <w:rFonts w:ascii="Roboto" w:hAnsi="Roboto"/>
          <w:color w:val="747F8B"/>
          <w:sz w:val="21"/>
          <w:szCs w:val="21"/>
          <w:shd w:val="clear" w:color="auto" w:fill="E3E8EE"/>
        </w:rPr>
        <w:lastRenderedPageBreak/>
        <w:t xml:space="preserve"> </w:t>
      </w:r>
      <w:proofErr w:type="spellStart"/>
      <w:r>
        <w:rPr>
          <w:rFonts w:ascii="Roboto" w:hAnsi="Roboto"/>
          <w:color w:val="747F8B"/>
          <w:sz w:val="21"/>
          <w:szCs w:val="21"/>
          <w:shd w:val="clear" w:color="auto" w:fill="E3E8EE"/>
        </w:rPr>
        <w:t>Policeoracle</w:t>
      </w:r>
      <w:proofErr w:type="spellEnd"/>
      <w:r>
        <w:rPr>
          <w:rFonts w:ascii="Roboto" w:hAnsi="Roboto"/>
          <w:color w:val="747F8B"/>
          <w:sz w:val="21"/>
          <w:szCs w:val="21"/>
          <w:shd w:val="clear" w:color="auto" w:fill="E3E8EE"/>
        </w:rPr>
        <w:t xml:space="preserve"> (2023). </w:t>
      </w:r>
      <w:r>
        <w:rPr>
          <w:rFonts w:ascii="Roboto" w:hAnsi="Roboto"/>
          <w:i/>
          <w:iCs/>
          <w:color w:val="747F8B"/>
          <w:sz w:val="21"/>
          <w:szCs w:val="21"/>
          <w:shd w:val="clear" w:color="auto" w:fill="E3E8EE"/>
        </w:rPr>
        <w:t>Police Oracle</w:t>
      </w:r>
      <w:r>
        <w:rPr>
          <w:rFonts w:ascii="Roboto" w:hAnsi="Roboto"/>
          <w:color w:val="747F8B"/>
          <w:sz w:val="21"/>
          <w:szCs w:val="21"/>
          <w:shd w:val="clear" w:color="auto" w:fill="E3E8EE"/>
        </w:rPr>
        <w:t xml:space="preserve">. [online] touch.policeoracle.com. Available at: </w:t>
      </w:r>
      <w:hyperlink r:id="rId30" w:history="1">
        <w:r>
          <w:rPr>
            <w:rStyle w:val="Hyperlink"/>
            <w:rFonts w:ascii="Roboto" w:hAnsi="Roboto"/>
            <w:sz w:val="21"/>
            <w:szCs w:val="21"/>
            <w:shd w:val="clear" w:color="auto" w:fill="E3E8EE"/>
          </w:rPr>
          <w:t>https://touch.policeoracle.com/news/article.cfm?id=36445</w:t>
        </w:r>
      </w:hyperlink>
      <w:r>
        <w:rPr>
          <w:rFonts w:ascii="Roboto" w:hAnsi="Roboto"/>
          <w:color w:val="747F8B"/>
          <w:sz w:val="21"/>
          <w:szCs w:val="21"/>
          <w:shd w:val="clear" w:color="auto" w:fill="E3E8EE"/>
        </w:rPr>
        <w:t>.</w:t>
      </w:r>
    </w:p>
    <w:p w14:paraId="630D2B06" w14:textId="77777777" w:rsidR="00627A5F" w:rsidRDefault="00627A5F" w:rsidP="009951DF"/>
    <w:p w14:paraId="513488CA" w14:textId="0B3878A6" w:rsidR="00627A5F" w:rsidRDefault="00627A5F" w:rsidP="009951DF">
      <w:pPr>
        <w:rPr>
          <w:rStyle w:val="Hyperlink"/>
          <w:rFonts w:ascii="Roboto" w:hAnsi="Roboto"/>
          <w:sz w:val="21"/>
          <w:szCs w:val="21"/>
          <w:shd w:val="clear" w:color="auto" w:fill="E3E8EE"/>
        </w:rPr>
      </w:pPr>
      <w:r>
        <w:rPr>
          <w:rFonts w:ascii="Roboto" w:hAnsi="Roboto"/>
          <w:color w:val="747F8B"/>
          <w:sz w:val="21"/>
          <w:szCs w:val="21"/>
          <w:shd w:val="clear" w:color="auto" w:fill="E3E8EE"/>
        </w:rPr>
        <w:t>South Tyneside (2018). </w:t>
      </w:r>
      <w:r>
        <w:rPr>
          <w:rFonts w:ascii="Roboto" w:hAnsi="Roboto"/>
          <w:i/>
          <w:iCs/>
          <w:color w:val="747F8B"/>
          <w:sz w:val="21"/>
          <w:szCs w:val="21"/>
          <w:shd w:val="clear" w:color="auto" w:fill="E3E8EE"/>
        </w:rPr>
        <w:t>4.1.4 Criminal Offences and Adult Safeguarding – South Tyneside Safeguarding Children and Adults Partnership APPP</w:t>
      </w:r>
      <w:r>
        <w:rPr>
          <w:rFonts w:ascii="Roboto" w:hAnsi="Roboto"/>
          <w:color w:val="747F8B"/>
          <w:sz w:val="21"/>
          <w:szCs w:val="21"/>
          <w:shd w:val="clear" w:color="auto" w:fill="E3E8EE"/>
        </w:rPr>
        <w:t xml:space="preserve">. [online] Available at: </w:t>
      </w:r>
      <w:hyperlink r:id="rId31" w:anchor="3_Adult_Witnesses_who_are_Vulnerable_or_Intimidated" w:history="1">
        <w:r>
          <w:rPr>
            <w:rStyle w:val="Hyperlink"/>
            <w:rFonts w:ascii="Roboto" w:hAnsi="Roboto"/>
            <w:sz w:val="21"/>
            <w:szCs w:val="21"/>
            <w:shd w:val="clear" w:color="auto" w:fill="E3E8EE"/>
          </w:rPr>
          <w:t>https://www.southtynesidesafeguardingappp.co.uk/criminal-offences-and-adult-safeguarding/#3_Adult_Witnesses_who_are_Vulnerable_or_Intimidated</w:t>
        </w:r>
      </w:hyperlink>
    </w:p>
    <w:p w14:paraId="10792843" w14:textId="77777777" w:rsidR="00627A5F" w:rsidRDefault="00627A5F" w:rsidP="009951DF">
      <w:pPr>
        <w:rPr>
          <w:rFonts w:ascii="Calibri" w:hAnsi="Calibri"/>
          <w:color w:val="auto"/>
          <w:sz w:val="22"/>
          <w:szCs w:val="22"/>
        </w:rPr>
      </w:pPr>
    </w:p>
    <w:p w14:paraId="67707D1B" w14:textId="77777777" w:rsidR="00627A5F" w:rsidRDefault="00627A5F" w:rsidP="009951DF">
      <w:r>
        <w:rPr>
          <w:rFonts w:ascii="Roboto" w:hAnsi="Roboto"/>
          <w:color w:val="747F8B"/>
          <w:sz w:val="21"/>
          <w:szCs w:val="21"/>
          <w:shd w:val="clear" w:color="auto" w:fill="E3E8EE"/>
        </w:rPr>
        <w:t>Victim Support (2022). </w:t>
      </w:r>
      <w:r>
        <w:rPr>
          <w:rFonts w:ascii="Roboto" w:hAnsi="Roboto"/>
          <w:i/>
          <w:iCs/>
          <w:color w:val="747F8B"/>
          <w:sz w:val="21"/>
          <w:szCs w:val="21"/>
          <w:shd w:val="clear" w:color="auto" w:fill="E3E8EE"/>
        </w:rPr>
        <w:t>Burglary</w:t>
      </w:r>
      <w:r>
        <w:rPr>
          <w:rFonts w:ascii="Roboto" w:hAnsi="Roboto"/>
          <w:color w:val="747F8B"/>
          <w:sz w:val="21"/>
          <w:szCs w:val="21"/>
          <w:shd w:val="clear" w:color="auto" w:fill="E3E8EE"/>
        </w:rPr>
        <w:t xml:space="preserve">. [online] Victim Support. Available at: </w:t>
      </w:r>
      <w:hyperlink r:id="rId32" w:history="1">
        <w:r>
          <w:rPr>
            <w:rStyle w:val="Hyperlink"/>
            <w:rFonts w:ascii="Roboto" w:hAnsi="Roboto"/>
            <w:sz w:val="21"/>
            <w:szCs w:val="21"/>
            <w:shd w:val="clear" w:color="auto" w:fill="E3E8EE"/>
          </w:rPr>
          <w:t>https://www.victimsupport.org.uk/crime-info/types-crime/burglary/</w:t>
        </w:r>
      </w:hyperlink>
      <w:r>
        <w:rPr>
          <w:rFonts w:ascii="Roboto" w:hAnsi="Roboto"/>
          <w:color w:val="747F8B"/>
          <w:sz w:val="21"/>
          <w:szCs w:val="21"/>
          <w:shd w:val="clear" w:color="auto" w:fill="E3E8EE"/>
        </w:rPr>
        <w:t xml:space="preserve"> </w:t>
      </w:r>
    </w:p>
    <w:p w14:paraId="7D497F46" w14:textId="77777777" w:rsidR="009951DF" w:rsidRDefault="009951DF" w:rsidP="00EA28F1">
      <w:pPr>
        <w:keepNext/>
        <w:spacing w:before="240" w:after="60"/>
        <w:ind w:right="237"/>
        <w:jc w:val="both"/>
      </w:pPr>
    </w:p>
    <w:sectPr w:rsidR="009951D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98B01" w14:textId="77777777" w:rsidR="009951DF" w:rsidRDefault="009951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CB3F8" w14:textId="77777777" w:rsidR="009951DF" w:rsidRDefault="00995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3CDE9" w14:textId="77777777" w:rsidR="009951DF" w:rsidRDefault="009951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33DDF" w14:textId="77777777" w:rsidR="009951DF" w:rsidRDefault="009951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701E5" w14:textId="77777777" w:rsidR="009951DF" w:rsidRDefault="009951DF">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6530572A"/>
    <w:lvl w:ilvl="0" w:tplc="38D0F4AC">
      <w:start w:val="1"/>
      <w:numFmt w:val="decimal"/>
      <w:lvlText w:val="%1."/>
      <w:lvlJc w:val="left"/>
      <w:pPr>
        <w:ind w:left="720" w:hanging="360"/>
      </w:pPr>
    </w:lvl>
    <w:lvl w:ilvl="1" w:tplc="23CEE646">
      <w:start w:val="1"/>
      <w:numFmt w:val="lowerLetter"/>
      <w:lvlText w:val="%2."/>
      <w:lvlJc w:val="left"/>
      <w:pPr>
        <w:ind w:left="1440" w:hanging="360"/>
      </w:pPr>
    </w:lvl>
    <w:lvl w:ilvl="2" w:tplc="B1049184">
      <w:start w:val="1"/>
      <w:numFmt w:val="lowerRoman"/>
      <w:lvlText w:val="%3."/>
      <w:lvlJc w:val="right"/>
      <w:pPr>
        <w:ind w:left="2160" w:hanging="180"/>
      </w:pPr>
    </w:lvl>
    <w:lvl w:ilvl="3" w:tplc="16BA522E">
      <w:start w:val="1"/>
      <w:numFmt w:val="decimal"/>
      <w:lvlText w:val="%4."/>
      <w:lvlJc w:val="left"/>
      <w:pPr>
        <w:ind w:left="2880" w:hanging="360"/>
      </w:pPr>
    </w:lvl>
    <w:lvl w:ilvl="4" w:tplc="17C43F2C">
      <w:start w:val="1"/>
      <w:numFmt w:val="lowerLetter"/>
      <w:lvlText w:val="%5."/>
      <w:lvlJc w:val="left"/>
      <w:pPr>
        <w:ind w:left="3600" w:hanging="360"/>
      </w:pPr>
    </w:lvl>
    <w:lvl w:ilvl="5" w:tplc="EC52A408">
      <w:start w:val="1"/>
      <w:numFmt w:val="lowerRoman"/>
      <w:lvlText w:val="%6."/>
      <w:lvlJc w:val="right"/>
      <w:pPr>
        <w:ind w:left="4320" w:hanging="180"/>
      </w:pPr>
    </w:lvl>
    <w:lvl w:ilvl="6" w:tplc="684ECF90">
      <w:start w:val="1"/>
      <w:numFmt w:val="decimal"/>
      <w:lvlText w:val="%7."/>
      <w:lvlJc w:val="left"/>
      <w:pPr>
        <w:ind w:left="5040" w:hanging="360"/>
      </w:pPr>
    </w:lvl>
    <w:lvl w:ilvl="7" w:tplc="60FC287E">
      <w:start w:val="1"/>
      <w:numFmt w:val="lowerLetter"/>
      <w:lvlText w:val="%8."/>
      <w:lvlJc w:val="left"/>
      <w:pPr>
        <w:ind w:left="5760" w:hanging="360"/>
      </w:pPr>
    </w:lvl>
    <w:lvl w:ilvl="8" w:tplc="EECCC1F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0C0A3852"/>
    <w:lvl w:ilvl="0" w:tplc="25DE2892">
      <w:start w:val="1"/>
      <w:numFmt w:val="decimal"/>
      <w:lvlText w:val="%1."/>
      <w:lvlJc w:val="left"/>
      <w:pPr>
        <w:ind w:left="720" w:hanging="360"/>
      </w:pPr>
    </w:lvl>
    <w:lvl w:ilvl="1" w:tplc="DF381DC6">
      <w:start w:val="1"/>
      <w:numFmt w:val="decimal"/>
      <w:lvlText w:val="%2."/>
      <w:lvlJc w:val="left"/>
      <w:pPr>
        <w:ind w:left="1440" w:hanging="360"/>
      </w:pPr>
    </w:lvl>
    <w:lvl w:ilvl="2" w:tplc="9A02E68E">
      <w:start w:val="1"/>
      <w:numFmt w:val="lowerRoman"/>
      <w:lvlText w:val="%3."/>
      <w:lvlJc w:val="right"/>
      <w:pPr>
        <w:ind w:left="2160" w:hanging="180"/>
      </w:pPr>
    </w:lvl>
    <w:lvl w:ilvl="3" w:tplc="89DAF998">
      <w:start w:val="1"/>
      <w:numFmt w:val="decimal"/>
      <w:lvlText w:val="%4."/>
      <w:lvlJc w:val="left"/>
      <w:pPr>
        <w:ind w:left="2880" w:hanging="360"/>
      </w:pPr>
    </w:lvl>
    <w:lvl w:ilvl="4" w:tplc="DD06AA5A">
      <w:start w:val="1"/>
      <w:numFmt w:val="lowerLetter"/>
      <w:lvlText w:val="%5."/>
      <w:lvlJc w:val="left"/>
      <w:pPr>
        <w:ind w:left="3600" w:hanging="360"/>
      </w:pPr>
    </w:lvl>
    <w:lvl w:ilvl="5" w:tplc="D7C2A5BA">
      <w:start w:val="1"/>
      <w:numFmt w:val="lowerRoman"/>
      <w:lvlText w:val="%6."/>
      <w:lvlJc w:val="right"/>
      <w:pPr>
        <w:ind w:left="4320" w:hanging="180"/>
      </w:pPr>
    </w:lvl>
    <w:lvl w:ilvl="6" w:tplc="754C7A68">
      <w:start w:val="1"/>
      <w:numFmt w:val="decimal"/>
      <w:lvlText w:val="%7."/>
      <w:lvlJc w:val="left"/>
      <w:pPr>
        <w:ind w:left="5040" w:hanging="360"/>
      </w:pPr>
    </w:lvl>
    <w:lvl w:ilvl="7" w:tplc="86B436BA">
      <w:start w:val="1"/>
      <w:numFmt w:val="lowerLetter"/>
      <w:lvlText w:val="%8."/>
      <w:lvlJc w:val="left"/>
      <w:pPr>
        <w:ind w:left="5760" w:hanging="360"/>
      </w:pPr>
    </w:lvl>
    <w:lvl w:ilvl="8" w:tplc="E78C8F3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8270704">
    <w:abstractNumId w:val="47"/>
  </w:num>
  <w:num w:numId="2" w16cid:durableId="2146002924">
    <w:abstractNumId w:val="10"/>
  </w:num>
  <w:num w:numId="3" w16cid:durableId="1147163199">
    <w:abstractNumId w:val="1"/>
    <w:lvlOverride w:ilvl="0">
      <w:lvl w:ilvl="0">
        <w:start w:val="1"/>
        <w:numFmt w:val="bullet"/>
        <w:lvlText w:val=""/>
        <w:lvlJc w:val="left"/>
        <w:pPr>
          <w:ind w:left="720" w:hanging="360"/>
        </w:pPr>
        <w:rPr>
          <w:rFonts w:ascii="Symbol" w:hAnsi="Symbol" w:hint="default"/>
        </w:rPr>
      </w:lvl>
    </w:lvlOverride>
  </w:num>
  <w:num w:numId="4" w16cid:durableId="911234001">
    <w:abstractNumId w:val="22"/>
  </w:num>
  <w:num w:numId="5" w16cid:durableId="856387895">
    <w:abstractNumId w:val="44"/>
  </w:num>
  <w:num w:numId="6" w16cid:durableId="576551531">
    <w:abstractNumId w:val="46"/>
  </w:num>
  <w:num w:numId="7" w16cid:durableId="1721438229">
    <w:abstractNumId w:val="34"/>
  </w:num>
  <w:num w:numId="8" w16cid:durableId="1166282003">
    <w:abstractNumId w:val="32"/>
  </w:num>
  <w:num w:numId="9" w16cid:durableId="1086539300">
    <w:abstractNumId w:val="29"/>
  </w:num>
  <w:num w:numId="10" w16cid:durableId="839155315">
    <w:abstractNumId w:val="30"/>
  </w:num>
  <w:num w:numId="11" w16cid:durableId="1849638198">
    <w:abstractNumId w:val="9"/>
  </w:num>
  <w:num w:numId="12" w16cid:durableId="1277755872">
    <w:abstractNumId w:val="33"/>
  </w:num>
  <w:num w:numId="13" w16cid:durableId="1009478835">
    <w:abstractNumId w:val="17"/>
  </w:num>
  <w:num w:numId="14" w16cid:durableId="2098359597">
    <w:abstractNumId w:val="16"/>
  </w:num>
  <w:num w:numId="15" w16cid:durableId="1624068590">
    <w:abstractNumId w:val="26"/>
  </w:num>
  <w:num w:numId="16" w16cid:durableId="1625576359">
    <w:abstractNumId w:val="7"/>
  </w:num>
  <w:num w:numId="17" w16cid:durableId="264774571">
    <w:abstractNumId w:val="25"/>
  </w:num>
  <w:num w:numId="18" w16cid:durableId="1621953257">
    <w:abstractNumId w:val="15"/>
  </w:num>
  <w:num w:numId="19" w16cid:durableId="1882670471">
    <w:abstractNumId w:val="13"/>
  </w:num>
  <w:num w:numId="20" w16cid:durableId="97185968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2774809">
    <w:abstractNumId w:val="23"/>
  </w:num>
  <w:num w:numId="22" w16cid:durableId="286208629">
    <w:abstractNumId w:val="18"/>
  </w:num>
  <w:num w:numId="23" w16cid:durableId="217740869">
    <w:abstractNumId w:val="14"/>
  </w:num>
  <w:num w:numId="24" w16cid:durableId="1074083943">
    <w:abstractNumId w:val="11"/>
  </w:num>
  <w:num w:numId="25" w16cid:durableId="1750153882">
    <w:abstractNumId w:val="27"/>
  </w:num>
  <w:num w:numId="26" w16cid:durableId="1732996894">
    <w:abstractNumId w:val="19"/>
  </w:num>
  <w:num w:numId="27" w16cid:durableId="2038237277">
    <w:abstractNumId w:val="40"/>
  </w:num>
  <w:num w:numId="28" w16cid:durableId="1646396501">
    <w:abstractNumId w:val="35"/>
  </w:num>
  <w:num w:numId="29" w16cid:durableId="2101246453">
    <w:abstractNumId w:val="39"/>
  </w:num>
  <w:num w:numId="30" w16cid:durableId="365833352">
    <w:abstractNumId w:val="20"/>
  </w:num>
  <w:num w:numId="31" w16cid:durableId="323898793">
    <w:abstractNumId w:val="42"/>
  </w:num>
  <w:num w:numId="32" w16cid:durableId="1195770668">
    <w:abstractNumId w:val="31"/>
  </w:num>
  <w:num w:numId="33" w16cid:durableId="2008243893">
    <w:abstractNumId w:val="12"/>
  </w:num>
  <w:num w:numId="34" w16cid:durableId="1790975162">
    <w:abstractNumId w:val="43"/>
  </w:num>
  <w:num w:numId="35" w16cid:durableId="484203002">
    <w:abstractNumId w:val="38"/>
  </w:num>
  <w:num w:numId="36" w16cid:durableId="1029331118">
    <w:abstractNumId w:val="4"/>
  </w:num>
  <w:num w:numId="37" w16cid:durableId="546069927">
    <w:abstractNumId w:val="45"/>
  </w:num>
  <w:num w:numId="38" w16cid:durableId="56322117">
    <w:abstractNumId w:val="41"/>
  </w:num>
  <w:num w:numId="39" w16cid:durableId="1035041667">
    <w:abstractNumId w:val="36"/>
  </w:num>
  <w:num w:numId="40" w16cid:durableId="1384207643">
    <w:abstractNumId w:val="37"/>
  </w:num>
  <w:num w:numId="41" w16cid:durableId="1367371224">
    <w:abstractNumId w:val="3"/>
  </w:num>
  <w:num w:numId="42" w16cid:durableId="1801534281">
    <w:abstractNumId w:val="5"/>
  </w:num>
  <w:num w:numId="43" w16cid:durableId="1950117572">
    <w:abstractNumId w:val="24"/>
  </w:num>
  <w:num w:numId="44" w16cid:durableId="2019577823">
    <w:abstractNumId w:val="6"/>
  </w:num>
  <w:num w:numId="45" w16cid:durableId="621110100">
    <w:abstractNumId w:val="2"/>
  </w:num>
  <w:num w:numId="46" w16cid:durableId="101921175">
    <w:abstractNumId w:val="0"/>
  </w:num>
  <w:num w:numId="47" w16cid:durableId="245460085">
    <w:abstractNumId w:val="21"/>
  </w:num>
  <w:num w:numId="48" w16cid:durableId="639309848">
    <w:abstractNumId w:val="28"/>
  </w:num>
  <w:num w:numId="49" w16cid:durableId="205701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27A5F"/>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5A00"/>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51DF"/>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32A8"/>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32F4"/>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xmsonormal">
    <w:name w:val="x_msonormal"/>
    <w:basedOn w:val="Normal"/>
    <w:rsid w:val="009951DF"/>
    <w:pPr>
      <w:suppressAutoHyphens/>
      <w:overflowPunct/>
      <w:autoSpaceDE/>
      <w:adjustRightInd/>
      <w:spacing w:before="100" w:after="100"/>
    </w:pPr>
    <w:rPr>
      <w:rFonts w:ascii="Times New Roman" w:hAnsi="Times New Roman" w:cs="Times New Roman"/>
      <w:color w:val="auto"/>
      <w:sz w:val="24"/>
      <w:szCs w:val="24"/>
    </w:rPr>
  </w:style>
  <w:style w:type="paragraph" w:customStyle="1" w:styleId="xxmsonormal">
    <w:name w:val="x_xmsonormal"/>
    <w:basedOn w:val="Normal"/>
    <w:rsid w:val="009951DF"/>
    <w:pPr>
      <w:suppressAutoHyphens/>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3750">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513226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centralchambers.co.uk/what-is-a-vulnerable-victim/" TargetMode="External"/><Relationship Id="rId3" Type="http://schemas.openxmlformats.org/officeDocument/2006/relationships/customXml" Target="../customXml/item3.xml"/><Relationship Id="rId21" Type="http://schemas.openxmlformats.org/officeDocument/2006/relationships/hyperlink" Target="https://popcenter.asu.edu/sites/default/files/problems/domestic_violence/PDFs/Bridgeman&amp;Hobbs_1997.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ps.gov.uk/legal-guidance/bai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nidirect.gov.uk/articles/giving-statement-pol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aw.cornell.edu/wex/modus_operandi" TargetMode="External"/><Relationship Id="rId32" Type="http://schemas.openxmlformats.org/officeDocument/2006/relationships/hyperlink" Target="https://www.victimsupport.org.uk/crime-info/types-crime/burglary/"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investigation/investigative-interviewing/investigative-interviewing" TargetMode="External"/><Relationship Id="rId28" Type="http://schemas.openxmlformats.org/officeDocument/2006/relationships/hyperlink" Target="https://www.cps.gov.uk/sites/default/files/documents/legal_guidance/OD_000049.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southtynesidesafeguardingappp.co.uk/criminal-offences-and-adult-safeguard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rime-scene-investigator.net/dutydescription.html" TargetMode="External"/><Relationship Id="rId27" Type="http://schemas.openxmlformats.org/officeDocument/2006/relationships/hyperlink" Target="https://assets.publishing.service.gov.uk/government/uploads/system/uploads/attachment_data/file/264625/victims-vps-guidance.pdf" TargetMode="External"/><Relationship Id="rId30" Type="http://schemas.openxmlformats.org/officeDocument/2006/relationships/hyperlink" Target="https://touch.policeoracle.com/news/article.cfm?id=36445"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5650</Words>
  <Characters>31530</Characters>
  <Application>Microsoft Office Word</Application>
  <DocSecurity>4</DocSecurity>
  <Lines>262</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Jenkins,Thomas swp8073</cp:lastModifiedBy>
  <cp:revision>2</cp:revision>
  <cp:lastPrinted>2014-08-26T08:55:00Z</cp:lastPrinted>
  <dcterms:created xsi:type="dcterms:W3CDTF">2023-05-06T06:54:00Z</dcterms:created>
  <dcterms:modified xsi:type="dcterms:W3CDTF">2023-05-06T06:54:00Z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2023-04-13T10:01:54Z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3cda0350-1bf0-49b7-a9cc-1d82067e5321</vt:lpwstr>
  </property>
  <property fmtid="{D5CDD505-2E9C-101B-9397-08002B2CF9AE}" pid="9" name="MSIP_Label_66cf8fe5-b7b7-4df7-b38d-1c61ac2f6639_ContentBits">
    <vt:lpwstr>0</vt:lpwstr>
  </property>
</Properties>
</file>