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F8937" w14:textId="4C1431D5" w:rsidR="00657A7B" w:rsidRPr="00C253F4" w:rsidRDefault="002B075F" w:rsidP="0034264F">
      <w:pPr>
        <w:spacing w:line="360" w:lineRule="auto"/>
        <w:rPr>
          <w:rFonts w:ascii="Arial" w:hAnsi="Arial" w:cs="Arial"/>
          <w:b/>
          <w:bCs/>
          <w:sz w:val="28"/>
          <w:szCs w:val="28"/>
        </w:rPr>
      </w:pPr>
      <w:r w:rsidRPr="00C253F4">
        <w:rPr>
          <w:rFonts w:ascii="Arial" w:hAnsi="Arial" w:cs="Arial"/>
          <w:b/>
          <w:bCs/>
          <w:sz w:val="28"/>
          <w:szCs w:val="28"/>
        </w:rPr>
        <w:t>ECAD7005 –</w:t>
      </w:r>
      <w:r w:rsidR="007A28C0" w:rsidRPr="00C253F4">
        <w:rPr>
          <w:rFonts w:ascii="Arial" w:hAnsi="Arial" w:cs="Arial"/>
          <w:b/>
          <w:bCs/>
          <w:sz w:val="28"/>
          <w:szCs w:val="28"/>
        </w:rPr>
        <w:t xml:space="preserve"> 1811199 </w:t>
      </w:r>
    </w:p>
    <w:p w14:paraId="0F17D1AE" w14:textId="77777777" w:rsidR="007A28C0" w:rsidRPr="00C253F4" w:rsidRDefault="007A28C0" w:rsidP="0034264F">
      <w:pPr>
        <w:spacing w:line="360" w:lineRule="auto"/>
        <w:rPr>
          <w:rFonts w:ascii="Arial" w:hAnsi="Arial" w:cs="Arial"/>
        </w:rPr>
      </w:pPr>
    </w:p>
    <w:p w14:paraId="16B6BA9F" w14:textId="5B89D5D0" w:rsidR="007A28C0" w:rsidRPr="00C253F4" w:rsidRDefault="007A28C0" w:rsidP="007A28C0">
      <w:pPr>
        <w:spacing w:line="360" w:lineRule="auto"/>
        <w:rPr>
          <w:rFonts w:ascii="Arial" w:hAnsi="Arial" w:cs="Arial"/>
          <w:sz w:val="22"/>
          <w:szCs w:val="22"/>
          <w:lang w:val="en-GB"/>
        </w:rPr>
      </w:pPr>
      <w:r w:rsidRPr="00C253F4">
        <w:rPr>
          <w:rFonts w:ascii="Arial" w:hAnsi="Arial" w:cs="Arial"/>
          <w:sz w:val="22"/>
          <w:szCs w:val="22"/>
        </w:rPr>
        <w:t xml:space="preserve">Targed 1 – </w:t>
      </w:r>
      <w:r w:rsidRPr="00C253F4">
        <w:rPr>
          <w:rFonts w:ascii="Arial" w:hAnsi="Arial" w:cs="Arial"/>
          <w:sz w:val="22"/>
          <w:szCs w:val="22"/>
          <w:lang w:val="en-GB"/>
        </w:rPr>
        <w:t>Ymgeisio i gynnal lefel uchel o ddadansoddi beirniadol, gan sicrhau ymchwiliad cytbwys i ddata gwrthgyferbyniol neu anghyflawn.</w:t>
      </w:r>
    </w:p>
    <w:p w14:paraId="7869DC60" w14:textId="653469D1" w:rsidR="007A28C0" w:rsidRPr="007A28C0" w:rsidRDefault="007A28C0" w:rsidP="007A28C0">
      <w:pPr>
        <w:spacing w:line="360" w:lineRule="auto"/>
        <w:rPr>
          <w:rFonts w:ascii="Arial" w:hAnsi="Arial" w:cs="Arial"/>
          <w:sz w:val="22"/>
          <w:szCs w:val="22"/>
          <w:lang w:val="en-GB"/>
        </w:rPr>
      </w:pPr>
      <w:r w:rsidRPr="00C253F4">
        <w:rPr>
          <w:rFonts w:ascii="Arial" w:hAnsi="Arial" w:cs="Arial"/>
          <w:sz w:val="22"/>
          <w:szCs w:val="22"/>
          <w:lang w:val="en-GB"/>
        </w:rPr>
        <w:t xml:space="preserve">Targed 2 - </w:t>
      </w:r>
      <w:r w:rsidRPr="007A28C0">
        <w:rPr>
          <w:rFonts w:ascii="Arial" w:hAnsi="Arial" w:cs="Arial"/>
          <w:sz w:val="22"/>
          <w:szCs w:val="22"/>
          <w:lang w:val="en-GB"/>
        </w:rPr>
        <w:t>Prawf ddarllen a mireinio sgiliau iaith gan ddefnyddio Cysill.</w:t>
      </w:r>
    </w:p>
    <w:p w14:paraId="54F78D00" w14:textId="77777777" w:rsidR="007A28C0" w:rsidRPr="002B075F" w:rsidRDefault="007A28C0" w:rsidP="0034264F">
      <w:pPr>
        <w:spacing w:line="360" w:lineRule="auto"/>
        <w:rPr>
          <w:rFonts w:ascii="Twinkl Light" w:hAnsi="Twinkl Light"/>
        </w:rPr>
      </w:pPr>
    </w:p>
    <w:p w14:paraId="5D851B7C" w14:textId="5D024717" w:rsidR="002B075F" w:rsidRPr="00C253F4" w:rsidRDefault="002B075F" w:rsidP="0034264F">
      <w:pPr>
        <w:spacing w:line="360" w:lineRule="auto"/>
        <w:rPr>
          <w:rFonts w:ascii="Arial" w:hAnsi="Arial" w:cs="Arial"/>
          <w:b/>
          <w:bCs/>
          <w:sz w:val="36"/>
          <w:szCs w:val="36"/>
          <w:u w:val="single"/>
        </w:rPr>
      </w:pPr>
      <w:r w:rsidRPr="00C253F4">
        <w:rPr>
          <w:rFonts w:ascii="Arial" w:hAnsi="Arial" w:cs="Arial"/>
          <w:b/>
          <w:bCs/>
          <w:sz w:val="36"/>
          <w:szCs w:val="36"/>
          <w:u w:val="single"/>
        </w:rPr>
        <w:t xml:space="preserve">Gwerthusiad beirniadol o ddatblygiad targed strategol mewn Cynllun Datblygu Ysgol: Gweithredoedd, Effaith a Myfyrdodau ar sail Tystiolaeth. </w:t>
      </w:r>
    </w:p>
    <w:p w14:paraId="0D0901F9" w14:textId="77777777" w:rsidR="002B075F" w:rsidRDefault="002B075F" w:rsidP="0034264F">
      <w:pPr>
        <w:spacing w:line="360" w:lineRule="auto"/>
        <w:rPr>
          <w:rFonts w:ascii="Twinkl Light" w:hAnsi="Twinkl Light"/>
          <w:b/>
          <w:bCs/>
        </w:rPr>
      </w:pPr>
    </w:p>
    <w:p w14:paraId="09935786" w14:textId="6334A0EF" w:rsidR="008F629B" w:rsidRPr="00C253F4" w:rsidRDefault="002B075F" w:rsidP="0034264F">
      <w:pPr>
        <w:spacing w:line="360" w:lineRule="auto"/>
        <w:rPr>
          <w:rFonts w:ascii="Arial" w:hAnsi="Arial" w:cs="Arial"/>
          <w:b/>
          <w:bCs/>
          <w:sz w:val="28"/>
          <w:szCs w:val="28"/>
        </w:rPr>
      </w:pPr>
      <w:r w:rsidRPr="00C253F4">
        <w:rPr>
          <w:rFonts w:ascii="Arial" w:hAnsi="Arial" w:cs="Arial"/>
          <w:b/>
          <w:bCs/>
          <w:sz w:val="28"/>
          <w:szCs w:val="28"/>
        </w:rPr>
        <w:t xml:space="preserve">Cyflwyniad </w:t>
      </w:r>
    </w:p>
    <w:p w14:paraId="7764530B" w14:textId="34AB94D6" w:rsidR="00F27476" w:rsidRDefault="00E86260" w:rsidP="00C253F4">
      <w:pPr>
        <w:spacing w:line="360" w:lineRule="auto"/>
        <w:rPr>
          <w:rFonts w:ascii="Arial" w:hAnsi="Arial" w:cs="Arial"/>
          <w:sz w:val="22"/>
          <w:szCs w:val="22"/>
        </w:rPr>
      </w:pPr>
      <w:r w:rsidRPr="00E86260">
        <w:rPr>
          <w:rFonts w:ascii="Arial" w:hAnsi="Arial" w:cs="Arial"/>
          <w:sz w:val="22"/>
          <w:szCs w:val="22"/>
        </w:rPr>
        <w:t>Mae cynllun datblygu ysgol (CDY) yn ofyniad statudol i ysgolion Cymru er mwyn nodi gwelliannau a gweledigaethau hir tymor ar gyfer dysgu ac addysgu. Yn ganolog i’r cynllun hwn, gwelwyd blaenoriaethau’r ysgol a’r meysydd allweddol fydd o dan ffocws er mwyn eu datblygu. Y flaenoriaeth o dan sylw yn yr aseiniad hwn bydd - Datblygu dulliau ysgol gyfan sy’n annog annibyniaeth ein dysgwyr. Daw’r flaenoriaeth yma o CDY Ysgol yn Sir Gaerfyrddin, ac er mwyn dilyn canllawiau cyfrinachedd BERA (2024) galwer Ysgol A. Mae gan Ysgol A tua 316 o ddisgyblion rhwng dosbarthiadau meithrin i flwyddyn 6 ac mae 29% ohonynt yn dod o gartrefi sy’n siarad Cymraeg (Ysgol A, 2024). Er hyn, mae’n ysgol ddwyieithog, lle gall dysgwyr dewis cael addysg Saesneg o flwyddyn 3 ymlaen. Bydd yr aseiniad hwn yn rhoi trosolwg o’r flaenoriaeth yn y CDY sy’n ffocysu ar annibyniaeth, gan ystyried damcaniaethau, ymgysylltiad beirniadol, dadansoddiad ac adfyfyrio blaenorol.</w:t>
      </w:r>
    </w:p>
    <w:p w14:paraId="563BA4C4" w14:textId="77777777" w:rsidR="00E86260" w:rsidRPr="00C253F4" w:rsidRDefault="00E86260" w:rsidP="00C253F4">
      <w:pPr>
        <w:spacing w:line="360" w:lineRule="auto"/>
        <w:rPr>
          <w:rFonts w:ascii="Arial" w:hAnsi="Arial" w:cs="Arial"/>
          <w:b/>
          <w:bCs/>
          <w:sz w:val="28"/>
          <w:szCs w:val="28"/>
        </w:rPr>
      </w:pPr>
    </w:p>
    <w:p w14:paraId="560E4ABE" w14:textId="08414651" w:rsidR="00F27476" w:rsidRPr="00C253F4" w:rsidRDefault="00F27476" w:rsidP="00C253F4">
      <w:pPr>
        <w:spacing w:line="360" w:lineRule="auto"/>
        <w:rPr>
          <w:rFonts w:ascii="Arial" w:hAnsi="Arial" w:cs="Arial"/>
          <w:b/>
          <w:bCs/>
          <w:sz w:val="28"/>
          <w:szCs w:val="28"/>
        </w:rPr>
      </w:pPr>
      <w:r w:rsidRPr="00C253F4">
        <w:rPr>
          <w:rFonts w:ascii="Arial" w:hAnsi="Arial" w:cs="Arial"/>
          <w:b/>
          <w:bCs/>
          <w:sz w:val="28"/>
          <w:szCs w:val="28"/>
        </w:rPr>
        <w:t xml:space="preserve">Adolygiad i’r Llenyddiaeth </w:t>
      </w:r>
    </w:p>
    <w:p w14:paraId="07394421" w14:textId="15C1F0EA" w:rsidR="00B223FC" w:rsidRPr="00C253F4" w:rsidRDefault="00E86260" w:rsidP="00E86260">
      <w:pPr>
        <w:spacing w:line="360" w:lineRule="auto"/>
        <w:rPr>
          <w:rFonts w:ascii="Arial" w:hAnsi="Arial" w:cs="Arial"/>
          <w:sz w:val="22"/>
          <w:szCs w:val="22"/>
        </w:rPr>
      </w:pPr>
      <w:r w:rsidRPr="00E86260">
        <w:rPr>
          <w:rFonts w:ascii="Arial" w:hAnsi="Arial" w:cs="Arial"/>
          <w:sz w:val="22"/>
          <w:szCs w:val="22"/>
        </w:rPr>
        <w:t xml:space="preserve">Mae pwysigrwydd annibyniaeth yn cael ei weld yn gadarn yn llenyddiaeth ac amlygir hyn gan Montessori (1967) a dywed “The greatest gifts we can give our children are the roots of responsibility and the wings of independence”. Mae meithrin annibyniaeth plant yn holl bwysig gan wrth i’r plant fod yn annibynnol, maent yn dysgu gwneud penderfyniadau, datblygu hunan-hyder, datrys problemau ac mae hyn yn cyfrannu at ddatblygiad personol yr unigolyn. Mae polisïau addysg yng Nghymru yn rhoi pwyslais cryf ar feithrin annibyniaeth plant yn enwedig o fewn ysgolion trwy ddulliau dysgu sy’n annog plant i feddwl yn annibynnol, gwneud penderfyniadau a datblygu sgiliau. Un polisi allweddol sy’n cefnogi hyn </w:t>
      </w:r>
      <w:r w:rsidRPr="00E86260">
        <w:rPr>
          <w:rFonts w:ascii="Arial" w:hAnsi="Arial" w:cs="Arial"/>
          <w:sz w:val="22"/>
          <w:szCs w:val="22"/>
        </w:rPr>
        <w:lastRenderedPageBreak/>
        <w:t xml:space="preserve">yw’r Cwricwlwm i Gymru. Prif weledigaeth Llywodraeth Cymru (2022) o fewn y Cwricwlwm yw’r pedwar diben. Pwysleisia’r angen i feithrin annibyniaeth plant wrth feddwl ac ymchwilio, delio a’u bywydau bob dydd ac i fod yn hyderus i gymryd cyfrifoldeb dros eu dysgu. Yn ogystal â hyn mae pwysigrwydd meithrin annibyniaeth plant yn cael blaenoriaeth yn y Cod Cynnydd gan Lywodraeth Cymru (2021). </w:t>
      </w:r>
      <w:r w:rsidR="00490E27" w:rsidRPr="00C253F4">
        <w:rPr>
          <w:rFonts w:ascii="Arial" w:hAnsi="Arial" w:cs="Arial"/>
          <w:sz w:val="22"/>
          <w:szCs w:val="22"/>
        </w:rPr>
        <w:t>Gwelwyd hyn wrth</w:t>
      </w:r>
      <w:r>
        <w:rPr>
          <w:rFonts w:ascii="Arial" w:hAnsi="Arial" w:cs="Arial"/>
          <w:sz w:val="22"/>
          <w:szCs w:val="22"/>
        </w:rPr>
        <w:t xml:space="preserve"> iddynt</w:t>
      </w:r>
      <w:r w:rsidR="00490E27" w:rsidRPr="00C253F4">
        <w:rPr>
          <w:rFonts w:ascii="Arial" w:hAnsi="Arial" w:cs="Arial"/>
          <w:sz w:val="22"/>
          <w:szCs w:val="22"/>
        </w:rPr>
        <w:t xml:space="preserve"> drafod cynnydd o fewn y meysydd dysgu, er enghraifft, dwedwyd bod cynnydd yn cael ei weld pan fydd dysgwyr yn dangos mwy o annibyniaeth wrth ddod o hyd i wybodaeth addas yn y Dyniaethau.</w:t>
      </w:r>
      <w:r>
        <w:rPr>
          <w:rFonts w:ascii="Arial" w:hAnsi="Arial" w:cs="Arial"/>
          <w:sz w:val="22"/>
          <w:szCs w:val="22"/>
        </w:rPr>
        <w:t xml:space="preserve"> </w:t>
      </w:r>
      <w:r w:rsidR="00490E27" w:rsidRPr="00C253F4">
        <w:rPr>
          <w:rFonts w:ascii="Arial" w:hAnsi="Arial" w:cs="Arial"/>
          <w:sz w:val="22"/>
          <w:szCs w:val="22"/>
        </w:rPr>
        <w:t xml:space="preserve">Atgyfnerthwyd y ddogfen ymhellach wrth </w:t>
      </w:r>
      <w:r w:rsidR="00D77DC9" w:rsidRPr="00C253F4">
        <w:rPr>
          <w:rFonts w:ascii="Arial" w:hAnsi="Arial" w:cs="Arial"/>
          <w:sz w:val="22"/>
          <w:szCs w:val="22"/>
        </w:rPr>
        <w:t>gyfeirio at fod yn</w:t>
      </w:r>
      <w:r w:rsidR="00490E27" w:rsidRPr="00C253F4">
        <w:rPr>
          <w:rFonts w:ascii="Arial" w:hAnsi="Arial" w:cs="Arial"/>
          <w:sz w:val="22"/>
          <w:szCs w:val="22"/>
        </w:rPr>
        <w:t xml:space="preserve"> annibynnol yn aml, gwelir ‘dylai dysgwyr ddod yn gynyddol annibynnol’ yn fathemateg a rhifedd a ‘dod o hyd i wybodaeth yn annibynnol’ yn ieithoedd, llythrennedd a chyfathrebu. Amlyga hyn pwysigrwydd hybu dysgwyr i fod yn annibynnol ac yn dangos y cyswllt o fod yn annibynnol a dangos cynnydd.</w:t>
      </w:r>
    </w:p>
    <w:p w14:paraId="33F0274D" w14:textId="4824B6A7" w:rsidR="00D77DC9" w:rsidRPr="00C253F4" w:rsidRDefault="00E86260" w:rsidP="00E86260">
      <w:pPr>
        <w:spacing w:line="360" w:lineRule="auto"/>
        <w:ind w:firstLine="720"/>
        <w:rPr>
          <w:rFonts w:ascii="Arial" w:hAnsi="Arial" w:cs="Arial"/>
          <w:sz w:val="22"/>
          <w:szCs w:val="22"/>
        </w:rPr>
      </w:pPr>
      <w:r w:rsidRPr="00E86260">
        <w:rPr>
          <w:rFonts w:ascii="Arial" w:hAnsi="Arial" w:cs="Arial"/>
          <w:sz w:val="22"/>
          <w:szCs w:val="22"/>
        </w:rPr>
        <w:t>Dadlau’r Llywodraeth Cymru (2023) pwysigrwydd meithrin annibyniaeth plant ym mhellach gan fod hyn yn un elfen sy’n cael ffocws gan y ddogfen sy’n rhoi cymorth i uwch arweinwyr ac ymarferwyr i gynllunio, dylunio a gweithredu’r cwricwlwm i Gymru. Noda Llywodraeth Cymru (2023) yn y ddogfen cynllunio eich cwricwlwm bod angen i ysgolion darparu profiadau sy’n ennyn annibyniaeth plant er mwyn lwyddo ar hyd eu taith dysgu. Dylent hefyd ystyried amgylcheddau dysgu er mwyn caniatáu cyfleoedd i ddysgwyr fod yn annibynnol, neu weithio gydag eraill er mwyn hybu datblygu annibyniaeth, hyder a gwydnwch ddisgyblion. Mae’r ddogfen hefyd yn amlygu bod angen i’r cwricwlwm a chynlluniwyd i ddarparu cyfleoedd i ddysgwyr i ddatblygu annibyniaeth wrth gymryd risgiau, gwneud dewisiadau a meithrin gwydnwch. Yn ogystal â hyn, mae pwysigrwydd annog annibyniaeth dysgwyr yn cael ei gefnogi gan Lywodraeth Cymru (2015) yn y Ddeddf Llesiant Cenedlaethau’r Dyfodol Cymru. Cyfeiria’r ddeddf yr angen i ysgolion meithrin sgiliau bywyd i blant, yn enwedig hunanhyder, datrys problemau a meddwl beirniadol a fydd yn annog creu dysgwyr annibynnol.</w:t>
      </w:r>
    </w:p>
    <w:p w14:paraId="1CDA8B71" w14:textId="66308875" w:rsidR="00BD417F" w:rsidRPr="00C253F4" w:rsidRDefault="00461058" w:rsidP="00C253F4">
      <w:pPr>
        <w:spacing w:line="360" w:lineRule="auto"/>
        <w:rPr>
          <w:rFonts w:ascii="Arial" w:hAnsi="Arial" w:cs="Arial"/>
          <w:sz w:val="22"/>
          <w:szCs w:val="22"/>
        </w:rPr>
      </w:pPr>
      <w:r w:rsidRPr="00C253F4">
        <w:rPr>
          <w:rFonts w:ascii="Arial" w:hAnsi="Arial" w:cs="Arial"/>
          <w:sz w:val="22"/>
          <w:szCs w:val="22"/>
        </w:rPr>
        <w:tab/>
      </w:r>
      <w:r w:rsidR="00E86260" w:rsidRPr="00E86260">
        <w:rPr>
          <w:rFonts w:ascii="Arial" w:hAnsi="Arial" w:cs="Arial"/>
          <w:sz w:val="22"/>
          <w:szCs w:val="22"/>
        </w:rPr>
        <w:t xml:space="preserve">Wrth ystyried blaenoriaeth CDY Ysgol A, sef datblygu dulliau ysgol gyfan sy’n annog annibyniaeth dysgwyr, pwysleisiwyd gwneud hyn dros yr ysgol gyfan, felly rhaid hefyd ystyried disgyblion ADY yr ysgol. Mae Cod Anghenion Dysgu Ychwanegol gan Lywodraeth Cymru (2021) yn sicrhau bod plant ag anghenion dysgu ychwanegol hefyd yn cael y cyfle i ddatblygu annibyniaeth. Mae’r cod yn amlygu sut i gefnogi a datblygu strategaethau i ddysgwyr i weithio’n annibynnol, edrych ar gynlluniau dysgu unigol sy’n annog adeiladu annibyniaeth gan ganolbwyntio ar gryfderau a diddordebau a datblygu sgiliau. </w:t>
      </w:r>
      <w:r w:rsidR="003C5245" w:rsidRPr="00C253F4">
        <w:rPr>
          <w:rFonts w:ascii="Arial" w:hAnsi="Arial" w:cs="Arial"/>
          <w:sz w:val="22"/>
          <w:szCs w:val="22"/>
        </w:rPr>
        <w:t xml:space="preserve"> </w:t>
      </w:r>
    </w:p>
    <w:p w14:paraId="46D2AA05" w14:textId="2D02EB79" w:rsidR="0049388D" w:rsidRPr="00C253F4" w:rsidRDefault="000A7CD0" w:rsidP="00C253F4">
      <w:pPr>
        <w:spacing w:line="360" w:lineRule="auto"/>
        <w:ind w:firstLine="720"/>
        <w:rPr>
          <w:rFonts w:ascii="Arial" w:hAnsi="Arial" w:cs="Arial"/>
          <w:sz w:val="22"/>
          <w:szCs w:val="22"/>
        </w:rPr>
      </w:pPr>
      <w:r w:rsidRPr="00C253F4">
        <w:rPr>
          <w:rFonts w:ascii="Arial" w:hAnsi="Arial" w:cs="Arial"/>
          <w:sz w:val="22"/>
          <w:szCs w:val="22"/>
        </w:rPr>
        <w:t xml:space="preserve">Er bod llenyddiaeth yn dangos pwysigrwydd meithrin annibyniaeth dysgwyr yn ysgolion, gallwn ddadlau bod angen </w:t>
      </w:r>
      <w:r w:rsidR="00E86260">
        <w:rPr>
          <w:rFonts w:ascii="Arial" w:hAnsi="Arial" w:cs="Arial"/>
          <w:sz w:val="22"/>
          <w:szCs w:val="22"/>
        </w:rPr>
        <w:t xml:space="preserve">hefyd </w:t>
      </w:r>
      <w:r w:rsidRPr="00C253F4">
        <w:rPr>
          <w:rFonts w:ascii="Arial" w:hAnsi="Arial" w:cs="Arial"/>
          <w:sz w:val="22"/>
          <w:szCs w:val="22"/>
        </w:rPr>
        <w:t xml:space="preserve">blaenoriaethu datblygu sgiliau cydweithio disgyblion. Atgyfnertha Llywodraeth Cymru (2020) hyn yn y Cwricwlwm i Gymru wrth bwysleisio’r angen i blant oedran ysgol i ddatblygu sgiliau cyfathrebu trwy </w:t>
      </w:r>
      <w:r w:rsidR="00E86260">
        <w:rPr>
          <w:rFonts w:ascii="Arial" w:hAnsi="Arial" w:cs="Arial"/>
          <w:sz w:val="22"/>
          <w:szCs w:val="22"/>
        </w:rPr>
        <w:t>g</w:t>
      </w:r>
      <w:r w:rsidRPr="00C253F4">
        <w:rPr>
          <w:rFonts w:ascii="Arial" w:hAnsi="Arial" w:cs="Arial"/>
          <w:sz w:val="22"/>
          <w:szCs w:val="22"/>
        </w:rPr>
        <w:t xml:space="preserve">ydweithio a rhyngweithio. Yn ogystal â hyn, mae’r cwricwlwm yn pwysleisio pwysigrwydd cydweithio, </w:t>
      </w:r>
      <w:r w:rsidRPr="00C253F4">
        <w:rPr>
          <w:rFonts w:ascii="Arial" w:hAnsi="Arial" w:cs="Arial"/>
          <w:sz w:val="22"/>
          <w:szCs w:val="22"/>
        </w:rPr>
        <w:lastRenderedPageBreak/>
        <w:t>dysgu cymdeithasol a meithrin perthnasau o fewn amgylchedd dysgu a dywedir bod yn paratoi plant i fod yn aelodau da o’r gymuned ac i lwyddo mewn amgylchiadau cymdeithasol. Mae hyn yn atgyfnerthu gweledigaeth Llywodraeth Cymru (2020) o gefnogi dysgwyr i fod yn ddinasyddion egwyddorol ac unigolion hyderus sy’n barod i fyw bywyd cyflawn fel aelodau gwerthfawr o gymdeithas.</w:t>
      </w:r>
    </w:p>
    <w:p w14:paraId="4068540F" w14:textId="2613BF7E" w:rsidR="004F1631" w:rsidRPr="00C253F4" w:rsidRDefault="0069502F" w:rsidP="00C253F4">
      <w:pPr>
        <w:spacing w:line="360" w:lineRule="auto"/>
        <w:rPr>
          <w:rFonts w:ascii="Arial" w:hAnsi="Arial" w:cs="Arial"/>
          <w:sz w:val="22"/>
          <w:szCs w:val="22"/>
        </w:rPr>
      </w:pPr>
      <w:r w:rsidRPr="0069502F">
        <w:rPr>
          <w:rFonts w:ascii="Arial" w:hAnsi="Arial" w:cs="Arial"/>
          <w:sz w:val="22"/>
          <w:szCs w:val="22"/>
        </w:rPr>
        <w:t>Yr ail ystyriaeth wrth drafod annibyniaeth disgyblion yn yr ysgol yw mewnbwn athrawon yn y dysgu. Un ffocws Cwricwlwm i Gymru yw’r rhoi annibyniaeth i ddysgwyr i arwain y dysgu a thrafodwyd hyn gan Estyn (2020), lle nodir eu bod yn bwysig bod dysgwyr yn ganolog i’w broses o gynllunio’r dysgu ac yn tynnu sylw at arferion lle mae llais y disgybl yn arwain y dysgu. Ond gallwn ddadlau pwysigrwydd arweiniad athrawon yn y dysgu, a bod angen blaenoriaethu datblygu arferion athrawon ac ansawdd dysgu athrawon er mwyn gweithio tuag at weledigaeth y cwricwlwm. Mae hyn yn cael ei gefnogi gan Lywodraeth Cymru (2022) trwy nodi bod athro/athrawes mewn rôl arwain ffurfiol ac yn gweithio ar y cyd i gyflawni gweledigaeth y cwricwlwm. Yn ogystal â hyn, mae damcaniaeth ‘Sociocultural’ Vygotsky (1978) yn amlinelli bod arweiniad athrawon yn holl bwysig i ddatblygiad plant. Mae Vygotsky (1978) yn esbonio ei theori o scaffaldio lle amlygu’r pwysigrwydd cefnogaeth oedolion gan fod plant yn dilyn esiampl oedolyn er mwyn datblygu’r gallu i wneud pethau’n annibynnol gydag amser. Yn ogystal â hyn, dywed Vygotsky (1978) trwy arweiniad a mewnbwn oedolion mae dealltwriaeth a gallu plant yn cynyddu gan fod oedolion yn galluogi lefelau uwch o ddysgu. Felly o roi’n syml dydy plant ddim yn gallu meithrin annibyniaeth heb arweiniad oedolyn.</w:t>
      </w:r>
    </w:p>
    <w:p w14:paraId="6D970EF7" w14:textId="77777777" w:rsidR="003016F3" w:rsidRPr="00C253F4" w:rsidRDefault="003016F3" w:rsidP="00C253F4">
      <w:pPr>
        <w:spacing w:line="360" w:lineRule="auto"/>
        <w:rPr>
          <w:rFonts w:ascii="Arial" w:hAnsi="Arial" w:cs="Arial"/>
          <w:b/>
          <w:bCs/>
          <w:sz w:val="28"/>
          <w:szCs w:val="28"/>
        </w:rPr>
      </w:pPr>
    </w:p>
    <w:p w14:paraId="662C2C40" w14:textId="5809195E" w:rsidR="00AC0ECE" w:rsidRPr="00C253F4" w:rsidRDefault="00AC0ECE" w:rsidP="00C253F4">
      <w:pPr>
        <w:spacing w:line="360" w:lineRule="auto"/>
        <w:rPr>
          <w:rFonts w:ascii="Arial" w:hAnsi="Arial" w:cs="Arial"/>
          <w:b/>
          <w:bCs/>
          <w:sz w:val="28"/>
          <w:szCs w:val="28"/>
        </w:rPr>
      </w:pPr>
      <w:r w:rsidRPr="00C253F4">
        <w:rPr>
          <w:rFonts w:ascii="Arial" w:hAnsi="Arial" w:cs="Arial"/>
          <w:b/>
          <w:bCs/>
          <w:sz w:val="28"/>
          <w:szCs w:val="28"/>
        </w:rPr>
        <w:t xml:space="preserve">Datblygu Pwynt Gweithredu </w:t>
      </w:r>
    </w:p>
    <w:p w14:paraId="03E490A4" w14:textId="77777777" w:rsidR="0069502F" w:rsidRDefault="0069502F" w:rsidP="00C253F4">
      <w:pPr>
        <w:spacing w:line="360" w:lineRule="auto"/>
        <w:rPr>
          <w:rFonts w:ascii="Arial" w:hAnsi="Arial" w:cs="Arial"/>
          <w:sz w:val="22"/>
          <w:szCs w:val="22"/>
        </w:rPr>
      </w:pPr>
      <w:r w:rsidRPr="0069502F">
        <w:rPr>
          <w:rFonts w:ascii="Arial" w:hAnsi="Arial" w:cs="Arial"/>
          <w:sz w:val="22"/>
          <w:szCs w:val="22"/>
        </w:rPr>
        <w:t>Mae blaenoriaeth CDY ysgol A o ddatblygu annibyniaeth dysgwyr yn cyd-fynd gyda gweledigaethau’r ysgol. Mae'r rhain yn cynnwys datblygu unigolion moesol, hyderus sy’n dyfalbarhau ac yn deall eu rôl yn y byd ac yn barod i gyfrannu’n llwyddiannus i gymdeithas (Ysgol A, 2025) ac fe ddaw’r sgiliau hyn drwy adeiladu a hybu annibyniaeth y disgyblion wrth fynychu’r ysgol. Mae gweledigaethau’r ysgol yn atgyfnerthu’r prif bwyntiau sydd o fewn Cwricwlwm i Gymru a’r 4 diben (Llywodraeth Cymru, 2022).</w:t>
      </w:r>
      <w:r w:rsidR="0000475C" w:rsidRPr="00C253F4">
        <w:rPr>
          <w:rFonts w:ascii="Arial" w:hAnsi="Arial" w:cs="Arial"/>
          <w:sz w:val="22"/>
          <w:szCs w:val="22"/>
        </w:rPr>
        <w:tab/>
      </w:r>
    </w:p>
    <w:p w14:paraId="10EAB936" w14:textId="551D6027" w:rsidR="00C92A38" w:rsidRPr="00C253F4" w:rsidRDefault="0069502F" w:rsidP="0069502F">
      <w:pPr>
        <w:spacing w:line="360" w:lineRule="auto"/>
        <w:ind w:firstLine="720"/>
        <w:rPr>
          <w:rFonts w:ascii="Arial" w:hAnsi="Arial" w:cs="Arial"/>
          <w:sz w:val="22"/>
          <w:szCs w:val="22"/>
        </w:rPr>
      </w:pPr>
      <w:r w:rsidRPr="0069502F">
        <w:rPr>
          <w:rFonts w:ascii="Arial" w:hAnsi="Arial" w:cs="Arial"/>
          <w:sz w:val="22"/>
          <w:szCs w:val="22"/>
        </w:rPr>
        <w:t xml:space="preserve">Daw’r flaenoriaeth yma i’r clawr trwy sawl gwahanol ffordd o werthuso’r dysgu. </w:t>
      </w:r>
      <w:r>
        <w:rPr>
          <w:rFonts w:ascii="Arial" w:hAnsi="Arial" w:cs="Arial"/>
          <w:sz w:val="22"/>
          <w:szCs w:val="22"/>
        </w:rPr>
        <w:t xml:space="preserve">Fe wnaeth </w:t>
      </w:r>
      <w:r w:rsidRPr="0069502F">
        <w:rPr>
          <w:rFonts w:ascii="Arial" w:hAnsi="Arial" w:cs="Arial"/>
          <w:sz w:val="22"/>
          <w:szCs w:val="22"/>
        </w:rPr>
        <w:t xml:space="preserve">Ysgol A </w:t>
      </w:r>
      <w:r>
        <w:rPr>
          <w:rFonts w:ascii="Arial" w:hAnsi="Arial" w:cs="Arial"/>
          <w:sz w:val="22"/>
          <w:szCs w:val="22"/>
        </w:rPr>
        <w:t xml:space="preserve">dewis </w:t>
      </w:r>
      <w:r w:rsidRPr="0069502F">
        <w:rPr>
          <w:rFonts w:ascii="Arial" w:hAnsi="Arial" w:cs="Arial"/>
          <w:sz w:val="22"/>
          <w:szCs w:val="22"/>
        </w:rPr>
        <w:t xml:space="preserve">beth i dargedu fel blaenoriaethau wrth ystyried barn y staff trwy holiaduron, trafod gyda disgyblion, cyfarfodydd cynnydd disgyblion ac wrth edrych ar ganlyniadau profion a chraffu ar lyfrau. Ond, bu Ysgol A hefyd yn rhoi pwyslais ar edrych ar adroddiadau a chanlyniadau teithiau dysgu gan y staff a llywodraethwyr yr ysgol er mwyn targedu blaenoriaethau i’r CDY ac mae Estyn (2020) yn cefnogi hyn gan ddweud bod rhoi fwy o ffocws ar deithiau addysgol yn arwain at weld safonau ysgol glir yn hytrach na edrych </w:t>
      </w:r>
      <w:r w:rsidRPr="0069502F">
        <w:rPr>
          <w:rFonts w:ascii="Arial" w:hAnsi="Arial" w:cs="Arial"/>
          <w:sz w:val="22"/>
          <w:szCs w:val="22"/>
        </w:rPr>
        <w:lastRenderedPageBreak/>
        <w:t>ar waith gorffenedig. Felly, defnyddir gwybodaeth o’r teithiau i weld safonau’r ysgol a dod o hyd i elfennau neu ardaloedd i ddatblygu. O ganlyniad i’r teithiau dysgu gweler Ysgol A bod tueddiad i staff or-arwain y dysgu ac o ganlyniad, cyfyngu gallu’r disgyblion i feddwl yn annibynnol. Hefyd gweler bod yr addysgeg yn culhau cyfle i ddysgwyr ddatblygu’n annibynnol a gweler hyn ar draws yr ysgol. Felly o’r dystiolaeth gan y teithiau dysgu, penderfynwyd blaenoriaethu datblygu dulliau ysgol gyfan sy’n annog annibyniaeth ei dysgwyr (Ysgol A, 2025).</w:t>
      </w:r>
    </w:p>
    <w:p w14:paraId="0CEC2AB4" w14:textId="58786ECD" w:rsidR="007C7D54" w:rsidRPr="00C253F4" w:rsidRDefault="002F40C4" w:rsidP="00C253F4">
      <w:pPr>
        <w:spacing w:line="360" w:lineRule="auto"/>
        <w:rPr>
          <w:rFonts w:ascii="Arial" w:hAnsi="Arial" w:cs="Arial"/>
          <w:sz w:val="22"/>
          <w:szCs w:val="22"/>
        </w:rPr>
      </w:pPr>
      <w:r w:rsidRPr="00C253F4">
        <w:rPr>
          <w:rFonts w:ascii="Arial" w:hAnsi="Arial" w:cs="Arial"/>
          <w:sz w:val="22"/>
          <w:szCs w:val="22"/>
        </w:rPr>
        <w:tab/>
      </w:r>
      <w:r w:rsidR="0069502F" w:rsidRPr="0069502F">
        <w:rPr>
          <w:rFonts w:ascii="Arial" w:hAnsi="Arial" w:cs="Arial"/>
          <w:sz w:val="22"/>
          <w:szCs w:val="22"/>
        </w:rPr>
        <w:t xml:space="preserve">Wrth ymchwilio i CDY Ysgol A, gweler nifer o weithgareddau a strategaethau er mwyn gweithredu’r flaenoriaeth. Awgrymwyd bod angen i’r ysgol gyfan datblygu dealltwriaeth o weledigaeth y cwricwlwm ysgol a gwna hyn drwy hefyd ymgysylltu a’r holl rhanddeiliaid. I atgyfnerthu hyn awgrymwyd bod angen i holl staff yr ysgol adolygu ac addasu ei amgylcheddau dysgu yn briodol er mwyn datblygu cyfleoedd meithrin annibyniaeth. Cadarnhawyd hyn gan ddogfen Estyn (2024) lle dywed bod amgylchedd addysgu cyfoethog dosbarthiadau yn hybu chwilfrydedd a brwdfrydedd disgyblion sy’n arwain at fagu annibyniaeth a hyder plant. Yn ogystal â hyn, cefnogi’r cysylltiad yr amgylchedd a meithrin annibyniaeth plant gan ddamcaniaeth datblygiad gwybyddol Piaget (1971). Awgrymwyd bod annibyniaeth yn cael ei feithrin trwy archwilio’r amgylchedd yn weithredol ac yna yn cefnogi bod amgylcheddau cyfoethog yn annog plant i feddwl yn annibynnol a datblygu sgiliau annibyniaeth. </w:t>
      </w:r>
      <w:r w:rsidR="009034AC" w:rsidRPr="00C253F4">
        <w:rPr>
          <w:rFonts w:ascii="Arial" w:hAnsi="Arial" w:cs="Arial"/>
          <w:sz w:val="22"/>
          <w:szCs w:val="22"/>
        </w:rPr>
        <w:t xml:space="preserve"> </w:t>
      </w:r>
    </w:p>
    <w:p w14:paraId="64011F9B" w14:textId="77777777" w:rsidR="0069502F" w:rsidRDefault="0069502F" w:rsidP="00C253F4">
      <w:pPr>
        <w:spacing w:line="360" w:lineRule="auto"/>
        <w:ind w:firstLine="720"/>
        <w:rPr>
          <w:rFonts w:ascii="Arial" w:hAnsi="Arial" w:cs="Arial"/>
          <w:sz w:val="22"/>
          <w:szCs w:val="22"/>
        </w:rPr>
      </w:pPr>
      <w:r w:rsidRPr="0069502F">
        <w:rPr>
          <w:rFonts w:ascii="Arial" w:hAnsi="Arial" w:cs="Arial"/>
          <w:sz w:val="22"/>
          <w:szCs w:val="22"/>
        </w:rPr>
        <w:t xml:space="preserve">Mae Ysgol A hefyd yn trafod strategaethau clir er mwyn gweithredu’r flaenoriaeth sef, cwestiynu effeithiol, cynnig adborth effeithiol a ffocysu ar lais y disgyblion i lywio cyfleoedd dysgu a chynllunio’r cwricwlwm a hefyd cynnig hyfforddiant ymholi i’r staff. Nodwyd yn y CDY bod y flaenoriaeth hon yn cael ei werthuso a monitro’n dymhorol gan yr uwch dim rheoli a’r staff. Er mwyn gwerthuso/monitor flaenoriaeth o ddatblygu dulliau i annog annibyniaeth, edrychwyd ar gynnal arsylwadau ar wersi er mwyn nodi cymorth i athrawon unigol i wella ansawdd addysgu a dysgu i alluogi disgyblion i ddatblygu fel dysgwyr annibynnol. Hefyd, bydd gwaith disgyblion yn cael ei fonitro’n effeithiol i sicrhau ansawdd cyson ar draws yr ysgol gyda ffocws ar fonitro dulliau datblygu annibyniaeth. </w:t>
      </w:r>
    </w:p>
    <w:p w14:paraId="4674592E" w14:textId="12034C1B" w:rsidR="007C7D54" w:rsidRPr="00C253F4" w:rsidRDefault="00334206" w:rsidP="00334206">
      <w:pPr>
        <w:spacing w:line="360" w:lineRule="auto"/>
        <w:ind w:firstLine="720"/>
        <w:rPr>
          <w:rFonts w:ascii="Arial" w:hAnsi="Arial" w:cs="Arial"/>
          <w:sz w:val="22"/>
          <w:szCs w:val="22"/>
        </w:rPr>
      </w:pPr>
      <w:r w:rsidRPr="00334206">
        <w:rPr>
          <w:rFonts w:ascii="Arial" w:hAnsi="Arial" w:cs="Arial"/>
          <w:sz w:val="22"/>
          <w:szCs w:val="22"/>
        </w:rPr>
        <w:t>Os edrychwyd ar y strategaethau er mwyn gweithredu’r flaenoriaeth yn feirniadol, gweler bod efallai angen nodi strategaethau penodol/gwahaniaethu rhwng y dysgu sylfaen a chyfnod allweddol 2 (CA2). Dywed hyn ohwerwydd bod annibyniaeth yn wahanol rhwng y ddau gyfnod. Mae annibyniaeth yn y dysgu sylfaen yn ffocysu ar ddatblygu hyder, annibyniaeth i ddewis dysgu ei hun, a datblygu meddwl yn annibynnol tra bod annibyniaeth yn CA2 yn cael ei weld trwy gyflawni gwaith annibynnol, cyfrifoldebau eu hun a’r annibyniaeth i wneud dewisiadau. Cefnogir hyn gan ddamcaniaeth datblygiad gwybyddol Piaget (1977) sy’n amlinelli’r cynnydd yn y lefel o annibyniaeth sy’n cael ei ddatblygu rhwng plant oedran dysgu sylfaen a CA2.</w:t>
      </w:r>
    </w:p>
    <w:p w14:paraId="7E824F07" w14:textId="1D3F662B" w:rsidR="007C7D54" w:rsidRPr="00C253F4" w:rsidRDefault="00C83FA4" w:rsidP="00C253F4">
      <w:pPr>
        <w:spacing w:line="360" w:lineRule="auto"/>
        <w:rPr>
          <w:rFonts w:ascii="Arial" w:hAnsi="Arial" w:cs="Arial"/>
          <w:b/>
          <w:bCs/>
          <w:sz w:val="28"/>
          <w:szCs w:val="28"/>
        </w:rPr>
      </w:pPr>
      <w:r w:rsidRPr="00C253F4">
        <w:rPr>
          <w:rFonts w:ascii="Arial" w:hAnsi="Arial" w:cs="Arial"/>
          <w:b/>
          <w:bCs/>
          <w:sz w:val="28"/>
          <w:szCs w:val="28"/>
        </w:rPr>
        <w:lastRenderedPageBreak/>
        <w:t xml:space="preserve">Adfyfyrio a Gwerthuso </w:t>
      </w:r>
    </w:p>
    <w:p w14:paraId="2D0A6E19" w14:textId="2AF0CC7A" w:rsidR="000F07B9" w:rsidRPr="00C253F4" w:rsidRDefault="009003FB" w:rsidP="00C253F4">
      <w:pPr>
        <w:spacing w:line="360" w:lineRule="auto"/>
        <w:rPr>
          <w:rFonts w:ascii="Arial" w:hAnsi="Arial" w:cs="Arial"/>
          <w:sz w:val="22"/>
          <w:szCs w:val="22"/>
        </w:rPr>
      </w:pPr>
      <w:r w:rsidRPr="009003FB">
        <w:rPr>
          <w:rFonts w:ascii="Arial" w:hAnsi="Arial" w:cs="Arial"/>
          <w:sz w:val="22"/>
          <w:szCs w:val="22"/>
        </w:rPr>
        <w:t>Wrth dreulio amser yn Ysgol A gwelais i sut oedd y CDY yn cael ei weithredu, yn enwedig y flaenoriaeth o ddatblygu annibyniaeth y disgyblion. Yn y dysgu sylfaen gwelais y broses o roi rhyddid i’r plant i ddewis yn annibynnol beth oeddent am wneud yn y ddarpariaeth barhaus. Er mwyn hybu’r annibyniaeth oedd ‘wal heriau’ lle rhoddwyd tua 8 her yr wythnos i gwblhau yn y ddarpariaeth. Ar y wal oedd taflen yn dweud beth oedd yr her, llun o’r her ac yna peg siarad lle oedd y plant yn medru gwasgu er mwyn clywed recordiad/esboniad o’r her. Oedd cyfuniad o’r ysgrifen, llun a’r peg siarad yn hybu annibyniaeth y plant i wneud penderfyniadau dysgu eu hun, gan fod rhai ddim yn gallu darllen felly oeddent yn gallu gweld y llun a gwrando. Oedd y broses yma o adael y disgyblion i ddewis gweithgareddau dysgu eu hun yn hybu meithrin annibyniaeth y disgyblion a chefnogir hyn gan Meyer et al. (2008). Atgyfnertha Meyer et al. (2008) pwysigrwydd amgylcheddau dysgu yn y dosbarthiadau a’i chyswllt â meithrin dysgwyr annibynnol a dywed dylai'r amgylchedd rhoi cyfle i ddisgyblion dewis gweithgareddau dysgu eu hun a chyfiawnhau eu nodau dysgu a bydd hyn yn paratoi ffordd i greu dysgwyr annibynnol.</w:t>
      </w:r>
    </w:p>
    <w:p w14:paraId="042E81BD" w14:textId="6FD381A8" w:rsidR="000F07B9" w:rsidRPr="00C253F4" w:rsidRDefault="005A5DB3" w:rsidP="00C253F4">
      <w:pPr>
        <w:spacing w:line="360" w:lineRule="auto"/>
        <w:rPr>
          <w:rFonts w:ascii="Arial" w:hAnsi="Arial" w:cs="Arial"/>
          <w:sz w:val="22"/>
          <w:szCs w:val="22"/>
        </w:rPr>
      </w:pPr>
      <w:r w:rsidRPr="00C253F4">
        <w:rPr>
          <w:rFonts w:ascii="Arial" w:hAnsi="Arial" w:cs="Arial"/>
          <w:sz w:val="22"/>
          <w:szCs w:val="22"/>
        </w:rPr>
        <w:tab/>
      </w:r>
      <w:r w:rsidR="009003FB" w:rsidRPr="009003FB">
        <w:rPr>
          <w:rFonts w:ascii="Arial" w:hAnsi="Arial" w:cs="Arial"/>
          <w:sz w:val="22"/>
          <w:szCs w:val="22"/>
        </w:rPr>
        <w:t xml:space="preserve">Yn ogystal â hyn, yn y dysgu sylfaen gwelais ystod o gyfleoedd i’r plant i fod annibynnol. Gwelais y newidiadau bach er mwyn hybu’r annibyniaeth, yn enwedig newidiadau o staff yn gwneud pethau i gael y plant i’w wneud - fel y newid o’r oedolion yn agor y poteli llaeth i’r plant i agor poteli eu hun, rhoi swyddi’r oedolion i’r plant e.e.. paratoi’r dosbarth yn y bore a gosod y seddi allan yn ddosbarth a mynd a’r niferoedd cinio. </w:t>
      </w:r>
      <w:r w:rsidR="000A342F" w:rsidRPr="00C253F4">
        <w:rPr>
          <w:rFonts w:ascii="Arial" w:hAnsi="Arial" w:cs="Arial"/>
          <w:sz w:val="22"/>
          <w:szCs w:val="22"/>
        </w:rPr>
        <w:t xml:space="preserve"> </w:t>
      </w:r>
    </w:p>
    <w:p w14:paraId="3DB00975" w14:textId="76147D0B" w:rsidR="00605EAB" w:rsidRPr="00C253F4" w:rsidRDefault="00605EAB" w:rsidP="00C253F4">
      <w:pPr>
        <w:spacing w:line="360" w:lineRule="auto"/>
        <w:rPr>
          <w:rFonts w:ascii="Arial" w:hAnsi="Arial" w:cs="Arial"/>
          <w:sz w:val="22"/>
          <w:szCs w:val="22"/>
        </w:rPr>
      </w:pPr>
      <w:r w:rsidRPr="00C253F4">
        <w:rPr>
          <w:rFonts w:ascii="Arial" w:hAnsi="Arial" w:cs="Arial"/>
          <w:sz w:val="22"/>
          <w:szCs w:val="22"/>
        </w:rPr>
        <w:tab/>
      </w:r>
      <w:r w:rsidR="009003FB" w:rsidRPr="009003FB">
        <w:rPr>
          <w:rFonts w:ascii="Arial" w:hAnsi="Arial" w:cs="Arial"/>
          <w:sz w:val="22"/>
          <w:szCs w:val="22"/>
        </w:rPr>
        <w:t>Un o’r strategaethau nodir yn CDY Ysgol A oedd cynnig hyfforddiant dull ymholi er mwyn cefnogi’r staff i hybu annibyniaeth y dysgwyr. Wrth dreillio amser yn Ysgol A bues i’n rhan o’r hyfforddiant yma. Pwrpas yr hyfforddiant oedd newid agwedd y staff at gynllunio’r cwricwlwm a rhoi ffocws ar y dull ymholi i gynllunio. Ffocws y dull ymholi yn addysg yw rhoi mwy o gyfleoedd i ddysgwyr i gymryd rhan weithredol yn ei dysgu trwy ofyn cwestiynau, ymchwilio i bynciau a cheisio darganfod atebion eu hun yn hytrach na derbyn gwybodaeth oddefol gan athrawon</w:t>
      </w:r>
      <w:r w:rsidR="005F68FB" w:rsidRPr="00C253F4">
        <w:rPr>
          <w:rFonts w:ascii="Arial" w:hAnsi="Arial" w:cs="Arial"/>
          <w:sz w:val="22"/>
          <w:szCs w:val="22"/>
        </w:rPr>
        <w:t xml:space="preserve">. </w:t>
      </w:r>
      <w:r w:rsidR="009003FB" w:rsidRPr="009003FB">
        <w:rPr>
          <w:rFonts w:ascii="Arial" w:hAnsi="Arial" w:cs="Arial"/>
          <w:sz w:val="22"/>
          <w:szCs w:val="22"/>
        </w:rPr>
        <w:t>Pwrpas y dull yma yw datblygu annibyniaeth y plant wrth iddynt gymryd cyfrifoldeb am ei ddysgu, ac archwilio beth hoffent ddysgu, dim beth mae’r athro am iddynt ddysgu. Yn ddamcaniaethwr sy’n cefnogi’r dull ymholi yw Jermone Burner a dywed bod dull ymholi o addysg yn galluogi plant i archwilio a datrys problemau yn annibynnol (Bruner, 1961). Awgrymwyd bod plant yn dysgu’n well trwy ddarganfod gwybodaeth dros eu hun ac adeiladu’r wybodaeth yn annibynnol yn hytrach na derbyn gwybodaeth yn oddefol a dilyn cyfarwyddiadau. Gwelais y dull yma ar waith ac oedd yn hynod o effeithiol gyda disgyblion iau'r ysgol, yn enwedig blwyddyn 6.</w:t>
      </w:r>
    </w:p>
    <w:p w14:paraId="25EC5B6F" w14:textId="77777777" w:rsidR="00A953CF" w:rsidRPr="00C253F4" w:rsidRDefault="00A953CF" w:rsidP="00C253F4">
      <w:pPr>
        <w:spacing w:line="360" w:lineRule="auto"/>
        <w:rPr>
          <w:rFonts w:ascii="Arial" w:hAnsi="Arial" w:cs="Arial"/>
          <w:sz w:val="22"/>
          <w:szCs w:val="22"/>
        </w:rPr>
      </w:pPr>
    </w:p>
    <w:p w14:paraId="2870B14E" w14:textId="71F866C1" w:rsidR="008732D4" w:rsidRPr="00C253F4" w:rsidRDefault="00A953CF" w:rsidP="00C253F4">
      <w:pPr>
        <w:spacing w:line="360" w:lineRule="auto"/>
        <w:rPr>
          <w:rFonts w:ascii="Arial" w:hAnsi="Arial" w:cs="Arial"/>
          <w:b/>
          <w:bCs/>
          <w:sz w:val="28"/>
          <w:szCs w:val="28"/>
        </w:rPr>
      </w:pPr>
      <w:r w:rsidRPr="00C253F4">
        <w:rPr>
          <w:rFonts w:ascii="Arial" w:hAnsi="Arial" w:cs="Arial"/>
          <w:b/>
          <w:bCs/>
          <w:sz w:val="28"/>
          <w:szCs w:val="28"/>
        </w:rPr>
        <w:t xml:space="preserve">Casgliad </w:t>
      </w:r>
    </w:p>
    <w:p w14:paraId="26A78A0D" w14:textId="77777777" w:rsidR="009003FB" w:rsidRDefault="009003FB" w:rsidP="009003FB">
      <w:pPr>
        <w:spacing w:line="360" w:lineRule="auto"/>
        <w:ind w:firstLine="720"/>
        <w:rPr>
          <w:rFonts w:ascii="Arial" w:hAnsi="Arial" w:cs="Arial"/>
          <w:sz w:val="22"/>
          <w:szCs w:val="22"/>
        </w:rPr>
      </w:pPr>
      <w:r w:rsidRPr="009003FB">
        <w:rPr>
          <w:rFonts w:ascii="Arial" w:hAnsi="Arial" w:cs="Arial"/>
          <w:sz w:val="22"/>
          <w:szCs w:val="22"/>
        </w:rPr>
        <w:lastRenderedPageBreak/>
        <w:t xml:space="preserve">Mae’r aseiniaid yma wedi archwilio Cynllun Datblygu Ysgol (CDY) Ysgol A gan ffocysu ar y flaenoriaeth - Datblygu dulliau ysgol gyfan sy’n annog annibyniaeth ei dysgwyr. Mae’n blaenoriaethu meithrin annibyniaeth plant ac yn amlinelli’r strategaethau sydd angen er mwyn gweithredu hyn ar draws yr ysgol. Daw’r flaenoriaeth i’r clawr wrth i Ysgol A gwerthuso’i ffodd o addysgu a nodwyd strategaethau er mwyn gweithredu’r flaenoriaeth megis gwella amgylcheddau dysgu a hyfforddi staff mewn dulliau ymholi. Roedd fy arsylwadau yn Ysgol A yn dangos sut oedd y flaenoriaeth yn cael ei weithredu a’r newidiadau bach megis darparu cyfleoedd i ddisgyblion i wneud penderfyniadau a pherfformio tasgau’n annibynnol wedi cyfrannu at hyrwyddo’r flaenoriaeth. </w:t>
      </w:r>
    </w:p>
    <w:p w14:paraId="6A254616" w14:textId="77777777" w:rsidR="009003FB" w:rsidRDefault="009003FB" w:rsidP="00C253F4">
      <w:pPr>
        <w:spacing w:line="360" w:lineRule="auto"/>
        <w:rPr>
          <w:rFonts w:ascii="Arial" w:hAnsi="Arial" w:cs="Arial"/>
          <w:sz w:val="22"/>
          <w:szCs w:val="22"/>
          <w:lang w:val="en-GB"/>
        </w:rPr>
      </w:pPr>
      <w:r w:rsidRPr="009003FB">
        <w:rPr>
          <w:rFonts w:ascii="Arial" w:hAnsi="Arial" w:cs="Arial"/>
          <w:sz w:val="22"/>
          <w:szCs w:val="22"/>
          <w:lang w:val="en-GB"/>
        </w:rPr>
        <w:t>Mae’r llenyddiaeth wedi dangos pwysigrwydd meithrin annibyniaeth plant er mwyn datblygiad personol a chynnydd academaidd a dangosir hyn gan ddamcaniaethau Vygotsky (1978) a Piaget (1971). Yn ogystal â hyn, mae nifer o ddogfennau polisi Llywodraeth Cymru yn tanlinelli bwysigrwydd annog annibyniaeth dysgwyr er mwyn datblygu sgiliau bywyd megis y Cod Cynnydd (2021). Mae’r flaenoriaeth hyn yn cyd-fynd gyda gweledigaeth y Cwricwlwm i Gymru (2022) a’r pedwar diben, sef i gefnogi dysgwyr i ddod yn unigolion annibynnol. Er hyn, rhaid ystyried bod cydweithio hefyd yn rhan o weledigaeth y Cwricwlwm a bod gweithio gydag eraill yn hanfodol ar gyfer datblygu unigolion cymdeithasol a sgiliau cyfathrebu. Yn ogystal â hyn, rhaid hefyd ystyried bod rôl athrawon yn allweddol wrth fodelu a dysgu plant sut i fod yn annibynnol, fel y nodir yn y damcaniaeth scaffaldio gan Vygotsky (1978).</w:t>
      </w:r>
    </w:p>
    <w:p w14:paraId="6D00B4AD" w14:textId="4FF292F5" w:rsidR="00DE7BF2" w:rsidRPr="00DE7BF2" w:rsidRDefault="0057211F" w:rsidP="00C253F4">
      <w:pPr>
        <w:spacing w:line="360" w:lineRule="auto"/>
        <w:rPr>
          <w:rFonts w:ascii="Arial" w:hAnsi="Arial" w:cs="Arial"/>
          <w:sz w:val="22"/>
          <w:szCs w:val="22"/>
          <w:lang w:val="en-GB"/>
        </w:rPr>
      </w:pPr>
      <w:r w:rsidRPr="00C253F4">
        <w:rPr>
          <w:rFonts w:ascii="Arial" w:hAnsi="Arial" w:cs="Arial"/>
          <w:sz w:val="22"/>
          <w:szCs w:val="22"/>
          <w:lang w:val="en-GB"/>
        </w:rPr>
        <w:tab/>
      </w:r>
      <w:r w:rsidR="009003FB" w:rsidRPr="009003FB">
        <w:rPr>
          <w:rFonts w:ascii="Arial" w:hAnsi="Arial" w:cs="Arial"/>
          <w:sz w:val="22"/>
          <w:szCs w:val="22"/>
          <w:lang w:val="en-GB"/>
        </w:rPr>
        <w:t xml:space="preserve">Yn gyffredinol, mae’r ymchwil hon yn dangos bod annibyniaeth dysgwyr yn hanfodol i ddatblygiad plant ac mae Ysgol Ac wedi cymryd camau i weithredu hyn yn ei ysgol gan dargedu fel blaenoriaeth yn y Cynllun Datblygu Ysgol eleni. </w:t>
      </w:r>
      <w:r w:rsidR="007E6986" w:rsidRPr="00C253F4">
        <w:rPr>
          <w:rFonts w:ascii="Arial" w:hAnsi="Arial" w:cs="Arial"/>
          <w:sz w:val="22"/>
          <w:szCs w:val="22"/>
          <w:lang w:val="en-GB"/>
        </w:rPr>
        <w:t xml:space="preserve"> </w:t>
      </w:r>
    </w:p>
    <w:p w14:paraId="4467F5E0" w14:textId="77777777" w:rsidR="00DE7BF2" w:rsidRPr="00C253F4" w:rsidRDefault="00DE7BF2" w:rsidP="00C253F4">
      <w:pPr>
        <w:spacing w:line="360" w:lineRule="auto"/>
        <w:rPr>
          <w:rFonts w:ascii="Arial" w:hAnsi="Arial" w:cs="Arial"/>
          <w:sz w:val="22"/>
          <w:szCs w:val="22"/>
        </w:rPr>
      </w:pPr>
    </w:p>
    <w:p w14:paraId="2D805492" w14:textId="24A90749" w:rsidR="00590A2F" w:rsidRPr="00C253F4" w:rsidRDefault="006E68F9" w:rsidP="00C253F4">
      <w:pPr>
        <w:spacing w:line="360" w:lineRule="auto"/>
        <w:rPr>
          <w:rFonts w:ascii="Arial" w:hAnsi="Arial" w:cs="Arial"/>
          <w:b/>
          <w:bCs/>
          <w:sz w:val="22"/>
          <w:szCs w:val="22"/>
        </w:rPr>
      </w:pPr>
      <w:r w:rsidRPr="00C253F4">
        <w:rPr>
          <w:rFonts w:ascii="Arial" w:hAnsi="Arial" w:cs="Arial"/>
          <w:b/>
          <w:bCs/>
          <w:sz w:val="22"/>
          <w:szCs w:val="22"/>
        </w:rPr>
        <w:t xml:space="preserve">Nifer o eiriau – 2,443 </w:t>
      </w:r>
    </w:p>
    <w:p w14:paraId="461B21EA" w14:textId="77777777" w:rsidR="006E68F9" w:rsidRPr="00C253F4" w:rsidRDefault="006E68F9" w:rsidP="00C253F4">
      <w:pPr>
        <w:spacing w:line="360" w:lineRule="auto"/>
        <w:rPr>
          <w:rFonts w:ascii="Arial" w:hAnsi="Arial" w:cs="Arial"/>
          <w:sz w:val="22"/>
          <w:szCs w:val="22"/>
          <w:u w:val="single"/>
        </w:rPr>
      </w:pPr>
    </w:p>
    <w:p w14:paraId="0A5F649C" w14:textId="25EF3D9E" w:rsidR="008B2604" w:rsidRPr="00C253F4" w:rsidRDefault="004D103E" w:rsidP="00C253F4">
      <w:pPr>
        <w:spacing w:line="360" w:lineRule="auto"/>
        <w:rPr>
          <w:rFonts w:ascii="Arial" w:hAnsi="Arial" w:cs="Arial"/>
          <w:b/>
          <w:bCs/>
          <w:sz w:val="28"/>
          <w:szCs w:val="28"/>
          <w:u w:val="single"/>
        </w:rPr>
      </w:pPr>
      <w:r w:rsidRPr="00C253F4">
        <w:rPr>
          <w:rFonts w:ascii="Arial" w:hAnsi="Arial" w:cs="Arial"/>
          <w:b/>
          <w:bCs/>
          <w:sz w:val="28"/>
          <w:szCs w:val="28"/>
          <w:u w:val="single"/>
        </w:rPr>
        <w:t xml:space="preserve">Rhestr </w:t>
      </w:r>
      <w:r w:rsidR="008B2604" w:rsidRPr="00C253F4">
        <w:rPr>
          <w:rFonts w:ascii="Arial" w:hAnsi="Arial" w:cs="Arial"/>
          <w:b/>
          <w:bCs/>
          <w:sz w:val="28"/>
          <w:szCs w:val="28"/>
          <w:u w:val="single"/>
        </w:rPr>
        <w:t xml:space="preserve">Cyfernodi </w:t>
      </w:r>
    </w:p>
    <w:p w14:paraId="18858902"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British Educational Research Association (2018). Ethical Guidelines for Educational Research, Fourth Edition (2018) | BERA. [online] Bera.ac.uk. Available at: </w:t>
      </w:r>
      <w:hyperlink r:id="rId8" w:history="1">
        <w:r w:rsidRPr="00D117A6">
          <w:rPr>
            <w:rStyle w:val="Hyperlink"/>
            <w:rFonts w:ascii="Arial" w:hAnsi="Arial" w:cs="Arial"/>
            <w:sz w:val="22"/>
            <w:szCs w:val="22"/>
            <w:lang w:val="en-GB"/>
          </w:rPr>
          <w:t>https://www.bera.ac.uk/researchers-resources/publications/ethical-guidelines-for-educational-research-2018</w:t>
        </w:r>
      </w:hyperlink>
      <w:r w:rsidRPr="00D117A6">
        <w:rPr>
          <w:rFonts w:ascii="Arial" w:hAnsi="Arial" w:cs="Arial"/>
          <w:sz w:val="22"/>
          <w:szCs w:val="22"/>
          <w:lang w:val="en-GB"/>
        </w:rPr>
        <w:t>.</w:t>
      </w:r>
    </w:p>
    <w:p w14:paraId="55E5BDB5" w14:textId="77777777" w:rsidR="00523CCC" w:rsidRPr="00C253F4" w:rsidRDefault="00523CCC" w:rsidP="00C253F4">
      <w:pPr>
        <w:spacing w:line="360" w:lineRule="auto"/>
        <w:rPr>
          <w:rFonts w:ascii="Arial" w:hAnsi="Arial" w:cs="Arial"/>
          <w:sz w:val="22"/>
          <w:szCs w:val="22"/>
        </w:rPr>
      </w:pPr>
      <w:r w:rsidRPr="00C253F4">
        <w:rPr>
          <w:rFonts w:ascii="Arial" w:hAnsi="Arial" w:cs="Arial"/>
          <w:sz w:val="22"/>
          <w:szCs w:val="22"/>
        </w:rPr>
        <w:t>Bruner, J. S. (1961). The Act of Discovery. Harvard Educational Review, 31, 21-32.</w:t>
      </w:r>
    </w:p>
    <w:p w14:paraId="69ABBA7E"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Estyn (2024). Mae diddordebau plant yn arwain gweithgareddau dysgu - Estyn. [online] Estyn. Available at: https://www.estyn.llyw.cymru/adnoddau-gwella/mae-diddordebau-plant-yn-arwain-gweithgareddau-dysgu [Accessed </w:t>
      </w:r>
      <w:r w:rsidRPr="00C253F4">
        <w:rPr>
          <w:rFonts w:ascii="Arial" w:hAnsi="Arial" w:cs="Arial"/>
          <w:sz w:val="22"/>
          <w:szCs w:val="22"/>
          <w:lang w:val="en-GB"/>
        </w:rPr>
        <w:t xml:space="preserve">1 </w:t>
      </w:r>
      <w:r w:rsidRPr="00D117A6">
        <w:rPr>
          <w:rFonts w:ascii="Arial" w:hAnsi="Arial" w:cs="Arial"/>
          <w:sz w:val="22"/>
          <w:szCs w:val="22"/>
          <w:lang w:val="en-GB"/>
        </w:rPr>
        <w:t>Feb. 2025].</w:t>
      </w:r>
    </w:p>
    <w:p w14:paraId="7C1E69A2"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lastRenderedPageBreak/>
        <w:t>Estyn (2024). Meithrin teithiau dysgu disgyblion yn annog gwydnwch ac yn dathlu gwreiddioldeb - Estyn. [online] Estyn. Available at: https://www.estyn.llyw.cymru/adnoddau-gwella/meithrin-teithiau-dysgu-disgyblion-yn-annog-gwydnwch-ac-yn-dathlu-gwreiddioldeb [Accessed 9 Feb. 2025].</w:t>
      </w:r>
    </w:p>
    <w:p w14:paraId="35C76157"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Estyn. (2024). Datblygu amgylchedd addysgu gyfoethog ac ysgogol sy’n hybu chwilfrydedd a brwdfrydedd y disgyblion ieuengaf  - Estyn. [online] Available at: https://www.estyn.llyw.cymru/adnoddau-gwella/datblygu-amgylchedd-addysgu-gyfoethog-ac-ysgogol-syn-hybu-chwilfrydedd-a-brwdfrydedd-y-disgyblion-ieuengaf/ [Accessed </w:t>
      </w:r>
      <w:r w:rsidRPr="00C253F4">
        <w:rPr>
          <w:rFonts w:ascii="Arial" w:hAnsi="Arial" w:cs="Arial"/>
          <w:sz w:val="22"/>
          <w:szCs w:val="22"/>
          <w:lang w:val="en-GB"/>
        </w:rPr>
        <w:t>22 Jan</w:t>
      </w:r>
      <w:r w:rsidRPr="00D117A6">
        <w:rPr>
          <w:rFonts w:ascii="Arial" w:hAnsi="Arial" w:cs="Arial"/>
          <w:sz w:val="22"/>
          <w:szCs w:val="22"/>
          <w:lang w:val="en-GB"/>
        </w:rPr>
        <w:t>. 2025].</w:t>
      </w:r>
    </w:p>
    <w:p w14:paraId="3CEE1940"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Llywodraeth Cymru (2019). Cydweithio - Hwb. [online] Gov.wales. Available at: https://hwb.gov.wales/cadwn-ddiogel-ar-lein/gwella-cadernid-digidol-mewn-addysg-cynllun-gweithredu-i-ddiogelu-plant-a-phobl-ifanc-ar-lein/cydweithio [Accessed </w:t>
      </w:r>
      <w:r w:rsidRPr="00C253F4">
        <w:rPr>
          <w:rFonts w:ascii="Arial" w:hAnsi="Arial" w:cs="Arial"/>
          <w:sz w:val="22"/>
          <w:szCs w:val="22"/>
          <w:lang w:val="en-GB"/>
        </w:rPr>
        <w:t xml:space="preserve">1 </w:t>
      </w:r>
      <w:r w:rsidRPr="00D117A6">
        <w:rPr>
          <w:rFonts w:ascii="Arial" w:hAnsi="Arial" w:cs="Arial"/>
          <w:sz w:val="22"/>
          <w:szCs w:val="22"/>
          <w:lang w:val="en-GB"/>
        </w:rPr>
        <w:t>Feb. 2025].</w:t>
      </w:r>
    </w:p>
    <w:p w14:paraId="154B9381"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Llywodraeth Cymru (2019). Deddf Llesiant Cenedlaethau’r Dyfodol (Cymru) 2015 Yr hanfodion. [online] Available at: https://www.llyw.cymru/sites/default/files/publications/2019-08/deddf-llesiant-cenedlaethaur-dyfodol-cymru-2015-yr-hanfodion.pdf [Accessed </w:t>
      </w:r>
      <w:r w:rsidRPr="00C253F4">
        <w:rPr>
          <w:rFonts w:ascii="Arial" w:hAnsi="Arial" w:cs="Arial"/>
          <w:sz w:val="22"/>
          <w:szCs w:val="22"/>
          <w:lang w:val="en-GB"/>
        </w:rPr>
        <w:t>20</w:t>
      </w:r>
      <w:r w:rsidRPr="00D117A6">
        <w:rPr>
          <w:rFonts w:ascii="Arial" w:hAnsi="Arial" w:cs="Arial"/>
          <w:sz w:val="22"/>
          <w:szCs w:val="22"/>
          <w:lang w:val="en-GB"/>
        </w:rPr>
        <w:t xml:space="preserve"> </w:t>
      </w:r>
      <w:r w:rsidRPr="00C253F4">
        <w:rPr>
          <w:rFonts w:ascii="Arial" w:hAnsi="Arial" w:cs="Arial"/>
          <w:sz w:val="22"/>
          <w:szCs w:val="22"/>
          <w:lang w:val="en-GB"/>
        </w:rPr>
        <w:t>Jan</w:t>
      </w:r>
      <w:r w:rsidRPr="00D117A6">
        <w:rPr>
          <w:rFonts w:ascii="Arial" w:hAnsi="Arial" w:cs="Arial"/>
          <w:sz w:val="22"/>
          <w:szCs w:val="22"/>
          <w:lang w:val="en-GB"/>
        </w:rPr>
        <w:t>. 2025].</w:t>
      </w:r>
    </w:p>
    <w:p w14:paraId="0F667AE2"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Llywodraeth Cymru (2021). Cod Anghenion Dysgu Ychwanegol Cymru 2021 LlC21-23. [online] Available at: https://www.llyw.cymru/sites/default/files/publications/2025-01/cod-anghenion-dysgu-ychwanegol-cymru-2021_0.pdf [Accessed </w:t>
      </w:r>
      <w:r w:rsidRPr="00C253F4">
        <w:rPr>
          <w:rFonts w:ascii="Arial" w:hAnsi="Arial" w:cs="Arial"/>
          <w:sz w:val="22"/>
          <w:szCs w:val="22"/>
          <w:lang w:val="en-GB"/>
        </w:rPr>
        <w:t>1</w:t>
      </w:r>
      <w:r w:rsidRPr="00D117A6">
        <w:rPr>
          <w:rFonts w:ascii="Arial" w:hAnsi="Arial" w:cs="Arial"/>
          <w:sz w:val="22"/>
          <w:szCs w:val="22"/>
          <w:lang w:val="en-GB"/>
        </w:rPr>
        <w:t xml:space="preserve"> Feb. 2025].</w:t>
      </w:r>
    </w:p>
    <w:p w14:paraId="6984DA5C"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Llywodraeth Cymru (2021). Cwricwlwm i Gymru - Hwb. [online] hwb.gov.wales. Available at: </w:t>
      </w:r>
      <w:hyperlink r:id="rId9" w:history="1">
        <w:r w:rsidRPr="00D117A6">
          <w:rPr>
            <w:rStyle w:val="Hyperlink"/>
            <w:rFonts w:ascii="Arial" w:hAnsi="Arial" w:cs="Arial"/>
            <w:sz w:val="22"/>
            <w:szCs w:val="22"/>
            <w:lang w:val="en-GB"/>
          </w:rPr>
          <w:t>https://hwb.gov.wales/cwricwlwm-i-gymru</w:t>
        </w:r>
      </w:hyperlink>
      <w:r w:rsidRPr="00D117A6">
        <w:rPr>
          <w:rFonts w:ascii="Arial" w:hAnsi="Arial" w:cs="Arial"/>
          <w:sz w:val="22"/>
          <w:szCs w:val="22"/>
          <w:lang w:val="en-GB"/>
        </w:rPr>
        <w:t>.</w:t>
      </w:r>
    </w:p>
    <w:p w14:paraId="28B9E659"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Llywodraeth Cymru (2021). Y Cwricwlwm i Gymru - Y Cod Cynnydd. [online] Available at: </w:t>
      </w:r>
      <w:hyperlink r:id="rId10" w:history="1">
        <w:r w:rsidRPr="00D117A6">
          <w:rPr>
            <w:rStyle w:val="Hyperlink"/>
            <w:rFonts w:ascii="Arial" w:hAnsi="Arial" w:cs="Arial"/>
            <w:sz w:val="22"/>
            <w:szCs w:val="22"/>
            <w:lang w:val="en-GB"/>
          </w:rPr>
          <w:t>https://www.llyw.cymru/sites/default/files/publications/2021-11/cwricwlwm-i-gymru-y-cod-cynnydd.pdf</w:t>
        </w:r>
      </w:hyperlink>
      <w:r w:rsidRPr="00D117A6">
        <w:rPr>
          <w:rFonts w:ascii="Arial" w:hAnsi="Arial" w:cs="Arial"/>
          <w:sz w:val="22"/>
          <w:szCs w:val="22"/>
          <w:lang w:val="en-GB"/>
        </w:rPr>
        <w:t>.</w:t>
      </w:r>
    </w:p>
    <w:p w14:paraId="7EC69F86"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Llywodraeth Cymru (2023). Galluogi dysgu - Hwb. [online] hwb.gov.wales. Available at: </w:t>
      </w:r>
      <w:hyperlink r:id="rId11" w:history="1">
        <w:r w:rsidRPr="00D117A6">
          <w:rPr>
            <w:rStyle w:val="Hyperlink"/>
            <w:rFonts w:ascii="Arial" w:hAnsi="Arial" w:cs="Arial"/>
            <w:sz w:val="22"/>
            <w:szCs w:val="22"/>
            <w:lang w:val="en-GB"/>
          </w:rPr>
          <w:t>https://hwb.gov.wales/cwricwlwm-i-gymru/cynllunio-eich-cwricwlwm/galluogi-dysgu/</w:t>
        </w:r>
      </w:hyperlink>
      <w:r w:rsidRPr="00D117A6">
        <w:rPr>
          <w:rFonts w:ascii="Arial" w:hAnsi="Arial" w:cs="Arial"/>
          <w:sz w:val="22"/>
          <w:szCs w:val="22"/>
          <w:lang w:val="en-GB"/>
        </w:rPr>
        <w:t>.</w:t>
      </w:r>
    </w:p>
    <w:p w14:paraId="24E2C48D"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 xml:space="preserve">Meyer, B., Haywood, N., Sachdev, D. and Faraday, S. (2008). Independent Learning Literature Review Research Report DCSF-RR051 Learning and Skills Network. [online] Available at: </w:t>
      </w:r>
      <w:hyperlink r:id="rId12" w:history="1">
        <w:r w:rsidRPr="00D117A6">
          <w:rPr>
            <w:rStyle w:val="Hyperlink"/>
            <w:rFonts w:ascii="Arial" w:hAnsi="Arial" w:cs="Arial"/>
            <w:sz w:val="22"/>
            <w:szCs w:val="22"/>
            <w:lang w:val="en-GB"/>
          </w:rPr>
          <w:t>https://www.associationforpsychologyteachers.com/uploads/4/5/6/6/4566919/independence_learning_lit_review.pdf</w:t>
        </w:r>
      </w:hyperlink>
      <w:r w:rsidRPr="00D117A6">
        <w:rPr>
          <w:rFonts w:ascii="Arial" w:hAnsi="Arial" w:cs="Arial"/>
          <w:sz w:val="22"/>
          <w:szCs w:val="22"/>
          <w:lang w:val="en-GB"/>
        </w:rPr>
        <w:t>.</w:t>
      </w:r>
    </w:p>
    <w:p w14:paraId="2A9B2C37" w14:textId="77777777" w:rsidR="00523CCC" w:rsidRPr="00C253F4" w:rsidRDefault="00523CCC" w:rsidP="00C253F4">
      <w:pPr>
        <w:spacing w:line="360" w:lineRule="auto"/>
        <w:rPr>
          <w:rFonts w:ascii="Arial" w:hAnsi="Arial" w:cs="Arial"/>
          <w:sz w:val="22"/>
          <w:szCs w:val="22"/>
          <w:lang w:val="en-GB"/>
        </w:rPr>
      </w:pPr>
      <w:r w:rsidRPr="00C253F4">
        <w:rPr>
          <w:rFonts w:ascii="Arial" w:hAnsi="Arial" w:cs="Arial"/>
          <w:sz w:val="22"/>
          <w:szCs w:val="22"/>
          <w:lang w:val="en-GB"/>
        </w:rPr>
        <w:t>Montessori, M. (1967). The Absorbent Mind. Holt, Rinehart and Winston.</w:t>
      </w:r>
    </w:p>
    <w:p w14:paraId="1DFC0F67" w14:textId="77777777" w:rsidR="00523CCC" w:rsidRPr="00C253F4" w:rsidRDefault="00523CCC" w:rsidP="00C253F4">
      <w:pPr>
        <w:spacing w:line="360" w:lineRule="auto"/>
        <w:rPr>
          <w:rFonts w:ascii="Arial" w:hAnsi="Arial" w:cs="Arial"/>
          <w:sz w:val="22"/>
          <w:szCs w:val="22"/>
        </w:rPr>
      </w:pPr>
      <w:r w:rsidRPr="00C253F4">
        <w:rPr>
          <w:rFonts w:ascii="Arial" w:hAnsi="Arial" w:cs="Arial"/>
          <w:sz w:val="22"/>
          <w:szCs w:val="22"/>
        </w:rPr>
        <w:t>Piaget, J. (1971). The theory of stages in cognitive development. In D. R. Green, M. P. Ford, &amp; G. B. Flamer, Measurement and Piaget. McGraw-Hill.</w:t>
      </w:r>
    </w:p>
    <w:p w14:paraId="69E79897"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Piaget, J. (1977). The Origin of Intelligence in the Child. Harmondsworth [etc.] : Penguin.</w:t>
      </w:r>
    </w:p>
    <w:p w14:paraId="74D5BF34" w14:textId="77777777" w:rsidR="00523CCC" w:rsidRPr="00C253F4" w:rsidRDefault="00523CCC" w:rsidP="00C253F4">
      <w:pPr>
        <w:spacing w:line="360" w:lineRule="auto"/>
        <w:rPr>
          <w:rFonts w:ascii="Arial" w:hAnsi="Arial" w:cs="Arial"/>
          <w:sz w:val="22"/>
          <w:szCs w:val="22"/>
          <w:lang w:val="en-GB"/>
        </w:rPr>
      </w:pPr>
      <w:r w:rsidRPr="00D117A6">
        <w:rPr>
          <w:rFonts w:ascii="Arial" w:hAnsi="Arial" w:cs="Arial"/>
          <w:sz w:val="22"/>
          <w:szCs w:val="22"/>
          <w:lang w:val="en-GB"/>
        </w:rPr>
        <w:t>Vygotsky, L. (1978). Mind in Society: The Development of Higher Psychological Processes. Cambridge: Harvard University Press.</w:t>
      </w:r>
    </w:p>
    <w:p w14:paraId="57AC80AE" w14:textId="679FC8DA" w:rsidR="00523CCC" w:rsidRPr="00C253F4" w:rsidRDefault="00523CCC" w:rsidP="00C253F4">
      <w:pPr>
        <w:spacing w:line="360" w:lineRule="auto"/>
        <w:rPr>
          <w:rFonts w:ascii="Arial" w:hAnsi="Arial" w:cs="Arial"/>
          <w:sz w:val="22"/>
          <w:szCs w:val="22"/>
          <w:lang w:val="en-GB"/>
        </w:rPr>
      </w:pPr>
      <w:r w:rsidRPr="00C253F4">
        <w:rPr>
          <w:rFonts w:ascii="Arial" w:hAnsi="Arial" w:cs="Arial"/>
          <w:sz w:val="22"/>
          <w:szCs w:val="22"/>
          <w:lang w:val="en-GB"/>
        </w:rPr>
        <w:lastRenderedPageBreak/>
        <w:t xml:space="preserve">Ysgol A (2025) [URL wedi cuddio er mwyn cadw’n anhysbys] </w:t>
      </w:r>
    </w:p>
    <w:p w14:paraId="0FD16F60" w14:textId="77777777" w:rsidR="00523CCC" w:rsidRPr="00C253F4" w:rsidRDefault="00523CCC" w:rsidP="00C253F4">
      <w:pPr>
        <w:spacing w:line="360" w:lineRule="auto"/>
        <w:rPr>
          <w:rFonts w:ascii="Arial" w:hAnsi="Arial" w:cs="Arial"/>
          <w:sz w:val="22"/>
          <w:szCs w:val="22"/>
          <w:lang w:val="en-GB"/>
        </w:rPr>
      </w:pPr>
      <w:r w:rsidRPr="00C253F4">
        <w:rPr>
          <w:rFonts w:ascii="Arial" w:hAnsi="Arial" w:cs="Arial"/>
          <w:sz w:val="22"/>
          <w:szCs w:val="22"/>
          <w:lang w:val="en-GB"/>
        </w:rPr>
        <w:t>Ysgol A (2024) [Dogfen CDY]</w:t>
      </w:r>
    </w:p>
    <w:p w14:paraId="5E116844" w14:textId="70AA7962" w:rsidR="00523CCC" w:rsidRPr="00D117A6" w:rsidRDefault="00523CCC" w:rsidP="00C253F4">
      <w:pPr>
        <w:spacing w:line="360" w:lineRule="auto"/>
        <w:rPr>
          <w:rFonts w:ascii="Arial" w:hAnsi="Arial" w:cs="Arial"/>
          <w:sz w:val="22"/>
          <w:szCs w:val="22"/>
          <w:lang w:val="en-GB"/>
        </w:rPr>
      </w:pPr>
    </w:p>
    <w:p w14:paraId="639DEC5A" w14:textId="77777777" w:rsidR="007F3CAB" w:rsidRPr="00C253F4" w:rsidRDefault="007F3CAB" w:rsidP="00C253F4">
      <w:pPr>
        <w:spacing w:line="360" w:lineRule="auto"/>
        <w:rPr>
          <w:rFonts w:ascii="Arial" w:hAnsi="Arial" w:cs="Arial"/>
          <w:sz w:val="22"/>
          <w:szCs w:val="22"/>
          <w:lang w:val="en-GB"/>
        </w:rPr>
      </w:pPr>
    </w:p>
    <w:p w14:paraId="72A84714" w14:textId="77777777" w:rsidR="00C4732C" w:rsidRPr="00C253F4" w:rsidRDefault="00C4732C" w:rsidP="00C253F4">
      <w:pPr>
        <w:spacing w:line="360" w:lineRule="auto"/>
        <w:rPr>
          <w:rFonts w:ascii="Arial" w:hAnsi="Arial" w:cs="Arial"/>
          <w:sz w:val="22"/>
          <w:szCs w:val="22"/>
        </w:rPr>
      </w:pPr>
    </w:p>
    <w:p w14:paraId="14491C9F" w14:textId="77777777" w:rsidR="009F5643" w:rsidRPr="00C253F4" w:rsidRDefault="009F5643" w:rsidP="00C253F4">
      <w:pPr>
        <w:spacing w:line="360" w:lineRule="auto"/>
        <w:rPr>
          <w:rFonts w:ascii="Arial" w:hAnsi="Arial" w:cs="Arial"/>
          <w:sz w:val="22"/>
          <w:szCs w:val="22"/>
        </w:rPr>
      </w:pPr>
    </w:p>
    <w:sectPr w:rsidR="009F5643" w:rsidRPr="00C253F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88477E" w14:textId="77777777" w:rsidR="000975A7" w:rsidRDefault="000975A7" w:rsidP="00B0182F">
      <w:r>
        <w:separator/>
      </w:r>
    </w:p>
  </w:endnote>
  <w:endnote w:type="continuationSeparator" w:id="0">
    <w:p w14:paraId="48981B83" w14:textId="77777777" w:rsidR="000975A7" w:rsidRDefault="000975A7" w:rsidP="00B018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winkl Light">
    <w:panose1 w:val="02000000000000000000"/>
    <w:charset w:val="4D"/>
    <w:family w:val="auto"/>
    <w:pitch w:val="variable"/>
    <w:sig w:usb0="00000007" w:usb1="00000001" w:usb2="00000000" w:usb3="00000000" w:csb0="00000093"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CB9BBB" w14:textId="77777777" w:rsidR="000975A7" w:rsidRDefault="000975A7" w:rsidP="00B0182F">
      <w:r>
        <w:separator/>
      </w:r>
    </w:p>
  </w:footnote>
  <w:footnote w:type="continuationSeparator" w:id="0">
    <w:p w14:paraId="04321388" w14:textId="77777777" w:rsidR="000975A7" w:rsidRDefault="000975A7" w:rsidP="00B018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B2CAF" w14:textId="76959E6C" w:rsidR="00B0182F" w:rsidRDefault="00B0182F">
    <w:pPr>
      <w:pStyle w:val="Header"/>
    </w:pPr>
    <w:r>
      <w:t>1811199</w:t>
    </w:r>
    <w:r>
      <w:ptab w:relativeTo="margin" w:alignment="center" w:leader="none"/>
    </w:r>
    <w:r>
      <w:t>ECAD7005/C</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AF6A22"/>
    <w:multiLevelType w:val="multilevel"/>
    <w:tmpl w:val="F12CB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DD7EED"/>
    <w:multiLevelType w:val="multilevel"/>
    <w:tmpl w:val="4E84A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E359B3"/>
    <w:multiLevelType w:val="multilevel"/>
    <w:tmpl w:val="DEE46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DB310F"/>
    <w:multiLevelType w:val="multilevel"/>
    <w:tmpl w:val="6CB84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DA3D05"/>
    <w:multiLevelType w:val="multilevel"/>
    <w:tmpl w:val="622A5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B36A9C"/>
    <w:multiLevelType w:val="hybridMultilevel"/>
    <w:tmpl w:val="0AC478D0"/>
    <w:lvl w:ilvl="0" w:tplc="E3A4BBEE">
      <w:numFmt w:val="bullet"/>
      <w:lvlText w:val="-"/>
      <w:lvlJc w:val="left"/>
      <w:pPr>
        <w:ind w:left="720" w:hanging="360"/>
      </w:pPr>
      <w:rPr>
        <w:rFonts w:ascii="Twinkl Light" w:eastAsiaTheme="minorHAnsi" w:hAnsi="Twinkl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F23FD0"/>
    <w:multiLevelType w:val="hybridMultilevel"/>
    <w:tmpl w:val="C57CC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69123053">
    <w:abstractNumId w:val="3"/>
  </w:num>
  <w:num w:numId="2" w16cid:durableId="688533117">
    <w:abstractNumId w:val="2"/>
  </w:num>
  <w:num w:numId="3" w16cid:durableId="460078648">
    <w:abstractNumId w:val="0"/>
  </w:num>
  <w:num w:numId="4" w16cid:durableId="1185750303">
    <w:abstractNumId w:val="5"/>
  </w:num>
  <w:num w:numId="5" w16cid:durableId="1701970605">
    <w:abstractNumId w:val="1"/>
  </w:num>
  <w:num w:numId="6" w16cid:durableId="717364332">
    <w:abstractNumId w:val="4"/>
  </w:num>
  <w:num w:numId="7" w16cid:durableId="908733278">
    <w:abstractNumId w:val="7"/>
  </w:num>
  <w:num w:numId="8" w16cid:durableId="7250353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639"/>
    <w:rsid w:val="0000475C"/>
    <w:rsid w:val="00027829"/>
    <w:rsid w:val="00054246"/>
    <w:rsid w:val="0006779B"/>
    <w:rsid w:val="000975A7"/>
    <w:rsid w:val="000A342F"/>
    <w:rsid w:val="000A7CD0"/>
    <w:rsid w:val="000F07B9"/>
    <w:rsid w:val="00103381"/>
    <w:rsid w:val="0011154D"/>
    <w:rsid w:val="001908BB"/>
    <w:rsid w:val="001B169F"/>
    <w:rsid w:val="00212C83"/>
    <w:rsid w:val="00230954"/>
    <w:rsid w:val="00235B55"/>
    <w:rsid w:val="002679D7"/>
    <w:rsid w:val="0028386D"/>
    <w:rsid w:val="002B075F"/>
    <w:rsid w:val="002F40C4"/>
    <w:rsid w:val="003016F3"/>
    <w:rsid w:val="00327C07"/>
    <w:rsid w:val="00334206"/>
    <w:rsid w:val="00334D1D"/>
    <w:rsid w:val="0034264F"/>
    <w:rsid w:val="003C158F"/>
    <w:rsid w:val="003C5245"/>
    <w:rsid w:val="00410E39"/>
    <w:rsid w:val="00414AB6"/>
    <w:rsid w:val="00437DB5"/>
    <w:rsid w:val="00461058"/>
    <w:rsid w:val="00474C07"/>
    <w:rsid w:val="00490E27"/>
    <w:rsid w:val="0049388D"/>
    <w:rsid w:val="004D103E"/>
    <w:rsid w:val="004F1631"/>
    <w:rsid w:val="00523CCC"/>
    <w:rsid w:val="00542F65"/>
    <w:rsid w:val="005448E9"/>
    <w:rsid w:val="0057211F"/>
    <w:rsid w:val="00590A2F"/>
    <w:rsid w:val="00591F2A"/>
    <w:rsid w:val="005A092F"/>
    <w:rsid w:val="005A5DB3"/>
    <w:rsid w:val="005E33E2"/>
    <w:rsid w:val="005F68FB"/>
    <w:rsid w:val="00605EAB"/>
    <w:rsid w:val="00622078"/>
    <w:rsid w:val="00645575"/>
    <w:rsid w:val="00657A7B"/>
    <w:rsid w:val="0066789E"/>
    <w:rsid w:val="006766DB"/>
    <w:rsid w:val="0069502F"/>
    <w:rsid w:val="006A31DE"/>
    <w:rsid w:val="006B2293"/>
    <w:rsid w:val="006C4639"/>
    <w:rsid w:val="006D52E6"/>
    <w:rsid w:val="006E6681"/>
    <w:rsid w:val="006E68F9"/>
    <w:rsid w:val="00705359"/>
    <w:rsid w:val="007065FD"/>
    <w:rsid w:val="007140D1"/>
    <w:rsid w:val="00731F32"/>
    <w:rsid w:val="00734D2D"/>
    <w:rsid w:val="007A28C0"/>
    <w:rsid w:val="007B3C48"/>
    <w:rsid w:val="007C7D54"/>
    <w:rsid w:val="007D284E"/>
    <w:rsid w:val="007E62B0"/>
    <w:rsid w:val="007E6986"/>
    <w:rsid w:val="007F3CAB"/>
    <w:rsid w:val="00827EA4"/>
    <w:rsid w:val="00854ABA"/>
    <w:rsid w:val="0085628E"/>
    <w:rsid w:val="008732D4"/>
    <w:rsid w:val="008A56DB"/>
    <w:rsid w:val="008B2604"/>
    <w:rsid w:val="008B2ABA"/>
    <w:rsid w:val="008C2453"/>
    <w:rsid w:val="008F629B"/>
    <w:rsid w:val="008F72C5"/>
    <w:rsid w:val="009003FB"/>
    <w:rsid w:val="00900CEC"/>
    <w:rsid w:val="009034AC"/>
    <w:rsid w:val="00924DCD"/>
    <w:rsid w:val="00956A37"/>
    <w:rsid w:val="00997753"/>
    <w:rsid w:val="009A21FB"/>
    <w:rsid w:val="009B31B7"/>
    <w:rsid w:val="009C5C58"/>
    <w:rsid w:val="009C7321"/>
    <w:rsid w:val="009D2396"/>
    <w:rsid w:val="009F5643"/>
    <w:rsid w:val="00A050CF"/>
    <w:rsid w:val="00A22670"/>
    <w:rsid w:val="00A41DD7"/>
    <w:rsid w:val="00A52481"/>
    <w:rsid w:val="00A67369"/>
    <w:rsid w:val="00A77C4B"/>
    <w:rsid w:val="00A953CF"/>
    <w:rsid w:val="00AC0ECE"/>
    <w:rsid w:val="00B0182F"/>
    <w:rsid w:val="00B160B8"/>
    <w:rsid w:val="00B21C2D"/>
    <w:rsid w:val="00B223FC"/>
    <w:rsid w:val="00B234B4"/>
    <w:rsid w:val="00B760AD"/>
    <w:rsid w:val="00B94A84"/>
    <w:rsid w:val="00BD417F"/>
    <w:rsid w:val="00BD7FD0"/>
    <w:rsid w:val="00C0615C"/>
    <w:rsid w:val="00C232DE"/>
    <w:rsid w:val="00C253F4"/>
    <w:rsid w:val="00C31C28"/>
    <w:rsid w:val="00C4732C"/>
    <w:rsid w:val="00C60FE8"/>
    <w:rsid w:val="00C661B2"/>
    <w:rsid w:val="00C83FA4"/>
    <w:rsid w:val="00C92A38"/>
    <w:rsid w:val="00CB093F"/>
    <w:rsid w:val="00CE1B81"/>
    <w:rsid w:val="00D12685"/>
    <w:rsid w:val="00D77DC9"/>
    <w:rsid w:val="00DE7BF2"/>
    <w:rsid w:val="00DF44AA"/>
    <w:rsid w:val="00E21695"/>
    <w:rsid w:val="00E70A9B"/>
    <w:rsid w:val="00E75610"/>
    <w:rsid w:val="00E86260"/>
    <w:rsid w:val="00E929EB"/>
    <w:rsid w:val="00EF3CC2"/>
    <w:rsid w:val="00EF598B"/>
    <w:rsid w:val="00EF5DF9"/>
    <w:rsid w:val="00F2585D"/>
    <w:rsid w:val="00F27476"/>
    <w:rsid w:val="00F57543"/>
    <w:rsid w:val="00F73C53"/>
    <w:rsid w:val="00F773C5"/>
    <w:rsid w:val="00FB0D2D"/>
    <w:rsid w:val="00FF3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71D10"/>
  <w15:chartTrackingRefBased/>
  <w15:docId w15:val="{7FD2ECAF-E47B-3E49-8CBE-DC6468502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0B8"/>
    <w:rPr>
      <w:noProof/>
      <w:lang w:val="cy-GB"/>
    </w:rPr>
  </w:style>
  <w:style w:type="paragraph" w:styleId="Heading1">
    <w:name w:val="heading 1"/>
    <w:basedOn w:val="Normal"/>
    <w:next w:val="Normal"/>
    <w:link w:val="Heading1Char"/>
    <w:uiPriority w:val="9"/>
    <w:qFormat/>
    <w:rsid w:val="006C46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46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46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6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6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6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6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6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6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639"/>
    <w:rPr>
      <w:rFonts w:asciiTheme="majorHAnsi" w:eastAsiaTheme="majorEastAsia" w:hAnsiTheme="majorHAnsi" w:cstheme="majorBidi"/>
      <w:noProof/>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6C4639"/>
    <w:rPr>
      <w:rFonts w:asciiTheme="majorHAnsi" w:eastAsiaTheme="majorEastAsia" w:hAnsiTheme="majorHAnsi" w:cstheme="majorBidi"/>
      <w:noProof/>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6C4639"/>
    <w:rPr>
      <w:rFonts w:eastAsiaTheme="majorEastAsia" w:cstheme="majorBidi"/>
      <w:noProof/>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6C4639"/>
    <w:rPr>
      <w:rFonts w:eastAsiaTheme="majorEastAsia" w:cstheme="majorBidi"/>
      <w:i/>
      <w:iCs/>
      <w:noProof/>
      <w:color w:val="0F4761" w:themeColor="accent1" w:themeShade="BF"/>
      <w:lang w:val="cy-GB"/>
    </w:rPr>
  </w:style>
  <w:style w:type="character" w:customStyle="1" w:styleId="Heading5Char">
    <w:name w:val="Heading 5 Char"/>
    <w:basedOn w:val="DefaultParagraphFont"/>
    <w:link w:val="Heading5"/>
    <w:uiPriority w:val="9"/>
    <w:semiHidden/>
    <w:rsid w:val="006C4639"/>
    <w:rPr>
      <w:rFonts w:eastAsiaTheme="majorEastAsia" w:cstheme="majorBidi"/>
      <w:noProof/>
      <w:color w:val="0F4761" w:themeColor="accent1" w:themeShade="BF"/>
      <w:lang w:val="cy-GB"/>
    </w:rPr>
  </w:style>
  <w:style w:type="character" w:customStyle="1" w:styleId="Heading6Char">
    <w:name w:val="Heading 6 Char"/>
    <w:basedOn w:val="DefaultParagraphFont"/>
    <w:link w:val="Heading6"/>
    <w:uiPriority w:val="9"/>
    <w:semiHidden/>
    <w:rsid w:val="006C4639"/>
    <w:rPr>
      <w:rFonts w:eastAsiaTheme="majorEastAsia" w:cstheme="majorBidi"/>
      <w:i/>
      <w:iCs/>
      <w:noProof/>
      <w:color w:val="595959" w:themeColor="text1" w:themeTint="A6"/>
      <w:lang w:val="cy-GB"/>
    </w:rPr>
  </w:style>
  <w:style w:type="character" w:customStyle="1" w:styleId="Heading7Char">
    <w:name w:val="Heading 7 Char"/>
    <w:basedOn w:val="DefaultParagraphFont"/>
    <w:link w:val="Heading7"/>
    <w:uiPriority w:val="9"/>
    <w:semiHidden/>
    <w:rsid w:val="006C4639"/>
    <w:rPr>
      <w:rFonts w:eastAsiaTheme="majorEastAsia" w:cstheme="majorBidi"/>
      <w:noProof/>
      <w:color w:val="595959" w:themeColor="text1" w:themeTint="A6"/>
      <w:lang w:val="cy-GB"/>
    </w:rPr>
  </w:style>
  <w:style w:type="character" w:customStyle="1" w:styleId="Heading8Char">
    <w:name w:val="Heading 8 Char"/>
    <w:basedOn w:val="DefaultParagraphFont"/>
    <w:link w:val="Heading8"/>
    <w:uiPriority w:val="9"/>
    <w:semiHidden/>
    <w:rsid w:val="006C4639"/>
    <w:rPr>
      <w:rFonts w:eastAsiaTheme="majorEastAsia" w:cstheme="majorBidi"/>
      <w:i/>
      <w:iCs/>
      <w:noProof/>
      <w:color w:val="272727" w:themeColor="text1" w:themeTint="D8"/>
      <w:lang w:val="cy-GB"/>
    </w:rPr>
  </w:style>
  <w:style w:type="character" w:customStyle="1" w:styleId="Heading9Char">
    <w:name w:val="Heading 9 Char"/>
    <w:basedOn w:val="DefaultParagraphFont"/>
    <w:link w:val="Heading9"/>
    <w:uiPriority w:val="9"/>
    <w:semiHidden/>
    <w:rsid w:val="006C4639"/>
    <w:rPr>
      <w:rFonts w:eastAsiaTheme="majorEastAsia" w:cstheme="majorBidi"/>
      <w:noProof/>
      <w:color w:val="272727" w:themeColor="text1" w:themeTint="D8"/>
      <w:lang w:val="cy-GB"/>
    </w:rPr>
  </w:style>
  <w:style w:type="paragraph" w:styleId="Title">
    <w:name w:val="Title"/>
    <w:basedOn w:val="Normal"/>
    <w:next w:val="Normal"/>
    <w:link w:val="TitleChar"/>
    <w:uiPriority w:val="10"/>
    <w:qFormat/>
    <w:rsid w:val="006C46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639"/>
    <w:rPr>
      <w:rFonts w:asciiTheme="majorHAnsi" w:eastAsiaTheme="majorEastAsia" w:hAnsiTheme="majorHAnsi" w:cstheme="majorBidi"/>
      <w:noProof/>
      <w:spacing w:val="-10"/>
      <w:kern w:val="28"/>
      <w:sz w:val="56"/>
      <w:szCs w:val="56"/>
      <w:lang w:val="cy-GB"/>
    </w:rPr>
  </w:style>
  <w:style w:type="paragraph" w:styleId="Subtitle">
    <w:name w:val="Subtitle"/>
    <w:basedOn w:val="Normal"/>
    <w:next w:val="Normal"/>
    <w:link w:val="SubtitleChar"/>
    <w:uiPriority w:val="11"/>
    <w:qFormat/>
    <w:rsid w:val="006C463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639"/>
    <w:rPr>
      <w:rFonts w:eastAsiaTheme="majorEastAsia" w:cstheme="majorBidi"/>
      <w:noProof/>
      <w:color w:val="595959" w:themeColor="text1" w:themeTint="A6"/>
      <w:spacing w:val="15"/>
      <w:sz w:val="28"/>
      <w:szCs w:val="28"/>
      <w:lang w:val="cy-GB"/>
    </w:rPr>
  </w:style>
  <w:style w:type="paragraph" w:styleId="Quote">
    <w:name w:val="Quote"/>
    <w:basedOn w:val="Normal"/>
    <w:next w:val="Normal"/>
    <w:link w:val="QuoteChar"/>
    <w:uiPriority w:val="29"/>
    <w:qFormat/>
    <w:rsid w:val="006C46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4639"/>
    <w:rPr>
      <w:i/>
      <w:iCs/>
      <w:noProof/>
      <w:color w:val="404040" w:themeColor="text1" w:themeTint="BF"/>
      <w:lang w:val="cy-GB"/>
    </w:rPr>
  </w:style>
  <w:style w:type="paragraph" w:styleId="ListParagraph">
    <w:name w:val="List Paragraph"/>
    <w:basedOn w:val="Normal"/>
    <w:uiPriority w:val="34"/>
    <w:qFormat/>
    <w:rsid w:val="006C4639"/>
    <w:pPr>
      <w:ind w:left="720"/>
      <w:contextualSpacing/>
    </w:pPr>
  </w:style>
  <w:style w:type="character" w:styleId="IntenseEmphasis">
    <w:name w:val="Intense Emphasis"/>
    <w:basedOn w:val="DefaultParagraphFont"/>
    <w:uiPriority w:val="21"/>
    <w:qFormat/>
    <w:rsid w:val="006C4639"/>
    <w:rPr>
      <w:i/>
      <w:iCs/>
      <w:color w:val="0F4761" w:themeColor="accent1" w:themeShade="BF"/>
    </w:rPr>
  </w:style>
  <w:style w:type="paragraph" w:styleId="IntenseQuote">
    <w:name w:val="Intense Quote"/>
    <w:basedOn w:val="Normal"/>
    <w:next w:val="Normal"/>
    <w:link w:val="IntenseQuoteChar"/>
    <w:uiPriority w:val="30"/>
    <w:qFormat/>
    <w:rsid w:val="006C46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639"/>
    <w:rPr>
      <w:i/>
      <w:iCs/>
      <w:noProof/>
      <w:color w:val="0F4761" w:themeColor="accent1" w:themeShade="BF"/>
      <w:lang w:val="cy-GB"/>
    </w:rPr>
  </w:style>
  <w:style w:type="character" w:styleId="IntenseReference">
    <w:name w:val="Intense Reference"/>
    <w:basedOn w:val="DefaultParagraphFont"/>
    <w:uiPriority w:val="32"/>
    <w:qFormat/>
    <w:rsid w:val="006C4639"/>
    <w:rPr>
      <w:b/>
      <w:bCs/>
      <w:smallCaps/>
      <w:color w:val="0F4761" w:themeColor="accent1" w:themeShade="BF"/>
      <w:spacing w:val="5"/>
    </w:rPr>
  </w:style>
  <w:style w:type="character" w:styleId="Hyperlink">
    <w:name w:val="Hyperlink"/>
    <w:basedOn w:val="DefaultParagraphFont"/>
    <w:uiPriority w:val="99"/>
    <w:unhideWhenUsed/>
    <w:rsid w:val="00F27476"/>
    <w:rPr>
      <w:color w:val="467886" w:themeColor="hyperlink"/>
      <w:u w:val="single"/>
    </w:rPr>
  </w:style>
  <w:style w:type="character" w:styleId="UnresolvedMention">
    <w:name w:val="Unresolved Mention"/>
    <w:basedOn w:val="DefaultParagraphFont"/>
    <w:uiPriority w:val="99"/>
    <w:semiHidden/>
    <w:unhideWhenUsed/>
    <w:rsid w:val="00F27476"/>
    <w:rPr>
      <w:color w:val="605E5C"/>
      <w:shd w:val="clear" w:color="auto" w:fill="E1DFDD"/>
    </w:rPr>
  </w:style>
  <w:style w:type="character" w:styleId="FollowedHyperlink">
    <w:name w:val="FollowedHyperlink"/>
    <w:basedOn w:val="DefaultParagraphFont"/>
    <w:uiPriority w:val="99"/>
    <w:semiHidden/>
    <w:unhideWhenUsed/>
    <w:rsid w:val="00FB0D2D"/>
    <w:rPr>
      <w:color w:val="96607D" w:themeColor="followedHyperlink"/>
      <w:u w:val="single"/>
    </w:rPr>
  </w:style>
  <w:style w:type="paragraph" w:styleId="Header">
    <w:name w:val="header"/>
    <w:basedOn w:val="Normal"/>
    <w:link w:val="HeaderChar"/>
    <w:uiPriority w:val="99"/>
    <w:unhideWhenUsed/>
    <w:rsid w:val="00B0182F"/>
    <w:pPr>
      <w:tabs>
        <w:tab w:val="center" w:pos="4513"/>
        <w:tab w:val="right" w:pos="9026"/>
      </w:tabs>
    </w:pPr>
  </w:style>
  <w:style w:type="character" w:customStyle="1" w:styleId="HeaderChar">
    <w:name w:val="Header Char"/>
    <w:basedOn w:val="DefaultParagraphFont"/>
    <w:link w:val="Header"/>
    <w:uiPriority w:val="99"/>
    <w:rsid w:val="00B0182F"/>
    <w:rPr>
      <w:noProof/>
      <w:lang w:val="cy-GB"/>
    </w:rPr>
  </w:style>
  <w:style w:type="paragraph" w:styleId="Footer">
    <w:name w:val="footer"/>
    <w:basedOn w:val="Normal"/>
    <w:link w:val="FooterChar"/>
    <w:uiPriority w:val="99"/>
    <w:unhideWhenUsed/>
    <w:rsid w:val="00B0182F"/>
    <w:pPr>
      <w:tabs>
        <w:tab w:val="center" w:pos="4513"/>
        <w:tab w:val="right" w:pos="9026"/>
      </w:tabs>
    </w:pPr>
  </w:style>
  <w:style w:type="character" w:customStyle="1" w:styleId="FooterChar">
    <w:name w:val="Footer Char"/>
    <w:basedOn w:val="DefaultParagraphFont"/>
    <w:link w:val="Footer"/>
    <w:uiPriority w:val="99"/>
    <w:rsid w:val="00B0182F"/>
    <w:rPr>
      <w:noProof/>
      <w:lang w:val="cy-GB"/>
    </w:rPr>
  </w:style>
  <w:style w:type="paragraph" w:styleId="NormalWeb">
    <w:name w:val="Normal (Web)"/>
    <w:basedOn w:val="Normal"/>
    <w:uiPriority w:val="99"/>
    <w:semiHidden/>
    <w:unhideWhenUsed/>
    <w:rsid w:val="007C7D5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625547">
      <w:bodyDiv w:val="1"/>
      <w:marLeft w:val="0"/>
      <w:marRight w:val="0"/>
      <w:marTop w:val="0"/>
      <w:marBottom w:val="0"/>
      <w:divBdr>
        <w:top w:val="none" w:sz="0" w:space="0" w:color="auto"/>
        <w:left w:val="none" w:sz="0" w:space="0" w:color="auto"/>
        <w:bottom w:val="none" w:sz="0" w:space="0" w:color="auto"/>
        <w:right w:val="none" w:sz="0" w:space="0" w:color="auto"/>
      </w:divBdr>
    </w:div>
    <w:div w:id="101995910">
      <w:bodyDiv w:val="1"/>
      <w:marLeft w:val="0"/>
      <w:marRight w:val="0"/>
      <w:marTop w:val="0"/>
      <w:marBottom w:val="0"/>
      <w:divBdr>
        <w:top w:val="none" w:sz="0" w:space="0" w:color="auto"/>
        <w:left w:val="none" w:sz="0" w:space="0" w:color="auto"/>
        <w:bottom w:val="none" w:sz="0" w:space="0" w:color="auto"/>
        <w:right w:val="none" w:sz="0" w:space="0" w:color="auto"/>
      </w:divBdr>
      <w:divsChild>
        <w:div w:id="2367759">
          <w:marLeft w:val="0"/>
          <w:marRight w:val="0"/>
          <w:marTop w:val="0"/>
          <w:marBottom w:val="0"/>
          <w:divBdr>
            <w:top w:val="none" w:sz="0" w:space="0" w:color="auto"/>
            <w:left w:val="none" w:sz="0" w:space="0" w:color="auto"/>
            <w:bottom w:val="none" w:sz="0" w:space="0" w:color="auto"/>
            <w:right w:val="none" w:sz="0" w:space="0" w:color="auto"/>
          </w:divBdr>
          <w:divsChild>
            <w:div w:id="232087619">
              <w:marLeft w:val="0"/>
              <w:marRight w:val="0"/>
              <w:marTop w:val="0"/>
              <w:marBottom w:val="0"/>
              <w:divBdr>
                <w:top w:val="none" w:sz="0" w:space="0" w:color="auto"/>
                <w:left w:val="none" w:sz="0" w:space="0" w:color="auto"/>
                <w:bottom w:val="none" w:sz="0" w:space="0" w:color="auto"/>
                <w:right w:val="none" w:sz="0" w:space="0" w:color="auto"/>
              </w:divBdr>
              <w:divsChild>
                <w:div w:id="185756903">
                  <w:marLeft w:val="0"/>
                  <w:marRight w:val="0"/>
                  <w:marTop w:val="0"/>
                  <w:marBottom w:val="0"/>
                  <w:divBdr>
                    <w:top w:val="none" w:sz="0" w:space="0" w:color="auto"/>
                    <w:left w:val="none" w:sz="0" w:space="0" w:color="auto"/>
                    <w:bottom w:val="none" w:sz="0" w:space="0" w:color="auto"/>
                    <w:right w:val="none" w:sz="0" w:space="0" w:color="auto"/>
                  </w:divBdr>
                  <w:divsChild>
                    <w:div w:id="148917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49045">
          <w:marLeft w:val="0"/>
          <w:marRight w:val="0"/>
          <w:marTop w:val="0"/>
          <w:marBottom w:val="0"/>
          <w:divBdr>
            <w:top w:val="none" w:sz="0" w:space="0" w:color="auto"/>
            <w:left w:val="none" w:sz="0" w:space="0" w:color="auto"/>
            <w:bottom w:val="none" w:sz="0" w:space="0" w:color="auto"/>
            <w:right w:val="none" w:sz="0" w:space="0" w:color="auto"/>
          </w:divBdr>
          <w:divsChild>
            <w:div w:id="2127118671">
              <w:marLeft w:val="0"/>
              <w:marRight w:val="0"/>
              <w:marTop w:val="0"/>
              <w:marBottom w:val="0"/>
              <w:divBdr>
                <w:top w:val="none" w:sz="0" w:space="0" w:color="auto"/>
                <w:left w:val="none" w:sz="0" w:space="0" w:color="auto"/>
                <w:bottom w:val="none" w:sz="0" w:space="0" w:color="auto"/>
                <w:right w:val="none" w:sz="0" w:space="0" w:color="auto"/>
              </w:divBdr>
              <w:divsChild>
                <w:div w:id="234052654">
                  <w:marLeft w:val="0"/>
                  <w:marRight w:val="0"/>
                  <w:marTop w:val="0"/>
                  <w:marBottom w:val="0"/>
                  <w:divBdr>
                    <w:top w:val="none" w:sz="0" w:space="0" w:color="auto"/>
                    <w:left w:val="none" w:sz="0" w:space="0" w:color="auto"/>
                    <w:bottom w:val="none" w:sz="0" w:space="0" w:color="auto"/>
                    <w:right w:val="none" w:sz="0" w:space="0" w:color="auto"/>
                  </w:divBdr>
                  <w:divsChild>
                    <w:div w:id="114238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460689">
      <w:bodyDiv w:val="1"/>
      <w:marLeft w:val="0"/>
      <w:marRight w:val="0"/>
      <w:marTop w:val="0"/>
      <w:marBottom w:val="0"/>
      <w:divBdr>
        <w:top w:val="none" w:sz="0" w:space="0" w:color="auto"/>
        <w:left w:val="none" w:sz="0" w:space="0" w:color="auto"/>
        <w:bottom w:val="none" w:sz="0" w:space="0" w:color="auto"/>
        <w:right w:val="none" w:sz="0" w:space="0" w:color="auto"/>
      </w:divBdr>
    </w:div>
    <w:div w:id="313220718">
      <w:bodyDiv w:val="1"/>
      <w:marLeft w:val="0"/>
      <w:marRight w:val="0"/>
      <w:marTop w:val="0"/>
      <w:marBottom w:val="0"/>
      <w:divBdr>
        <w:top w:val="none" w:sz="0" w:space="0" w:color="auto"/>
        <w:left w:val="none" w:sz="0" w:space="0" w:color="auto"/>
        <w:bottom w:val="none" w:sz="0" w:space="0" w:color="auto"/>
        <w:right w:val="none" w:sz="0" w:space="0" w:color="auto"/>
      </w:divBdr>
    </w:div>
    <w:div w:id="321587156">
      <w:bodyDiv w:val="1"/>
      <w:marLeft w:val="0"/>
      <w:marRight w:val="0"/>
      <w:marTop w:val="0"/>
      <w:marBottom w:val="0"/>
      <w:divBdr>
        <w:top w:val="none" w:sz="0" w:space="0" w:color="auto"/>
        <w:left w:val="none" w:sz="0" w:space="0" w:color="auto"/>
        <w:bottom w:val="none" w:sz="0" w:space="0" w:color="auto"/>
        <w:right w:val="none" w:sz="0" w:space="0" w:color="auto"/>
      </w:divBdr>
    </w:div>
    <w:div w:id="404496512">
      <w:bodyDiv w:val="1"/>
      <w:marLeft w:val="0"/>
      <w:marRight w:val="0"/>
      <w:marTop w:val="0"/>
      <w:marBottom w:val="0"/>
      <w:divBdr>
        <w:top w:val="none" w:sz="0" w:space="0" w:color="auto"/>
        <w:left w:val="none" w:sz="0" w:space="0" w:color="auto"/>
        <w:bottom w:val="none" w:sz="0" w:space="0" w:color="auto"/>
        <w:right w:val="none" w:sz="0" w:space="0" w:color="auto"/>
      </w:divBdr>
    </w:div>
    <w:div w:id="491794444">
      <w:bodyDiv w:val="1"/>
      <w:marLeft w:val="0"/>
      <w:marRight w:val="0"/>
      <w:marTop w:val="0"/>
      <w:marBottom w:val="0"/>
      <w:divBdr>
        <w:top w:val="none" w:sz="0" w:space="0" w:color="auto"/>
        <w:left w:val="none" w:sz="0" w:space="0" w:color="auto"/>
        <w:bottom w:val="none" w:sz="0" w:space="0" w:color="auto"/>
        <w:right w:val="none" w:sz="0" w:space="0" w:color="auto"/>
      </w:divBdr>
    </w:div>
    <w:div w:id="504252413">
      <w:bodyDiv w:val="1"/>
      <w:marLeft w:val="0"/>
      <w:marRight w:val="0"/>
      <w:marTop w:val="0"/>
      <w:marBottom w:val="0"/>
      <w:divBdr>
        <w:top w:val="none" w:sz="0" w:space="0" w:color="auto"/>
        <w:left w:val="none" w:sz="0" w:space="0" w:color="auto"/>
        <w:bottom w:val="none" w:sz="0" w:space="0" w:color="auto"/>
        <w:right w:val="none" w:sz="0" w:space="0" w:color="auto"/>
      </w:divBdr>
    </w:div>
    <w:div w:id="546533390">
      <w:bodyDiv w:val="1"/>
      <w:marLeft w:val="0"/>
      <w:marRight w:val="0"/>
      <w:marTop w:val="0"/>
      <w:marBottom w:val="0"/>
      <w:divBdr>
        <w:top w:val="none" w:sz="0" w:space="0" w:color="auto"/>
        <w:left w:val="none" w:sz="0" w:space="0" w:color="auto"/>
        <w:bottom w:val="none" w:sz="0" w:space="0" w:color="auto"/>
        <w:right w:val="none" w:sz="0" w:space="0" w:color="auto"/>
      </w:divBdr>
    </w:div>
    <w:div w:id="599680712">
      <w:bodyDiv w:val="1"/>
      <w:marLeft w:val="0"/>
      <w:marRight w:val="0"/>
      <w:marTop w:val="0"/>
      <w:marBottom w:val="0"/>
      <w:divBdr>
        <w:top w:val="none" w:sz="0" w:space="0" w:color="auto"/>
        <w:left w:val="none" w:sz="0" w:space="0" w:color="auto"/>
        <w:bottom w:val="none" w:sz="0" w:space="0" w:color="auto"/>
        <w:right w:val="none" w:sz="0" w:space="0" w:color="auto"/>
      </w:divBdr>
    </w:div>
    <w:div w:id="782191636">
      <w:bodyDiv w:val="1"/>
      <w:marLeft w:val="0"/>
      <w:marRight w:val="0"/>
      <w:marTop w:val="0"/>
      <w:marBottom w:val="0"/>
      <w:divBdr>
        <w:top w:val="none" w:sz="0" w:space="0" w:color="auto"/>
        <w:left w:val="none" w:sz="0" w:space="0" w:color="auto"/>
        <w:bottom w:val="none" w:sz="0" w:space="0" w:color="auto"/>
        <w:right w:val="none" w:sz="0" w:space="0" w:color="auto"/>
      </w:divBdr>
    </w:div>
    <w:div w:id="886913220">
      <w:bodyDiv w:val="1"/>
      <w:marLeft w:val="0"/>
      <w:marRight w:val="0"/>
      <w:marTop w:val="0"/>
      <w:marBottom w:val="0"/>
      <w:divBdr>
        <w:top w:val="none" w:sz="0" w:space="0" w:color="auto"/>
        <w:left w:val="none" w:sz="0" w:space="0" w:color="auto"/>
        <w:bottom w:val="none" w:sz="0" w:space="0" w:color="auto"/>
        <w:right w:val="none" w:sz="0" w:space="0" w:color="auto"/>
      </w:divBdr>
    </w:div>
    <w:div w:id="943001092">
      <w:bodyDiv w:val="1"/>
      <w:marLeft w:val="0"/>
      <w:marRight w:val="0"/>
      <w:marTop w:val="0"/>
      <w:marBottom w:val="0"/>
      <w:divBdr>
        <w:top w:val="none" w:sz="0" w:space="0" w:color="auto"/>
        <w:left w:val="none" w:sz="0" w:space="0" w:color="auto"/>
        <w:bottom w:val="none" w:sz="0" w:space="0" w:color="auto"/>
        <w:right w:val="none" w:sz="0" w:space="0" w:color="auto"/>
      </w:divBdr>
    </w:div>
    <w:div w:id="966816350">
      <w:bodyDiv w:val="1"/>
      <w:marLeft w:val="0"/>
      <w:marRight w:val="0"/>
      <w:marTop w:val="0"/>
      <w:marBottom w:val="0"/>
      <w:divBdr>
        <w:top w:val="none" w:sz="0" w:space="0" w:color="auto"/>
        <w:left w:val="none" w:sz="0" w:space="0" w:color="auto"/>
        <w:bottom w:val="none" w:sz="0" w:space="0" w:color="auto"/>
        <w:right w:val="none" w:sz="0" w:space="0" w:color="auto"/>
      </w:divBdr>
      <w:divsChild>
        <w:div w:id="496774666">
          <w:marLeft w:val="0"/>
          <w:marRight w:val="0"/>
          <w:marTop w:val="0"/>
          <w:marBottom w:val="0"/>
          <w:divBdr>
            <w:top w:val="none" w:sz="0" w:space="0" w:color="auto"/>
            <w:left w:val="none" w:sz="0" w:space="0" w:color="auto"/>
            <w:bottom w:val="none" w:sz="0" w:space="0" w:color="auto"/>
            <w:right w:val="none" w:sz="0" w:space="0" w:color="auto"/>
          </w:divBdr>
          <w:divsChild>
            <w:div w:id="663704386">
              <w:marLeft w:val="0"/>
              <w:marRight w:val="0"/>
              <w:marTop w:val="0"/>
              <w:marBottom w:val="0"/>
              <w:divBdr>
                <w:top w:val="none" w:sz="0" w:space="0" w:color="auto"/>
                <w:left w:val="none" w:sz="0" w:space="0" w:color="auto"/>
                <w:bottom w:val="none" w:sz="0" w:space="0" w:color="auto"/>
                <w:right w:val="none" w:sz="0" w:space="0" w:color="auto"/>
              </w:divBdr>
              <w:divsChild>
                <w:div w:id="377976488">
                  <w:marLeft w:val="0"/>
                  <w:marRight w:val="0"/>
                  <w:marTop w:val="0"/>
                  <w:marBottom w:val="0"/>
                  <w:divBdr>
                    <w:top w:val="none" w:sz="0" w:space="0" w:color="auto"/>
                    <w:left w:val="none" w:sz="0" w:space="0" w:color="auto"/>
                    <w:bottom w:val="none" w:sz="0" w:space="0" w:color="auto"/>
                    <w:right w:val="none" w:sz="0" w:space="0" w:color="auto"/>
                  </w:divBdr>
                  <w:divsChild>
                    <w:div w:id="214047096">
                      <w:marLeft w:val="0"/>
                      <w:marRight w:val="0"/>
                      <w:marTop w:val="0"/>
                      <w:marBottom w:val="0"/>
                      <w:divBdr>
                        <w:top w:val="none" w:sz="0" w:space="0" w:color="auto"/>
                        <w:left w:val="none" w:sz="0" w:space="0" w:color="auto"/>
                        <w:bottom w:val="none" w:sz="0" w:space="0" w:color="auto"/>
                        <w:right w:val="none" w:sz="0" w:space="0" w:color="auto"/>
                      </w:divBdr>
                      <w:divsChild>
                        <w:div w:id="1636131967">
                          <w:marLeft w:val="0"/>
                          <w:marRight w:val="0"/>
                          <w:marTop w:val="0"/>
                          <w:marBottom w:val="0"/>
                          <w:divBdr>
                            <w:top w:val="none" w:sz="0" w:space="0" w:color="auto"/>
                            <w:left w:val="none" w:sz="0" w:space="0" w:color="auto"/>
                            <w:bottom w:val="none" w:sz="0" w:space="0" w:color="auto"/>
                            <w:right w:val="none" w:sz="0" w:space="0" w:color="auto"/>
                          </w:divBdr>
                          <w:divsChild>
                            <w:div w:id="151369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6181834">
      <w:bodyDiv w:val="1"/>
      <w:marLeft w:val="0"/>
      <w:marRight w:val="0"/>
      <w:marTop w:val="0"/>
      <w:marBottom w:val="0"/>
      <w:divBdr>
        <w:top w:val="none" w:sz="0" w:space="0" w:color="auto"/>
        <w:left w:val="none" w:sz="0" w:space="0" w:color="auto"/>
        <w:bottom w:val="none" w:sz="0" w:space="0" w:color="auto"/>
        <w:right w:val="none" w:sz="0" w:space="0" w:color="auto"/>
      </w:divBdr>
      <w:divsChild>
        <w:div w:id="1014651775">
          <w:marLeft w:val="0"/>
          <w:marRight w:val="0"/>
          <w:marTop w:val="0"/>
          <w:marBottom w:val="0"/>
          <w:divBdr>
            <w:top w:val="none" w:sz="0" w:space="0" w:color="auto"/>
            <w:left w:val="none" w:sz="0" w:space="0" w:color="auto"/>
            <w:bottom w:val="none" w:sz="0" w:space="0" w:color="auto"/>
            <w:right w:val="none" w:sz="0" w:space="0" w:color="auto"/>
          </w:divBdr>
          <w:divsChild>
            <w:div w:id="2051607898">
              <w:marLeft w:val="0"/>
              <w:marRight w:val="0"/>
              <w:marTop w:val="0"/>
              <w:marBottom w:val="0"/>
              <w:divBdr>
                <w:top w:val="none" w:sz="0" w:space="0" w:color="auto"/>
                <w:left w:val="none" w:sz="0" w:space="0" w:color="auto"/>
                <w:bottom w:val="none" w:sz="0" w:space="0" w:color="auto"/>
                <w:right w:val="none" w:sz="0" w:space="0" w:color="auto"/>
              </w:divBdr>
              <w:divsChild>
                <w:div w:id="1098873170">
                  <w:marLeft w:val="0"/>
                  <w:marRight w:val="0"/>
                  <w:marTop w:val="0"/>
                  <w:marBottom w:val="0"/>
                  <w:divBdr>
                    <w:top w:val="none" w:sz="0" w:space="0" w:color="auto"/>
                    <w:left w:val="none" w:sz="0" w:space="0" w:color="auto"/>
                    <w:bottom w:val="none" w:sz="0" w:space="0" w:color="auto"/>
                    <w:right w:val="none" w:sz="0" w:space="0" w:color="auto"/>
                  </w:divBdr>
                  <w:divsChild>
                    <w:div w:id="196965869">
                      <w:marLeft w:val="0"/>
                      <w:marRight w:val="0"/>
                      <w:marTop w:val="0"/>
                      <w:marBottom w:val="0"/>
                      <w:divBdr>
                        <w:top w:val="none" w:sz="0" w:space="0" w:color="auto"/>
                        <w:left w:val="none" w:sz="0" w:space="0" w:color="auto"/>
                        <w:bottom w:val="none" w:sz="0" w:space="0" w:color="auto"/>
                        <w:right w:val="none" w:sz="0" w:space="0" w:color="auto"/>
                      </w:divBdr>
                      <w:divsChild>
                        <w:div w:id="1433013509">
                          <w:marLeft w:val="0"/>
                          <w:marRight w:val="0"/>
                          <w:marTop w:val="0"/>
                          <w:marBottom w:val="0"/>
                          <w:divBdr>
                            <w:top w:val="none" w:sz="0" w:space="0" w:color="auto"/>
                            <w:left w:val="none" w:sz="0" w:space="0" w:color="auto"/>
                            <w:bottom w:val="none" w:sz="0" w:space="0" w:color="auto"/>
                            <w:right w:val="none" w:sz="0" w:space="0" w:color="auto"/>
                          </w:divBdr>
                          <w:divsChild>
                            <w:div w:id="76304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8380670">
      <w:bodyDiv w:val="1"/>
      <w:marLeft w:val="0"/>
      <w:marRight w:val="0"/>
      <w:marTop w:val="0"/>
      <w:marBottom w:val="0"/>
      <w:divBdr>
        <w:top w:val="none" w:sz="0" w:space="0" w:color="auto"/>
        <w:left w:val="none" w:sz="0" w:space="0" w:color="auto"/>
        <w:bottom w:val="none" w:sz="0" w:space="0" w:color="auto"/>
        <w:right w:val="none" w:sz="0" w:space="0" w:color="auto"/>
      </w:divBdr>
    </w:div>
    <w:div w:id="1095980152">
      <w:bodyDiv w:val="1"/>
      <w:marLeft w:val="0"/>
      <w:marRight w:val="0"/>
      <w:marTop w:val="0"/>
      <w:marBottom w:val="0"/>
      <w:divBdr>
        <w:top w:val="none" w:sz="0" w:space="0" w:color="auto"/>
        <w:left w:val="none" w:sz="0" w:space="0" w:color="auto"/>
        <w:bottom w:val="none" w:sz="0" w:space="0" w:color="auto"/>
        <w:right w:val="none" w:sz="0" w:space="0" w:color="auto"/>
      </w:divBdr>
    </w:div>
    <w:div w:id="1119882961">
      <w:bodyDiv w:val="1"/>
      <w:marLeft w:val="0"/>
      <w:marRight w:val="0"/>
      <w:marTop w:val="0"/>
      <w:marBottom w:val="0"/>
      <w:divBdr>
        <w:top w:val="none" w:sz="0" w:space="0" w:color="auto"/>
        <w:left w:val="none" w:sz="0" w:space="0" w:color="auto"/>
        <w:bottom w:val="none" w:sz="0" w:space="0" w:color="auto"/>
        <w:right w:val="none" w:sz="0" w:space="0" w:color="auto"/>
      </w:divBdr>
      <w:divsChild>
        <w:div w:id="184444223">
          <w:marLeft w:val="0"/>
          <w:marRight w:val="0"/>
          <w:marTop w:val="0"/>
          <w:marBottom w:val="0"/>
          <w:divBdr>
            <w:top w:val="none" w:sz="0" w:space="0" w:color="auto"/>
            <w:left w:val="none" w:sz="0" w:space="0" w:color="auto"/>
            <w:bottom w:val="none" w:sz="0" w:space="0" w:color="auto"/>
            <w:right w:val="none" w:sz="0" w:space="0" w:color="auto"/>
          </w:divBdr>
          <w:divsChild>
            <w:div w:id="1083575861">
              <w:marLeft w:val="0"/>
              <w:marRight w:val="0"/>
              <w:marTop w:val="0"/>
              <w:marBottom w:val="0"/>
              <w:divBdr>
                <w:top w:val="none" w:sz="0" w:space="0" w:color="auto"/>
                <w:left w:val="none" w:sz="0" w:space="0" w:color="auto"/>
                <w:bottom w:val="none" w:sz="0" w:space="0" w:color="auto"/>
                <w:right w:val="none" w:sz="0" w:space="0" w:color="auto"/>
              </w:divBdr>
              <w:divsChild>
                <w:div w:id="1520705183">
                  <w:marLeft w:val="0"/>
                  <w:marRight w:val="0"/>
                  <w:marTop w:val="0"/>
                  <w:marBottom w:val="0"/>
                  <w:divBdr>
                    <w:top w:val="none" w:sz="0" w:space="0" w:color="auto"/>
                    <w:left w:val="none" w:sz="0" w:space="0" w:color="auto"/>
                    <w:bottom w:val="none" w:sz="0" w:space="0" w:color="auto"/>
                    <w:right w:val="none" w:sz="0" w:space="0" w:color="auto"/>
                  </w:divBdr>
                  <w:divsChild>
                    <w:div w:id="886795984">
                      <w:marLeft w:val="0"/>
                      <w:marRight w:val="0"/>
                      <w:marTop w:val="0"/>
                      <w:marBottom w:val="0"/>
                      <w:divBdr>
                        <w:top w:val="none" w:sz="0" w:space="0" w:color="auto"/>
                        <w:left w:val="none" w:sz="0" w:space="0" w:color="auto"/>
                        <w:bottom w:val="none" w:sz="0" w:space="0" w:color="auto"/>
                        <w:right w:val="none" w:sz="0" w:space="0" w:color="auto"/>
                      </w:divBdr>
                      <w:divsChild>
                        <w:div w:id="1057902052">
                          <w:marLeft w:val="0"/>
                          <w:marRight w:val="0"/>
                          <w:marTop w:val="0"/>
                          <w:marBottom w:val="0"/>
                          <w:divBdr>
                            <w:top w:val="none" w:sz="0" w:space="0" w:color="auto"/>
                            <w:left w:val="none" w:sz="0" w:space="0" w:color="auto"/>
                            <w:bottom w:val="none" w:sz="0" w:space="0" w:color="auto"/>
                            <w:right w:val="none" w:sz="0" w:space="0" w:color="auto"/>
                          </w:divBdr>
                          <w:divsChild>
                            <w:div w:id="61632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0710705">
      <w:bodyDiv w:val="1"/>
      <w:marLeft w:val="0"/>
      <w:marRight w:val="0"/>
      <w:marTop w:val="0"/>
      <w:marBottom w:val="0"/>
      <w:divBdr>
        <w:top w:val="none" w:sz="0" w:space="0" w:color="auto"/>
        <w:left w:val="none" w:sz="0" w:space="0" w:color="auto"/>
        <w:bottom w:val="none" w:sz="0" w:space="0" w:color="auto"/>
        <w:right w:val="none" w:sz="0" w:space="0" w:color="auto"/>
      </w:divBdr>
    </w:div>
    <w:div w:id="1244341341">
      <w:bodyDiv w:val="1"/>
      <w:marLeft w:val="0"/>
      <w:marRight w:val="0"/>
      <w:marTop w:val="0"/>
      <w:marBottom w:val="0"/>
      <w:divBdr>
        <w:top w:val="none" w:sz="0" w:space="0" w:color="auto"/>
        <w:left w:val="none" w:sz="0" w:space="0" w:color="auto"/>
        <w:bottom w:val="none" w:sz="0" w:space="0" w:color="auto"/>
        <w:right w:val="none" w:sz="0" w:space="0" w:color="auto"/>
      </w:divBdr>
      <w:divsChild>
        <w:div w:id="460421517">
          <w:marLeft w:val="0"/>
          <w:marRight w:val="0"/>
          <w:marTop w:val="0"/>
          <w:marBottom w:val="0"/>
          <w:divBdr>
            <w:top w:val="none" w:sz="0" w:space="0" w:color="auto"/>
            <w:left w:val="none" w:sz="0" w:space="0" w:color="auto"/>
            <w:bottom w:val="none" w:sz="0" w:space="0" w:color="auto"/>
            <w:right w:val="none" w:sz="0" w:space="0" w:color="auto"/>
          </w:divBdr>
          <w:divsChild>
            <w:div w:id="952595438">
              <w:marLeft w:val="0"/>
              <w:marRight w:val="0"/>
              <w:marTop w:val="0"/>
              <w:marBottom w:val="0"/>
              <w:divBdr>
                <w:top w:val="none" w:sz="0" w:space="0" w:color="auto"/>
                <w:left w:val="none" w:sz="0" w:space="0" w:color="auto"/>
                <w:bottom w:val="none" w:sz="0" w:space="0" w:color="auto"/>
                <w:right w:val="none" w:sz="0" w:space="0" w:color="auto"/>
              </w:divBdr>
              <w:divsChild>
                <w:div w:id="1804150565">
                  <w:marLeft w:val="0"/>
                  <w:marRight w:val="0"/>
                  <w:marTop w:val="0"/>
                  <w:marBottom w:val="0"/>
                  <w:divBdr>
                    <w:top w:val="none" w:sz="0" w:space="0" w:color="auto"/>
                    <w:left w:val="none" w:sz="0" w:space="0" w:color="auto"/>
                    <w:bottom w:val="none" w:sz="0" w:space="0" w:color="auto"/>
                    <w:right w:val="none" w:sz="0" w:space="0" w:color="auto"/>
                  </w:divBdr>
                  <w:divsChild>
                    <w:div w:id="988629984">
                      <w:marLeft w:val="0"/>
                      <w:marRight w:val="0"/>
                      <w:marTop w:val="0"/>
                      <w:marBottom w:val="0"/>
                      <w:divBdr>
                        <w:top w:val="none" w:sz="0" w:space="0" w:color="auto"/>
                        <w:left w:val="none" w:sz="0" w:space="0" w:color="auto"/>
                        <w:bottom w:val="none" w:sz="0" w:space="0" w:color="auto"/>
                        <w:right w:val="none" w:sz="0" w:space="0" w:color="auto"/>
                      </w:divBdr>
                      <w:divsChild>
                        <w:div w:id="692339605">
                          <w:marLeft w:val="0"/>
                          <w:marRight w:val="0"/>
                          <w:marTop w:val="0"/>
                          <w:marBottom w:val="0"/>
                          <w:divBdr>
                            <w:top w:val="none" w:sz="0" w:space="0" w:color="auto"/>
                            <w:left w:val="none" w:sz="0" w:space="0" w:color="auto"/>
                            <w:bottom w:val="none" w:sz="0" w:space="0" w:color="auto"/>
                            <w:right w:val="none" w:sz="0" w:space="0" w:color="auto"/>
                          </w:divBdr>
                          <w:divsChild>
                            <w:div w:id="209801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8176015">
      <w:bodyDiv w:val="1"/>
      <w:marLeft w:val="0"/>
      <w:marRight w:val="0"/>
      <w:marTop w:val="0"/>
      <w:marBottom w:val="0"/>
      <w:divBdr>
        <w:top w:val="none" w:sz="0" w:space="0" w:color="auto"/>
        <w:left w:val="none" w:sz="0" w:space="0" w:color="auto"/>
        <w:bottom w:val="none" w:sz="0" w:space="0" w:color="auto"/>
        <w:right w:val="none" w:sz="0" w:space="0" w:color="auto"/>
      </w:divBdr>
      <w:divsChild>
        <w:div w:id="1290892488">
          <w:marLeft w:val="0"/>
          <w:marRight w:val="0"/>
          <w:marTop w:val="0"/>
          <w:marBottom w:val="0"/>
          <w:divBdr>
            <w:top w:val="none" w:sz="0" w:space="0" w:color="auto"/>
            <w:left w:val="none" w:sz="0" w:space="0" w:color="auto"/>
            <w:bottom w:val="none" w:sz="0" w:space="0" w:color="auto"/>
            <w:right w:val="none" w:sz="0" w:space="0" w:color="auto"/>
          </w:divBdr>
          <w:divsChild>
            <w:div w:id="2039625300">
              <w:marLeft w:val="0"/>
              <w:marRight w:val="0"/>
              <w:marTop w:val="0"/>
              <w:marBottom w:val="0"/>
              <w:divBdr>
                <w:top w:val="none" w:sz="0" w:space="0" w:color="auto"/>
                <w:left w:val="none" w:sz="0" w:space="0" w:color="auto"/>
                <w:bottom w:val="none" w:sz="0" w:space="0" w:color="auto"/>
                <w:right w:val="none" w:sz="0" w:space="0" w:color="auto"/>
              </w:divBdr>
              <w:divsChild>
                <w:div w:id="618267548">
                  <w:marLeft w:val="0"/>
                  <w:marRight w:val="0"/>
                  <w:marTop w:val="0"/>
                  <w:marBottom w:val="0"/>
                  <w:divBdr>
                    <w:top w:val="none" w:sz="0" w:space="0" w:color="auto"/>
                    <w:left w:val="none" w:sz="0" w:space="0" w:color="auto"/>
                    <w:bottom w:val="none" w:sz="0" w:space="0" w:color="auto"/>
                    <w:right w:val="none" w:sz="0" w:space="0" w:color="auto"/>
                  </w:divBdr>
                  <w:divsChild>
                    <w:div w:id="1887259928">
                      <w:marLeft w:val="0"/>
                      <w:marRight w:val="0"/>
                      <w:marTop w:val="0"/>
                      <w:marBottom w:val="0"/>
                      <w:divBdr>
                        <w:top w:val="none" w:sz="0" w:space="0" w:color="auto"/>
                        <w:left w:val="none" w:sz="0" w:space="0" w:color="auto"/>
                        <w:bottom w:val="none" w:sz="0" w:space="0" w:color="auto"/>
                        <w:right w:val="none" w:sz="0" w:space="0" w:color="auto"/>
                      </w:divBdr>
                      <w:divsChild>
                        <w:div w:id="1115750459">
                          <w:marLeft w:val="0"/>
                          <w:marRight w:val="0"/>
                          <w:marTop w:val="0"/>
                          <w:marBottom w:val="0"/>
                          <w:divBdr>
                            <w:top w:val="none" w:sz="0" w:space="0" w:color="auto"/>
                            <w:left w:val="none" w:sz="0" w:space="0" w:color="auto"/>
                            <w:bottom w:val="none" w:sz="0" w:space="0" w:color="auto"/>
                            <w:right w:val="none" w:sz="0" w:space="0" w:color="auto"/>
                          </w:divBdr>
                          <w:divsChild>
                            <w:div w:id="21489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8076321">
      <w:bodyDiv w:val="1"/>
      <w:marLeft w:val="0"/>
      <w:marRight w:val="0"/>
      <w:marTop w:val="0"/>
      <w:marBottom w:val="0"/>
      <w:divBdr>
        <w:top w:val="none" w:sz="0" w:space="0" w:color="auto"/>
        <w:left w:val="none" w:sz="0" w:space="0" w:color="auto"/>
        <w:bottom w:val="none" w:sz="0" w:space="0" w:color="auto"/>
        <w:right w:val="none" w:sz="0" w:space="0" w:color="auto"/>
      </w:divBdr>
    </w:div>
    <w:div w:id="1326594730">
      <w:bodyDiv w:val="1"/>
      <w:marLeft w:val="0"/>
      <w:marRight w:val="0"/>
      <w:marTop w:val="0"/>
      <w:marBottom w:val="0"/>
      <w:divBdr>
        <w:top w:val="none" w:sz="0" w:space="0" w:color="auto"/>
        <w:left w:val="none" w:sz="0" w:space="0" w:color="auto"/>
        <w:bottom w:val="none" w:sz="0" w:space="0" w:color="auto"/>
        <w:right w:val="none" w:sz="0" w:space="0" w:color="auto"/>
      </w:divBdr>
    </w:div>
    <w:div w:id="1441218177">
      <w:bodyDiv w:val="1"/>
      <w:marLeft w:val="0"/>
      <w:marRight w:val="0"/>
      <w:marTop w:val="0"/>
      <w:marBottom w:val="0"/>
      <w:divBdr>
        <w:top w:val="none" w:sz="0" w:space="0" w:color="auto"/>
        <w:left w:val="none" w:sz="0" w:space="0" w:color="auto"/>
        <w:bottom w:val="none" w:sz="0" w:space="0" w:color="auto"/>
        <w:right w:val="none" w:sz="0" w:space="0" w:color="auto"/>
      </w:divBdr>
    </w:div>
    <w:div w:id="1497459529">
      <w:bodyDiv w:val="1"/>
      <w:marLeft w:val="0"/>
      <w:marRight w:val="0"/>
      <w:marTop w:val="0"/>
      <w:marBottom w:val="0"/>
      <w:divBdr>
        <w:top w:val="none" w:sz="0" w:space="0" w:color="auto"/>
        <w:left w:val="none" w:sz="0" w:space="0" w:color="auto"/>
        <w:bottom w:val="none" w:sz="0" w:space="0" w:color="auto"/>
        <w:right w:val="none" w:sz="0" w:space="0" w:color="auto"/>
      </w:divBdr>
    </w:div>
    <w:div w:id="1589578966">
      <w:bodyDiv w:val="1"/>
      <w:marLeft w:val="0"/>
      <w:marRight w:val="0"/>
      <w:marTop w:val="0"/>
      <w:marBottom w:val="0"/>
      <w:divBdr>
        <w:top w:val="none" w:sz="0" w:space="0" w:color="auto"/>
        <w:left w:val="none" w:sz="0" w:space="0" w:color="auto"/>
        <w:bottom w:val="none" w:sz="0" w:space="0" w:color="auto"/>
        <w:right w:val="none" w:sz="0" w:space="0" w:color="auto"/>
      </w:divBdr>
    </w:div>
    <w:div w:id="1623923340">
      <w:bodyDiv w:val="1"/>
      <w:marLeft w:val="0"/>
      <w:marRight w:val="0"/>
      <w:marTop w:val="0"/>
      <w:marBottom w:val="0"/>
      <w:divBdr>
        <w:top w:val="none" w:sz="0" w:space="0" w:color="auto"/>
        <w:left w:val="none" w:sz="0" w:space="0" w:color="auto"/>
        <w:bottom w:val="none" w:sz="0" w:space="0" w:color="auto"/>
        <w:right w:val="none" w:sz="0" w:space="0" w:color="auto"/>
      </w:divBdr>
      <w:divsChild>
        <w:div w:id="1599753005">
          <w:marLeft w:val="0"/>
          <w:marRight w:val="0"/>
          <w:marTop w:val="0"/>
          <w:marBottom w:val="0"/>
          <w:divBdr>
            <w:top w:val="none" w:sz="0" w:space="0" w:color="auto"/>
            <w:left w:val="none" w:sz="0" w:space="0" w:color="auto"/>
            <w:bottom w:val="none" w:sz="0" w:space="0" w:color="auto"/>
            <w:right w:val="none" w:sz="0" w:space="0" w:color="auto"/>
          </w:divBdr>
          <w:divsChild>
            <w:div w:id="1313101455">
              <w:marLeft w:val="0"/>
              <w:marRight w:val="0"/>
              <w:marTop w:val="0"/>
              <w:marBottom w:val="0"/>
              <w:divBdr>
                <w:top w:val="none" w:sz="0" w:space="0" w:color="auto"/>
                <w:left w:val="none" w:sz="0" w:space="0" w:color="auto"/>
                <w:bottom w:val="none" w:sz="0" w:space="0" w:color="auto"/>
                <w:right w:val="none" w:sz="0" w:space="0" w:color="auto"/>
              </w:divBdr>
              <w:divsChild>
                <w:div w:id="144469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238590">
          <w:marLeft w:val="0"/>
          <w:marRight w:val="0"/>
          <w:marTop w:val="0"/>
          <w:marBottom w:val="0"/>
          <w:divBdr>
            <w:top w:val="none" w:sz="0" w:space="0" w:color="auto"/>
            <w:left w:val="none" w:sz="0" w:space="0" w:color="auto"/>
            <w:bottom w:val="none" w:sz="0" w:space="0" w:color="auto"/>
            <w:right w:val="none" w:sz="0" w:space="0" w:color="auto"/>
          </w:divBdr>
          <w:divsChild>
            <w:div w:id="1936014080">
              <w:marLeft w:val="0"/>
              <w:marRight w:val="0"/>
              <w:marTop w:val="0"/>
              <w:marBottom w:val="0"/>
              <w:divBdr>
                <w:top w:val="none" w:sz="0" w:space="0" w:color="auto"/>
                <w:left w:val="none" w:sz="0" w:space="0" w:color="auto"/>
                <w:bottom w:val="none" w:sz="0" w:space="0" w:color="auto"/>
                <w:right w:val="none" w:sz="0" w:space="0" w:color="auto"/>
              </w:divBdr>
              <w:divsChild>
                <w:div w:id="767579385">
                  <w:marLeft w:val="0"/>
                  <w:marRight w:val="0"/>
                  <w:marTop w:val="0"/>
                  <w:marBottom w:val="0"/>
                  <w:divBdr>
                    <w:top w:val="none" w:sz="0" w:space="0" w:color="auto"/>
                    <w:left w:val="none" w:sz="0" w:space="0" w:color="auto"/>
                    <w:bottom w:val="none" w:sz="0" w:space="0" w:color="auto"/>
                    <w:right w:val="none" w:sz="0" w:space="0" w:color="auto"/>
                  </w:divBdr>
                  <w:divsChild>
                    <w:div w:id="37986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22181">
      <w:bodyDiv w:val="1"/>
      <w:marLeft w:val="0"/>
      <w:marRight w:val="0"/>
      <w:marTop w:val="0"/>
      <w:marBottom w:val="0"/>
      <w:divBdr>
        <w:top w:val="none" w:sz="0" w:space="0" w:color="auto"/>
        <w:left w:val="none" w:sz="0" w:space="0" w:color="auto"/>
        <w:bottom w:val="none" w:sz="0" w:space="0" w:color="auto"/>
        <w:right w:val="none" w:sz="0" w:space="0" w:color="auto"/>
      </w:divBdr>
      <w:divsChild>
        <w:div w:id="1664311566">
          <w:marLeft w:val="0"/>
          <w:marRight w:val="0"/>
          <w:marTop w:val="0"/>
          <w:marBottom w:val="0"/>
          <w:divBdr>
            <w:top w:val="none" w:sz="0" w:space="0" w:color="auto"/>
            <w:left w:val="none" w:sz="0" w:space="0" w:color="auto"/>
            <w:bottom w:val="none" w:sz="0" w:space="0" w:color="auto"/>
            <w:right w:val="none" w:sz="0" w:space="0" w:color="auto"/>
          </w:divBdr>
          <w:divsChild>
            <w:div w:id="548304360">
              <w:marLeft w:val="0"/>
              <w:marRight w:val="0"/>
              <w:marTop w:val="0"/>
              <w:marBottom w:val="0"/>
              <w:divBdr>
                <w:top w:val="none" w:sz="0" w:space="0" w:color="auto"/>
                <w:left w:val="none" w:sz="0" w:space="0" w:color="auto"/>
                <w:bottom w:val="none" w:sz="0" w:space="0" w:color="auto"/>
                <w:right w:val="none" w:sz="0" w:space="0" w:color="auto"/>
              </w:divBdr>
              <w:divsChild>
                <w:div w:id="113718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3706">
          <w:marLeft w:val="0"/>
          <w:marRight w:val="0"/>
          <w:marTop w:val="0"/>
          <w:marBottom w:val="0"/>
          <w:divBdr>
            <w:top w:val="none" w:sz="0" w:space="0" w:color="auto"/>
            <w:left w:val="none" w:sz="0" w:space="0" w:color="auto"/>
            <w:bottom w:val="none" w:sz="0" w:space="0" w:color="auto"/>
            <w:right w:val="none" w:sz="0" w:space="0" w:color="auto"/>
          </w:divBdr>
          <w:divsChild>
            <w:div w:id="1486698827">
              <w:marLeft w:val="0"/>
              <w:marRight w:val="0"/>
              <w:marTop w:val="0"/>
              <w:marBottom w:val="0"/>
              <w:divBdr>
                <w:top w:val="none" w:sz="0" w:space="0" w:color="auto"/>
                <w:left w:val="none" w:sz="0" w:space="0" w:color="auto"/>
                <w:bottom w:val="none" w:sz="0" w:space="0" w:color="auto"/>
                <w:right w:val="none" w:sz="0" w:space="0" w:color="auto"/>
              </w:divBdr>
              <w:divsChild>
                <w:div w:id="1159493970">
                  <w:marLeft w:val="0"/>
                  <w:marRight w:val="0"/>
                  <w:marTop w:val="0"/>
                  <w:marBottom w:val="0"/>
                  <w:divBdr>
                    <w:top w:val="none" w:sz="0" w:space="0" w:color="auto"/>
                    <w:left w:val="none" w:sz="0" w:space="0" w:color="auto"/>
                    <w:bottom w:val="none" w:sz="0" w:space="0" w:color="auto"/>
                    <w:right w:val="none" w:sz="0" w:space="0" w:color="auto"/>
                  </w:divBdr>
                  <w:divsChild>
                    <w:div w:id="202435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116698">
      <w:bodyDiv w:val="1"/>
      <w:marLeft w:val="0"/>
      <w:marRight w:val="0"/>
      <w:marTop w:val="0"/>
      <w:marBottom w:val="0"/>
      <w:divBdr>
        <w:top w:val="none" w:sz="0" w:space="0" w:color="auto"/>
        <w:left w:val="none" w:sz="0" w:space="0" w:color="auto"/>
        <w:bottom w:val="none" w:sz="0" w:space="0" w:color="auto"/>
        <w:right w:val="none" w:sz="0" w:space="0" w:color="auto"/>
      </w:divBdr>
    </w:div>
    <w:div w:id="1911035282">
      <w:bodyDiv w:val="1"/>
      <w:marLeft w:val="0"/>
      <w:marRight w:val="0"/>
      <w:marTop w:val="0"/>
      <w:marBottom w:val="0"/>
      <w:divBdr>
        <w:top w:val="none" w:sz="0" w:space="0" w:color="auto"/>
        <w:left w:val="none" w:sz="0" w:space="0" w:color="auto"/>
        <w:bottom w:val="none" w:sz="0" w:space="0" w:color="auto"/>
        <w:right w:val="none" w:sz="0" w:space="0" w:color="auto"/>
      </w:divBdr>
    </w:div>
    <w:div w:id="2000618730">
      <w:bodyDiv w:val="1"/>
      <w:marLeft w:val="0"/>
      <w:marRight w:val="0"/>
      <w:marTop w:val="0"/>
      <w:marBottom w:val="0"/>
      <w:divBdr>
        <w:top w:val="none" w:sz="0" w:space="0" w:color="auto"/>
        <w:left w:val="none" w:sz="0" w:space="0" w:color="auto"/>
        <w:bottom w:val="none" w:sz="0" w:space="0" w:color="auto"/>
        <w:right w:val="none" w:sz="0" w:space="0" w:color="auto"/>
      </w:divBdr>
      <w:divsChild>
        <w:div w:id="1142692962">
          <w:marLeft w:val="0"/>
          <w:marRight w:val="0"/>
          <w:marTop w:val="0"/>
          <w:marBottom w:val="0"/>
          <w:divBdr>
            <w:top w:val="none" w:sz="0" w:space="0" w:color="auto"/>
            <w:left w:val="none" w:sz="0" w:space="0" w:color="auto"/>
            <w:bottom w:val="none" w:sz="0" w:space="0" w:color="auto"/>
            <w:right w:val="none" w:sz="0" w:space="0" w:color="auto"/>
          </w:divBdr>
          <w:divsChild>
            <w:div w:id="204561913">
              <w:marLeft w:val="0"/>
              <w:marRight w:val="0"/>
              <w:marTop w:val="0"/>
              <w:marBottom w:val="0"/>
              <w:divBdr>
                <w:top w:val="none" w:sz="0" w:space="0" w:color="auto"/>
                <w:left w:val="none" w:sz="0" w:space="0" w:color="auto"/>
                <w:bottom w:val="none" w:sz="0" w:space="0" w:color="auto"/>
                <w:right w:val="none" w:sz="0" w:space="0" w:color="auto"/>
              </w:divBdr>
              <w:divsChild>
                <w:div w:id="2084987100">
                  <w:marLeft w:val="0"/>
                  <w:marRight w:val="0"/>
                  <w:marTop w:val="0"/>
                  <w:marBottom w:val="0"/>
                  <w:divBdr>
                    <w:top w:val="none" w:sz="0" w:space="0" w:color="auto"/>
                    <w:left w:val="none" w:sz="0" w:space="0" w:color="auto"/>
                    <w:bottom w:val="none" w:sz="0" w:space="0" w:color="auto"/>
                    <w:right w:val="none" w:sz="0" w:space="0" w:color="auto"/>
                  </w:divBdr>
                  <w:divsChild>
                    <w:div w:id="14404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029167">
          <w:marLeft w:val="0"/>
          <w:marRight w:val="0"/>
          <w:marTop w:val="0"/>
          <w:marBottom w:val="0"/>
          <w:divBdr>
            <w:top w:val="none" w:sz="0" w:space="0" w:color="auto"/>
            <w:left w:val="none" w:sz="0" w:space="0" w:color="auto"/>
            <w:bottom w:val="none" w:sz="0" w:space="0" w:color="auto"/>
            <w:right w:val="none" w:sz="0" w:space="0" w:color="auto"/>
          </w:divBdr>
          <w:divsChild>
            <w:div w:id="122700958">
              <w:marLeft w:val="0"/>
              <w:marRight w:val="0"/>
              <w:marTop w:val="0"/>
              <w:marBottom w:val="0"/>
              <w:divBdr>
                <w:top w:val="none" w:sz="0" w:space="0" w:color="auto"/>
                <w:left w:val="none" w:sz="0" w:space="0" w:color="auto"/>
                <w:bottom w:val="none" w:sz="0" w:space="0" w:color="auto"/>
                <w:right w:val="none" w:sz="0" w:space="0" w:color="auto"/>
              </w:divBdr>
              <w:divsChild>
                <w:div w:id="7761467">
                  <w:marLeft w:val="0"/>
                  <w:marRight w:val="0"/>
                  <w:marTop w:val="0"/>
                  <w:marBottom w:val="0"/>
                  <w:divBdr>
                    <w:top w:val="none" w:sz="0" w:space="0" w:color="auto"/>
                    <w:left w:val="none" w:sz="0" w:space="0" w:color="auto"/>
                    <w:bottom w:val="none" w:sz="0" w:space="0" w:color="auto"/>
                    <w:right w:val="none" w:sz="0" w:space="0" w:color="auto"/>
                  </w:divBdr>
                  <w:divsChild>
                    <w:div w:id="136244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850959">
      <w:bodyDiv w:val="1"/>
      <w:marLeft w:val="0"/>
      <w:marRight w:val="0"/>
      <w:marTop w:val="0"/>
      <w:marBottom w:val="0"/>
      <w:divBdr>
        <w:top w:val="none" w:sz="0" w:space="0" w:color="auto"/>
        <w:left w:val="none" w:sz="0" w:space="0" w:color="auto"/>
        <w:bottom w:val="none" w:sz="0" w:space="0" w:color="auto"/>
        <w:right w:val="none" w:sz="0" w:space="0" w:color="auto"/>
      </w:divBdr>
      <w:divsChild>
        <w:div w:id="1608149419">
          <w:marLeft w:val="0"/>
          <w:marRight w:val="0"/>
          <w:marTop w:val="0"/>
          <w:marBottom w:val="0"/>
          <w:divBdr>
            <w:top w:val="none" w:sz="0" w:space="0" w:color="auto"/>
            <w:left w:val="none" w:sz="0" w:space="0" w:color="auto"/>
            <w:bottom w:val="none" w:sz="0" w:space="0" w:color="auto"/>
            <w:right w:val="none" w:sz="0" w:space="0" w:color="auto"/>
          </w:divBdr>
          <w:divsChild>
            <w:div w:id="731929886">
              <w:marLeft w:val="0"/>
              <w:marRight w:val="0"/>
              <w:marTop w:val="0"/>
              <w:marBottom w:val="0"/>
              <w:divBdr>
                <w:top w:val="none" w:sz="0" w:space="0" w:color="auto"/>
                <w:left w:val="none" w:sz="0" w:space="0" w:color="auto"/>
                <w:bottom w:val="none" w:sz="0" w:space="0" w:color="auto"/>
                <w:right w:val="none" w:sz="0" w:space="0" w:color="auto"/>
              </w:divBdr>
              <w:divsChild>
                <w:div w:id="1910993178">
                  <w:marLeft w:val="0"/>
                  <w:marRight w:val="0"/>
                  <w:marTop w:val="0"/>
                  <w:marBottom w:val="0"/>
                  <w:divBdr>
                    <w:top w:val="none" w:sz="0" w:space="0" w:color="auto"/>
                    <w:left w:val="none" w:sz="0" w:space="0" w:color="auto"/>
                    <w:bottom w:val="none" w:sz="0" w:space="0" w:color="auto"/>
                    <w:right w:val="none" w:sz="0" w:space="0" w:color="auto"/>
                  </w:divBdr>
                  <w:divsChild>
                    <w:div w:id="769282580">
                      <w:marLeft w:val="0"/>
                      <w:marRight w:val="0"/>
                      <w:marTop w:val="0"/>
                      <w:marBottom w:val="0"/>
                      <w:divBdr>
                        <w:top w:val="none" w:sz="0" w:space="0" w:color="auto"/>
                        <w:left w:val="none" w:sz="0" w:space="0" w:color="auto"/>
                        <w:bottom w:val="none" w:sz="0" w:space="0" w:color="auto"/>
                        <w:right w:val="none" w:sz="0" w:space="0" w:color="auto"/>
                      </w:divBdr>
                      <w:divsChild>
                        <w:div w:id="1013873253">
                          <w:marLeft w:val="0"/>
                          <w:marRight w:val="0"/>
                          <w:marTop w:val="0"/>
                          <w:marBottom w:val="0"/>
                          <w:divBdr>
                            <w:top w:val="none" w:sz="0" w:space="0" w:color="auto"/>
                            <w:left w:val="none" w:sz="0" w:space="0" w:color="auto"/>
                            <w:bottom w:val="none" w:sz="0" w:space="0" w:color="auto"/>
                            <w:right w:val="none" w:sz="0" w:space="0" w:color="auto"/>
                          </w:divBdr>
                          <w:divsChild>
                            <w:div w:id="13286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ssociationforpsychologyteachers.com/uploads/4/5/6/6/4566919/independence_learning_lit_review.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wricwlwm-i-gymru/cynllunio-eich-cwricwlwm/galluogi-dysgu/"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lyw.cymru/sites/default/files/publications/2021-11/cwricwlwm-i-gymru-y-cod-cynnydd.pdf" TargetMode="External"/><Relationship Id="rId4" Type="http://schemas.openxmlformats.org/officeDocument/2006/relationships/settings" Target="settings.xml"/><Relationship Id="rId9" Type="http://schemas.openxmlformats.org/officeDocument/2006/relationships/hyperlink" Target="https://hwb.gov.wales/cwricwlwm-i-gymr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14F82A-C16B-6E48-8533-ED3310D09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680</TotalTime>
  <Pages>8</Pages>
  <Words>2908</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Thomas-Workman (1811199)</dc:creator>
  <cp:keywords/>
  <dc:description/>
  <cp:lastModifiedBy>Sioned Thomas-Workman (1811199)</cp:lastModifiedBy>
  <cp:revision>37</cp:revision>
  <dcterms:created xsi:type="dcterms:W3CDTF">2025-01-29T14:56:00Z</dcterms:created>
  <dcterms:modified xsi:type="dcterms:W3CDTF">2025-02-09T18:45:00Z</dcterms:modified>
</cp:coreProperties>
</file>