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350C7" w14:textId="2DCEC11F" w:rsidR="00A352BC" w:rsidRDefault="004365FC" w:rsidP="004365FC">
      <w:pPr>
        <w:pStyle w:val="NoSpacing"/>
        <w:rPr>
          <w:rFonts w:ascii="Arial" w:hAnsi="Arial" w:cs="Arial"/>
        </w:rPr>
      </w:pPr>
      <w:r w:rsidRPr="004365FC">
        <w:rPr>
          <w:rFonts w:ascii="Arial" w:hAnsi="Arial"/>
        </w:rPr>
        <w:t>Student name: Nadia Muriel Grobry</w:t>
      </w:r>
      <w:r w:rsidR="008D186E" w:rsidRPr="004365FC">
        <w:rPr>
          <w:rFonts w:ascii="Arial" w:hAnsi="Arial" w:cs="Arial"/>
        </w:rPr>
        <w:cr/>
        <w:t>Student number: 2244710</w:t>
      </w:r>
      <w:r w:rsidR="008D186E" w:rsidRPr="004365FC">
        <w:rPr>
          <w:rFonts w:ascii="Arial" w:hAnsi="Arial" w:cs="Arial"/>
        </w:rPr>
        <w:cr/>
      </w:r>
      <w:proofErr w:type="spellStart"/>
      <w:r w:rsidR="008D186E" w:rsidRPr="004365FC">
        <w:rPr>
          <w:rFonts w:ascii="Arial" w:hAnsi="Arial" w:cs="Arial"/>
        </w:rPr>
        <w:t>Programmme</w:t>
      </w:r>
      <w:proofErr w:type="spellEnd"/>
      <w:r w:rsidR="008D186E" w:rsidRPr="004365FC">
        <w:rPr>
          <w:rFonts w:ascii="Arial" w:hAnsi="Arial" w:cs="Arial"/>
        </w:rPr>
        <w:t>: BSc (Hons) Health and Social Care</w:t>
      </w:r>
      <w:r w:rsidR="008D186E" w:rsidRPr="004365FC">
        <w:rPr>
          <w:rFonts w:ascii="Arial" w:hAnsi="Arial" w:cs="Arial"/>
        </w:rPr>
        <w:cr/>
        <w:t>Module: Psychological Classifications and Provisions</w:t>
      </w:r>
      <w:r w:rsidR="008D186E" w:rsidRPr="004365FC">
        <w:rPr>
          <w:rFonts w:ascii="Arial" w:hAnsi="Arial" w:cs="Arial"/>
        </w:rPr>
        <w:cr/>
        <w:t>Module code: BMHP6029</w:t>
      </w:r>
      <w:r w:rsidR="008D186E" w:rsidRPr="004365FC">
        <w:rPr>
          <w:rFonts w:ascii="Arial" w:hAnsi="Arial" w:cs="Arial"/>
        </w:rPr>
        <w:cr/>
        <w:t>Lecturer: Neale Haddon</w:t>
      </w:r>
      <w:r w:rsidR="008D186E" w:rsidRPr="004365FC">
        <w:rPr>
          <w:rFonts w:ascii="Arial" w:hAnsi="Arial" w:cs="Arial"/>
        </w:rPr>
        <w:cr/>
        <w:t>Assignment Title: Component 2: Written Assignment (Report) Draft</w:t>
      </w:r>
      <w:r w:rsidR="008D186E" w:rsidRPr="004365FC">
        <w:rPr>
          <w:rFonts w:ascii="Arial" w:hAnsi="Arial" w:cs="Arial"/>
        </w:rPr>
        <w:cr/>
      </w:r>
      <w:r w:rsidR="008D186E" w:rsidRPr="004365FC">
        <w:rPr>
          <w:rFonts w:ascii="Arial" w:hAnsi="Arial" w:cs="Arial"/>
        </w:rPr>
        <w:cr/>
      </w:r>
    </w:p>
    <w:p w14:paraId="57496437" w14:textId="77777777" w:rsidR="004365FC" w:rsidRDefault="004365FC" w:rsidP="004365FC">
      <w:pPr>
        <w:pStyle w:val="NoSpacing"/>
        <w:rPr>
          <w:rFonts w:ascii="Arial" w:hAnsi="Arial" w:cs="Arial"/>
        </w:rPr>
      </w:pPr>
    </w:p>
    <w:p w14:paraId="69428B79" w14:textId="77777777" w:rsidR="004365FC" w:rsidRDefault="004365FC" w:rsidP="004365FC">
      <w:pPr>
        <w:pStyle w:val="NoSpacing"/>
        <w:rPr>
          <w:rFonts w:ascii="Arial" w:hAnsi="Arial" w:cs="Arial"/>
        </w:rPr>
      </w:pPr>
    </w:p>
    <w:p w14:paraId="0C66D4F0" w14:textId="77777777" w:rsidR="004365FC" w:rsidRDefault="004365FC" w:rsidP="004365FC">
      <w:pPr>
        <w:pStyle w:val="NoSpacing"/>
        <w:rPr>
          <w:rFonts w:ascii="Arial" w:hAnsi="Arial" w:cs="Arial"/>
        </w:rPr>
      </w:pPr>
    </w:p>
    <w:p w14:paraId="069B9517" w14:textId="77777777" w:rsidR="004365FC" w:rsidRDefault="004365FC" w:rsidP="004365FC">
      <w:pPr>
        <w:pStyle w:val="NoSpacing"/>
        <w:rPr>
          <w:rFonts w:ascii="Arial" w:hAnsi="Arial" w:cs="Arial"/>
        </w:rPr>
      </w:pPr>
    </w:p>
    <w:p w14:paraId="0F82D61A" w14:textId="77777777" w:rsidR="004365FC" w:rsidRDefault="004365FC" w:rsidP="004365FC">
      <w:pPr>
        <w:pStyle w:val="NoSpacing"/>
        <w:rPr>
          <w:rFonts w:ascii="Arial" w:hAnsi="Arial" w:cs="Arial"/>
        </w:rPr>
      </w:pPr>
    </w:p>
    <w:p w14:paraId="59DDC69B" w14:textId="77777777" w:rsidR="004365FC" w:rsidRDefault="004365FC" w:rsidP="004365FC">
      <w:pPr>
        <w:pStyle w:val="NoSpacing"/>
        <w:rPr>
          <w:rFonts w:ascii="Arial" w:hAnsi="Arial" w:cs="Arial"/>
        </w:rPr>
      </w:pPr>
    </w:p>
    <w:p w14:paraId="5AD54B0A" w14:textId="77777777" w:rsidR="004365FC" w:rsidRDefault="004365FC" w:rsidP="004365FC">
      <w:pPr>
        <w:pStyle w:val="NoSpacing"/>
        <w:rPr>
          <w:rFonts w:ascii="Arial" w:hAnsi="Arial" w:cs="Arial"/>
        </w:rPr>
      </w:pPr>
    </w:p>
    <w:p w14:paraId="4FEC256C" w14:textId="77777777" w:rsidR="004365FC" w:rsidRDefault="004365FC" w:rsidP="004365FC">
      <w:pPr>
        <w:pStyle w:val="NoSpacing"/>
        <w:rPr>
          <w:rFonts w:ascii="Arial" w:hAnsi="Arial" w:cs="Arial"/>
        </w:rPr>
      </w:pPr>
    </w:p>
    <w:p w14:paraId="75B4C7B1" w14:textId="77777777" w:rsidR="004365FC" w:rsidRDefault="004365FC" w:rsidP="004365FC">
      <w:pPr>
        <w:pStyle w:val="NoSpacing"/>
        <w:rPr>
          <w:rFonts w:ascii="Arial" w:hAnsi="Arial" w:cs="Arial"/>
        </w:rPr>
      </w:pPr>
    </w:p>
    <w:p w14:paraId="3288849C" w14:textId="77777777" w:rsidR="004365FC" w:rsidRDefault="004365FC" w:rsidP="004365FC">
      <w:pPr>
        <w:pStyle w:val="NoSpacing"/>
        <w:rPr>
          <w:rFonts w:ascii="Arial" w:hAnsi="Arial" w:cs="Arial"/>
        </w:rPr>
      </w:pPr>
    </w:p>
    <w:p w14:paraId="48DCDC88" w14:textId="77777777" w:rsidR="004365FC" w:rsidRDefault="004365FC" w:rsidP="004365FC">
      <w:pPr>
        <w:pStyle w:val="NoSpacing"/>
        <w:rPr>
          <w:rFonts w:ascii="Arial" w:hAnsi="Arial" w:cs="Arial"/>
        </w:rPr>
      </w:pPr>
    </w:p>
    <w:p w14:paraId="4CB6CDF2" w14:textId="77777777" w:rsidR="004365FC" w:rsidRDefault="004365FC" w:rsidP="004365FC">
      <w:pPr>
        <w:pStyle w:val="NoSpacing"/>
        <w:rPr>
          <w:rFonts w:ascii="Arial" w:hAnsi="Arial" w:cs="Arial"/>
        </w:rPr>
      </w:pPr>
    </w:p>
    <w:p w14:paraId="6BF84738" w14:textId="77777777" w:rsidR="004365FC" w:rsidRDefault="004365FC" w:rsidP="004365FC">
      <w:pPr>
        <w:pStyle w:val="NoSpacing"/>
        <w:rPr>
          <w:rFonts w:ascii="Arial" w:hAnsi="Arial" w:cs="Arial"/>
        </w:rPr>
      </w:pPr>
    </w:p>
    <w:p w14:paraId="2992C59C" w14:textId="77777777" w:rsidR="004365FC" w:rsidRDefault="004365FC" w:rsidP="004365FC">
      <w:pPr>
        <w:pStyle w:val="NoSpacing"/>
        <w:rPr>
          <w:rFonts w:ascii="Arial" w:hAnsi="Arial" w:cs="Arial"/>
        </w:rPr>
      </w:pPr>
    </w:p>
    <w:p w14:paraId="52C9CFCE" w14:textId="77777777" w:rsidR="004365FC" w:rsidRDefault="004365FC" w:rsidP="004365FC">
      <w:pPr>
        <w:pStyle w:val="NoSpacing"/>
        <w:rPr>
          <w:rFonts w:ascii="Arial" w:hAnsi="Arial" w:cs="Arial"/>
        </w:rPr>
      </w:pPr>
    </w:p>
    <w:p w14:paraId="665460E1" w14:textId="77777777" w:rsidR="004365FC" w:rsidRDefault="004365FC" w:rsidP="004365FC">
      <w:pPr>
        <w:pStyle w:val="NoSpacing"/>
        <w:rPr>
          <w:rFonts w:ascii="Arial" w:hAnsi="Arial" w:cs="Arial"/>
        </w:rPr>
      </w:pPr>
    </w:p>
    <w:p w14:paraId="2C30D8B5" w14:textId="77777777" w:rsidR="004365FC" w:rsidRDefault="004365FC" w:rsidP="004365FC">
      <w:pPr>
        <w:pStyle w:val="NoSpacing"/>
        <w:rPr>
          <w:rFonts w:ascii="Arial" w:hAnsi="Arial" w:cs="Arial"/>
        </w:rPr>
      </w:pPr>
    </w:p>
    <w:p w14:paraId="518D6499" w14:textId="77777777" w:rsidR="004365FC" w:rsidRDefault="004365FC" w:rsidP="004365FC">
      <w:pPr>
        <w:pStyle w:val="NoSpacing"/>
        <w:rPr>
          <w:rFonts w:ascii="Arial" w:hAnsi="Arial" w:cs="Arial"/>
        </w:rPr>
      </w:pPr>
    </w:p>
    <w:p w14:paraId="4CFF5599" w14:textId="77777777" w:rsidR="004365FC" w:rsidRDefault="004365FC" w:rsidP="004365FC">
      <w:pPr>
        <w:pStyle w:val="NoSpacing"/>
        <w:rPr>
          <w:rFonts w:ascii="Arial" w:hAnsi="Arial" w:cs="Arial"/>
        </w:rPr>
      </w:pPr>
    </w:p>
    <w:p w14:paraId="263D5BCA" w14:textId="77777777" w:rsidR="004365FC" w:rsidRDefault="004365FC" w:rsidP="004365FC">
      <w:pPr>
        <w:pStyle w:val="NoSpacing"/>
        <w:rPr>
          <w:rFonts w:ascii="Arial" w:hAnsi="Arial" w:cs="Arial"/>
        </w:rPr>
      </w:pPr>
    </w:p>
    <w:p w14:paraId="15D2281C" w14:textId="77777777" w:rsidR="004365FC" w:rsidRDefault="004365FC" w:rsidP="004365FC">
      <w:pPr>
        <w:pStyle w:val="NoSpacing"/>
        <w:rPr>
          <w:rFonts w:ascii="Arial" w:hAnsi="Arial" w:cs="Arial"/>
        </w:rPr>
      </w:pPr>
    </w:p>
    <w:p w14:paraId="140408A7" w14:textId="77777777" w:rsidR="004365FC" w:rsidRDefault="004365FC" w:rsidP="004365FC">
      <w:pPr>
        <w:pStyle w:val="NoSpacing"/>
        <w:rPr>
          <w:rFonts w:ascii="Arial" w:hAnsi="Arial" w:cs="Arial"/>
        </w:rPr>
      </w:pPr>
    </w:p>
    <w:p w14:paraId="3AC5B37E" w14:textId="77777777" w:rsidR="004365FC" w:rsidRDefault="004365FC" w:rsidP="004365FC">
      <w:pPr>
        <w:pStyle w:val="NoSpacing"/>
        <w:rPr>
          <w:rFonts w:ascii="Arial" w:hAnsi="Arial" w:cs="Arial"/>
        </w:rPr>
      </w:pPr>
    </w:p>
    <w:p w14:paraId="52B6D3BE" w14:textId="77777777" w:rsidR="004365FC" w:rsidRDefault="004365FC" w:rsidP="004365FC">
      <w:pPr>
        <w:pStyle w:val="NoSpacing"/>
        <w:rPr>
          <w:rFonts w:ascii="Arial" w:hAnsi="Arial" w:cs="Arial"/>
        </w:rPr>
      </w:pPr>
    </w:p>
    <w:p w14:paraId="72CF2F0B" w14:textId="77777777" w:rsidR="004365FC" w:rsidRDefault="004365FC" w:rsidP="004365FC">
      <w:pPr>
        <w:pStyle w:val="NoSpacing"/>
        <w:rPr>
          <w:rFonts w:ascii="Arial" w:hAnsi="Arial" w:cs="Arial"/>
        </w:rPr>
      </w:pPr>
    </w:p>
    <w:p w14:paraId="43C6552D" w14:textId="77777777" w:rsidR="004365FC" w:rsidRDefault="004365FC" w:rsidP="004365FC">
      <w:pPr>
        <w:pStyle w:val="NoSpacing"/>
        <w:rPr>
          <w:rFonts w:ascii="Arial" w:hAnsi="Arial" w:cs="Arial"/>
        </w:rPr>
      </w:pPr>
    </w:p>
    <w:p w14:paraId="681699CA" w14:textId="77777777" w:rsidR="004365FC" w:rsidRDefault="004365FC" w:rsidP="004365FC">
      <w:pPr>
        <w:pStyle w:val="NoSpacing"/>
        <w:rPr>
          <w:rFonts w:ascii="Arial" w:hAnsi="Arial" w:cs="Arial"/>
        </w:rPr>
      </w:pPr>
    </w:p>
    <w:p w14:paraId="724306E6" w14:textId="77777777" w:rsidR="004365FC" w:rsidRDefault="004365FC" w:rsidP="004365FC">
      <w:pPr>
        <w:pStyle w:val="NoSpacing"/>
        <w:rPr>
          <w:rFonts w:ascii="Arial" w:hAnsi="Arial" w:cs="Arial"/>
        </w:rPr>
      </w:pPr>
    </w:p>
    <w:p w14:paraId="322000CF" w14:textId="77777777" w:rsidR="004365FC" w:rsidRDefault="004365FC" w:rsidP="004365FC">
      <w:pPr>
        <w:pStyle w:val="NoSpacing"/>
        <w:rPr>
          <w:rFonts w:ascii="Arial" w:hAnsi="Arial" w:cs="Arial"/>
        </w:rPr>
      </w:pPr>
    </w:p>
    <w:p w14:paraId="77B6FA1F" w14:textId="77777777" w:rsidR="004365FC" w:rsidRDefault="004365FC" w:rsidP="004365FC">
      <w:pPr>
        <w:pStyle w:val="NoSpacing"/>
        <w:rPr>
          <w:rFonts w:ascii="Arial" w:hAnsi="Arial" w:cs="Arial"/>
        </w:rPr>
      </w:pPr>
    </w:p>
    <w:p w14:paraId="293C4DAC" w14:textId="77777777" w:rsidR="004365FC" w:rsidRDefault="004365FC" w:rsidP="004365FC">
      <w:pPr>
        <w:pStyle w:val="NoSpacing"/>
        <w:rPr>
          <w:rFonts w:ascii="Arial" w:hAnsi="Arial" w:cs="Arial"/>
        </w:rPr>
      </w:pPr>
    </w:p>
    <w:p w14:paraId="0AB7067A" w14:textId="77777777" w:rsidR="004365FC" w:rsidRDefault="004365FC" w:rsidP="004365FC">
      <w:pPr>
        <w:pStyle w:val="NoSpacing"/>
        <w:rPr>
          <w:rFonts w:ascii="Arial" w:hAnsi="Arial" w:cs="Arial"/>
        </w:rPr>
      </w:pPr>
    </w:p>
    <w:p w14:paraId="11BC29B1" w14:textId="77777777" w:rsidR="004365FC" w:rsidRDefault="004365FC" w:rsidP="004365FC">
      <w:pPr>
        <w:pStyle w:val="NoSpacing"/>
        <w:rPr>
          <w:rFonts w:ascii="Arial" w:hAnsi="Arial" w:cs="Arial"/>
        </w:rPr>
      </w:pPr>
    </w:p>
    <w:p w14:paraId="37633B2A" w14:textId="77777777" w:rsidR="004365FC" w:rsidRDefault="004365FC" w:rsidP="004365FC">
      <w:pPr>
        <w:pStyle w:val="NoSpacing"/>
        <w:rPr>
          <w:rFonts w:ascii="Arial" w:hAnsi="Arial" w:cs="Arial"/>
        </w:rPr>
      </w:pPr>
    </w:p>
    <w:p w14:paraId="0E938265" w14:textId="77777777" w:rsidR="004365FC" w:rsidRDefault="004365FC" w:rsidP="004365FC">
      <w:pPr>
        <w:pStyle w:val="NoSpacing"/>
        <w:rPr>
          <w:rFonts w:ascii="Arial" w:hAnsi="Arial" w:cs="Arial"/>
        </w:rPr>
      </w:pPr>
    </w:p>
    <w:p w14:paraId="6B3824E1" w14:textId="77777777" w:rsidR="004365FC" w:rsidRDefault="004365FC" w:rsidP="004365FC">
      <w:pPr>
        <w:pStyle w:val="NoSpacing"/>
        <w:rPr>
          <w:rFonts w:ascii="Arial" w:hAnsi="Arial" w:cs="Arial"/>
        </w:rPr>
      </w:pPr>
    </w:p>
    <w:p w14:paraId="65AB88F0" w14:textId="77777777" w:rsidR="004365FC" w:rsidRDefault="004365FC" w:rsidP="004365FC">
      <w:pPr>
        <w:pStyle w:val="NoSpacing"/>
        <w:rPr>
          <w:rFonts w:ascii="Arial" w:hAnsi="Arial" w:cs="Arial"/>
        </w:rPr>
      </w:pPr>
    </w:p>
    <w:p w14:paraId="2B9D5F6E" w14:textId="77777777" w:rsidR="004365FC" w:rsidRDefault="004365FC" w:rsidP="004365FC">
      <w:pPr>
        <w:pStyle w:val="NoSpacing"/>
        <w:rPr>
          <w:rFonts w:ascii="Arial" w:hAnsi="Arial" w:cs="Arial"/>
        </w:rPr>
      </w:pPr>
    </w:p>
    <w:p w14:paraId="1B91CB44" w14:textId="77777777" w:rsidR="004365FC" w:rsidRDefault="004365FC" w:rsidP="004365FC">
      <w:pPr>
        <w:pStyle w:val="NoSpacing"/>
        <w:rPr>
          <w:rFonts w:ascii="Arial" w:hAnsi="Arial" w:cs="Arial"/>
        </w:rPr>
      </w:pPr>
    </w:p>
    <w:p w14:paraId="1568CF53" w14:textId="77777777" w:rsidR="004365FC" w:rsidRDefault="004365FC" w:rsidP="004365FC">
      <w:pPr>
        <w:pStyle w:val="NoSpacing"/>
        <w:rPr>
          <w:rFonts w:ascii="Arial" w:hAnsi="Arial" w:cs="Arial"/>
        </w:rPr>
      </w:pPr>
    </w:p>
    <w:p w14:paraId="5308A875" w14:textId="77777777" w:rsidR="004365FC" w:rsidRDefault="004365FC" w:rsidP="004365FC">
      <w:pPr>
        <w:pStyle w:val="NoSpacing"/>
        <w:rPr>
          <w:rFonts w:ascii="Arial" w:hAnsi="Arial" w:cs="Arial"/>
        </w:rPr>
      </w:pPr>
    </w:p>
    <w:p w14:paraId="6594C2DD" w14:textId="77777777" w:rsidR="004365FC" w:rsidRDefault="004365FC" w:rsidP="004365FC">
      <w:pPr>
        <w:pStyle w:val="NoSpacing"/>
        <w:rPr>
          <w:rFonts w:ascii="Arial" w:hAnsi="Arial" w:cs="Arial"/>
        </w:rPr>
      </w:pPr>
    </w:p>
    <w:p w14:paraId="2294F08A" w14:textId="77777777" w:rsidR="004365FC" w:rsidRDefault="004365FC" w:rsidP="004365FC">
      <w:pPr>
        <w:pStyle w:val="NoSpacing"/>
        <w:rPr>
          <w:rFonts w:ascii="Arial" w:hAnsi="Arial" w:cs="Arial"/>
        </w:rPr>
      </w:pPr>
    </w:p>
    <w:p w14:paraId="174399EA" w14:textId="77777777" w:rsidR="004365FC" w:rsidRDefault="004365FC" w:rsidP="004365FC">
      <w:pPr>
        <w:pStyle w:val="NoSpacing"/>
        <w:rPr>
          <w:rFonts w:ascii="Arial" w:hAnsi="Arial" w:cs="Arial"/>
        </w:rPr>
      </w:pPr>
    </w:p>
    <w:p w14:paraId="68571C29" w14:textId="77777777" w:rsidR="004365FC" w:rsidRDefault="004365FC" w:rsidP="004365FC">
      <w:pPr>
        <w:pStyle w:val="NoSpacing"/>
        <w:rPr>
          <w:rFonts w:ascii="Arial" w:hAnsi="Arial" w:cs="Arial"/>
        </w:rPr>
      </w:pPr>
    </w:p>
    <w:p w14:paraId="674C4C7F" w14:textId="77777777" w:rsidR="004365FC" w:rsidRPr="004365FC" w:rsidRDefault="004365FC" w:rsidP="004365FC">
      <w:pPr>
        <w:pStyle w:val="NoSpacing"/>
        <w:rPr>
          <w:rFonts w:ascii="Arial" w:hAnsi="Arial"/>
        </w:rPr>
      </w:pPr>
    </w:p>
    <w:p w14:paraId="179DD48C" w14:textId="77777777" w:rsidR="00A352BC" w:rsidRPr="008D186E" w:rsidRDefault="00A352BC" w:rsidP="008D186E">
      <w:pPr>
        <w:spacing w:line="360" w:lineRule="auto"/>
        <w:jc w:val="both"/>
        <w:rPr>
          <w:rFonts w:ascii="Arial" w:hAnsi="Arial" w:cs="Arial"/>
          <w:bCs/>
        </w:rPr>
      </w:pPr>
    </w:p>
    <w:p w14:paraId="1684E522" w14:textId="78523531" w:rsidR="008D186E" w:rsidRPr="004365FC" w:rsidRDefault="008D186E" w:rsidP="004365FC">
      <w:pPr>
        <w:pStyle w:val="ListParagraph"/>
        <w:numPr>
          <w:ilvl w:val="0"/>
          <w:numId w:val="2"/>
        </w:numPr>
        <w:spacing w:line="360" w:lineRule="auto"/>
        <w:jc w:val="both"/>
        <w:rPr>
          <w:rFonts w:ascii="Arial" w:hAnsi="Arial" w:cs="Arial"/>
          <w:bCs/>
        </w:rPr>
      </w:pPr>
      <w:r w:rsidRPr="004365FC">
        <w:rPr>
          <w:rFonts w:ascii="Arial" w:hAnsi="Arial" w:cs="Arial"/>
          <w:bCs/>
        </w:rPr>
        <w:t>Anorexia Nervosa: Classification, Diagnosis, Treatment and Rehabilitation</w:t>
      </w:r>
    </w:p>
    <w:p w14:paraId="0356FD95" w14:textId="77777777" w:rsidR="008D186E" w:rsidRPr="004365FC" w:rsidRDefault="008D186E" w:rsidP="008D186E">
      <w:pPr>
        <w:spacing w:line="360" w:lineRule="auto"/>
        <w:jc w:val="both"/>
        <w:rPr>
          <w:rFonts w:ascii="Arial" w:hAnsi="Arial" w:cs="Arial"/>
          <w:b/>
        </w:rPr>
      </w:pPr>
      <w:r w:rsidRPr="004365FC">
        <w:rPr>
          <w:rFonts w:ascii="Arial" w:hAnsi="Arial" w:cs="Arial"/>
          <w:b/>
        </w:rPr>
        <w:t>Introduction</w:t>
      </w:r>
    </w:p>
    <w:p w14:paraId="3B4AE165" w14:textId="77777777" w:rsidR="008D186E" w:rsidRPr="008D186E" w:rsidRDefault="008D186E" w:rsidP="008D186E">
      <w:pPr>
        <w:spacing w:line="360" w:lineRule="auto"/>
        <w:jc w:val="both"/>
        <w:rPr>
          <w:rFonts w:ascii="Arial" w:hAnsi="Arial" w:cs="Arial"/>
          <w:bCs/>
        </w:rPr>
      </w:pPr>
    </w:p>
    <w:p w14:paraId="42B5B63C" w14:textId="77777777" w:rsidR="008D186E" w:rsidRPr="008D186E" w:rsidRDefault="008D186E" w:rsidP="008D186E">
      <w:pPr>
        <w:spacing w:line="360" w:lineRule="auto"/>
        <w:jc w:val="both"/>
        <w:rPr>
          <w:rFonts w:ascii="Arial" w:hAnsi="Arial" w:cs="Arial"/>
          <w:bCs/>
        </w:rPr>
      </w:pPr>
      <w:r w:rsidRPr="008D186E">
        <w:rPr>
          <w:rFonts w:ascii="Arial" w:hAnsi="Arial" w:cs="Arial"/>
          <w:bCs/>
        </w:rPr>
        <w:t xml:space="preserve">Anorexia nervosa (AN) is a serious feeding and eating disorder involving persistent restriction of energy intake, significantly low body weight, intense fear of gaining weight and disturbances in the experience or evaluation of body weight or shape. It is particularly important during adolescence because nutritional deprivation can affect physical growth, puberty, bone health, cognition, education and social development. </w:t>
      </w:r>
      <w:proofErr w:type="gramStart"/>
      <w:r w:rsidRPr="008D186E">
        <w:rPr>
          <w:rFonts w:ascii="Arial" w:hAnsi="Arial" w:cs="Arial"/>
          <w:bCs/>
        </w:rPr>
        <w:t>AN</w:t>
      </w:r>
      <w:proofErr w:type="gramEnd"/>
      <w:r w:rsidRPr="008D186E">
        <w:rPr>
          <w:rFonts w:ascii="Arial" w:hAnsi="Arial" w:cs="Arial"/>
          <w:bCs/>
        </w:rPr>
        <w:t xml:space="preserve"> is also associated with psychological distress, medical complications, relapse and increased mortality. This report analyses how AN is classified in the International Classification of Diseases, Eleventh Revision (ICD-11), examines diagnostic criteria and assessment processes, and critically evaluates current treatment and rehabilitation. The discussion emphasises early, multidisciplinary and person-centred care, while recognising that recovery cannot be reduced to weight restoration alone.</w:t>
      </w:r>
    </w:p>
    <w:p w14:paraId="501CEDC5" w14:textId="77777777" w:rsidR="008D186E" w:rsidRPr="008D186E" w:rsidRDefault="008D186E" w:rsidP="008D186E">
      <w:pPr>
        <w:spacing w:line="360" w:lineRule="auto"/>
        <w:jc w:val="both"/>
        <w:rPr>
          <w:rFonts w:ascii="Arial" w:hAnsi="Arial" w:cs="Arial"/>
          <w:bCs/>
        </w:rPr>
      </w:pPr>
    </w:p>
    <w:p w14:paraId="00DA6D78" w14:textId="32E453D4" w:rsidR="008D186E" w:rsidRPr="008D186E" w:rsidRDefault="008D186E" w:rsidP="008D186E">
      <w:pPr>
        <w:pStyle w:val="ListParagraph"/>
        <w:numPr>
          <w:ilvl w:val="0"/>
          <w:numId w:val="1"/>
        </w:numPr>
        <w:spacing w:line="360" w:lineRule="auto"/>
        <w:jc w:val="both"/>
        <w:rPr>
          <w:rFonts w:ascii="Arial" w:hAnsi="Arial" w:cs="Arial"/>
          <w:b/>
        </w:rPr>
      </w:pPr>
      <w:r w:rsidRPr="008D186E">
        <w:rPr>
          <w:rFonts w:ascii="Arial" w:hAnsi="Arial" w:cs="Arial"/>
          <w:b/>
        </w:rPr>
        <w:t>Classification and diagnosis</w:t>
      </w:r>
    </w:p>
    <w:p w14:paraId="56A65255" w14:textId="77777777" w:rsidR="008D186E" w:rsidRPr="008D186E" w:rsidRDefault="008D186E" w:rsidP="008D186E">
      <w:pPr>
        <w:spacing w:line="360" w:lineRule="auto"/>
        <w:jc w:val="both"/>
        <w:rPr>
          <w:rFonts w:ascii="Arial" w:hAnsi="Arial" w:cs="Arial"/>
          <w:bCs/>
        </w:rPr>
      </w:pPr>
    </w:p>
    <w:p w14:paraId="45B17A7F" w14:textId="77777777" w:rsidR="008D186E" w:rsidRPr="008D186E" w:rsidRDefault="008D186E" w:rsidP="008D186E">
      <w:pPr>
        <w:spacing w:line="360" w:lineRule="auto"/>
        <w:jc w:val="both"/>
        <w:rPr>
          <w:rFonts w:ascii="Arial" w:hAnsi="Arial" w:cs="Arial"/>
          <w:bCs/>
        </w:rPr>
      </w:pPr>
      <w:r w:rsidRPr="008D186E">
        <w:rPr>
          <w:rFonts w:ascii="Arial" w:hAnsi="Arial" w:cs="Arial"/>
          <w:bCs/>
        </w:rPr>
        <w:t xml:space="preserve">The World Health Organization (WHO) classifies AN in ICD-11 under Chapter 06, Mental, Behavioural or Neurodevelopmental Disorders, within Feeding or </w:t>
      </w:r>
      <w:proofErr w:type="gramStart"/>
      <w:r w:rsidRPr="008D186E">
        <w:rPr>
          <w:rFonts w:ascii="Arial" w:hAnsi="Arial" w:cs="Arial"/>
          <w:bCs/>
        </w:rPr>
        <w:t>Eating Disorders</w:t>
      </w:r>
      <w:proofErr w:type="gramEnd"/>
      <w:r w:rsidRPr="008D186E">
        <w:rPr>
          <w:rFonts w:ascii="Arial" w:hAnsi="Arial" w:cs="Arial"/>
          <w:bCs/>
        </w:rPr>
        <w:t>. The diagnostic category is 6B80, Anorexia nervosa. ICD-11 therefore uses the language of a mental and behavioural disorder rather than describing AN as a lifestyle choice or temporary problem. This classification is clinically important because it recognises AN as a condition requiring professional assessment and treatment. However, diagnostic terminology should be used sensitively because labelling can contribute to stigma. Person-centred communication should distinguish the individual from the diagnosis and recognise the person's identity, strengths and recovery goals (WHO, 2024a).</w:t>
      </w:r>
    </w:p>
    <w:p w14:paraId="44B5237E" w14:textId="77777777" w:rsidR="008D186E" w:rsidRPr="008D186E" w:rsidRDefault="008D186E" w:rsidP="008D186E">
      <w:pPr>
        <w:spacing w:line="360" w:lineRule="auto"/>
        <w:jc w:val="both"/>
        <w:rPr>
          <w:rFonts w:ascii="Arial" w:hAnsi="Arial" w:cs="Arial"/>
          <w:bCs/>
        </w:rPr>
      </w:pPr>
    </w:p>
    <w:p w14:paraId="741F6BF1" w14:textId="77777777" w:rsidR="008D186E" w:rsidRPr="008D186E" w:rsidRDefault="008D186E" w:rsidP="008D186E">
      <w:pPr>
        <w:spacing w:line="360" w:lineRule="auto"/>
        <w:jc w:val="both"/>
        <w:rPr>
          <w:rFonts w:ascii="Arial" w:hAnsi="Arial" w:cs="Arial"/>
          <w:bCs/>
        </w:rPr>
      </w:pPr>
      <w:r w:rsidRPr="008D186E">
        <w:rPr>
          <w:rFonts w:ascii="Arial" w:hAnsi="Arial" w:cs="Arial"/>
          <w:bCs/>
        </w:rPr>
        <w:t>ICD-11 describes AN as a disorder characterised by significantly low body weight for the person's age, developmental stage and physical health status. The low weight results from persistent restriction of energy intake or other behaviours that prevent weight gain. A central feature is an intense fear of gaining weight or persistent behaviour that interferes with weight gain. The individual may also experience excessive influence of body weight or shape on self-</w:t>
      </w:r>
      <w:r w:rsidRPr="008D186E">
        <w:rPr>
          <w:rFonts w:ascii="Arial" w:hAnsi="Arial" w:cs="Arial"/>
          <w:bCs/>
        </w:rPr>
        <w:lastRenderedPageBreak/>
        <w:t>evaluation, or persistent behaviours such as dietary restriction, excessive exercise, self-induced vomiting or misuse of laxatives. Importantly, the individual may perceive themselves as having a normal or high weight despite being significantly underweight (WHO, 2024a).</w:t>
      </w:r>
    </w:p>
    <w:p w14:paraId="747CEE37" w14:textId="77777777" w:rsidR="008D186E" w:rsidRPr="008D186E" w:rsidRDefault="008D186E" w:rsidP="008D186E">
      <w:pPr>
        <w:spacing w:line="360" w:lineRule="auto"/>
        <w:jc w:val="both"/>
        <w:rPr>
          <w:rFonts w:ascii="Arial" w:hAnsi="Arial" w:cs="Arial"/>
          <w:bCs/>
        </w:rPr>
      </w:pPr>
    </w:p>
    <w:p w14:paraId="77CBA2F2" w14:textId="77777777" w:rsidR="008D186E" w:rsidRPr="008D186E" w:rsidRDefault="008D186E" w:rsidP="008D186E">
      <w:pPr>
        <w:spacing w:line="360" w:lineRule="auto"/>
        <w:jc w:val="both"/>
        <w:rPr>
          <w:rFonts w:ascii="Arial" w:hAnsi="Arial" w:cs="Arial"/>
          <w:bCs/>
        </w:rPr>
      </w:pPr>
      <w:r w:rsidRPr="008D186E">
        <w:rPr>
          <w:rFonts w:ascii="Arial" w:hAnsi="Arial" w:cs="Arial"/>
          <w:bCs/>
        </w:rPr>
        <w:t xml:space="preserve">A strength of ICD-11 is that it provides clinically meaningful specifications of weight status and behavioural pattern. </w:t>
      </w:r>
      <w:proofErr w:type="gramStart"/>
      <w:r w:rsidRPr="008D186E">
        <w:rPr>
          <w:rFonts w:ascii="Arial" w:hAnsi="Arial" w:cs="Arial"/>
          <w:bCs/>
        </w:rPr>
        <w:t>AN</w:t>
      </w:r>
      <w:proofErr w:type="gramEnd"/>
      <w:r w:rsidRPr="008D186E">
        <w:rPr>
          <w:rFonts w:ascii="Arial" w:hAnsi="Arial" w:cs="Arial"/>
          <w:bCs/>
        </w:rPr>
        <w:t xml:space="preserve"> may be specified according to significantly low or dangerously low body weight, or recovery with normal body weight. It can also be identified according to restricting or binge-purge patterns. This improves clinical communication and allows greater recognition of severity and recovery status than a single undifferentiated diagnosis. It also challenges the misconception that an individual must appear extremely thin to have a serious eating disorder. Nevertheless, weight-based classifications should never replace clinical judgement. Physical risk, psychological symptoms and rapid weight loss may be clinically significant even when an individual's weight does not appear extremely low.</w:t>
      </w:r>
    </w:p>
    <w:p w14:paraId="5A371E91" w14:textId="77777777" w:rsidR="008D186E" w:rsidRPr="008D186E" w:rsidRDefault="008D186E" w:rsidP="008D186E">
      <w:pPr>
        <w:spacing w:line="360" w:lineRule="auto"/>
        <w:jc w:val="both"/>
        <w:rPr>
          <w:rFonts w:ascii="Arial" w:hAnsi="Arial" w:cs="Arial"/>
          <w:bCs/>
        </w:rPr>
      </w:pPr>
    </w:p>
    <w:p w14:paraId="0F9C75DF" w14:textId="77777777" w:rsidR="008D186E" w:rsidRPr="008D186E" w:rsidRDefault="008D186E" w:rsidP="008D186E">
      <w:pPr>
        <w:spacing w:line="360" w:lineRule="auto"/>
        <w:jc w:val="both"/>
        <w:rPr>
          <w:rFonts w:ascii="Arial" w:hAnsi="Arial" w:cs="Arial"/>
          <w:bCs/>
        </w:rPr>
      </w:pPr>
      <w:r w:rsidRPr="008D186E">
        <w:rPr>
          <w:rFonts w:ascii="Arial" w:hAnsi="Arial" w:cs="Arial"/>
          <w:bCs/>
        </w:rPr>
        <w:t>Diagnosis is a clinical process rather than a laboratory test. Assessment should explore eating patterns, restriction, fear of weight gain, body image, exercise, binge eating and compensatory behaviours. It should also examine physical health, mental health, developmental history, family and social circumstances, medication and safeguarding concerns. NICE (2020) advises that screening tools such as SCOFF should not be used as the sole basis for diagnosis. A comprehensive assessment is essential because AN can coexist with depression, anxiety, obsessive-compulsive symptoms, self-harm and suicidal risk.</w:t>
      </w:r>
    </w:p>
    <w:p w14:paraId="0062B3A6" w14:textId="77777777" w:rsidR="008D186E" w:rsidRPr="008D186E" w:rsidRDefault="008D186E" w:rsidP="008D186E">
      <w:pPr>
        <w:spacing w:line="360" w:lineRule="auto"/>
        <w:jc w:val="both"/>
        <w:rPr>
          <w:rFonts w:ascii="Arial" w:hAnsi="Arial" w:cs="Arial"/>
          <w:bCs/>
        </w:rPr>
      </w:pPr>
    </w:p>
    <w:p w14:paraId="65928D4B" w14:textId="77777777" w:rsidR="008D186E" w:rsidRPr="008D186E" w:rsidRDefault="008D186E" w:rsidP="008D186E">
      <w:pPr>
        <w:spacing w:line="360" w:lineRule="auto"/>
        <w:jc w:val="both"/>
        <w:rPr>
          <w:rFonts w:ascii="Arial" w:hAnsi="Arial" w:cs="Arial"/>
          <w:bCs/>
        </w:rPr>
      </w:pPr>
      <w:r w:rsidRPr="008D186E">
        <w:rPr>
          <w:rFonts w:ascii="Arial" w:hAnsi="Arial" w:cs="Arial"/>
          <w:bCs/>
        </w:rPr>
        <w:t>Early identification is particularly important during adolescence. Professionals in primary care, education, social care and acute healthcare should recognise changes in eating, weight, exercise, menstruation and other indicators of malnutrition. However, diagnosis should avoid over-reliance on appearance or body mass index alone. A young person may be seriously unwell despite not appearing extremely underweight. Assessment should therefore combine ICD-11 diagnostic requirements with physical monitoring, psychological formulation and consideration of developmental needs. Multidisciplinary assessment is a strength because different professionals can evaluate physical, psychological and social needs. However, delayed referral and unequal access to specialist services remain significant barriers to early intervention.</w:t>
      </w:r>
    </w:p>
    <w:p w14:paraId="4243539C" w14:textId="77777777" w:rsidR="008D186E" w:rsidRPr="008D186E" w:rsidRDefault="008D186E" w:rsidP="008D186E">
      <w:pPr>
        <w:spacing w:line="360" w:lineRule="auto"/>
        <w:jc w:val="both"/>
        <w:rPr>
          <w:rFonts w:ascii="Arial" w:hAnsi="Arial" w:cs="Arial"/>
          <w:bCs/>
        </w:rPr>
      </w:pPr>
    </w:p>
    <w:p w14:paraId="2BEB55F9" w14:textId="77777777" w:rsidR="008D186E" w:rsidRPr="008D186E" w:rsidRDefault="008D186E" w:rsidP="008D186E">
      <w:pPr>
        <w:spacing w:line="360" w:lineRule="auto"/>
        <w:jc w:val="both"/>
        <w:rPr>
          <w:rFonts w:ascii="Arial" w:hAnsi="Arial" w:cs="Arial"/>
          <w:bCs/>
        </w:rPr>
      </w:pPr>
      <w:r w:rsidRPr="008D186E">
        <w:rPr>
          <w:rFonts w:ascii="Arial" w:hAnsi="Arial" w:cs="Arial"/>
          <w:bCs/>
        </w:rPr>
        <w:lastRenderedPageBreak/>
        <w:t>Assessment should also be culturally responsive and inclusive. Eating disorders can affect people across genders, ethnicities, socioeconomic groups and body sizes, yet stereotypes may delay recognition when a person does not fit the traditional image of AN. Clinicians should ask directly about eating, weight-control behaviours and body image rather than relying on assumptions. Poverty, food insecurity, social media pressures, discrimination, trauma and family stress may influence presentation and recovery. Recognising these factors strengthens person-centred care because treatment engagement is shaped by social circumstances as well as symptoms. It can also support earlier referral and more equitable access to specialist services.</w:t>
      </w:r>
    </w:p>
    <w:p w14:paraId="7E4E042D" w14:textId="77777777" w:rsidR="008D186E" w:rsidRPr="008D186E" w:rsidRDefault="008D186E" w:rsidP="008D186E">
      <w:pPr>
        <w:spacing w:line="360" w:lineRule="auto"/>
        <w:jc w:val="both"/>
        <w:rPr>
          <w:rFonts w:ascii="Arial" w:hAnsi="Arial" w:cs="Arial"/>
          <w:bCs/>
        </w:rPr>
      </w:pPr>
    </w:p>
    <w:p w14:paraId="12032092" w14:textId="4E4D2B0C" w:rsidR="008D186E" w:rsidRPr="008D186E" w:rsidRDefault="008D186E" w:rsidP="008D186E">
      <w:pPr>
        <w:spacing w:line="360" w:lineRule="auto"/>
        <w:jc w:val="both"/>
        <w:rPr>
          <w:rFonts w:ascii="Arial" w:hAnsi="Arial" w:cs="Arial"/>
          <w:b/>
        </w:rPr>
      </w:pPr>
      <w:r>
        <w:rPr>
          <w:rFonts w:ascii="Arial" w:hAnsi="Arial" w:cs="Arial"/>
          <w:b/>
        </w:rPr>
        <w:t xml:space="preserve">b) </w:t>
      </w:r>
      <w:r w:rsidRPr="008D186E">
        <w:rPr>
          <w:rFonts w:ascii="Arial" w:hAnsi="Arial" w:cs="Arial"/>
          <w:b/>
        </w:rPr>
        <w:t>Treatment and rehabilitation</w:t>
      </w:r>
    </w:p>
    <w:p w14:paraId="1D053C03" w14:textId="77777777" w:rsidR="008D186E" w:rsidRPr="008D186E" w:rsidRDefault="008D186E" w:rsidP="008D186E">
      <w:pPr>
        <w:spacing w:line="360" w:lineRule="auto"/>
        <w:jc w:val="both"/>
        <w:rPr>
          <w:rFonts w:ascii="Arial" w:hAnsi="Arial" w:cs="Arial"/>
          <w:bCs/>
        </w:rPr>
      </w:pPr>
    </w:p>
    <w:p w14:paraId="6CDBF0B1" w14:textId="77777777" w:rsidR="008D186E" w:rsidRPr="008D186E" w:rsidRDefault="008D186E" w:rsidP="008D186E">
      <w:pPr>
        <w:spacing w:line="360" w:lineRule="auto"/>
        <w:jc w:val="both"/>
        <w:rPr>
          <w:rFonts w:ascii="Arial" w:hAnsi="Arial" w:cs="Arial"/>
          <w:bCs/>
        </w:rPr>
      </w:pPr>
      <w:r w:rsidRPr="008D186E">
        <w:rPr>
          <w:rFonts w:ascii="Arial" w:hAnsi="Arial" w:cs="Arial"/>
          <w:bCs/>
        </w:rPr>
        <w:t>Treatment for AN must address immediate physical risk and the psychological processes maintaining the disorder. Nutritional rehabilitation and weight restoration are central because starvation can worsen concentration, emotional regulation, rigid thinking and obsessive concerns about food and weight. NICE (2020) identifies achieving a healthy body weight as a key treatment goal because nutritional improvement can support psychological, physical and quality-of-life outcomes. However, a narrow focus on weight restoration is insufficient because weight gain alone does not guarantee psychological recovery. Effective rehabilitation should therefore combine nutrition, psychological therapy, medical monitoring and social recovery.</w:t>
      </w:r>
    </w:p>
    <w:p w14:paraId="4CAD9995" w14:textId="77777777" w:rsidR="008D186E" w:rsidRPr="008D186E" w:rsidRDefault="008D186E" w:rsidP="008D186E">
      <w:pPr>
        <w:spacing w:line="360" w:lineRule="auto"/>
        <w:jc w:val="both"/>
        <w:rPr>
          <w:rFonts w:ascii="Arial" w:hAnsi="Arial" w:cs="Arial"/>
          <w:bCs/>
        </w:rPr>
      </w:pPr>
    </w:p>
    <w:p w14:paraId="3AE9B688" w14:textId="77777777" w:rsidR="008D186E" w:rsidRPr="008D186E" w:rsidRDefault="008D186E" w:rsidP="008D186E">
      <w:pPr>
        <w:spacing w:line="360" w:lineRule="auto"/>
        <w:jc w:val="both"/>
        <w:rPr>
          <w:rFonts w:ascii="Arial" w:hAnsi="Arial" w:cs="Arial"/>
          <w:bCs/>
        </w:rPr>
      </w:pPr>
      <w:r w:rsidRPr="008D186E">
        <w:rPr>
          <w:rFonts w:ascii="Arial" w:hAnsi="Arial" w:cs="Arial"/>
          <w:bCs/>
        </w:rPr>
        <w:t>For children and adolescents, family-based treatment (FBT), or anorexia-nervosa-focused family therapy, is an important evidence-based approach. Parents or carers are supported to take an active role in helping the young person eat and interrupt eating-disorder behaviours. This is appropriate because families can provide daily support outside clinical appointments and adolescence remains an important developmental period for family relationships. NICE (2020) recommends family therapy for children and young people. However, FBT should not be interpreted as blaming families. Therapeutic relationships, family involvement and attention to the young person's wider emotional and social development may support change, whereas rigid adherence to a treatment script or excessive focus on food and weight may hinder recovery (Cripps, Serpell and Pugh, 2024).</w:t>
      </w:r>
    </w:p>
    <w:p w14:paraId="330C4B3C" w14:textId="77777777" w:rsidR="008D186E" w:rsidRPr="008D186E" w:rsidRDefault="008D186E" w:rsidP="008D186E">
      <w:pPr>
        <w:spacing w:line="360" w:lineRule="auto"/>
        <w:jc w:val="both"/>
        <w:rPr>
          <w:rFonts w:ascii="Arial" w:hAnsi="Arial" w:cs="Arial"/>
          <w:bCs/>
        </w:rPr>
      </w:pPr>
    </w:p>
    <w:p w14:paraId="79AF0FBD" w14:textId="77777777" w:rsidR="008D186E" w:rsidRPr="008D186E" w:rsidRDefault="008D186E" w:rsidP="008D186E">
      <w:pPr>
        <w:spacing w:line="360" w:lineRule="auto"/>
        <w:jc w:val="both"/>
        <w:rPr>
          <w:rFonts w:ascii="Arial" w:hAnsi="Arial" w:cs="Arial"/>
          <w:bCs/>
        </w:rPr>
      </w:pPr>
      <w:r w:rsidRPr="008D186E">
        <w:rPr>
          <w:rFonts w:ascii="Arial" w:hAnsi="Arial" w:cs="Arial"/>
          <w:bCs/>
        </w:rPr>
        <w:lastRenderedPageBreak/>
        <w:t>The evidence for family approaches is encouraging but should be interpreted critically. A Cochrane review found some evidence that family therapy may improve remission compared with treatment as usual, but the quality of evidence was limited and several studies had methodological weaknesses, including unclear risk of bias and selective reporting (Fisher et al., 2019). Therefore, FBT should be considered an important first-line approach for many adolescents, but not a universally effective intervention. Treatment should be adapted when family therapy is unacceptable, contraindicated or ineffective, while ensuring that the young person's voice and developmental autonomy are respected.</w:t>
      </w:r>
    </w:p>
    <w:p w14:paraId="4BFBC8C9" w14:textId="77777777" w:rsidR="008D186E" w:rsidRPr="008D186E" w:rsidRDefault="008D186E" w:rsidP="008D186E">
      <w:pPr>
        <w:spacing w:line="360" w:lineRule="auto"/>
        <w:jc w:val="both"/>
        <w:rPr>
          <w:rFonts w:ascii="Arial" w:hAnsi="Arial" w:cs="Arial"/>
          <w:bCs/>
        </w:rPr>
      </w:pPr>
    </w:p>
    <w:p w14:paraId="1C17AB32" w14:textId="118EB966" w:rsidR="004365FC" w:rsidRPr="004365FC" w:rsidRDefault="004365FC" w:rsidP="004365FC">
      <w:pPr>
        <w:pStyle w:val="NoSpacing"/>
        <w:rPr>
          <w:b/>
          <w:bCs/>
        </w:rPr>
      </w:pPr>
      <w:r w:rsidRPr="004365FC">
        <w:rPr>
          <w:b/>
          <w:bCs/>
        </w:rPr>
        <w:t xml:space="preserve">C) </w:t>
      </w:r>
      <w:r w:rsidRPr="004365FC">
        <w:rPr>
          <w:b/>
          <w:bCs/>
        </w:rPr>
        <w:t>Current Debates and Emerging Issues</w:t>
      </w:r>
      <w:r w:rsidRPr="004365FC">
        <w:rPr>
          <w:b/>
          <w:bCs/>
        </w:rPr>
        <w:cr/>
        <w:t>Classification and Treatment Debates</w:t>
      </w:r>
      <w:r w:rsidRPr="004365FC">
        <w:rPr>
          <w:b/>
          <w:bCs/>
        </w:rPr>
        <w:cr/>
      </w:r>
    </w:p>
    <w:p w14:paraId="15529C11" w14:textId="5589A1F9" w:rsidR="008D186E" w:rsidRPr="008D186E" w:rsidRDefault="008D186E" w:rsidP="008D186E">
      <w:pPr>
        <w:spacing w:line="360" w:lineRule="auto"/>
        <w:jc w:val="both"/>
        <w:rPr>
          <w:rFonts w:ascii="Arial" w:hAnsi="Arial" w:cs="Arial"/>
          <w:bCs/>
        </w:rPr>
      </w:pPr>
      <w:r w:rsidRPr="008D186E">
        <w:rPr>
          <w:rFonts w:ascii="Arial" w:hAnsi="Arial" w:cs="Arial"/>
          <w:bCs/>
        </w:rPr>
        <w:t>For adults, NICE recommends three principal psychological options: eating-disorder-focused cognitive behavioural therapy (CBT-ED), Maudsley Anorexia Nervosa Treatment for Adults (MANTRA), and specialist supportive clinical management (SSCM). CBT-ED targets eating behaviours, cognitive distortions, body image, mood regulation, self-esteem and relapse prevention. Its strength is its structured and formulation-based approach, although engagement can be difficult when starvation strengthens rigid beliefs and ambivalence about recovery. MANTRA focuses on cognitive style, emotional regulation, interpersonal relationships and the function of the eating disorder. Evidence indicates improvements in BMI, eating symptoms and emotional state, but methodological limitations mean that its superiority over alternative treatments remains uncertain (Murray et al., 2024). SSCM provides supportive care, psychoeducation and medical monitoring and may be appropriate for people who prefer a less intensive psychological approach.</w:t>
      </w:r>
    </w:p>
    <w:p w14:paraId="1D39F1DF" w14:textId="77777777" w:rsidR="008D186E" w:rsidRPr="008D186E" w:rsidRDefault="008D186E" w:rsidP="008D186E">
      <w:pPr>
        <w:spacing w:line="360" w:lineRule="auto"/>
        <w:jc w:val="both"/>
        <w:rPr>
          <w:rFonts w:ascii="Arial" w:hAnsi="Arial" w:cs="Arial"/>
          <w:bCs/>
        </w:rPr>
      </w:pPr>
    </w:p>
    <w:p w14:paraId="5300CC9B" w14:textId="77777777" w:rsidR="008D186E" w:rsidRPr="008D186E" w:rsidRDefault="008D186E" w:rsidP="008D186E">
      <w:pPr>
        <w:spacing w:line="360" w:lineRule="auto"/>
        <w:jc w:val="both"/>
        <w:rPr>
          <w:rFonts w:ascii="Arial" w:hAnsi="Arial" w:cs="Arial"/>
          <w:bCs/>
        </w:rPr>
      </w:pPr>
      <w:r w:rsidRPr="008D186E">
        <w:rPr>
          <w:rFonts w:ascii="Arial" w:hAnsi="Arial" w:cs="Arial"/>
          <w:bCs/>
        </w:rPr>
        <w:t>Overall, evidence does not demonstrate one universally superior psychological therapy. A network meta-analysis found no clear superiority of a specific psychotherapy, although treatment response differed between adolescents and adults and between service levels (Zeeck et al., 2018). This supports shared decision-making and personalised treatment rather than a one-size-fits-all model. Treatment should consider age, developmental stage, illness severity, comorbidity, motivation, family circumstances and patient preference.</w:t>
      </w:r>
    </w:p>
    <w:p w14:paraId="60B632EB" w14:textId="77777777" w:rsidR="008D186E" w:rsidRPr="008D186E" w:rsidRDefault="008D186E" w:rsidP="008D186E">
      <w:pPr>
        <w:spacing w:line="360" w:lineRule="auto"/>
        <w:jc w:val="both"/>
        <w:rPr>
          <w:rFonts w:ascii="Arial" w:hAnsi="Arial" w:cs="Arial"/>
          <w:bCs/>
        </w:rPr>
      </w:pPr>
    </w:p>
    <w:p w14:paraId="48CC4EB1" w14:textId="765EE49F" w:rsidR="008D186E" w:rsidRPr="008D186E" w:rsidRDefault="008D186E" w:rsidP="008D186E">
      <w:pPr>
        <w:spacing w:line="360" w:lineRule="auto"/>
        <w:jc w:val="both"/>
        <w:rPr>
          <w:rFonts w:ascii="Arial" w:hAnsi="Arial" w:cs="Arial"/>
          <w:bCs/>
        </w:rPr>
      </w:pPr>
      <w:r w:rsidRPr="008D186E">
        <w:rPr>
          <w:rFonts w:ascii="Arial" w:hAnsi="Arial" w:cs="Arial"/>
          <w:bCs/>
        </w:rPr>
        <w:t xml:space="preserve">Medical management is essential because AN can cause cardiovascular, endocrine, gastrointestinal, neurological and skeletal complications. Physical monitoring should include appropriate assessment of vital signs, hydration, nutritional status and relevant investigations. </w:t>
      </w:r>
      <w:r w:rsidRPr="008D186E">
        <w:rPr>
          <w:rFonts w:ascii="Arial" w:hAnsi="Arial" w:cs="Arial"/>
          <w:bCs/>
        </w:rPr>
        <w:lastRenderedPageBreak/>
        <w:t>In severe cases, inpatient or day-patient care may be required. Refeeding must be managed by appropriately trained professionals because medically unstable patients require close observation. Medication should not be offered as the sole treatment for AN, although medication may be considered for coexisting mental health conditions when clinically appropriate (NICE, 2020).</w:t>
      </w:r>
    </w:p>
    <w:p w14:paraId="60F3B6AA" w14:textId="77777777" w:rsidR="008D186E" w:rsidRPr="008D186E" w:rsidRDefault="008D186E" w:rsidP="008D186E">
      <w:pPr>
        <w:spacing w:line="360" w:lineRule="auto"/>
        <w:jc w:val="both"/>
        <w:rPr>
          <w:rFonts w:ascii="Arial" w:hAnsi="Arial" w:cs="Arial"/>
          <w:bCs/>
        </w:rPr>
      </w:pPr>
    </w:p>
    <w:p w14:paraId="00B373D9" w14:textId="77777777" w:rsidR="008D186E" w:rsidRPr="008D186E" w:rsidRDefault="008D186E" w:rsidP="008D186E">
      <w:pPr>
        <w:spacing w:line="360" w:lineRule="auto"/>
        <w:jc w:val="both"/>
        <w:rPr>
          <w:rFonts w:ascii="Arial" w:hAnsi="Arial" w:cs="Arial"/>
          <w:bCs/>
        </w:rPr>
      </w:pPr>
      <w:r w:rsidRPr="008D186E">
        <w:rPr>
          <w:rFonts w:ascii="Arial" w:hAnsi="Arial" w:cs="Arial"/>
          <w:bCs/>
        </w:rPr>
        <w:t>Rehabilitation extends beyond symptom reduction. It includes restoring nutritional health, rebuilding relationships, returning to education or employment, developing coping skills, improving body image and preventing relapse. Relapse prevention should identify early warning signs, stressful situations, changes in eating or exercise and strategies for obtaining help. Continuity between specialist services, primary care, education and family support is particularly important during transitions. Recovery should also be evaluated using outcomes beyond weight, including quality of life, psychological wellbeing, social functioning and the individual's own goals.</w:t>
      </w:r>
    </w:p>
    <w:p w14:paraId="7F70085F" w14:textId="77777777" w:rsidR="008D186E" w:rsidRPr="008D186E" w:rsidRDefault="008D186E" w:rsidP="008D186E">
      <w:pPr>
        <w:spacing w:line="360" w:lineRule="auto"/>
        <w:jc w:val="both"/>
        <w:rPr>
          <w:rFonts w:ascii="Arial" w:hAnsi="Arial" w:cs="Arial"/>
          <w:bCs/>
        </w:rPr>
      </w:pPr>
    </w:p>
    <w:p w14:paraId="07FE1BBA" w14:textId="77777777" w:rsidR="008D186E" w:rsidRPr="008D186E" w:rsidRDefault="008D186E" w:rsidP="008D186E">
      <w:pPr>
        <w:spacing w:line="360" w:lineRule="auto"/>
        <w:jc w:val="both"/>
        <w:rPr>
          <w:rFonts w:ascii="Arial" w:hAnsi="Arial" w:cs="Arial"/>
          <w:bCs/>
        </w:rPr>
      </w:pPr>
      <w:r w:rsidRPr="008D186E">
        <w:rPr>
          <w:rFonts w:ascii="Arial" w:hAnsi="Arial" w:cs="Arial"/>
          <w:bCs/>
        </w:rPr>
        <w:t xml:space="preserve">Ethical and legal considerations are especially important when AN causes serious physical deterioration and the person </w:t>
      </w:r>
      <w:proofErr w:type="gramStart"/>
      <w:r w:rsidRPr="008D186E">
        <w:rPr>
          <w:rFonts w:ascii="Arial" w:hAnsi="Arial" w:cs="Arial"/>
          <w:bCs/>
        </w:rPr>
        <w:t>refuses</w:t>
      </w:r>
      <w:proofErr w:type="gramEnd"/>
      <w:r w:rsidRPr="008D186E">
        <w:rPr>
          <w:rFonts w:ascii="Arial" w:hAnsi="Arial" w:cs="Arial"/>
          <w:bCs/>
        </w:rPr>
        <w:t xml:space="preserve"> treatment. Compulsory treatment may sometimes be necessary to prevent death or serious harm, but it creates tension between autonomy, capacity, beneficence and least restrictive practice. NICE (2020) recommends that compulsory treatment is considered within the relevant legal framework and delivered by competent multidisciplinary teams. Coercive intervention may preserve life but can also damage trust and increase distress. Consequently, professionals should use collaborative engagement wherever possible, communicate transparently and review compulsory measures regularly.</w:t>
      </w:r>
    </w:p>
    <w:p w14:paraId="3A7A6D49" w14:textId="77777777" w:rsidR="008D186E" w:rsidRPr="008D186E" w:rsidRDefault="008D186E" w:rsidP="008D186E">
      <w:pPr>
        <w:spacing w:line="360" w:lineRule="auto"/>
        <w:jc w:val="both"/>
        <w:rPr>
          <w:rFonts w:ascii="Arial" w:hAnsi="Arial" w:cs="Arial"/>
          <w:bCs/>
        </w:rPr>
      </w:pPr>
    </w:p>
    <w:p w14:paraId="05BF64A3" w14:textId="56BA4ABE" w:rsidR="008D186E" w:rsidRPr="008D186E" w:rsidRDefault="008D186E" w:rsidP="008D186E">
      <w:pPr>
        <w:spacing w:line="360" w:lineRule="auto"/>
        <w:jc w:val="both"/>
        <w:rPr>
          <w:rFonts w:ascii="Arial" w:hAnsi="Arial" w:cs="Arial"/>
          <w:b/>
        </w:rPr>
      </w:pPr>
      <w:r>
        <w:rPr>
          <w:rFonts w:ascii="Arial" w:hAnsi="Arial" w:cs="Arial"/>
          <w:b/>
        </w:rPr>
        <w:t xml:space="preserve">d) </w:t>
      </w:r>
      <w:r w:rsidRPr="008D186E">
        <w:rPr>
          <w:rFonts w:ascii="Arial" w:hAnsi="Arial" w:cs="Arial"/>
          <w:b/>
        </w:rPr>
        <w:t>Conclusion and recommendations</w:t>
      </w:r>
    </w:p>
    <w:p w14:paraId="1A846FE6" w14:textId="77777777" w:rsidR="008D186E" w:rsidRPr="008D186E" w:rsidRDefault="008D186E" w:rsidP="008D186E">
      <w:pPr>
        <w:spacing w:line="360" w:lineRule="auto"/>
        <w:jc w:val="both"/>
        <w:rPr>
          <w:rFonts w:ascii="Arial" w:hAnsi="Arial" w:cs="Arial"/>
          <w:bCs/>
        </w:rPr>
      </w:pPr>
    </w:p>
    <w:p w14:paraId="65C5843F" w14:textId="77777777" w:rsidR="008D186E" w:rsidRPr="008D186E" w:rsidRDefault="008D186E" w:rsidP="008D186E">
      <w:pPr>
        <w:spacing w:line="360" w:lineRule="auto"/>
        <w:jc w:val="both"/>
        <w:rPr>
          <w:rFonts w:ascii="Arial" w:hAnsi="Arial" w:cs="Arial"/>
          <w:bCs/>
        </w:rPr>
      </w:pPr>
      <w:proofErr w:type="gramStart"/>
      <w:r w:rsidRPr="008D186E">
        <w:rPr>
          <w:rFonts w:ascii="Arial" w:hAnsi="Arial" w:cs="Arial"/>
          <w:bCs/>
        </w:rPr>
        <w:t>AN</w:t>
      </w:r>
      <w:proofErr w:type="gramEnd"/>
      <w:r w:rsidRPr="008D186E">
        <w:rPr>
          <w:rFonts w:ascii="Arial" w:hAnsi="Arial" w:cs="Arial"/>
          <w:bCs/>
        </w:rPr>
        <w:t xml:space="preserve"> is classified by ICD-11 as a mental and behavioural disorder within Feeding or </w:t>
      </w:r>
      <w:proofErr w:type="gramStart"/>
      <w:r w:rsidRPr="008D186E">
        <w:rPr>
          <w:rFonts w:ascii="Arial" w:hAnsi="Arial" w:cs="Arial"/>
          <w:bCs/>
        </w:rPr>
        <w:t>Eating Disorders</w:t>
      </w:r>
      <w:proofErr w:type="gramEnd"/>
      <w:r w:rsidRPr="008D186E">
        <w:rPr>
          <w:rFonts w:ascii="Arial" w:hAnsi="Arial" w:cs="Arial"/>
          <w:bCs/>
        </w:rPr>
        <w:t xml:space="preserve">, with diagnostic specifications recognising different levels of low weight, behavioural patterns and recovery status. Diagnosis requires comprehensive clinical assessment rather than reliance on appearance, BMI or screening tools alone. Current treatment supports nutritional rehabilitation, physical monitoring and psychological intervention. Family-based approaches are particularly important for adolescents, while CBT-ED, MANTRA and SSCM </w:t>
      </w:r>
      <w:r w:rsidRPr="008D186E">
        <w:rPr>
          <w:rFonts w:ascii="Arial" w:hAnsi="Arial" w:cs="Arial"/>
          <w:bCs/>
        </w:rPr>
        <w:lastRenderedPageBreak/>
        <w:t>provide evidence-based options for adults. However, research does not establish one universally superior therapy, and evidence quality remains variable.</w:t>
      </w:r>
    </w:p>
    <w:p w14:paraId="656F5FD8" w14:textId="77777777" w:rsidR="008D186E" w:rsidRPr="008D186E" w:rsidRDefault="008D186E" w:rsidP="008D186E">
      <w:pPr>
        <w:spacing w:line="360" w:lineRule="auto"/>
        <w:jc w:val="both"/>
        <w:rPr>
          <w:rFonts w:ascii="Arial" w:hAnsi="Arial" w:cs="Arial"/>
          <w:bCs/>
        </w:rPr>
      </w:pPr>
    </w:p>
    <w:p w14:paraId="34934827" w14:textId="7CBCBE14" w:rsidR="00A352BC" w:rsidRPr="008D186E" w:rsidRDefault="008D186E" w:rsidP="008D186E">
      <w:pPr>
        <w:spacing w:line="360" w:lineRule="auto"/>
        <w:jc w:val="both"/>
        <w:rPr>
          <w:rFonts w:ascii="Arial" w:hAnsi="Arial" w:cs="Arial"/>
          <w:bCs/>
        </w:rPr>
      </w:pPr>
      <w:r w:rsidRPr="008D186E">
        <w:rPr>
          <w:rFonts w:ascii="Arial" w:hAnsi="Arial" w:cs="Arial"/>
          <w:bCs/>
        </w:rPr>
        <w:t>The strongest recommendation is therefore for early, multidisciplinary and individualised intervention. Services should provide rapid access to specialist assessment, involve families and carers appropriately, protect the young person's voice, monitor physical and psychological health, and provide coordinated transition and relapse-prevention support. Future research should use larger and more diverse samples, longer follow-up and outcomes reflecting patient-defined recovery as well as weight and symptom change. Ultimately, effective rehabilitation should aim not merely to increase weight, but to restore physical health, psychological flexibility, relationships, education, independence and meaningful quality of life.</w:t>
      </w:r>
    </w:p>
    <w:p w14:paraId="73880AF7" w14:textId="77777777" w:rsidR="00A352BC" w:rsidRPr="008D186E" w:rsidRDefault="00A352BC" w:rsidP="008D186E">
      <w:pPr>
        <w:spacing w:line="360" w:lineRule="auto"/>
        <w:jc w:val="both"/>
        <w:rPr>
          <w:rFonts w:ascii="Arial" w:hAnsi="Arial" w:cs="Arial"/>
          <w:bCs/>
        </w:rPr>
      </w:pPr>
    </w:p>
    <w:p w14:paraId="00FD363C" w14:textId="77777777" w:rsidR="00A352BC" w:rsidRPr="008D186E" w:rsidRDefault="00A352BC" w:rsidP="008D186E">
      <w:pPr>
        <w:spacing w:line="360" w:lineRule="auto"/>
        <w:jc w:val="both"/>
        <w:rPr>
          <w:rFonts w:ascii="Arial" w:hAnsi="Arial" w:cs="Arial"/>
          <w:bCs/>
        </w:rPr>
      </w:pPr>
    </w:p>
    <w:p w14:paraId="2BAFA4D2" w14:textId="77777777" w:rsidR="00A352BC" w:rsidRPr="008D186E" w:rsidRDefault="00A352BC" w:rsidP="008D186E">
      <w:pPr>
        <w:spacing w:line="360" w:lineRule="auto"/>
        <w:jc w:val="both"/>
        <w:rPr>
          <w:rFonts w:ascii="Arial" w:hAnsi="Arial" w:cs="Arial"/>
          <w:bCs/>
        </w:rPr>
      </w:pPr>
    </w:p>
    <w:p w14:paraId="60B41FDB" w14:textId="77777777" w:rsidR="00A352BC" w:rsidRPr="008D186E" w:rsidRDefault="00A352BC" w:rsidP="008D186E">
      <w:pPr>
        <w:spacing w:line="360" w:lineRule="auto"/>
        <w:jc w:val="both"/>
        <w:rPr>
          <w:rFonts w:ascii="Arial" w:hAnsi="Arial" w:cs="Arial"/>
          <w:bCs/>
        </w:rPr>
      </w:pPr>
    </w:p>
    <w:p w14:paraId="4EAD5ADC" w14:textId="77777777" w:rsidR="00A352BC" w:rsidRPr="008D186E" w:rsidRDefault="00A352BC" w:rsidP="008D186E">
      <w:pPr>
        <w:spacing w:line="360" w:lineRule="auto"/>
        <w:jc w:val="both"/>
        <w:rPr>
          <w:rFonts w:ascii="Arial" w:hAnsi="Arial" w:cs="Arial"/>
          <w:bCs/>
        </w:rPr>
      </w:pPr>
    </w:p>
    <w:p w14:paraId="322001F5" w14:textId="77777777" w:rsidR="00A352BC" w:rsidRPr="008D186E" w:rsidRDefault="00A352BC" w:rsidP="008D186E">
      <w:pPr>
        <w:spacing w:line="360" w:lineRule="auto"/>
        <w:jc w:val="both"/>
        <w:rPr>
          <w:rFonts w:ascii="Arial" w:hAnsi="Arial" w:cs="Arial"/>
          <w:bCs/>
        </w:rPr>
      </w:pPr>
    </w:p>
    <w:p w14:paraId="112A57A1" w14:textId="77777777" w:rsidR="00A352BC" w:rsidRPr="008D186E" w:rsidRDefault="00A352BC" w:rsidP="008D186E">
      <w:pPr>
        <w:spacing w:line="360" w:lineRule="auto"/>
        <w:jc w:val="both"/>
        <w:rPr>
          <w:rFonts w:ascii="Arial" w:hAnsi="Arial" w:cs="Arial"/>
          <w:bCs/>
        </w:rPr>
      </w:pPr>
    </w:p>
    <w:p w14:paraId="147A8A1D" w14:textId="77777777" w:rsidR="00A352BC" w:rsidRPr="008D186E" w:rsidRDefault="00A352BC" w:rsidP="008D186E">
      <w:pPr>
        <w:spacing w:line="360" w:lineRule="auto"/>
        <w:jc w:val="both"/>
        <w:rPr>
          <w:rFonts w:ascii="Arial" w:hAnsi="Arial" w:cs="Arial"/>
          <w:bCs/>
        </w:rPr>
      </w:pPr>
    </w:p>
    <w:p w14:paraId="79A08073" w14:textId="77777777" w:rsidR="00A352BC" w:rsidRPr="008D186E" w:rsidRDefault="00A352BC" w:rsidP="008D186E">
      <w:pPr>
        <w:spacing w:line="360" w:lineRule="auto"/>
        <w:jc w:val="both"/>
        <w:rPr>
          <w:rFonts w:ascii="Arial" w:hAnsi="Arial" w:cs="Arial"/>
          <w:bCs/>
        </w:rPr>
      </w:pPr>
    </w:p>
    <w:p w14:paraId="6DD0B0CF" w14:textId="77777777" w:rsidR="00A352BC" w:rsidRPr="008D186E" w:rsidRDefault="00A352BC" w:rsidP="008D186E">
      <w:pPr>
        <w:spacing w:line="360" w:lineRule="auto"/>
        <w:jc w:val="both"/>
        <w:rPr>
          <w:rFonts w:ascii="Arial" w:hAnsi="Arial" w:cs="Arial"/>
          <w:bCs/>
        </w:rPr>
      </w:pPr>
    </w:p>
    <w:p w14:paraId="1CCAABCB" w14:textId="77777777" w:rsidR="00A352BC" w:rsidRPr="008D186E" w:rsidRDefault="00A352BC" w:rsidP="008D186E">
      <w:pPr>
        <w:spacing w:line="360" w:lineRule="auto"/>
        <w:jc w:val="both"/>
        <w:rPr>
          <w:rFonts w:ascii="Arial" w:hAnsi="Arial" w:cs="Arial"/>
          <w:bCs/>
        </w:rPr>
      </w:pPr>
    </w:p>
    <w:p w14:paraId="30FDDF47" w14:textId="77777777" w:rsidR="00A352BC" w:rsidRPr="008D186E" w:rsidRDefault="00A352BC" w:rsidP="008D186E">
      <w:pPr>
        <w:spacing w:line="360" w:lineRule="auto"/>
        <w:jc w:val="both"/>
        <w:rPr>
          <w:rFonts w:ascii="Arial" w:hAnsi="Arial" w:cs="Arial"/>
          <w:bCs/>
        </w:rPr>
      </w:pPr>
    </w:p>
    <w:p w14:paraId="31CE7F95" w14:textId="77777777" w:rsidR="00A352BC" w:rsidRPr="008D186E" w:rsidRDefault="00A352BC" w:rsidP="008D186E">
      <w:pPr>
        <w:spacing w:line="360" w:lineRule="auto"/>
        <w:jc w:val="both"/>
        <w:rPr>
          <w:rFonts w:ascii="Arial" w:hAnsi="Arial" w:cs="Arial"/>
          <w:bCs/>
        </w:rPr>
      </w:pPr>
    </w:p>
    <w:p w14:paraId="7C44B186" w14:textId="77777777" w:rsidR="00A352BC" w:rsidRPr="008D186E" w:rsidRDefault="00A352BC" w:rsidP="008D186E">
      <w:pPr>
        <w:spacing w:line="360" w:lineRule="auto"/>
        <w:jc w:val="both"/>
        <w:rPr>
          <w:rFonts w:ascii="Arial" w:hAnsi="Arial" w:cs="Arial"/>
          <w:bCs/>
        </w:rPr>
      </w:pPr>
    </w:p>
    <w:p w14:paraId="38D21550" w14:textId="77777777" w:rsidR="00A352BC" w:rsidRPr="008D186E" w:rsidRDefault="00A352BC" w:rsidP="008D186E">
      <w:pPr>
        <w:spacing w:line="360" w:lineRule="auto"/>
        <w:jc w:val="both"/>
        <w:rPr>
          <w:rFonts w:ascii="Arial" w:hAnsi="Arial" w:cs="Arial"/>
          <w:bCs/>
        </w:rPr>
      </w:pPr>
    </w:p>
    <w:p w14:paraId="023F03AF" w14:textId="77777777" w:rsidR="00A352BC" w:rsidRPr="008D186E" w:rsidRDefault="00A352BC" w:rsidP="008D186E">
      <w:pPr>
        <w:spacing w:line="360" w:lineRule="auto"/>
        <w:jc w:val="both"/>
        <w:rPr>
          <w:rFonts w:ascii="Arial" w:hAnsi="Arial" w:cs="Arial"/>
          <w:bCs/>
        </w:rPr>
      </w:pPr>
    </w:p>
    <w:p w14:paraId="441443C7" w14:textId="77777777" w:rsidR="00A352BC" w:rsidRPr="008D186E" w:rsidRDefault="00A352BC" w:rsidP="008D186E">
      <w:pPr>
        <w:spacing w:line="360" w:lineRule="auto"/>
        <w:jc w:val="both"/>
        <w:rPr>
          <w:rFonts w:ascii="Arial" w:hAnsi="Arial" w:cs="Arial"/>
          <w:bCs/>
        </w:rPr>
      </w:pPr>
    </w:p>
    <w:p w14:paraId="35B65E4F" w14:textId="77777777" w:rsidR="00A352BC" w:rsidRPr="008D186E" w:rsidRDefault="00A352BC" w:rsidP="008D186E">
      <w:pPr>
        <w:spacing w:line="360" w:lineRule="auto"/>
        <w:jc w:val="both"/>
        <w:rPr>
          <w:rFonts w:ascii="Arial" w:hAnsi="Arial" w:cs="Arial"/>
          <w:bCs/>
        </w:rPr>
      </w:pPr>
    </w:p>
    <w:p w14:paraId="0D456F87" w14:textId="77777777" w:rsidR="00A352BC" w:rsidRPr="008D186E" w:rsidRDefault="00A352BC" w:rsidP="008D186E">
      <w:pPr>
        <w:spacing w:line="360" w:lineRule="auto"/>
        <w:jc w:val="both"/>
        <w:rPr>
          <w:rFonts w:ascii="Arial" w:hAnsi="Arial" w:cs="Arial"/>
          <w:bCs/>
        </w:rPr>
      </w:pPr>
    </w:p>
    <w:p w14:paraId="57305084" w14:textId="77777777" w:rsidR="00A352BC" w:rsidRPr="008D186E" w:rsidRDefault="00A352BC" w:rsidP="008D186E">
      <w:pPr>
        <w:spacing w:line="360" w:lineRule="auto"/>
        <w:jc w:val="both"/>
        <w:rPr>
          <w:rFonts w:ascii="Arial" w:hAnsi="Arial" w:cs="Arial"/>
          <w:bCs/>
        </w:rPr>
      </w:pPr>
    </w:p>
    <w:p w14:paraId="1F1E1C95" w14:textId="77777777" w:rsidR="00A352BC" w:rsidRPr="008D186E" w:rsidRDefault="00A352BC" w:rsidP="008D186E">
      <w:pPr>
        <w:spacing w:line="360" w:lineRule="auto"/>
        <w:jc w:val="both"/>
        <w:rPr>
          <w:rFonts w:ascii="Arial" w:hAnsi="Arial" w:cs="Arial"/>
          <w:bCs/>
        </w:rPr>
      </w:pPr>
    </w:p>
    <w:p w14:paraId="3A11B222" w14:textId="77777777" w:rsidR="00A352BC" w:rsidRPr="008D186E" w:rsidRDefault="00A352BC" w:rsidP="008D186E">
      <w:pPr>
        <w:spacing w:line="360" w:lineRule="auto"/>
        <w:jc w:val="both"/>
        <w:rPr>
          <w:rFonts w:ascii="Arial" w:hAnsi="Arial" w:cs="Arial"/>
          <w:bCs/>
        </w:rPr>
      </w:pPr>
    </w:p>
    <w:p w14:paraId="0F1EE922" w14:textId="77777777" w:rsidR="00A352BC" w:rsidRPr="008D186E" w:rsidRDefault="00A352BC" w:rsidP="008D186E">
      <w:pPr>
        <w:spacing w:line="360" w:lineRule="auto"/>
        <w:jc w:val="both"/>
        <w:rPr>
          <w:rFonts w:ascii="Arial" w:hAnsi="Arial" w:cs="Arial"/>
          <w:bCs/>
        </w:rPr>
      </w:pPr>
    </w:p>
    <w:p w14:paraId="1EE0F1BD" w14:textId="77777777" w:rsidR="00A352BC" w:rsidRPr="008D186E" w:rsidRDefault="00A352BC" w:rsidP="008D186E">
      <w:pPr>
        <w:spacing w:line="360" w:lineRule="auto"/>
        <w:jc w:val="both"/>
        <w:rPr>
          <w:rFonts w:ascii="Arial" w:hAnsi="Arial" w:cs="Arial"/>
          <w:bCs/>
        </w:rPr>
      </w:pPr>
    </w:p>
    <w:p w14:paraId="32C5D097" w14:textId="77777777" w:rsidR="00A352BC" w:rsidRPr="008D186E" w:rsidRDefault="00A352BC" w:rsidP="008D186E">
      <w:pPr>
        <w:spacing w:line="360" w:lineRule="auto"/>
        <w:jc w:val="both"/>
        <w:rPr>
          <w:rFonts w:ascii="Arial" w:hAnsi="Arial" w:cs="Arial"/>
          <w:bCs/>
        </w:rPr>
      </w:pPr>
    </w:p>
    <w:p w14:paraId="51A8701D" w14:textId="77777777" w:rsidR="00A352BC" w:rsidRDefault="00A352BC" w:rsidP="008D186E">
      <w:pPr>
        <w:spacing w:line="360" w:lineRule="auto"/>
        <w:jc w:val="both"/>
        <w:rPr>
          <w:rFonts w:ascii="Arial" w:hAnsi="Arial" w:cs="Arial"/>
          <w:bCs/>
        </w:rPr>
      </w:pPr>
    </w:p>
    <w:p w14:paraId="3F6C8D1C" w14:textId="77777777" w:rsidR="008D186E" w:rsidRDefault="008D186E" w:rsidP="008D186E">
      <w:pPr>
        <w:spacing w:line="360" w:lineRule="auto"/>
        <w:jc w:val="both"/>
        <w:rPr>
          <w:rFonts w:ascii="Arial" w:hAnsi="Arial" w:cs="Arial"/>
          <w:bCs/>
        </w:rPr>
      </w:pPr>
    </w:p>
    <w:p w14:paraId="19D64739" w14:textId="77777777" w:rsidR="008D186E" w:rsidRDefault="008D186E" w:rsidP="008D186E">
      <w:pPr>
        <w:spacing w:line="360" w:lineRule="auto"/>
        <w:jc w:val="both"/>
        <w:rPr>
          <w:rFonts w:ascii="Arial" w:hAnsi="Arial" w:cs="Arial"/>
          <w:bCs/>
        </w:rPr>
      </w:pPr>
    </w:p>
    <w:p w14:paraId="1079A14A" w14:textId="77777777" w:rsidR="008D186E" w:rsidRDefault="008D186E" w:rsidP="008D186E">
      <w:pPr>
        <w:spacing w:line="360" w:lineRule="auto"/>
        <w:jc w:val="both"/>
        <w:rPr>
          <w:rFonts w:ascii="Arial" w:hAnsi="Arial" w:cs="Arial"/>
          <w:bCs/>
        </w:rPr>
      </w:pPr>
    </w:p>
    <w:p w14:paraId="553CC469" w14:textId="77777777" w:rsidR="008D186E" w:rsidRDefault="008D186E" w:rsidP="008D186E">
      <w:pPr>
        <w:spacing w:line="360" w:lineRule="auto"/>
        <w:jc w:val="both"/>
        <w:rPr>
          <w:rFonts w:ascii="Arial" w:hAnsi="Arial" w:cs="Arial"/>
          <w:bCs/>
        </w:rPr>
      </w:pPr>
    </w:p>
    <w:p w14:paraId="3B839309" w14:textId="77777777" w:rsidR="008D186E" w:rsidRDefault="008D186E" w:rsidP="008D186E">
      <w:pPr>
        <w:spacing w:line="360" w:lineRule="auto"/>
        <w:jc w:val="both"/>
        <w:rPr>
          <w:rFonts w:ascii="Arial" w:hAnsi="Arial" w:cs="Arial"/>
          <w:bCs/>
        </w:rPr>
      </w:pPr>
    </w:p>
    <w:p w14:paraId="1267FAF7" w14:textId="77777777" w:rsidR="008D186E" w:rsidRDefault="008D186E" w:rsidP="008D186E">
      <w:pPr>
        <w:spacing w:line="360" w:lineRule="auto"/>
        <w:jc w:val="both"/>
        <w:rPr>
          <w:rFonts w:ascii="Arial" w:hAnsi="Arial" w:cs="Arial"/>
          <w:bCs/>
        </w:rPr>
      </w:pPr>
    </w:p>
    <w:p w14:paraId="197833F5" w14:textId="77777777" w:rsidR="008D186E" w:rsidRDefault="008D186E" w:rsidP="008D186E">
      <w:pPr>
        <w:spacing w:line="360" w:lineRule="auto"/>
        <w:jc w:val="both"/>
        <w:rPr>
          <w:rFonts w:ascii="Arial" w:hAnsi="Arial" w:cs="Arial"/>
          <w:bCs/>
        </w:rPr>
      </w:pPr>
    </w:p>
    <w:p w14:paraId="1BB62EC8" w14:textId="77777777" w:rsidR="008D186E" w:rsidRDefault="008D186E" w:rsidP="008D186E">
      <w:pPr>
        <w:spacing w:line="360" w:lineRule="auto"/>
        <w:jc w:val="both"/>
        <w:rPr>
          <w:rFonts w:ascii="Arial" w:hAnsi="Arial" w:cs="Arial"/>
          <w:bCs/>
        </w:rPr>
      </w:pPr>
    </w:p>
    <w:p w14:paraId="641498C5" w14:textId="77777777" w:rsidR="008D186E" w:rsidRDefault="008D186E" w:rsidP="008D186E">
      <w:pPr>
        <w:spacing w:line="360" w:lineRule="auto"/>
        <w:jc w:val="both"/>
        <w:rPr>
          <w:rFonts w:ascii="Arial" w:hAnsi="Arial" w:cs="Arial"/>
          <w:bCs/>
        </w:rPr>
      </w:pPr>
    </w:p>
    <w:p w14:paraId="77AFF7E7" w14:textId="77777777" w:rsidR="008D186E" w:rsidRPr="008D186E" w:rsidRDefault="008D186E" w:rsidP="008D186E">
      <w:pPr>
        <w:spacing w:line="360" w:lineRule="auto"/>
        <w:jc w:val="both"/>
        <w:rPr>
          <w:rFonts w:ascii="Arial" w:hAnsi="Arial" w:cs="Arial"/>
          <w:bCs/>
        </w:rPr>
      </w:pPr>
    </w:p>
    <w:p w14:paraId="3788169D" w14:textId="69E0018D" w:rsidR="00A352BC" w:rsidRPr="008D186E" w:rsidRDefault="00A352BC" w:rsidP="008D186E">
      <w:pPr>
        <w:spacing w:line="360" w:lineRule="auto"/>
        <w:jc w:val="both"/>
        <w:rPr>
          <w:rFonts w:ascii="Arial" w:hAnsi="Arial" w:cs="Arial"/>
          <w:b/>
        </w:rPr>
      </w:pPr>
      <w:r w:rsidRPr="008D186E">
        <w:rPr>
          <w:rFonts w:ascii="Arial" w:hAnsi="Arial" w:cs="Arial"/>
          <w:b/>
        </w:rPr>
        <w:t xml:space="preserve">References </w:t>
      </w:r>
    </w:p>
    <w:p w14:paraId="37B7E8C5" w14:textId="489281BD" w:rsidR="00A352BC" w:rsidRPr="008D186E" w:rsidRDefault="00A352BC" w:rsidP="008D186E">
      <w:pPr>
        <w:spacing w:line="360" w:lineRule="auto"/>
        <w:jc w:val="both"/>
        <w:rPr>
          <w:rFonts w:ascii="Arial" w:hAnsi="Arial" w:cs="Arial"/>
        </w:rPr>
      </w:pPr>
      <w:r w:rsidRPr="008D186E">
        <w:rPr>
          <w:rFonts w:ascii="Arial" w:hAnsi="Arial" w:cs="Arial"/>
        </w:rPr>
        <w:t xml:space="preserve">American Psychiatric Association (2022) Diagnostic and statistical manual of mental disorders. 5th </w:t>
      </w:r>
      <w:proofErr w:type="spellStart"/>
      <w:r w:rsidRPr="008D186E">
        <w:rPr>
          <w:rFonts w:ascii="Arial" w:hAnsi="Arial" w:cs="Arial"/>
        </w:rPr>
        <w:t>edn</w:t>
      </w:r>
      <w:proofErr w:type="spellEnd"/>
      <w:r w:rsidRPr="008D186E">
        <w:rPr>
          <w:rFonts w:ascii="Arial" w:hAnsi="Arial" w:cs="Arial"/>
        </w:rPr>
        <w:t>, text revision. Washington, DC: American Psychiatric Association. Available at: American Psychiatric Association DSM-5-TR (Accessed: 18 July 2026).</w:t>
      </w:r>
    </w:p>
    <w:p w14:paraId="25699054"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Cripps, S., Serpell, L. and Pugh, M. (2024) ‘Processes of change in family therapies for anorexia nervosa: a systematic review and meta-synthesis of qualitative data’, Journal of Eating Disorders, 12(1), p. 104. Available at: Cripps, Serpell and Pugh (2024) (Accessed: 18 July 2026). </w:t>
      </w:r>
    </w:p>
    <w:p w14:paraId="5DD2BA49" w14:textId="77777777" w:rsidR="00A352BC" w:rsidRPr="008D186E" w:rsidRDefault="00A352BC" w:rsidP="008D186E">
      <w:pPr>
        <w:spacing w:line="360" w:lineRule="auto"/>
        <w:jc w:val="both"/>
        <w:rPr>
          <w:rFonts w:ascii="Arial" w:hAnsi="Arial" w:cs="Arial"/>
        </w:rPr>
      </w:pPr>
      <w:r w:rsidRPr="008D186E">
        <w:rPr>
          <w:rFonts w:ascii="Arial" w:hAnsi="Arial" w:cs="Arial"/>
        </w:rPr>
        <w:lastRenderedPageBreak/>
        <w:t>Springer</w:t>
      </w:r>
    </w:p>
    <w:p w14:paraId="78415F34"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Fisher, C.A., </w:t>
      </w:r>
      <w:proofErr w:type="spellStart"/>
      <w:r w:rsidRPr="008D186E">
        <w:rPr>
          <w:rFonts w:ascii="Arial" w:hAnsi="Arial" w:cs="Arial"/>
        </w:rPr>
        <w:t>Skocic</w:t>
      </w:r>
      <w:proofErr w:type="spellEnd"/>
      <w:r w:rsidRPr="008D186E">
        <w:rPr>
          <w:rFonts w:ascii="Arial" w:hAnsi="Arial" w:cs="Arial"/>
        </w:rPr>
        <w:t>, S., Rutherford, K.A. and Hetrick, S.E. (2019) ‘Family therapy approaches for anorexia nervosa’, Cochrane Database of Systematic Reviews, 5, CD004780. Available at: Cochrane Library (Accessed: 18 July 2026).</w:t>
      </w:r>
    </w:p>
    <w:p w14:paraId="7EEE422D"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Minuti, A., Bianchi, S., Pula, G., </w:t>
      </w:r>
      <w:proofErr w:type="spellStart"/>
      <w:r w:rsidRPr="008D186E">
        <w:rPr>
          <w:rFonts w:ascii="Arial" w:hAnsi="Arial" w:cs="Arial"/>
        </w:rPr>
        <w:t>Perlangeli</w:t>
      </w:r>
      <w:proofErr w:type="spellEnd"/>
      <w:r w:rsidRPr="008D186E">
        <w:rPr>
          <w:rFonts w:ascii="Arial" w:hAnsi="Arial" w:cs="Arial"/>
        </w:rPr>
        <w:t xml:space="preserve">, A., </w:t>
      </w:r>
      <w:proofErr w:type="spellStart"/>
      <w:r w:rsidRPr="008D186E">
        <w:rPr>
          <w:rFonts w:ascii="Arial" w:hAnsi="Arial" w:cs="Arial"/>
        </w:rPr>
        <w:t>Tardani</w:t>
      </w:r>
      <w:proofErr w:type="spellEnd"/>
      <w:r w:rsidRPr="008D186E">
        <w:rPr>
          <w:rFonts w:ascii="Arial" w:hAnsi="Arial" w:cs="Arial"/>
        </w:rPr>
        <w:t xml:space="preserve">, M., </w:t>
      </w:r>
      <w:proofErr w:type="spellStart"/>
      <w:r w:rsidRPr="008D186E">
        <w:rPr>
          <w:rFonts w:ascii="Arial" w:hAnsi="Arial" w:cs="Arial"/>
        </w:rPr>
        <w:t>Cuzzucoli</w:t>
      </w:r>
      <w:proofErr w:type="spellEnd"/>
      <w:r w:rsidRPr="008D186E">
        <w:rPr>
          <w:rFonts w:ascii="Arial" w:hAnsi="Arial" w:cs="Arial"/>
        </w:rPr>
        <w:t xml:space="preserve">, L., Pastorino, L., </w:t>
      </w:r>
      <w:proofErr w:type="spellStart"/>
      <w:r w:rsidRPr="008D186E">
        <w:rPr>
          <w:rFonts w:ascii="Arial" w:hAnsi="Arial" w:cs="Arial"/>
        </w:rPr>
        <w:t>Menculini</w:t>
      </w:r>
      <w:proofErr w:type="spellEnd"/>
      <w:r w:rsidRPr="008D186E">
        <w:rPr>
          <w:rFonts w:ascii="Arial" w:hAnsi="Arial" w:cs="Arial"/>
        </w:rPr>
        <w:t xml:space="preserve">, G. and Moretti, P. (2023) ‘Coercion and compulsory treatment in anorexia nervosa: a systematic review on legal and ethical issues’, </w:t>
      </w:r>
      <w:proofErr w:type="spellStart"/>
      <w:r w:rsidRPr="008D186E">
        <w:rPr>
          <w:rFonts w:ascii="Arial" w:hAnsi="Arial" w:cs="Arial"/>
        </w:rPr>
        <w:t>Psychiatria</w:t>
      </w:r>
      <w:proofErr w:type="spellEnd"/>
      <w:r w:rsidRPr="008D186E">
        <w:rPr>
          <w:rFonts w:ascii="Arial" w:hAnsi="Arial" w:cs="Arial"/>
        </w:rPr>
        <w:t xml:space="preserve"> </w:t>
      </w:r>
      <w:proofErr w:type="spellStart"/>
      <w:r w:rsidRPr="008D186E">
        <w:rPr>
          <w:rFonts w:ascii="Arial" w:hAnsi="Arial" w:cs="Arial"/>
        </w:rPr>
        <w:t>Danubina</w:t>
      </w:r>
      <w:proofErr w:type="spellEnd"/>
      <w:r w:rsidRPr="008D186E">
        <w:rPr>
          <w:rFonts w:ascii="Arial" w:hAnsi="Arial" w:cs="Arial"/>
        </w:rPr>
        <w:t>, 35(</w:t>
      </w:r>
      <w:proofErr w:type="spellStart"/>
      <w:r w:rsidRPr="008D186E">
        <w:rPr>
          <w:rFonts w:ascii="Arial" w:hAnsi="Arial" w:cs="Arial"/>
        </w:rPr>
        <w:t>Suppl</w:t>
      </w:r>
      <w:proofErr w:type="spellEnd"/>
      <w:r w:rsidRPr="008D186E">
        <w:rPr>
          <w:rFonts w:ascii="Arial" w:hAnsi="Arial" w:cs="Arial"/>
        </w:rPr>
        <w:t xml:space="preserve"> 2), pp. 206–216. Available at: </w:t>
      </w:r>
      <w:proofErr w:type="spellStart"/>
      <w:r w:rsidRPr="008D186E">
        <w:rPr>
          <w:rFonts w:ascii="Arial" w:hAnsi="Arial" w:cs="Arial"/>
        </w:rPr>
        <w:t>Psychiatria</w:t>
      </w:r>
      <w:proofErr w:type="spellEnd"/>
      <w:r w:rsidRPr="008D186E">
        <w:rPr>
          <w:rFonts w:ascii="Arial" w:hAnsi="Arial" w:cs="Arial"/>
        </w:rPr>
        <w:t xml:space="preserve"> </w:t>
      </w:r>
      <w:proofErr w:type="spellStart"/>
      <w:r w:rsidRPr="008D186E">
        <w:rPr>
          <w:rFonts w:ascii="Arial" w:hAnsi="Arial" w:cs="Arial"/>
        </w:rPr>
        <w:t>Danubina</w:t>
      </w:r>
      <w:proofErr w:type="spellEnd"/>
      <w:r w:rsidRPr="008D186E">
        <w:rPr>
          <w:rFonts w:ascii="Arial" w:hAnsi="Arial" w:cs="Arial"/>
        </w:rPr>
        <w:t xml:space="preserve"> (Accessed: 18 July 2026).</w:t>
      </w:r>
    </w:p>
    <w:p w14:paraId="156DB4F5"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Murray, S.B. et al. (2024) ‘Effectiveness of the Maudsley Model of Anorexia Nervosa Treatment for Adults: a systematic review’, Journal of Eating Disorders, 12. Available at: Murray et al. (2024) (Accessed: 18 July 2026). </w:t>
      </w:r>
    </w:p>
    <w:p w14:paraId="2CC3D12E" w14:textId="77777777" w:rsidR="00A352BC" w:rsidRPr="008D186E" w:rsidRDefault="00A352BC" w:rsidP="008D186E">
      <w:pPr>
        <w:spacing w:line="360" w:lineRule="auto"/>
        <w:jc w:val="both"/>
        <w:rPr>
          <w:rFonts w:ascii="Arial" w:hAnsi="Arial" w:cs="Arial"/>
        </w:rPr>
      </w:pPr>
      <w:r w:rsidRPr="008D186E">
        <w:rPr>
          <w:rFonts w:ascii="Arial" w:hAnsi="Arial" w:cs="Arial"/>
        </w:rPr>
        <w:t>PubMed</w:t>
      </w:r>
    </w:p>
    <w:p w14:paraId="6F3C91B2"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National Institute for Health and Care Excellence (NICE) (2018) </w:t>
      </w:r>
      <w:proofErr w:type="gramStart"/>
      <w:r w:rsidRPr="008D186E">
        <w:rPr>
          <w:rFonts w:ascii="Arial" w:hAnsi="Arial" w:cs="Arial"/>
        </w:rPr>
        <w:t>Eating disorders</w:t>
      </w:r>
      <w:proofErr w:type="gramEnd"/>
      <w:r w:rsidRPr="008D186E">
        <w:rPr>
          <w:rFonts w:ascii="Arial" w:hAnsi="Arial" w:cs="Arial"/>
        </w:rPr>
        <w:t>. Quality standard QS175. London: NICE. Available at: NICE QS175: Eating disorders (Accessed: 18 July 2026).</w:t>
      </w:r>
    </w:p>
    <w:p w14:paraId="01AE5E84"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National Institute for Health and Care Excellence (NICE) (2020) </w:t>
      </w:r>
      <w:proofErr w:type="gramStart"/>
      <w:r w:rsidRPr="008D186E">
        <w:rPr>
          <w:rFonts w:ascii="Arial" w:hAnsi="Arial" w:cs="Arial"/>
        </w:rPr>
        <w:t>Eating disorders</w:t>
      </w:r>
      <w:proofErr w:type="gramEnd"/>
      <w:r w:rsidRPr="008D186E">
        <w:rPr>
          <w:rFonts w:ascii="Arial" w:hAnsi="Arial" w:cs="Arial"/>
        </w:rPr>
        <w:t xml:space="preserve">: recognition and treatment. NICE guideline NG69. London: NICE. Available at: NICE NG69: Eating disorders (Accessed: 18 July 2026). </w:t>
      </w:r>
    </w:p>
    <w:p w14:paraId="196CA361" w14:textId="77777777" w:rsidR="00A352BC" w:rsidRPr="008D186E" w:rsidRDefault="00A352BC" w:rsidP="008D186E">
      <w:pPr>
        <w:spacing w:line="360" w:lineRule="auto"/>
        <w:jc w:val="both"/>
        <w:rPr>
          <w:rFonts w:ascii="Arial" w:hAnsi="Arial" w:cs="Arial"/>
        </w:rPr>
      </w:pPr>
      <w:r w:rsidRPr="008D186E">
        <w:rPr>
          <w:rFonts w:ascii="Arial" w:hAnsi="Arial" w:cs="Arial"/>
        </w:rPr>
        <w:t>NICE</w:t>
      </w:r>
    </w:p>
    <w:p w14:paraId="77C48745" w14:textId="77777777" w:rsidR="00A352BC" w:rsidRPr="008D186E" w:rsidRDefault="00A352BC" w:rsidP="008D186E">
      <w:pPr>
        <w:spacing w:line="360" w:lineRule="auto"/>
        <w:jc w:val="both"/>
        <w:rPr>
          <w:rFonts w:ascii="Arial" w:hAnsi="Arial" w:cs="Arial"/>
        </w:rPr>
      </w:pPr>
      <w:r w:rsidRPr="008D186E">
        <w:rPr>
          <w:rFonts w:ascii="Arial" w:hAnsi="Arial" w:cs="Arial"/>
        </w:rPr>
        <w:t>Treasure, J., Duarte, T.A. and Schmidt, U. (2020) ‘Eating disorders’, The Lancet, 395(10227), pp. 899–911. Available at: The Lancet: Eating disorders (Accessed: 18 July 2026).</w:t>
      </w:r>
    </w:p>
    <w:p w14:paraId="49865A67" w14:textId="77777777" w:rsidR="00A352BC" w:rsidRPr="008D186E" w:rsidRDefault="00A352BC" w:rsidP="008D186E">
      <w:pPr>
        <w:spacing w:line="360" w:lineRule="auto"/>
        <w:jc w:val="both"/>
        <w:rPr>
          <w:rFonts w:ascii="Arial" w:hAnsi="Arial" w:cs="Arial"/>
        </w:rPr>
      </w:pPr>
      <w:r w:rsidRPr="008D186E">
        <w:rPr>
          <w:rFonts w:ascii="Arial" w:hAnsi="Arial" w:cs="Arial"/>
        </w:rPr>
        <w:t>World Health Organization (WHO) (2024a) Clinical descriptions and diagnostic requirements for ICD-11 mental, behavioural or neurodevelopmental disorders. Geneva: WHO. Available at: WHO ICD-11 Clinical Descriptions and Diagnostic Requirements (Accessed: 18 July 2026).</w:t>
      </w:r>
    </w:p>
    <w:p w14:paraId="4246F078" w14:textId="77777777" w:rsidR="00A352BC" w:rsidRPr="008D186E" w:rsidRDefault="00A352BC" w:rsidP="008D186E">
      <w:pPr>
        <w:spacing w:line="360" w:lineRule="auto"/>
        <w:jc w:val="both"/>
        <w:rPr>
          <w:rFonts w:ascii="Arial" w:hAnsi="Arial" w:cs="Arial"/>
        </w:rPr>
      </w:pPr>
      <w:r w:rsidRPr="008D186E">
        <w:rPr>
          <w:rFonts w:ascii="Arial" w:hAnsi="Arial" w:cs="Arial"/>
        </w:rPr>
        <w:t>World Health Organization (WHO) (2024b) International Classification of Diseases 11th Revision (ICD-11). Geneva: WHO. Available at: WHO ICD-11 (Accessed: 18 July 2026).</w:t>
      </w:r>
    </w:p>
    <w:p w14:paraId="3683F746" w14:textId="77777777" w:rsidR="00A352BC" w:rsidRPr="008D186E" w:rsidRDefault="00A352BC" w:rsidP="008D186E">
      <w:pPr>
        <w:spacing w:line="360" w:lineRule="auto"/>
        <w:jc w:val="both"/>
        <w:rPr>
          <w:rFonts w:ascii="Arial" w:hAnsi="Arial" w:cs="Arial"/>
        </w:rPr>
      </w:pPr>
      <w:r w:rsidRPr="008D186E">
        <w:rPr>
          <w:rFonts w:ascii="Arial" w:hAnsi="Arial" w:cs="Arial"/>
        </w:rPr>
        <w:t xml:space="preserve">Zeeck, A., </w:t>
      </w:r>
      <w:proofErr w:type="spellStart"/>
      <w:r w:rsidRPr="008D186E">
        <w:rPr>
          <w:rFonts w:ascii="Arial" w:hAnsi="Arial" w:cs="Arial"/>
        </w:rPr>
        <w:t>Herpertz</w:t>
      </w:r>
      <w:proofErr w:type="spellEnd"/>
      <w:r w:rsidRPr="008D186E">
        <w:rPr>
          <w:rFonts w:ascii="Arial" w:hAnsi="Arial" w:cs="Arial"/>
        </w:rPr>
        <w:t xml:space="preserve">-Dahlmann, B., Friederich, H.-C., Brockmeyer, T., </w:t>
      </w:r>
      <w:proofErr w:type="spellStart"/>
      <w:r w:rsidRPr="008D186E">
        <w:rPr>
          <w:rFonts w:ascii="Arial" w:hAnsi="Arial" w:cs="Arial"/>
        </w:rPr>
        <w:t>Resmark</w:t>
      </w:r>
      <w:proofErr w:type="spellEnd"/>
      <w:r w:rsidRPr="008D186E">
        <w:rPr>
          <w:rFonts w:ascii="Arial" w:hAnsi="Arial" w:cs="Arial"/>
        </w:rPr>
        <w:t xml:space="preserve">, G., Hagenah, U., Ehrlich, S., Cuntz, U., Herzog, W., Zipfel, S. and Hartmann, A. (2018) ‘Psychotherapeutic treatment for anorexia nervosa: a systematic review and network meta-analysis’, Frontiers in Psychiatry, 9, p. 158. Available at: Zeeck et al. (2018) (Accessed: 18 July 2026). </w:t>
      </w:r>
    </w:p>
    <w:p w14:paraId="7FB1FD6F" w14:textId="77777777" w:rsidR="00A352BC" w:rsidRPr="008D186E" w:rsidRDefault="00A352BC" w:rsidP="008D186E">
      <w:pPr>
        <w:spacing w:line="360" w:lineRule="auto"/>
        <w:jc w:val="both"/>
        <w:rPr>
          <w:rFonts w:ascii="Arial" w:hAnsi="Arial" w:cs="Arial"/>
        </w:rPr>
      </w:pPr>
      <w:r w:rsidRPr="008D186E">
        <w:rPr>
          <w:rFonts w:ascii="Arial" w:hAnsi="Arial" w:cs="Arial"/>
        </w:rPr>
        <w:t>Frontiers</w:t>
      </w:r>
    </w:p>
    <w:p w14:paraId="38820E08" w14:textId="6A5496B0" w:rsidR="009D092F" w:rsidRPr="008D186E" w:rsidRDefault="00A352BC" w:rsidP="008D186E">
      <w:pPr>
        <w:spacing w:line="360" w:lineRule="auto"/>
        <w:jc w:val="both"/>
        <w:rPr>
          <w:rFonts w:ascii="Arial" w:hAnsi="Arial" w:cs="Arial"/>
        </w:rPr>
      </w:pPr>
      <w:r w:rsidRPr="008D186E">
        <w:rPr>
          <w:rFonts w:ascii="Arial" w:hAnsi="Arial" w:cs="Arial"/>
        </w:rPr>
        <w:lastRenderedPageBreak/>
        <w:t>Zipfel, S., Giel, K.E., Bulik, C.M., Hay, P. and Schmidt, U. (2015) ‘Anorexia nervosa: aetiology, assessment, and treatment’, The Lancet Psychiatry, 2(12), pp. 1099–1111. Available at: Zipfel et al. (2015) (Accessed: 18 July 2026).</w:t>
      </w:r>
    </w:p>
    <w:sectPr w:rsidR="009D092F" w:rsidRPr="008D186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A04EF" w14:textId="77777777" w:rsidR="003E70BE" w:rsidRDefault="003E70BE" w:rsidP="008D186E">
      <w:pPr>
        <w:spacing w:after="0" w:line="240" w:lineRule="auto"/>
      </w:pPr>
      <w:r>
        <w:separator/>
      </w:r>
    </w:p>
  </w:endnote>
  <w:endnote w:type="continuationSeparator" w:id="0">
    <w:p w14:paraId="25B65FFD" w14:textId="77777777" w:rsidR="003E70BE" w:rsidRDefault="003E70BE" w:rsidP="008D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730020"/>
      <w:docPartObj>
        <w:docPartGallery w:val="Page Numbers (Bottom of Page)"/>
        <w:docPartUnique/>
      </w:docPartObj>
    </w:sdtPr>
    <w:sdtEndPr>
      <w:rPr>
        <w:noProof/>
      </w:rPr>
    </w:sdtEndPr>
    <w:sdtContent>
      <w:p w14:paraId="399E1AF4" w14:textId="2B434D77" w:rsidR="008D186E" w:rsidRDefault="008D18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F4D6C3" w14:textId="77777777" w:rsidR="008D186E" w:rsidRDefault="008D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C3B3B" w14:textId="77777777" w:rsidR="003E70BE" w:rsidRDefault="003E70BE" w:rsidP="008D186E">
      <w:pPr>
        <w:spacing w:after="0" w:line="240" w:lineRule="auto"/>
      </w:pPr>
      <w:r>
        <w:separator/>
      </w:r>
    </w:p>
  </w:footnote>
  <w:footnote w:type="continuationSeparator" w:id="0">
    <w:p w14:paraId="36A14B69" w14:textId="77777777" w:rsidR="003E70BE" w:rsidRDefault="003E70BE" w:rsidP="008D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73689"/>
    <w:multiLevelType w:val="hybridMultilevel"/>
    <w:tmpl w:val="36A239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6F09F3"/>
    <w:multiLevelType w:val="hybridMultilevel"/>
    <w:tmpl w:val="47224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3886893">
    <w:abstractNumId w:val="1"/>
  </w:num>
  <w:num w:numId="2" w16cid:durableId="490753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BC"/>
    <w:rsid w:val="003E70BE"/>
    <w:rsid w:val="004365FC"/>
    <w:rsid w:val="008D186E"/>
    <w:rsid w:val="009D092F"/>
    <w:rsid w:val="00A352BC"/>
    <w:rsid w:val="00B6703D"/>
    <w:rsid w:val="00DC0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E0D59"/>
  <w15:chartTrackingRefBased/>
  <w15:docId w15:val="{311A9AAE-4FBD-4C60-8C76-2AFF0642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2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2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2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2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52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52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2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2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2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2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2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2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2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2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2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2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2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2BC"/>
    <w:rPr>
      <w:rFonts w:eastAsiaTheme="majorEastAsia" w:cstheme="majorBidi"/>
      <w:color w:val="272727" w:themeColor="text1" w:themeTint="D8"/>
    </w:rPr>
  </w:style>
  <w:style w:type="paragraph" w:styleId="Title">
    <w:name w:val="Title"/>
    <w:basedOn w:val="Normal"/>
    <w:next w:val="Normal"/>
    <w:link w:val="TitleChar"/>
    <w:uiPriority w:val="10"/>
    <w:qFormat/>
    <w:rsid w:val="00A352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2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2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2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2BC"/>
    <w:pPr>
      <w:spacing w:before="160"/>
      <w:jc w:val="center"/>
    </w:pPr>
    <w:rPr>
      <w:i/>
      <w:iCs/>
      <w:color w:val="404040" w:themeColor="text1" w:themeTint="BF"/>
    </w:rPr>
  </w:style>
  <w:style w:type="character" w:customStyle="1" w:styleId="QuoteChar">
    <w:name w:val="Quote Char"/>
    <w:basedOn w:val="DefaultParagraphFont"/>
    <w:link w:val="Quote"/>
    <w:uiPriority w:val="29"/>
    <w:rsid w:val="00A352BC"/>
    <w:rPr>
      <w:i/>
      <w:iCs/>
      <w:color w:val="404040" w:themeColor="text1" w:themeTint="BF"/>
    </w:rPr>
  </w:style>
  <w:style w:type="paragraph" w:styleId="ListParagraph">
    <w:name w:val="List Paragraph"/>
    <w:basedOn w:val="Normal"/>
    <w:uiPriority w:val="34"/>
    <w:qFormat/>
    <w:rsid w:val="00A352BC"/>
    <w:pPr>
      <w:ind w:left="720"/>
      <w:contextualSpacing/>
    </w:pPr>
  </w:style>
  <w:style w:type="character" w:styleId="IntenseEmphasis">
    <w:name w:val="Intense Emphasis"/>
    <w:basedOn w:val="DefaultParagraphFont"/>
    <w:uiPriority w:val="21"/>
    <w:qFormat/>
    <w:rsid w:val="00A352BC"/>
    <w:rPr>
      <w:i/>
      <w:iCs/>
      <w:color w:val="0F4761" w:themeColor="accent1" w:themeShade="BF"/>
    </w:rPr>
  </w:style>
  <w:style w:type="paragraph" w:styleId="IntenseQuote">
    <w:name w:val="Intense Quote"/>
    <w:basedOn w:val="Normal"/>
    <w:next w:val="Normal"/>
    <w:link w:val="IntenseQuoteChar"/>
    <w:uiPriority w:val="30"/>
    <w:qFormat/>
    <w:rsid w:val="00A352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2BC"/>
    <w:rPr>
      <w:i/>
      <w:iCs/>
      <w:color w:val="0F4761" w:themeColor="accent1" w:themeShade="BF"/>
    </w:rPr>
  </w:style>
  <w:style w:type="character" w:styleId="IntenseReference">
    <w:name w:val="Intense Reference"/>
    <w:basedOn w:val="DefaultParagraphFont"/>
    <w:uiPriority w:val="32"/>
    <w:qFormat/>
    <w:rsid w:val="00A352BC"/>
    <w:rPr>
      <w:b/>
      <w:bCs/>
      <w:smallCaps/>
      <w:color w:val="0F4761" w:themeColor="accent1" w:themeShade="BF"/>
      <w:spacing w:val="5"/>
    </w:rPr>
  </w:style>
  <w:style w:type="paragraph" w:styleId="Header">
    <w:name w:val="header"/>
    <w:basedOn w:val="Normal"/>
    <w:link w:val="HeaderChar"/>
    <w:uiPriority w:val="99"/>
    <w:unhideWhenUsed/>
    <w:rsid w:val="008D1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86E"/>
  </w:style>
  <w:style w:type="paragraph" w:styleId="Footer">
    <w:name w:val="footer"/>
    <w:basedOn w:val="Normal"/>
    <w:link w:val="FooterChar"/>
    <w:uiPriority w:val="99"/>
    <w:unhideWhenUsed/>
    <w:rsid w:val="008D1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86E"/>
  </w:style>
  <w:style w:type="paragraph" w:styleId="NoSpacing">
    <w:name w:val="No Spacing"/>
    <w:uiPriority w:val="1"/>
    <w:qFormat/>
    <w:rsid w:val="004365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2432</Words>
  <Characters>13869</Characters>
  <Application>Microsoft Office Word</Application>
  <DocSecurity>0</DocSecurity>
  <Lines>115</Lines>
  <Paragraphs>32</Paragraphs>
  <ScaleCrop>false</ScaleCrop>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Grobry (2244710)</dc:creator>
  <cp:keywords/>
  <dc:description/>
  <cp:lastModifiedBy>Nadia Grobry (2244710)</cp:lastModifiedBy>
  <cp:revision>2</cp:revision>
  <dcterms:created xsi:type="dcterms:W3CDTF">2026-07-18T19:24:00Z</dcterms:created>
  <dcterms:modified xsi:type="dcterms:W3CDTF">2026-07-18T19:24:00Z</dcterms:modified>
</cp:coreProperties>
</file>