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EA266C4" wp14:paraId="68FEED54" wp14:textId="08A9F92F">
      <w:pPr>
        <w:spacing w:before="0" w:beforeAutospacing="off" w:after="160" w:afterAutospacing="off" w:line="276" w:lineRule="auto"/>
      </w:pPr>
      <w:r w:rsidRPr="7EA266C4" w:rsidR="67E47995">
        <w:rPr>
          <w:rFonts w:ascii="Aptos" w:hAnsi="Aptos" w:eastAsia="Aptos" w:cs="Aptos"/>
          <w:noProof w:val="0"/>
          <w:sz w:val="28"/>
          <w:szCs w:val="28"/>
          <w:lang w:val="en-US"/>
        </w:rPr>
        <w:t>Discuss the value of outdoor adventure (OA) programmes in a post-modern society.</w:t>
      </w:r>
    </w:p>
    <w:p xmlns:wp14="http://schemas.microsoft.com/office/word/2010/wordml" w:rsidP="7EA266C4" wp14:paraId="28A0F70F" wp14:textId="4347D08D">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22FFD06E" wp14:textId="545A1F64">
      <w:pPr>
        <w:spacing w:before="0" w:beforeAutospacing="off" w:after="160" w:afterAutospacing="off" w:line="276" w:lineRule="auto"/>
      </w:pPr>
      <w:r w:rsidRPr="7EA266C4" w:rsidR="67E47995">
        <w:rPr>
          <w:rFonts w:ascii="Aptos" w:hAnsi="Aptos" w:eastAsia="Aptos" w:cs="Aptos"/>
          <w:noProof w:val="0"/>
          <w:sz w:val="24"/>
          <w:szCs w:val="24"/>
          <w:lang w:val="en-US"/>
        </w:rPr>
        <w:t>Priest and Gass (2005) define outdoor adventure education as an experiential approach that combines physical activity, personal growth, and skill-building through direct outdoor experiences. They emphasize the OAE aims to develop leadership, resilience, and collaborative skills in participants by placing them in challenging, sometimes unpredictable environments. Bauman (1991), describes postmodern society as one where traditional norms and community structures have weakened, leading to “liquid modernity”. He argues that postmodernism amplifies individual freedom, fluidity, and a fragmented approach to identity, where personal choice replaces fixed social roles.</w:t>
      </w:r>
    </w:p>
    <w:p xmlns:wp14="http://schemas.microsoft.com/office/word/2010/wordml" w:rsidP="7EA266C4" wp14:paraId="77421F09" wp14:textId="34FF5804">
      <w:pPr>
        <w:spacing w:before="0" w:beforeAutospacing="off" w:after="160" w:afterAutospacing="off" w:line="276" w:lineRule="auto"/>
      </w:pPr>
      <w:r w:rsidRPr="7EA266C4" w:rsidR="67E47995">
        <w:rPr>
          <w:rFonts w:ascii="Aptos" w:hAnsi="Aptos" w:eastAsia="Aptos" w:cs="Aptos"/>
          <w:noProof w:val="0"/>
          <w:sz w:val="24"/>
          <w:szCs w:val="24"/>
          <w:lang w:val="en-US"/>
        </w:rPr>
        <w:t>In a post-modern society with an increase in technology, environmental crises, individualism, and fragmented social structures, the value of OA programmes has become more important. As digital devices become more prevalent, young people in particular, are now facing higher levels of digital dependency, social isolation, and separation from the nature world. These programmes offer opportunities for people to reconnect with nature, develop resilience and social bonds, qualities often outweighed by the digital and individualistic tendencies of postmodern life.  This essay explores the varied benefits of OA programmes, debating that they do not only improve wellbeing but also discuss key societal challenges by encouraging a grounded approach to working through the complications of this postmodern society. Outdoor adventure programmes also have significant value in a postmodern society, addressing issues of nature deficit disorder, disengagement, and a decrease in community, but aswell, promote resilience, personal-growth and development.</w:t>
      </w:r>
    </w:p>
    <w:p xmlns:wp14="http://schemas.microsoft.com/office/word/2010/wordml" w:rsidP="7EA266C4" wp14:paraId="0771D0DE" wp14:textId="5E03D75E">
      <w:pPr>
        <w:spacing w:before="0" w:beforeAutospacing="off" w:after="160" w:afterAutospacing="off" w:line="276" w:lineRule="auto"/>
      </w:pPr>
      <w:r w:rsidRPr="7EA266C4" w:rsidR="67E47995">
        <w:rPr>
          <w:rFonts w:ascii="Aptos" w:hAnsi="Aptos" w:eastAsia="Aptos" w:cs="Aptos"/>
          <w:noProof w:val="0"/>
          <w:sz w:val="24"/>
          <w:szCs w:val="24"/>
          <w:lang w:val="en-US"/>
        </w:rPr>
        <w:t xml:space="preserve"> </w:t>
      </w:r>
    </w:p>
    <w:p xmlns:wp14="http://schemas.microsoft.com/office/word/2010/wordml" w:rsidP="7EA266C4" wp14:paraId="5737F703" wp14:textId="707D1E80">
      <w:pPr>
        <w:spacing w:before="0" w:beforeAutospacing="off" w:after="160" w:afterAutospacing="off" w:line="276" w:lineRule="auto"/>
      </w:pPr>
      <w:r w:rsidRPr="7EA266C4" w:rsidR="67E47995">
        <w:rPr>
          <w:rFonts w:ascii="Aptos" w:hAnsi="Aptos" w:eastAsia="Aptos" w:cs="Aptos"/>
          <w:noProof w:val="0"/>
          <w:sz w:val="24"/>
          <w:szCs w:val="24"/>
          <w:lang w:val="en-US"/>
        </w:rPr>
        <w:t>In our postmodern society, technology is heavily mixed into everyday life in many different ways. This has led to high levels of digital dependency, and an ongoing conversation of nature-deficit disorder.  With the use of technology in day-to-day life, the younger generations are not as resilient or persistent as other generations. Louv (2005) states ‘Unlike television, nature does not steal time; it amplifies it’. This can be taken to mean a large variety of things. When children spend time in the outdoors, it can help them develop their creativity and can also give them a sense of freedom by being and playing outside, whether with people or by themselves. Louv also goes on to say, ‘Nature offers healing for a child living in a destructive family or neighbourhood’. By going outside into the fresh air, it is not only good for an individual’s physical health, but also is promoting mindfulness and presence in nature, which with more research being done, has shown this is beneficial to people’s physical and mental health and wellbeing (Allen. et al. 2020). OA programmes are a good way for children to be able to get away from modern technology and stressful situations, whether that be families, friends, or school. OA centres around the UK, discourage the use of technology when they have residents visiting. Outdoor adventure programmes are now seen as a way for individuals to have a structured time to unplug from their devices and they encourage participants to engage in their natural surroundings and with the other people participating in the activities.</w:t>
      </w:r>
    </w:p>
    <w:p xmlns:wp14="http://schemas.microsoft.com/office/word/2010/wordml" w:rsidP="7EA266C4" wp14:paraId="31C5BA7B" wp14:textId="72FA2514">
      <w:pPr>
        <w:spacing w:before="0" w:beforeAutospacing="off" w:after="160" w:afterAutospacing="off" w:line="276" w:lineRule="auto"/>
      </w:pPr>
      <w:r w:rsidRPr="7EA266C4" w:rsidR="67E47995">
        <w:rPr>
          <w:rFonts w:ascii="Aptos" w:hAnsi="Aptos" w:eastAsia="Aptos" w:cs="Aptos"/>
          <w:noProof w:val="0"/>
          <w:sz w:val="24"/>
          <w:szCs w:val="24"/>
          <w:lang w:val="en-US"/>
        </w:rPr>
        <w:t xml:space="preserve">By restricting the use of technology at adventure centres, this also helps individuals to develop key skills like problem solving, self-efficacy, and helps build their confidence. These skills can then be taken away from this experience and aid them in other areas of life, such as friendships, school or work. With the use of technology there can also be a worry of safety towards individuals if they use them on adventurous activities. The participants may become too focused on the device, and therefore become distracted and put people in danger by not paying attention. While there are also environmental conditions (e.g hot, cold, wind, darkness) that may distract people from activities, it is easy to for participants to not bring devices, unless necessary (Hills, 2024). </w:t>
      </w:r>
    </w:p>
    <w:p xmlns:wp14="http://schemas.microsoft.com/office/word/2010/wordml" w:rsidP="7EA266C4" wp14:paraId="2768B7DE" wp14:textId="3A344C5F">
      <w:pPr>
        <w:spacing w:before="0" w:beforeAutospacing="off" w:after="160" w:afterAutospacing="off" w:line="276" w:lineRule="auto"/>
      </w:pPr>
      <w:r w:rsidRPr="7EA266C4" w:rsidR="67E47995">
        <w:rPr>
          <w:rFonts w:ascii="Aptos" w:hAnsi="Aptos" w:eastAsia="Aptos" w:cs="Aptos"/>
          <w:noProof w:val="0"/>
          <w:sz w:val="24"/>
          <w:szCs w:val="24"/>
          <w:lang w:val="en-US"/>
        </w:rPr>
        <w:t xml:space="preserve"> </w:t>
      </w:r>
    </w:p>
    <w:p xmlns:wp14="http://schemas.microsoft.com/office/word/2010/wordml" w:rsidP="7EA266C4" wp14:paraId="437116A2" wp14:textId="4D64175E">
      <w:pPr>
        <w:spacing w:before="0" w:beforeAutospacing="off" w:after="160" w:afterAutospacing="off" w:line="276" w:lineRule="auto"/>
      </w:pPr>
      <w:r w:rsidRPr="7EA266C4" w:rsidR="67E47995">
        <w:rPr>
          <w:rFonts w:ascii="Aptos" w:hAnsi="Aptos" w:eastAsia="Aptos" w:cs="Aptos"/>
          <w:noProof w:val="0"/>
          <w:sz w:val="24"/>
          <w:szCs w:val="24"/>
          <w:lang w:val="en-US"/>
        </w:rPr>
        <w:t>In a world where traditional community structures are declining and people are connecting more via technology rather than face-to-face, OA programmes are a way for people to connect and develop in-person bonds and learn important social skills. These programmes place individuals, potentially with no prior knowledge of each other, in situations where teamwork is essential. This can encourage trust, empathy and mutual reliance.  It has been highlighted by Priest and Gass (2005) how collaborative the nature of OA activities is, and how they harbour trust and cooperation with the participants. It is argued that through group-based activities and shared decision making, people establish strong connections and a sense of community, which are important factors for successful adventure programmes. Such high-stakes interdependence often helps the bonding process, leading to better interpersonal connections than might be achieved in a conventional social setting. For example, while rock climbing, you need a belayer for your safety. It is noticeable, that often individuals have specific people that they like to climb with, because they have developed a good level of trust with each other and know that they will always be safe with their life physically in the other persons hands. Experiences like this promote a deep level of trust and resilience, which can produce bonds quickly and meaningfully.</w:t>
      </w:r>
    </w:p>
    <w:p xmlns:wp14="http://schemas.microsoft.com/office/word/2010/wordml" w:rsidP="7EA266C4" wp14:paraId="502449C1" wp14:textId="6CAF0913">
      <w:pPr>
        <w:spacing w:before="0" w:beforeAutospacing="off" w:after="160" w:afterAutospacing="off" w:line="276" w:lineRule="auto"/>
      </w:pPr>
      <w:r w:rsidRPr="7EA266C4" w:rsidR="67E47995">
        <w:rPr>
          <w:rFonts w:ascii="Aptos" w:hAnsi="Aptos" w:eastAsia="Aptos" w:cs="Aptos"/>
          <w:noProof w:val="0"/>
          <w:sz w:val="24"/>
          <w:szCs w:val="24"/>
          <w:lang w:val="en-US"/>
        </w:rPr>
        <w:t>The joint experience of outdoor adventure programmes can gather a sense of togetherness and a common goal as participants deal with and overcome challenges together. For example, while participating in the Rotary Youth Leadership Awards programme, while no one on the course knew each other, we all had one thing in common, an interest in the outdoors. For the week, we did team building exercises to get to know each other on a better level, these were things such as group obstacle courses and timed challenges. To this day, we all still talk with one another and keep everyone updated about ourselves. Where you are able to talk about how digital technology does not always have a place in outdoor adventure programmes, if it was not for technology, we wouldn’t be able to connect with people we have met from these experiences.</w:t>
      </w:r>
    </w:p>
    <w:p xmlns:wp14="http://schemas.microsoft.com/office/word/2010/wordml" w:rsidP="7EA266C4" wp14:paraId="64E80BF5" wp14:textId="263363B5">
      <w:pPr>
        <w:spacing w:before="0" w:beforeAutospacing="off" w:after="160" w:afterAutospacing="off" w:line="276" w:lineRule="auto"/>
      </w:pPr>
      <w:r w:rsidRPr="7EA266C4" w:rsidR="67E47995">
        <w:rPr>
          <w:rFonts w:ascii="Aptos" w:hAnsi="Aptos" w:eastAsia="Aptos" w:cs="Aptos"/>
          <w:noProof w:val="0"/>
          <w:sz w:val="24"/>
          <w:szCs w:val="24"/>
          <w:lang w:val="en-US"/>
        </w:rPr>
        <w:t>Unlike the splintered, sometimes frivolous nature of digital connections, these shared experiences create foundations of empathy and understanding. People learn to communicate confidently with others, respect other’s strengths and weaknesses, and work together to reach the common goals, which all builds a strong sense of community. In working on activities like hiking or team-based problem solving, individuals come to rely on each other’s specific skill sets, fostering a feeling of mutual respect and acceptance that exceed their differences.</w:t>
      </w:r>
    </w:p>
    <w:p xmlns:wp14="http://schemas.microsoft.com/office/word/2010/wordml" w:rsidP="7EA266C4" wp14:paraId="219F3630" wp14:textId="57124DBE">
      <w:pPr>
        <w:spacing w:before="0" w:beforeAutospacing="off" w:after="160" w:afterAutospacing="off" w:line="276" w:lineRule="auto"/>
      </w:pPr>
      <w:r w:rsidRPr="7EA266C4" w:rsidR="67E47995">
        <w:rPr>
          <w:rFonts w:ascii="Aptos" w:hAnsi="Aptos" w:eastAsia="Aptos" w:cs="Aptos"/>
          <w:noProof w:val="0"/>
          <w:sz w:val="24"/>
          <w:szCs w:val="24"/>
          <w:lang w:val="en-US"/>
        </w:rPr>
        <w:t xml:space="preserve"> </w:t>
      </w:r>
    </w:p>
    <w:p xmlns:wp14="http://schemas.microsoft.com/office/word/2010/wordml" w:rsidP="7EA266C4" wp14:paraId="6DF8E766" wp14:textId="72BB0272">
      <w:pPr>
        <w:spacing w:before="0" w:beforeAutospacing="off" w:after="160" w:afterAutospacing="off" w:line="276" w:lineRule="auto"/>
      </w:pPr>
      <w:r w:rsidRPr="7EA266C4" w:rsidR="67E47995">
        <w:rPr>
          <w:rFonts w:ascii="Aptos" w:hAnsi="Aptos" w:eastAsia="Aptos" w:cs="Aptos"/>
          <w:noProof w:val="0"/>
          <w:sz w:val="24"/>
          <w:szCs w:val="24"/>
          <w:lang w:val="en-US"/>
        </w:rPr>
        <w:t xml:space="preserve">As a society struggling with a major environmental crisis, this is an urgent need to create a sense of responsibility for the outdoor world. OA programmes do not only increase peoples appreciation for nature but also inform them in sustainable practises, like Leave No Trace. This set of outdoor ethics accentuates minimizing human impact to the natural environments in practises like properly disposing of waste, respecting and protecting wildlife, and staying on designated paths. OA programmes educate people and equip them with the practical knowledge and skills to enjoy the outdoor setting responsibly. By also immersing young people in nature more, they may develop a love for protecting it and having it as a place they can go and feel safe. </w:t>
      </w:r>
    </w:p>
    <w:p xmlns:wp14="http://schemas.microsoft.com/office/word/2010/wordml" w:rsidP="7EA266C4" wp14:paraId="0C879AC8" wp14:textId="09F7DF1A">
      <w:pPr>
        <w:spacing w:before="0" w:beforeAutospacing="off" w:after="160" w:afterAutospacing="off" w:line="276" w:lineRule="auto"/>
      </w:pPr>
      <w:r w:rsidRPr="7EA266C4" w:rsidR="67E47995">
        <w:rPr>
          <w:rFonts w:ascii="Aptos" w:hAnsi="Aptos" w:eastAsia="Aptos" w:cs="Aptos"/>
          <w:noProof w:val="0"/>
          <w:sz w:val="24"/>
          <w:szCs w:val="24"/>
          <w:lang w:val="en-US"/>
        </w:rPr>
        <w:t xml:space="preserve">Aswell as teaching sustainable practises, adventure programmes get participants involved in natural settings where they can experience the beauty and diversity of nature firsthand. These experiences often offer a personal connection to nature, leading people to evolve a sense of reverence and protectiveness of it. </w:t>
      </w:r>
    </w:p>
    <w:p xmlns:wp14="http://schemas.microsoft.com/office/word/2010/wordml" w:rsidP="7EA266C4" wp14:paraId="615B7390" wp14:textId="38E2AAF3">
      <w:pPr>
        <w:spacing w:before="0" w:beforeAutospacing="off" w:after="160" w:afterAutospacing="off" w:line="276" w:lineRule="auto"/>
      </w:pPr>
      <w:r w:rsidRPr="7EA266C4" w:rsidR="67E47995">
        <w:rPr>
          <w:rFonts w:ascii="Aptos" w:hAnsi="Aptos" w:eastAsia="Aptos" w:cs="Aptos"/>
          <w:noProof w:val="0"/>
          <w:sz w:val="24"/>
          <w:szCs w:val="24"/>
          <w:lang w:val="en-US"/>
        </w:rPr>
        <w:t xml:space="preserve"> </w:t>
      </w:r>
    </w:p>
    <w:p xmlns:wp14="http://schemas.microsoft.com/office/word/2010/wordml" w:rsidP="7EA266C4" wp14:paraId="486CA3FC" wp14:textId="75849481">
      <w:pPr>
        <w:spacing w:before="0" w:beforeAutospacing="off" w:after="160" w:afterAutospacing="off" w:line="276" w:lineRule="auto"/>
      </w:pPr>
      <w:r w:rsidRPr="7EA266C4" w:rsidR="67E47995">
        <w:rPr>
          <w:rFonts w:ascii="Aptos" w:hAnsi="Aptos" w:eastAsia="Aptos" w:cs="Aptos"/>
          <w:noProof w:val="0"/>
          <w:sz w:val="24"/>
          <w:szCs w:val="24"/>
          <w:lang w:val="en-US"/>
        </w:rPr>
        <w:t>In conclusion, outdoor adventure programmes offer important benefits in a postmodern society, where digital technology is taking over, there is social isolation, and environmental issues have become unmissable. By adopting resilience, community, mindfulness, and consciousness, these programmes provide valuable ways to navigate the challenges of modern society. Outdoor adventure programmes offer important opportunities for people to disconnect from media, they provide personal growth and community building, aswell as environmental protection. As our post modern society continues to develop, OA programmes are a valuable way to ensure individuals remain connected to each other, themselves, and the natural environment. These experiences grow a greater sense of self-efficacy and confidence, helping participants work their way through the difficulties of an increasingly fractured society. In an age of diminishing community structure, outdoor adventure programmes are important for a healthier and more resilient society.</w:t>
      </w:r>
    </w:p>
    <w:p xmlns:wp14="http://schemas.microsoft.com/office/word/2010/wordml" w:rsidP="7EA266C4" wp14:paraId="2DADB9A2" wp14:textId="65BFBE2F">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39552D2D" wp14:textId="5230707E">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3A007340" wp14:textId="0E296645">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207C96E0" wp14:textId="2D8D3313">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0C1D925D" wp14:textId="598E2B51">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078B3594" wp14:textId="6FB84AE4">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3F678788" wp14:textId="4A9926FE">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081D85E1" wp14:textId="083B3BCD">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6D260473" wp14:textId="226DAE22">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1572CE1D" wp14:textId="32119F6D">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2EB490DB" wp14:textId="6333D09E">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2A5D7D52" wp14:textId="3040B472">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5F996DC4" wp14:textId="40670D6C">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773686D6" wp14:textId="4AC7270C">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2C1EBC5B" wp14:textId="10441B3E">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37FB2A87" wp14:textId="54772208">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0A177AAD" wp14:textId="37513A71">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6DA38A0E" wp14:textId="01E343FD">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0AE922FC" wp14:textId="3D488941">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5EEAAA15" wp14:textId="708B7D23">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75AEED5D" wp14:textId="7CB9B5E0">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6E29990F" wp14:textId="2222A7F8">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37358DA4" wp14:textId="26A9902B">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72D2193A" wp14:textId="5E31746E">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058A3E43" wp14:textId="505606AC">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6682CCC3" wp14:textId="1C801003">
      <w:pPr>
        <w:spacing w:before="0" w:beforeAutospacing="off" w:after="160" w:afterAutospacing="off" w:line="276" w:lineRule="auto"/>
      </w:pPr>
      <w:r w:rsidRPr="7EA266C4" w:rsidR="67E47995">
        <w:rPr>
          <w:rFonts w:ascii="Aptos" w:hAnsi="Aptos" w:eastAsia="Aptos" w:cs="Aptos"/>
          <w:strike w:val="0"/>
          <w:dstrike w:val="0"/>
          <w:noProof w:val="0"/>
          <w:sz w:val="24"/>
          <w:szCs w:val="24"/>
          <w:u w:val="none"/>
          <w:lang w:val="en-US"/>
        </w:rPr>
        <w:t xml:space="preserve"> </w:t>
      </w:r>
    </w:p>
    <w:p xmlns:wp14="http://schemas.microsoft.com/office/word/2010/wordml" w:rsidP="7EA266C4" wp14:paraId="26F91FEA" wp14:textId="6F07DECD">
      <w:pPr>
        <w:spacing w:before="0" w:beforeAutospacing="off" w:after="160" w:afterAutospacing="off" w:line="276" w:lineRule="auto"/>
      </w:pPr>
      <w:r w:rsidRPr="7EA266C4" w:rsidR="67E47995">
        <w:rPr>
          <w:rFonts w:ascii="Aptos" w:hAnsi="Aptos" w:eastAsia="Aptos" w:cs="Aptos"/>
          <w:noProof w:val="0"/>
          <w:sz w:val="24"/>
          <w:szCs w:val="24"/>
          <w:u w:val="single"/>
          <w:lang w:val="en-US"/>
        </w:rPr>
        <w:t>Bibliography / References</w:t>
      </w:r>
    </w:p>
    <w:p xmlns:wp14="http://schemas.microsoft.com/office/word/2010/wordml" w:rsidP="7EA266C4" wp14:paraId="6875C30D" wp14:textId="6456766E">
      <w:pPr>
        <w:spacing w:before="0" w:beforeAutospacing="off" w:after="160" w:afterAutospacing="off" w:line="276" w:lineRule="auto"/>
      </w:pPr>
      <w:r w:rsidRPr="7EA266C4" w:rsidR="67E47995">
        <w:rPr>
          <w:rFonts w:ascii="Aptos" w:hAnsi="Aptos" w:eastAsia="Aptos" w:cs="Aptos"/>
          <w:noProof w:val="0"/>
          <w:sz w:val="24"/>
          <w:szCs w:val="24"/>
          <w:lang w:val="en-US"/>
        </w:rPr>
        <w:t>Books:</w:t>
      </w:r>
    </w:p>
    <w:p xmlns:wp14="http://schemas.microsoft.com/office/word/2010/wordml" w:rsidP="7EA266C4" wp14:paraId="435B4D4A" wp14:textId="77A8640C">
      <w:pPr>
        <w:spacing w:before="0" w:beforeAutospacing="off" w:after="160" w:afterAutospacing="off" w:line="276" w:lineRule="auto"/>
      </w:pPr>
      <w:r w:rsidRPr="7EA266C4" w:rsidR="67E47995">
        <w:rPr>
          <w:rFonts w:ascii="Aptos" w:hAnsi="Aptos" w:eastAsia="Aptos" w:cs="Aptos"/>
          <w:noProof w:val="0"/>
          <w:sz w:val="24"/>
          <w:szCs w:val="24"/>
          <w:lang w:val="en-US"/>
        </w:rPr>
        <w:t>Bauman, Z. (1991). intimations of postmodernity. N.A.: Routledge. p.N.A.</w:t>
      </w:r>
    </w:p>
    <w:p xmlns:wp14="http://schemas.microsoft.com/office/word/2010/wordml" w:rsidP="7EA266C4" wp14:paraId="68179C88" wp14:textId="6FCC53F4">
      <w:pPr>
        <w:spacing w:before="0" w:beforeAutospacing="off" w:after="160" w:afterAutospacing="off" w:line="276" w:lineRule="auto"/>
      </w:pPr>
      <w:r w:rsidRPr="7EA266C4" w:rsidR="67E47995">
        <w:rPr>
          <w:rFonts w:ascii="Aptos" w:hAnsi="Aptos" w:eastAsia="Aptos" w:cs="Aptos"/>
          <w:noProof w:val="0"/>
          <w:sz w:val="24"/>
          <w:szCs w:val="24"/>
          <w:lang w:val="en-US"/>
        </w:rPr>
        <w:t xml:space="preserve">Beames, S., Mackie, C. and Atencio, M. (2019) Adventure and society. 1st ed. 2019. Cham, Switzerland: Palgrave Macmillan. Available at: </w:t>
      </w:r>
      <w:hyperlink r:id="R17e2b259308a4f2a">
        <w:r w:rsidRPr="7EA266C4" w:rsidR="67E47995">
          <w:rPr>
            <w:rStyle w:val="Hyperlink"/>
            <w:rFonts w:ascii="Aptos" w:hAnsi="Aptos" w:eastAsia="Aptos" w:cs="Aptos"/>
            <w:strike w:val="0"/>
            <w:dstrike w:val="0"/>
            <w:noProof w:val="0"/>
            <w:color w:val="467886"/>
            <w:sz w:val="24"/>
            <w:szCs w:val="24"/>
            <w:u w:val="single"/>
            <w:lang w:val="en-US"/>
          </w:rPr>
          <w:t>https://doi.org/10.1007/978-3-319-96062-3</w:t>
        </w:r>
      </w:hyperlink>
      <w:r w:rsidRPr="7EA266C4" w:rsidR="67E47995">
        <w:rPr>
          <w:rFonts w:ascii="Aptos" w:hAnsi="Aptos" w:eastAsia="Aptos" w:cs="Aptos"/>
          <w:noProof w:val="0"/>
          <w:sz w:val="24"/>
          <w:szCs w:val="24"/>
          <w:lang w:val="en-US"/>
        </w:rPr>
        <w:t>.</w:t>
      </w:r>
    </w:p>
    <w:p xmlns:wp14="http://schemas.microsoft.com/office/word/2010/wordml" w:rsidP="7EA266C4" wp14:paraId="34A4F310" wp14:textId="2E8EA3ED">
      <w:pPr>
        <w:spacing w:before="0" w:beforeAutospacing="off" w:after="160" w:afterAutospacing="off" w:line="276" w:lineRule="auto"/>
      </w:pPr>
      <w:r w:rsidRPr="7EA266C4" w:rsidR="67E47995">
        <w:rPr>
          <w:rFonts w:ascii="Aptos" w:hAnsi="Aptos" w:eastAsia="Aptos" w:cs="Aptos"/>
          <w:noProof w:val="0"/>
          <w:sz w:val="24"/>
          <w:szCs w:val="24"/>
          <w:lang w:val="en-US"/>
        </w:rPr>
        <w:t>Ewert, A.W., Sibthorp,J. (2014). Outdoor adventure education, foundations, theory, and research. Leeds, United Kingdom: Human Kinetics. p.N.A.</w:t>
      </w:r>
    </w:p>
    <w:p xmlns:wp14="http://schemas.microsoft.com/office/word/2010/wordml" w:rsidP="7EA266C4" wp14:paraId="75332709" wp14:textId="3CCCB913">
      <w:pPr>
        <w:spacing w:before="0" w:beforeAutospacing="off" w:after="160" w:afterAutospacing="off" w:line="276" w:lineRule="auto"/>
      </w:pPr>
      <w:r w:rsidRPr="7EA266C4" w:rsidR="67E47995">
        <w:rPr>
          <w:rFonts w:ascii="Aptos" w:hAnsi="Aptos" w:eastAsia="Aptos" w:cs="Aptos"/>
          <w:noProof w:val="0"/>
          <w:sz w:val="24"/>
          <w:szCs w:val="24"/>
          <w:lang w:val="en-US"/>
        </w:rPr>
        <w:t xml:space="preserve">Louv, R.  (2005). </w:t>
      </w:r>
      <w:r w:rsidRPr="7EA266C4" w:rsidR="67E47995">
        <w:rPr>
          <w:rFonts w:ascii="Aptos" w:hAnsi="Aptos" w:eastAsia="Aptos" w:cs="Aptos"/>
          <w:i w:val="1"/>
          <w:iCs w:val="1"/>
          <w:noProof w:val="0"/>
          <w:sz w:val="24"/>
          <w:szCs w:val="24"/>
          <w:lang w:val="en-US"/>
        </w:rPr>
        <w:t>Last Child in the Woods</w:t>
      </w:r>
      <w:r w:rsidRPr="7EA266C4" w:rsidR="67E47995">
        <w:rPr>
          <w:rFonts w:ascii="Aptos" w:hAnsi="Aptos" w:eastAsia="Aptos" w:cs="Aptos"/>
          <w:noProof w:val="0"/>
          <w:sz w:val="24"/>
          <w:szCs w:val="24"/>
          <w:lang w:val="en-US"/>
        </w:rPr>
        <w:t>. Chapel Hill: Algonquin Books. p.7.</w:t>
      </w:r>
    </w:p>
    <w:p xmlns:wp14="http://schemas.microsoft.com/office/word/2010/wordml" w:rsidP="7EA266C4" wp14:paraId="3EE06B39" wp14:textId="0047E0B3">
      <w:pPr>
        <w:spacing w:before="0" w:beforeAutospacing="off" w:after="160" w:afterAutospacing="off" w:line="276" w:lineRule="auto"/>
      </w:pPr>
      <w:r w:rsidRPr="7EA266C4" w:rsidR="67E47995">
        <w:rPr>
          <w:rFonts w:ascii="Aptos" w:hAnsi="Aptos" w:eastAsia="Aptos" w:cs="Aptos"/>
          <w:noProof w:val="0"/>
          <w:sz w:val="24"/>
          <w:szCs w:val="24"/>
          <w:lang w:val="en-US"/>
        </w:rPr>
        <w:t>Priest, S., &amp; Gass, M. A. (2005). Effective Leadership in Adventure Programming. Human Kinetics.</w:t>
      </w:r>
    </w:p>
    <w:p xmlns:wp14="http://schemas.microsoft.com/office/word/2010/wordml" w:rsidP="7EA266C4" wp14:paraId="6FEABEF3" wp14:textId="708C4B3F">
      <w:pPr>
        <w:spacing w:before="0" w:beforeAutospacing="off" w:after="160" w:afterAutospacing="off" w:line="276" w:lineRule="auto"/>
      </w:pPr>
      <w:r w:rsidRPr="7EA266C4" w:rsidR="67E47995">
        <w:rPr>
          <w:rFonts w:ascii="Aptos" w:hAnsi="Aptos" w:eastAsia="Aptos" w:cs="Aptos"/>
          <w:noProof w:val="0"/>
          <w:sz w:val="24"/>
          <w:szCs w:val="24"/>
          <w:lang w:val="en-US"/>
        </w:rPr>
        <w:t xml:space="preserve"> </w:t>
      </w:r>
    </w:p>
    <w:p xmlns:wp14="http://schemas.microsoft.com/office/word/2010/wordml" w:rsidP="7EA266C4" wp14:paraId="41F4E8D9" wp14:textId="4E0C8CAA">
      <w:pPr>
        <w:spacing w:before="0" w:beforeAutospacing="off" w:after="160" w:afterAutospacing="off" w:line="276" w:lineRule="auto"/>
      </w:pPr>
      <w:r w:rsidRPr="7EA266C4" w:rsidR="67E47995">
        <w:rPr>
          <w:rFonts w:ascii="Aptos" w:hAnsi="Aptos" w:eastAsia="Aptos" w:cs="Aptos"/>
          <w:noProof w:val="0"/>
          <w:sz w:val="24"/>
          <w:szCs w:val="24"/>
          <w:lang w:val="en-US"/>
        </w:rPr>
        <w:t>Journals:</w:t>
      </w:r>
    </w:p>
    <w:p xmlns:wp14="http://schemas.microsoft.com/office/word/2010/wordml" w:rsidP="7EA266C4" wp14:paraId="520C6AE0" wp14:textId="7C0E747B">
      <w:pPr>
        <w:spacing w:before="0" w:beforeAutospacing="off" w:after="160" w:afterAutospacing="off" w:line="276" w:lineRule="auto"/>
      </w:pPr>
      <w:r w:rsidRPr="7EA266C4" w:rsidR="67E47995">
        <w:rPr>
          <w:rFonts w:ascii="Aptos" w:hAnsi="Aptos" w:eastAsia="Aptos" w:cs="Aptos"/>
          <w:noProof w:val="0"/>
          <w:sz w:val="24"/>
          <w:szCs w:val="24"/>
          <w:lang w:val="en-US"/>
        </w:rPr>
        <w:t>Allen, J. Hardwell, A. Kay, C. Peacock, S. Hart, M. Dillon, M. Brymer, E. (2020</w:t>
      </w:r>
      <w:r w:rsidRPr="7EA266C4" w:rsidR="67E47995">
        <w:rPr>
          <w:rFonts w:ascii="Aptos" w:hAnsi="Aptos" w:eastAsia="Aptos" w:cs="Aptos"/>
          <w:i w:val="1"/>
          <w:iCs w:val="1"/>
          <w:noProof w:val="0"/>
          <w:sz w:val="24"/>
          <w:szCs w:val="24"/>
          <w:lang w:val="en-US"/>
        </w:rPr>
        <w:t>). Health and Wellbeing in an Outdoor and Adventure Sports Context.</w:t>
      </w:r>
      <w:r w:rsidRPr="7EA266C4" w:rsidR="67E47995">
        <w:rPr>
          <w:rFonts w:ascii="Aptos" w:hAnsi="Aptos" w:eastAsia="Aptos" w:cs="Aptos"/>
          <w:noProof w:val="0"/>
          <w:sz w:val="24"/>
          <w:szCs w:val="24"/>
          <w:lang w:val="en-US"/>
        </w:rPr>
        <w:t xml:space="preserve"> Sports. 8(4). [Online]. Available at: </w:t>
      </w:r>
      <w:hyperlink r:id="Ra497a9474cbe4f29">
        <w:r w:rsidRPr="7EA266C4" w:rsidR="67E47995">
          <w:rPr>
            <w:rStyle w:val="Hyperlink"/>
            <w:rFonts w:ascii="Aptos" w:hAnsi="Aptos" w:eastAsia="Aptos" w:cs="Aptos"/>
            <w:noProof w:val="0"/>
            <w:sz w:val="24"/>
            <w:szCs w:val="24"/>
            <w:lang w:val="en-US"/>
          </w:rPr>
          <w:t>https://doi.org/10.3390/sports8040050</w:t>
        </w:r>
      </w:hyperlink>
      <w:r w:rsidRPr="7EA266C4" w:rsidR="67E47995">
        <w:rPr>
          <w:rFonts w:ascii="Aptos" w:hAnsi="Aptos" w:eastAsia="Aptos" w:cs="Aptos"/>
          <w:noProof w:val="0"/>
          <w:sz w:val="24"/>
          <w:szCs w:val="24"/>
          <w:lang w:val="en-US"/>
        </w:rPr>
        <w:t xml:space="preserve"> [Accessed 24 October 2024].</w:t>
      </w:r>
    </w:p>
    <w:p xmlns:wp14="http://schemas.microsoft.com/office/word/2010/wordml" w:rsidP="7EA266C4" wp14:paraId="00CC6715" wp14:textId="3A3A0546">
      <w:pPr>
        <w:spacing w:before="0" w:beforeAutospacing="off" w:after="160" w:afterAutospacing="off" w:line="276" w:lineRule="auto"/>
      </w:pPr>
      <w:r w:rsidRPr="7EA266C4" w:rsidR="67E47995">
        <w:rPr>
          <w:rFonts w:ascii="Aptos" w:hAnsi="Aptos" w:eastAsia="Aptos" w:cs="Aptos"/>
          <w:noProof w:val="0"/>
          <w:sz w:val="24"/>
          <w:szCs w:val="24"/>
          <w:lang w:val="en-US"/>
        </w:rPr>
        <w:t xml:space="preserve">Hills, D., van Kraalingen, I., &amp; Thomas, G. J. (2024). </w:t>
      </w:r>
      <w:r w:rsidRPr="7EA266C4" w:rsidR="67E47995">
        <w:rPr>
          <w:rFonts w:ascii="Aptos" w:hAnsi="Aptos" w:eastAsia="Aptos" w:cs="Aptos"/>
          <w:i w:val="1"/>
          <w:iCs w:val="1"/>
          <w:noProof w:val="0"/>
          <w:sz w:val="24"/>
          <w:szCs w:val="24"/>
          <w:lang w:val="en-US"/>
        </w:rPr>
        <w:t>The Impact of Technology on Presence in Outdoor Education.</w:t>
      </w:r>
      <w:r w:rsidRPr="7EA266C4" w:rsidR="67E47995">
        <w:rPr>
          <w:rFonts w:ascii="Aptos" w:hAnsi="Aptos" w:eastAsia="Aptos" w:cs="Aptos"/>
          <w:noProof w:val="0"/>
          <w:sz w:val="24"/>
          <w:szCs w:val="24"/>
          <w:lang w:val="en-US"/>
        </w:rPr>
        <w:t xml:space="preserve"> Journal of Experiential Education, 47(2), 301-318. </w:t>
      </w:r>
      <w:hyperlink r:id="Reb8852e7849f47c1">
        <w:r w:rsidRPr="7EA266C4" w:rsidR="67E47995">
          <w:rPr>
            <w:rStyle w:val="Hyperlink"/>
            <w:rFonts w:ascii="Aptos" w:hAnsi="Aptos" w:eastAsia="Aptos" w:cs="Aptos"/>
            <w:strike w:val="0"/>
            <w:dstrike w:val="0"/>
            <w:noProof w:val="0"/>
            <w:color w:val="467886"/>
            <w:sz w:val="24"/>
            <w:szCs w:val="24"/>
            <w:u w:val="single"/>
            <w:lang w:val="en-US"/>
          </w:rPr>
          <w:t>https://doi.org/10.1177/10538259231202452</w:t>
        </w:r>
      </w:hyperlink>
      <w:r w:rsidRPr="7EA266C4" w:rsidR="67E47995">
        <w:rPr>
          <w:rFonts w:ascii="Aptos" w:hAnsi="Aptos" w:eastAsia="Aptos" w:cs="Aptos"/>
          <w:noProof w:val="0"/>
          <w:sz w:val="24"/>
          <w:szCs w:val="24"/>
          <w:lang w:val="en-US"/>
        </w:rPr>
        <w:t xml:space="preserve"> [Accessed 3 November 2024]</w:t>
      </w:r>
    </w:p>
    <w:p xmlns:wp14="http://schemas.microsoft.com/office/word/2010/wordml" w:rsidP="7EA266C4" wp14:paraId="75F5CB02" wp14:textId="5A924199">
      <w:pPr>
        <w:spacing w:before="0" w:beforeAutospacing="off" w:after="160" w:afterAutospacing="off" w:line="276" w:lineRule="auto"/>
      </w:pPr>
      <w:r w:rsidRPr="7EA266C4" w:rsidR="67E47995">
        <w:rPr>
          <w:rFonts w:ascii="Aptos" w:hAnsi="Aptos" w:eastAsia="Aptos" w:cs="Aptos"/>
          <w:noProof w:val="0"/>
          <w:sz w:val="24"/>
          <w:szCs w:val="24"/>
          <w:lang w:val="en-US"/>
        </w:rPr>
        <w:t xml:space="preserve"> </w:t>
      </w:r>
    </w:p>
    <w:p xmlns:wp14="http://schemas.microsoft.com/office/word/2010/wordml" w:rsidP="7EA266C4" wp14:paraId="4EF4B711" wp14:textId="4A817A31">
      <w:pPr>
        <w:spacing w:before="0" w:beforeAutospacing="off" w:after="160" w:afterAutospacing="off" w:line="276" w:lineRule="auto"/>
      </w:pPr>
      <w:r w:rsidRPr="7EA266C4" w:rsidR="67E47995">
        <w:rPr>
          <w:rFonts w:ascii="Aptos" w:hAnsi="Aptos" w:eastAsia="Aptos" w:cs="Aptos"/>
          <w:noProof w:val="0"/>
          <w:sz w:val="24"/>
          <w:szCs w:val="24"/>
          <w:lang w:val="en-US"/>
        </w:rPr>
        <w:t>Word count - 1354</w:t>
      </w:r>
    </w:p>
    <w:p xmlns:wp14="http://schemas.microsoft.com/office/word/2010/wordml" wp14:paraId="2C078E63" wp14:textId="21F1215A"/>
    <w:sectPr>
      <w:pgSz w:w="12240" w:h="15840" w:orient="portrait"/>
      <w:pgMar w:top="1440" w:right="1440" w:bottom="1440" w:left="1440" w:header="720" w:footer="720" w:gutter="0"/>
      <w:cols w:space="720"/>
      <w:docGrid w:linePitch="360"/>
      <w:headerReference w:type="default" r:id="R317715f71f634550"/>
      <w:footerReference w:type="default" r:id="R6a945b9cf47f46f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A266C4" w:rsidTr="7EA266C4" w14:paraId="3EF627E5">
      <w:trPr>
        <w:trHeight w:val="300"/>
      </w:trPr>
      <w:tc>
        <w:tcPr>
          <w:tcW w:w="3120" w:type="dxa"/>
          <w:tcMar/>
        </w:tcPr>
        <w:p w:rsidR="7EA266C4" w:rsidP="7EA266C4" w:rsidRDefault="7EA266C4" w14:paraId="59526EFC" w14:textId="598DB37C">
          <w:pPr>
            <w:pStyle w:val="Header"/>
            <w:bidi w:val="0"/>
            <w:ind w:left="-115"/>
            <w:jc w:val="left"/>
          </w:pPr>
        </w:p>
      </w:tc>
      <w:tc>
        <w:tcPr>
          <w:tcW w:w="3120" w:type="dxa"/>
          <w:tcMar/>
        </w:tcPr>
        <w:p w:rsidR="7EA266C4" w:rsidP="7EA266C4" w:rsidRDefault="7EA266C4" w14:paraId="345A4667" w14:textId="1AF302E2">
          <w:pPr>
            <w:pStyle w:val="Header"/>
            <w:bidi w:val="0"/>
            <w:jc w:val="center"/>
          </w:pPr>
        </w:p>
      </w:tc>
      <w:tc>
        <w:tcPr>
          <w:tcW w:w="3120" w:type="dxa"/>
          <w:tcMar/>
        </w:tcPr>
        <w:p w:rsidR="7EA266C4" w:rsidP="7EA266C4" w:rsidRDefault="7EA266C4" w14:paraId="12E63A94" w14:textId="11DEE986">
          <w:pPr>
            <w:pStyle w:val="Header"/>
            <w:bidi w:val="0"/>
            <w:ind w:right="-115"/>
            <w:jc w:val="right"/>
          </w:pPr>
        </w:p>
      </w:tc>
    </w:tr>
  </w:tbl>
  <w:p w:rsidR="7EA266C4" w:rsidP="7EA266C4" w:rsidRDefault="7EA266C4" w14:paraId="4FEEF4EF" w14:textId="1E546B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A266C4" w:rsidTr="7EA266C4" w14:paraId="411BE04E">
      <w:trPr>
        <w:trHeight w:val="300"/>
      </w:trPr>
      <w:tc>
        <w:tcPr>
          <w:tcW w:w="3120" w:type="dxa"/>
          <w:tcMar/>
        </w:tcPr>
        <w:p w:rsidR="7EA266C4" w:rsidP="7EA266C4" w:rsidRDefault="7EA266C4" w14:paraId="3B7DAB58" w14:textId="13CEE241">
          <w:pPr>
            <w:pStyle w:val="Header"/>
            <w:bidi w:val="0"/>
            <w:ind w:left="-115"/>
            <w:jc w:val="left"/>
          </w:pPr>
          <w:r w:rsidR="7EA266C4">
            <w:rPr/>
            <w:t>Isobel Francis</w:t>
          </w:r>
        </w:p>
      </w:tc>
      <w:tc>
        <w:tcPr>
          <w:tcW w:w="3120" w:type="dxa"/>
          <w:tcMar/>
        </w:tcPr>
        <w:p w:rsidR="7EA266C4" w:rsidP="7EA266C4" w:rsidRDefault="7EA266C4" w14:paraId="43AC7115" w14:textId="00ACA86F">
          <w:pPr>
            <w:pStyle w:val="Header"/>
            <w:bidi w:val="0"/>
            <w:jc w:val="center"/>
          </w:pPr>
          <w:r w:rsidR="7EA266C4">
            <w:rPr/>
            <w:t>2400292</w:t>
          </w:r>
        </w:p>
      </w:tc>
      <w:tc>
        <w:tcPr>
          <w:tcW w:w="3120" w:type="dxa"/>
          <w:tcMar/>
        </w:tcPr>
        <w:p w:rsidR="7EA266C4" w:rsidP="7EA266C4" w:rsidRDefault="7EA266C4" w14:paraId="6CCFD0CC" w14:textId="4C49F5FA">
          <w:pPr>
            <w:pStyle w:val="Header"/>
            <w:bidi w:val="0"/>
            <w:ind w:right="-115"/>
            <w:jc w:val="right"/>
          </w:pPr>
          <w:r w:rsidR="7EA266C4">
            <w:rPr/>
            <w:t>BMOE4004</w:t>
          </w:r>
        </w:p>
      </w:tc>
    </w:tr>
  </w:tbl>
  <w:p w:rsidR="7EA266C4" w:rsidP="7EA266C4" w:rsidRDefault="7EA266C4" w14:paraId="6E693D63" w14:textId="56F3A84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B4D056"/>
    <w:rsid w:val="16B4D056"/>
    <w:rsid w:val="67E47995"/>
    <w:rsid w:val="6D93108C"/>
    <w:rsid w:val="7EA266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2230E"/>
  <w15:chartTrackingRefBased/>
  <w15:docId w15:val="{9293131E-A5AE-4087-8B79-15CB684ED5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7/978-3-319-96062-3" TargetMode="External" Id="R17e2b259308a4f2a" /><Relationship Type="http://schemas.openxmlformats.org/officeDocument/2006/relationships/hyperlink" Target="https://doi.org/10.3390/sports8040050" TargetMode="External" Id="Ra497a9474cbe4f29" /><Relationship Type="http://schemas.openxmlformats.org/officeDocument/2006/relationships/hyperlink" Target="https://doi.org/10.1177/10538259231202452" TargetMode="External" Id="Reb8852e7849f47c1" /><Relationship Type="http://schemas.openxmlformats.org/officeDocument/2006/relationships/header" Target="header.xml" Id="R317715f71f634550" /><Relationship Type="http://schemas.openxmlformats.org/officeDocument/2006/relationships/footer" Target="footer.xml" Id="R6a945b9cf47f46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2024-11-08T14:50:50.3764176Z</dcterms:created>
  <dcterms:modified xsi:type="dcterms:W3CDTF">2024-11-08T14:53:27.2722563Z</dcterms:modified>
  <dc:creator>Izzie Francis (2400292)</dc:creator>
  <lastModifiedBy>Izzie Francis (2400292)</lastModifiedBy>
</coreProperties>
</file>