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1537112"/>
        <w:docPartObj>
          <w:docPartGallery w:val="Cover Pages"/>
          <w:docPartUnique/>
        </w:docPartObj>
      </w:sdtPr>
      <w:sdtContent>
        <w:p w14:paraId="7BBCD381" w14:textId="299F7C0A" w:rsidR="00285EA4" w:rsidRDefault="00285EA4">
          <w:r>
            <w:rPr>
              <w:noProof/>
            </w:rPr>
            <mc:AlternateContent>
              <mc:Choice Requires="wpg">
                <w:drawing>
                  <wp:anchor distT="0" distB="0" distL="114300" distR="114300" simplePos="0" relativeHeight="251659264" behindDoc="1" locked="0" layoutInCell="1" allowOverlap="1" wp14:anchorId="160B0330" wp14:editId="3F85FDB6">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A0633E5" w14:textId="41D4A4A0" w:rsidR="00285EA4" w:rsidRDefault="00285EA4">
                                      <w:pPr>
                                        <w:pStyle w:val="NoSpacing"/>
                                        <w:spacing w:before="120"/>
                                        <w:jc w:val="center"/>
                                        <w:rPr>
                                          <w:color w:val="FFFFFF" w:themeColor="background1"/>
                                        </w:rPr>
                                      </w:pPr>
                                      <w:r>
                                        <w:rPr>
                                          <w:color w:val="FFFFFF" w:themeColor="background1"/>
                                        </w:rPr>
                                        <w:t>Emma Haggett (2100501)</w:t>
                                      </w:r>
                                    </w:p>
                                  </w:sdtContent>
                                </w:sdt>
                                <w:p w14:paraId="1B01BB06" w14:textId="1EEA0A13" w:rsidR="00285EA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85EA4">
                                        <w:rPr>
                                          <w:caps/>
                                          <w:color w:val="FFFFFF" w:themeColor="background1"/>
                                        </w:rPr>
                                        <w:t>[Company name]</w:t>
                                      </w:r>
                                    </w:sdtContent>
                                  </w:sdt>
                                  <w:r w:rsidR="00285EA4">
                                    <w:rPr>
                                      <w:color w:val="FFFFFF" w:themeColor="background1"/>
                                    </w:rPr>
                                    <w:t>  </w:t>
                                  </w:r>
                                  <w:sdt>
                                    <w:sdtPr>
                                      <w:rPr>
                                        <w:rFonts w:ascii="Arial" w:hAnsi="Arial" w:cs="Arial"/>
                                        <w:b/>
                                        <w:bCs/>
                                      </w:rPr>
                                      <w:alias w:val="Address"/>
                                      <w:tag w:val=""/>
                                      <w:id w:val="-253358678"/>
                                      <w:dataBinding w:prefixMappings="xmlns:ns0='http://schemas.microsoft.com/office/2006/coverPageProps' " w:xpath="/ns0:CoverPageProperties[1]/ns0:CompanyAddress[1]" w:storeItemID="{55AF091B-3C7A-41E3-B477-F2FDAA23CFDA}"/>
                                      <w:text/>
                                    </w:sdtPr>
                                    <w:sdtContent>
                                      <w:r w:rsidR="00FF7F8E" w:rsidRPr="00FF7F8E">
                                        <w:rPr>
                                          <w:rFonts w:ascii="Arial" w:hAnsi="Arial" w:cs="Arial"/>
                                          <w:b/>
                                          <w:bCs/>
                                        </w:rPr>
                                        <w:t>BMCP5002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792E008" w14:textId="5817C230" w:rsidR="00285EA4" w:rsidRDefault="006512D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6"/>
                                          <w:szCs w:val="56"/>
                                        </w:rPr>
                                        <w:t>choose a uk case where someone with personal factors of vulnerability have been a victim of crime. Critically evaluate how the criminal justice supported or failed them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0B0330"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A0633E5" w14:textId="41D4A4A0" w:rsidR="00285EA4" w:rsidRDefault="00285EA4">
                                <w:pPr>
                                  <w:pStyle w:val="NoSpacing"/>
                                  <w:spacing w:before="120"/>
                                  <w:jc w:val="center"/>
                                  <w:rPr>
                                    <w:color w:val="FFFFFF" w:themeColor="background1"/>
                                  </w:rPr>
                                </w:pPr>
                                <w:r>
                                  <w:rPr>
                                    <w:color w:val="FFFFFF" w:themeColor="background1"/>
                                  </w:rPr>
                                  <w:t>Emma Haggett (2100501)</w:t>
                                </w:r>
                              </w:p>
                            </w:sdtContent>
                          </w:sdt>
                          <w:p w14:paraId="1B01BB06" w14:textId="1EEA0A13" w:rsidR="00285EA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85EA4">
                                  <w:rPr>
                                    <w:caps/>
                                    <w:color w:val="FFFFFF" w:themeColor="background1"/>
                                  </w:rPr>
                                  <w:t>[Company name]</w:t>
                                </w:r>
                              </w:sdtContent>
                            </w:sdt>
                            <w:r w:rsidR="00285EA4">
                              <w:rPr>
                                <w:color w:val="FFFFFF" w:themeColor="background1"/>
                              </w:rPr>
                              <w:t>  </w:t>
                            </w:r>
                            <w:sdt>
                              <w:sdtPr>
                                <w:rPr>
                                  <w:rFonts w:ascii="Arial" w:hAnsi="Arial" w:cs="Arial"/>
                                  <w:b/>
                                  <w:bCs/>
                                </w:rPr>
                                <w:alias w:val="Address"/>
                                <w:tag w:val=""/>
                                <w:id w:val="-253358678"/>
                                <w:dataBinding w:prefixMappings="xmlns:ns0='http://schemas.microsoft.com/office/2006/coverPageProps' " w:xpath="/ns0:CoverPageProperties[1]/ns0:CompanyAddress[1]" w:storeItemID="{55AF091B-3C7A-41E3-B477-F2FDAA23CFDA}"/>
                                <w:text/>
                              </w:sdtPr>
                              <w:sdtContent>
                                <w:r w:rsidR="00FF7F8E" w:rsidRPr="00FF7F8E">
                                  <w:rPr>
                                    <w:rFonts w:ascii="Arial" w:hAnsi="Arial" w:cs="Arial"/>
                                    <w:b/>
                                    <w:bCs/>
                                  </w:rPr>
                                  <w:t>BMCP5002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792E008" w14:textId="5817C230" w:rsidR="00285EA4" w:rsidRDefault="006512D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6"/>
                                    <w:szCs w:val="56"/>
                                  </w:rPr>
                                  <w:t>choose a uk case where someone with personal factors of vulnerability have been a victim of crime. Critically evaluate how the criminal justice supported or failed them</w:t>
                                </w:r>
                              </w:p>
                            </w:sdtContent>
                          </w:sdt>
                        </w:txbxContent>
                      </v:textbox>
                    </v:shape>
                    <w10:wrap anchorx="page" anchory="page"/>
                  </v:group>
                </w:pict>
              </mc:Fallback>
            </mc:AlternateContent>
          </w:r>
        </w:p>
        <w:p w14:paraId="3F5E4233" w14:textId="12630E94" w:rsidR="00285EA4" w:rsidRDefault="00285EA4">
          <w:r>
            <w:br w:type="page"/>
          </w:r>
        </w:p>
      </w:sdtContent>
    </w:sdt>
    <w:p w14:paraId="557CB329" w14:textId="2346EB18" w:rsidR="008B0B17" w:rsidRPr="00A60DB9" w:rsidRDefault="008B0B17" w:rsidP="008B0B17">
      <w:pPr>
        <w:spacing w:line="360" w:lineRule="auto"/>
        <w:rPr>
          <w:rFonts w:ascii="Arial" w:hAnsi="Arial" w:cs="Arial"/>
          <w:sz w:val="22"/>
          <w:szCs w:val="22"/>
          <w:u w:val="single"/>
        </w:rPr>
      </w:pPr>
      <w:r w:rsidRPr="00A60DB9">
        <w:rPr>
          <w:rFonts w:ascii="Arial" w:hAnsi="Arial" w:cs="Arial"/>
          <w:sz w:val="22"/>
          <w:szCs w:val="22"/>
          <w:u w:val="single"/>
        </w:rPr>
        <w:lastRenderedPageBreak/>
        <w:t xml:space="preserve">Introduction </w:t>
      </w:r>
    </w:p>
    <w:p w14:paraId="3F2A86B0" w14:textId="38C63570" w:rsidR="008B0B17" w:rsidRPr="00A60DB9" w:rsidRDefault="00457C55" w:rsidP="008B0B17">
      <w:pPr>
        <w:spacing w:line="360" w:lineRule="auto"/>
        <w:rPr>
          <w:rFonts w:ascii="Arial" w:hAnsi="Arial" w:cs="Arial"/>
          <w:sz w:val="22"/>
          <w:szCs w:val="22"/>
        </w:rPr>
      </w:pPr>
      <w:r w:rsidRPr="00A60DB9">
        <w:rPr>
          <w:rFonts w:ascii="Arial" w:hAnsi="Arial" w:cs="Arial"/>
          <w:sz w:val="22"/>
          <w:szCs w:val="22"/>
        </w:rPr>
        <w:t xml:space="preserve">This assignment will be looking at </w:t>
      </w:r>
      <w:r w:rsidR="00F658FF" w:rsidRPr="00A60DB9">
        <w:rPr>
          <w:rFonts w:ascii="Arial" w:hAnsi="Arial" w:cs="Arial"/>
          <w:sz w:val="22"/>
          <w:szCs w:val="22"/>
        </w:rPr>
        <w:t xml:space="preserve">what vulnerability is as well as discuss person vulnerability factors. this assignment will also look at the </w:t>
      </w:r>
      <w:r w:rsidRPr="00A60DB9">
        <w:rPr>
          <w:rFonts w:ascii="Arial" w:hAnsi="Arial" w:cs="Arial"/>
          <w:sz w:val="22"/>
          <w:szCs w:val="22"/>
        </w:rPr>
        <w:t xml:space="preserve">Stephen Lawrence case </w:t>
      </w:r>
      <w:r w:rsidR="006467A0" w:rsidRPr="00A60DB9">
        <w:rPr>
          <w:rFonts w:ascii="Arial" w:hAnsi="Arial" w:cs="Arial"/>
          <w:sz w:val="22"/>
          <w:szCs w:val="22"/>
        </w:rPr>
        <w:t xml:space="preserve">and how his personal factors of vulnerability was the cause of his murder as well as the cause </w:t>
      </w:r>
      <w:r w:rsidR="00551581" w:rsidRPr="00A60DB9">
        <w:rPr>
          <w:rFonts w:ascii="Arial" w:hAnsi="Arial" w:cs="Arial"/>
          <w:sz w:val="22"/>
          <w:szCs w:val="22"/>
        </w:rPr>
        <w:t>of the failings that occurred by the criminal justice system during the investigation of his case.</w:t>
      </w:r>
    </w:p>
    <w:p w14:paraId="4825607F" w14:textId="77777777" w:rsidR="00551581" w:rsidRPr="00A60DB9" w:rsidRDefault="00551581" w:rsidP="008B0B17">
      <w:pPr>
        <w:spacing w:line="360" w:lineRule="auto"/>
        <w:rPr>
          <w:rFonts w:ascii="Arial" w:hAnsi="Arial" w:cs="Arial"/>
          <w:sz w:val="22"/>
          <w:szCs w:val="22"/>
        </w:rPr>
      </w:pPr>
    </w:p>
    <w:p w14:paraId="103CD049" w14:textId="177B3A5E" w:rsidR="00551581" w:rsidRPr="00A60DB9" w:rsidRDefault="00551581" w:rsidP="008B0B17">
      <w:pPr>
        <w:spacing w:line="360" w:lineRule="auto"/>
        <w:rPr>
          <w:rFonts w:ascii="Arial" w:hAnsi="Arial" w:cs="Arial"/>
          <w:sz w:val="22"/>
          <w:szCs w:val="22"/>
          <w:u w:val="single"/>
        </w:rPr>
      </w:pPr>
      <w:r w:rsidRPr="00A60DB9">
        <w:rPr>
          <w:rFonts w:ascii="Arial" w:hAnsi="Arial" w:cs="Arial"/>
          <w:sz w:val="22"/>
          <w:szCs w:val="22"/>
          <w:u w:val="single"/>
        </w:rPr>
        <w:t xml:space="preserve">Vulnerability </w:t>
      </w:r>
    </w:p>
    <w:p w14:paraId="1E1191BF" w14:textId="5E06D4A3" w:rsidR="00551581" w:rsidRPr="00A60DB9" w:rsidRDefault="001355A4" w:rsidP="008B0B17">
      <w:pPr>
        <w:spacing w:line="360" w:lineRule="auto"/>
        <w:rPr>
          <w:rFonts w:ascii="Arial" w:hAnsi="Arial" w:cs="Arial"/>
          <w:sz w:val="22"/>
          <w:szCs w:val="22"/>
        </w:rPr>
      </w:pPr>
      <w:r w:rsidRPr="00A60DB9">
        <w:rPr>
          <w:rFonts w:ascii="Arial" w:hAnsi="Arial" w:cs="Arial"/>
          <w:sz w:val="22"/>
          <w:szCs w:val="22"/>
        </w:rPr>
        <w:t>According to the College of Policing</w:t>
      </w:r>
      <w:r w:rsidR="008229A6" w:rsidRPr="00A60DB9">
        <w:rPr>
          <w:rFonts w:ascii="Arial" w:hAnsi="Arial" w:cs="Arial"/>
          <w:sz w:val="22"/>
          <w:szCs w:val="22"/>
        </w:rPr>
        <w:t xml:space="preserve"> (2021)</w:t>
      </w:r>
      <w:r w:rsidRPr="00A60DB9">
        <w:rPr>
          <w:rFonts w:ascii="Arial" w:hAnsi="Arial" w:cs="Arial"/>
          <w:sz w:val="22"/>
          <w:szCs w:val="22"/>
        </w:rPr>
        <w:t xml:space="preserve">, the police follow the THRIVE (threat, risk, investigation, </w:t>
      </w:r>
      <w:r w:rsidR="009A405B" w:rsidRPr="00A60DB9">
        <w:rPr>
          <w:rFonts w:ascii="Arial" w:hAnsi="Arial" w:cs="Arial"/>
          <w:sz w:val="22"/>
          <w:szCs w:val="22"/>
        </w:rPr>
        <w:t>vulnerability,</w:t>
      </w:r>
      <w:r w:rsidRPr="00A60DB9">
        <w:rPr>
          <w:rFonts w:ascii="Arial" w:hAnsi="Arial" w:cs="Arial"/>
          <w:sz w:val="22"/>
          <w:szCs w:val="22"/>
        </w:rPr>
        <w:t xml:space="preserve"> and engagement) definition of vulnerability. This definition states </w:t>
      </w:r>
      <w:r w:rsidR="00F10B62" w:rsidRPr="00A60DB9">
        <w:rPr>
          <w:rFonts w:ascii="Arial" w:hAnsi="Arial" w:cs="Arial"/>
          <w:sz w:val="22"/>
          <w:szCs w:val="22"/>
        </w:rPr>
        <w:t>because of their “</w:t>
      </w:r>
      <w:r w:rsidR="00A613AB" w:rsidRPr="00A60DB9">
        <w:rPr>
          <w:rFonts w:ascii="Arial" w:hAnsi="Arial" w:cs="Arial"/>
          <w:i/>
          <w:iCs/>
          <w:sz w:val="22"/>
          <w:szCs w:val="22"/>
        </w:rPr>
        <w:t>situation or circumstance”</w:t>
      </w:r>
      <w:r w:rsidR="00597B5D" w:rsidRPr="00A60DB9">
        <w:rPr>
          <w:rFonts w:ascii="Arial" w:hAnsi="Arial" w:cs="Arial"/>
          <w:i/>
          <w:iCs/>
          <w:sz w:val="22"/>
          <w:szCs w:val="22"/>
        </w:rPr>
        <w:t xml:space="preserve">, they are </w:t>
      </w:r>
      <w:r w:rsidR="00A613AB" w:rsidRPr="00A60DB9">
        <w:rPr>
          <w:rFonts w:ascii="Arial" w:hAnsi="Arial" w:cs="Arial"/>
          <w:sz w:val="22"/>
          <w:szCs w:val="22"/>
        </w:rPr>
        <w:t>“</w:t>
      </w:r>
      <w:r w:rsidR="00A613AB" w:rsidRPr="00A60DB9">
        <w:rPr>
          <w:rFonts w:ascii="Arial" w:hAnsi="Arial" w:cs="Arial"/>
          <w:i/>
          <w:iCs/>
          <w:sz w:val="22"/>
          <w:szCs w:val="22"/>
        </w:rPr>
        <w:t xml:space="preserve">unable to take care or protect themselves </w:t>
      </w:r>
      <w:r w:rsidR="003734E2" w:rsidRPr="00A60DB9">
        <w:rPr>
          <w:rFonts w:ascii="Arial" w:hAnsi="Arial" w:cs="Arial"/>
          <w:i/>
          <w:iCs/>
          <w:sz w:val="22"/>
          <w:szCs w:val="22"/>
        </w:rPr>
        <w:t xml:space="preserve">or others from harm or exploitation”. </w:t>
      </w:r>
      <w:r w:rsidR="003734E2" w:rsidRPr="00A60DB9">
        <w:rPr>
          <w:rFonts w:ascii="Arial" w:hAnsi="Arial" w:cs="Arial"/>
          <w:sz w:val="22"/>
          <w:szCs w:val="22"/>
        </w:rPr>
        <w:t>There are four steps of THRIVE</w:t>
      </w:r>
      <w:r w:rsidR="00D15608" w:rsidRPr="00A60DB9">
        <w:rPr>
          <w:rFonts w:ascii="Arial" w:hAnsi="Arial" w:cs="Arial"/>
          <w:sz w:val="22"/>
          <w:szCs w:val="22"/>
        </w:rPr>
        <w:t>:</w:t>
      </w:r>
      <w:r w:rsidR="003734E2" w:rsidRPr="00A60DB9">
        <w:rPr>
          <w:rFonts w:ascii="Arial" w:hAnsi="Arial" w:cs="Arial"/>
          <w:sz w:val="22"/>
          <w:szCs w:val="22"/>
        </w:rPr>
        <w:t xml:space="preserve"> identify the individual’s vulnerabilities or vulnerability, </w:t>
      </w:r>
      <w:r w:rsidR="002A234F" w:rsidRPr="00A60DB9">
        <w:rPr>
          <w:rFonts w:ascii="Arial" w:hAnsi="Arial" w:cs="Arial"/>
          <w:sz w:val="22"/>
          <w:szCs w:val="22"/>
        </w:rPr>
        <w:t xml:space="preserve">identify how these vulnerabilities can cause harm or risk of harm, and to </w:t>
      </w:r>
      <w:r w:rsidR="002A234F" w:rsidRPr="00A60DB9">
        <w:rPr>
          <w:rFonts w:ascii="Arial" w:hAnsi="Arial" w:cs="Arial"/>
          <w:i/>
          <w:iCs/>
          <w:sz w:val="22"/>
          <w:szCs w:val="22"/>
        </w:rPr>
        <w:t>“take appropriate and proportionate action if required”</w:t>
      </w:r>
      <w:r w:rsidR="002A234F" w:rsidRPr="00A60DB9">
        <w:rPr>
          <w:rFonts w:ascii="Arial" w:hAnsi="Arial" w:cs="Arial"/>
          <w:sz w:val="22"/>
          <w:szCs w:val="22"/>
        </w:rPr>
        <w:t xml:space="preserve">. </w:t>
      </w:r>
      <w:r w:rsidR="009A405B" w:rsidRPr="00A60DB9">
        <w:rPr>
          <w:rFonts w:ascii="Arial" w:hAnsi="Arial" w:cs="Arial"/>
          <w:sz w:val="22"/>
          <w:szCs w:val="22"/>
        </w:rPr>
        <w:t>It was</w:t>
      </w:r>
      <w:r w:rsidR="00065F08" w:rsidRPr="00A60DB9">
        <w:rPr>
          <w:rFonts w:ascii="Arial" w:hAnsi="Arial" w:cs="Arial"/>
          <w:sz w:val="22"/>
          <w:szCs w:val="22"/>
        </w:rPr>
        <w:t xml:space="preserve"> also stated that </w:t>
      </w:r>
      <w:r w:rsidR="00C86C14" w:rsidRPr="00A60DB9">
        <w:rPr>
          <w:rFonts w:ascii="Arial" w:hAnsi="Arial" w:cs="Arial"/>
          <w:sz w:val="22"/>
          <w:szCs w:val="22"/>
        </w:rPr>
        <w:t>to</w:t>
      </w:r>
      <w:r w:rsidR="00065F08" w:rsidRPr="00A60DB9">
        <w:rPr>
          <w:rFonts w:ascii="Arial" w:hAnsi="Arial" w:cs="Arial"/>
          <w:sz w:val="22"/>
          <w:szCs w:val="22"/>
        </w:rPr>
        <w:t xml:space="preserve"> help support vulnerable individuals, there are guidelines </w:t>
      </w:r>
      <w:r w:rsidR="007F5FB8" w:rsidRPr="00A60DB9">
        <w:rPr>
          <w:rFonts w:ascii="Arial" w:hAnsi="Arial" w:cs="Arial"/>
          <w:sz w:val="22"/>
          <w:szCs w:val="22"/>
        </w:rPr>
        <w:t>that</w:t>
      </w:r>
      <w:r w:rsidR="00065F08" w:rsidRPr="00A60DB9">
        <w:rPr>
          <w:rFonts w:ascii="Arial" w:hAnsi="Arial" w:cs="Arial"/>
          <w:sz w:val="22"/>
          <w:szCs w:val="22"/>
        </w:rPr>
        <w:t xml:space="preserve"> focus on spotting these vulnerabilities and create a </w:t>
      </w:r>
      <w:r w:rsidR="00EE018F" w:rsidRPr="00A60DB9">
        <w:rPr>
          <w:rFonts w:ascii="Arial" w:hAnsi="Arial" w:cs="Arial"/>
          <w:i/>
          <w:iCs/>
          <w:sz w:val="22"/>
          <w:szCs w:val="22"/>
        </w:rPr>
        <w:t>“safe, trusting environment”</w:t>
      </w:r>
      <w:r w:rsidR="00EE018F" w:rsidRPr="00A60DB9">
        <w:rPr>
          <w:rFonts w:ascii="Arial" w:hAnsi="Arial" w:cs="Arial"/>
          <w:sz w:val="22"/>
          <w:szCs w:val="22"/>
        </w:rPr>
        <w:t xml:space="preserve"> to “</w:t>
      </w:r>
      <w:r w:rsidR="00EE018F" w:rsidRPr="00A60DB9">
        <w:rPr>
          <w:rFonts w:ascii="Arial" w:hAnsi="Arial" w:cs="Arial"/>
          <w:i/>
          <w:iCs/>
          <w:sz w:val="22"/>
          <w:szCs w:val="22"/>
        </w:rPr>
        <w:t xml:space="preserve">keep people safe”. </w:t>
      </w:r>
      <w:r w:rsidR="00F619DE" w:rsidRPr="00A60DB9">
        <w:rPr>
          <w:rFonts w:ascii="Arial" w:hAnsi="Arial" w:cs="Arial"/>
          <w:sz w:val="22"/>
          <w:szCs w:val="22"/>
        </w:rPr>
        <w:t xml:space="preserve">These guidelines are primarily for frontline officers, PSCOs, Special Constables, </w:t>
      </w:r>
      <w:r w:rsidR="00427D34" w:rsidRPr="00A60DB9">
        <w:rPr>
          <w:rFonts w:ascii="Arial" w:hAnsi="Arial" w:cs="Arial"/>
          <w:sz w:val="22"/>
          <w:szCs w:val="22"/>
        </w:rPr>
        <w:t xml:space="preserve">and </w:t>
      </w:r>
      <w:r w:rsidR="00F619DE" w:rsidRPr="00A60DB9">
        <w:rPr>
          <w:rFonts w:ascii="Arial" w:hAnsi="Arial" w:cs="Arial"/>
          <w:sz w:val="22"/>
          <w:szCs w:val="22"/>
        </w:rPr>
        <w:t>call handlers</w:t>
      </w:r>
      <w:r w:rsidR="00427D34" w:rsidRPr="00A60DB9">
        <w:rPr>
          <w:rFonts w:ascii="Arial" w:hAnsi="Arial" w:cs="Arial"/>
          <w:sz w:val="22"/>
          <w:szCs w:val="22"/>
        </w:rPr>
        <w:t>.</w:t>
      </w:r>
      <w:r w:rsidR="00F619DE" w:rsidRPr="00A60DB9">
        <w:rPr>
          <w:rFonts w:ascii="Arial" w:hAnsi="Arial" w:cs="Arial"/>
          <w:sz w:val="22"/>
          <w:szCs w:val="22"/>
        </w:rPr>
        <w:t xml:space="preserve"> </w:t>
      </w:r>
      <w:r w:rsidR="00AE3861" w:rsidRPr="00A60DB9">
        <w:rPr>
          <w:rFonts w:ascii="Arial" w:hAnsi="Arial" w:cs="Arial"/>
          <w:sz w:val="22"/>
          <w:szCs w:val="22"/>
        </w:rPr>
        <w:t xml:space="preserve">These guidelines </w:t>
      </w:r>
      <w:r w:rsidR="00714BE5" w:rsidRPr="00A60DB9">
        <w:rPr>
          <w:rFonts w:ascii="Arial" w:hAnsi="Arial" w:cs="Arial"/>
          <w:sz w:val="22"/>
          <w:szCs w:val="22"/>
        </w:rPr>
        <w:t xml:space="preserve">allow </w:t>
      </w:r>
      <w:r w:rsidR="00AE3861" w:rsidRPr="00A60DB9">
        <w:rPr>
          <w:rFonts w:ascii="Arial" w:hAnsi="Arial" w:cs="Arial"/>
          <w:sz w:val="22"/>
          <w:szCs w:val="22"/>
        </w:rPr>
        <w:t xml:space="preserve">responding officers to take the </w:t>
      </w:r>
      <w:r w:rsidR="00FB5405" w:rsidRPr="00A60DB9">
        <w:rPr>
          <w:rFonts w:ascii="Arial" w:hAnsi="Arial" w:cs="Arial"/>
          <w:sz w:val="22"/>
          <w:szCs w:val="22"/>
        </w:rPr>
        <w:t>“</w:t>
      </w:r>
      <w:r w:rsidR="00AE3861" w:rsidRPr="00A60DB9">
        <w:rPr>
          <w:rFonts w:ascii="Arial" w:hAnsi="Arial" w:cs="Arial"/>
          <w:i/>
          <w:iCs/>
          <w:sz w:val="22"/>
          <w:szCs w:val="22"/>
        </w:rPr>
        <w:t xml:space="preserve">most appropriate action” </w:t>
      </w:r>
      <w:r w:rsidR="00AE3861" w:rsidRPr="00A60DB9">
        <w:rPr>
          <w:rFonts w:ascii="Arial" w:hAnsi="Arial" w:cs="Arial"/>
          <w:sz w:val="22"/>
          <w:szCs w:val="22"/>
        </w:rPr>
        <w:t>on how to deal with vulnerable individuals effectively</w:t>
      </w:r>
      <w:r w:rsidR="0001164D" w:rsidRPr="00A60DB9">
        <w:rPr>
          <w:rFonts w:ascii="Arial" w:hAnsi="Arial" w:cs="Arial"/>
          <w:sz w:val="22"/>
          <w:szCs w:val="22"/>
        </w:rPr>
        <w:t>. Furthermore, when officers apply these guidelines, it means they can identify those who need “</w:t>
      </w:r>
      <w:r w:rsidR="0001164D" w:rsidRPr="00A60DB9">
        <w:rPr>
          <w:rFonts w:ascii="Arial" w:hAnsi="Arial" w:cs="Arial"/>
          <w:i/>
          <w:iCs/>
          <w:sz w:val="22"/>
          <w:szCs w:val="22"/>
        </w:rPr>
        <w:t xml:space="preserve">higher levels of intervention and support” </w:t>
      </w:r>
      <w:r w:rsidR="0001164D" w:rsidRPr="00A60DB9">
        <w:rPr>
          <w:rFonts w:ascii="Arial" w:hAnsi="Arial" w:cs="Arial"/>
          <w:sz w:val="22"/>
          <w:szCs w:val="22"/>
        </w:rPr>
        <w:t>(College of Policing, 2021).</w:t>
      </w:r>
    </w:p>
    <w:p w14:paraId="283B0F64" w14:textId="4D8F8305" w:rsidR="0001164D" w:rsidRPr="00A60DB9" w:rsidRDefault="008229A6" w:rsidP="008B0B17">
      <w:pPr>
        <w:spacing w:line="360" w:lineRule="auto"/>
        <w:rPr>
          <w:rFonts w:ascii="Arial" w:hAnsi="Arial" w:cs="Arial"/>
          <w:sz w:val="22"/>
          <w:szCs w:val="22"/>
        </w:rPr>
      </w:pPr>
      <w:r w:rsidRPr="00A60DB9">
        <w:rPr>
          <w:rFonts w:ascii="Arial" w:hAnsi="Arial" w:cs="Arial"/>
          <w:sz w:val="22"/>
          <w:szCs w:val="22"/>
        </w:rPr>
        <w:t>The College of Policing (2020</w:t>
      </w:r>
      <w:r w:rsidR="00D40DEF" w:rsidRPr="00A60DB9">
        <w:rPr>
          <w:rFonts w:ascii="Arial" w:hAnsi="Arial" w:cs="Arial"/>
          <w:sz w:val="22"/>
          <w:szCs w:val="22"/>
        </w:rPr>
        <w:t>: p. 1</w:t>
      </w:r>
      <w:r w:rsidRPr="00A60DB9">
        <w:rPr>
          <w:rFonts w:ascii="Arial" w:hAnsi="Arial" w:cs="Arial"/>
          <w:sz w:val="22"/>
          <w:szCs w:val="22"/>
        </w:rPr>
        <w:t xml:space="preserve">) </w:t>
      </w:r>
      <w:r w:rsidR="00D40DEF" w:rsidRPr="00A60DB9">
        <w:rPr>
          <w:rFonts w:ascii="Arial" w:hAnsi="Arial" w:cs="Arial"/>
          <w:sz w:val="22"/>
          <w:szCs w:val="22"/>
        </w:rPr>
        <w:t>stated that guidelines focus on the actions officers will need to “</w:t>
      </w:r>
      <w:r w:rsidR="00D40DEF" w:rsidRPr="00A60DB9">
        <w:rPr>
          <w:rFonts w:ascii="Arial" w:hAnsi="Arial" w:cs="Arial"/>
          <w:i/>
          <w:iCs/>
          <w:sz w:val="22"/>
          <w:szCs w:val="22"/>
        </w:rPr>
        <w:t>recognise, understand and respond to vulnerability”.</w:t>
      </w:r>
      <w:r w:rsidR="009C5AA2" w:rsidRPr="00A60DB9">
        <w:rPr>
          <w:rFonts w:ascii="Arial" w:hAnsi="Arial" w:cs="Arial"/>
          <w:sz w:val="22"/>
          <w:szCs w:val="22"/>
        </w:rPr>
        <w:t xml:space="preserve"> Moreover, vulnerable related incidences ha</w:t>
      </w:r>
      <w:r w:rsidR="007D3C88" w:rsidRPr="00A60DB9">
        <w:rPr>
          <w:rFonts w:ascii="Arial" w:hAnsi="Arial" w:cs="Arial"/>
          <w:sz w:val="22"/>
          <w:szCs w:val="22"/>
        </w:rPr>
        <w:t xml:space="preserve">ve </w:t>
      </w:r>
      <w:r w:rsidR="009C5AA2" w:rsidRPr="00A60DB9">
        <w:rPr>
          <w:rFonts w:ascii="Arial" w:hAnsi="Arial" w:cs="Arial"/>
          <w:sz w:val="22"/>
          <w:szCs w:val="22"/>
        </w:rPr>
        <w:t xml:space="preserve">increased, </w:t>
      </w:r>
      <w:r w:rsidR="007D3C88" w:rsidRPr="00A60DB9">
        <w:rPr>
          <w:rFonts w:ascii="Arial" w:hAnsi="Arial" w:cs="Arial"/>
          <w:sz w:val="22"/>
          <w:szCs w:val="22"/>
        </w:rPr>
        <w:t xml:space="preserve">therefore, there is a higher demand on how officers effectively manage and deal with </w:t>
      </w:r>
      <w:r w:rsidR="00733195" w:rsidRPr="00A60DB9">
        <w:rPr>
          <w:rFonts w:ascii="Arial" w:hAnsi="Arial" w:cs="Arial"/>
          <w:sz w:val="22"/>
          <w:szCs w:val="22"/>
        </w:rPr>
        <w:t>these incidences</w:t>
      </w:r>
      <w:r w:rsidR="007D3C88" w:rsidRPr="00A60DB9">
        <w:rPr>
          <w:rFonts w:ascii="Arial" w:hAnsi="Arial" w:cs="Arial"/>
          <w:sz w:val="22"/>
          <w:szCs w:val="22"/>
        </w:rPr>
        <w:t>.</w:t>
      </w:r>
      <w:r w:rsidR="00CA5C33" w:rsidRPr="00A60DB9">
        <w:rPr>
          <w:rFonts w:ascii="Arial" w:hAnsi="Arial" w:cs="Arial"/>
          <w:sz w:val="22"/>
          <w:szCs w:val="22"/>
        </w:rPr>
        <w:t xml:space="preserve"> Many organisations such as the National Police Chief’s Council (NPCC), the Association of Police and Crime Commissioners, the College of Policing, collectively work together </w:t>
      </w:r>
      <w:r w:rsidR="001341D0" w:rsidRPr="00A60DB9">
        <w:rPr>
          <w:rFonts w:ascii="Arial" w:hAnsi="Arial" w:cs="Arial"/>
          <w:sz w:val="22"/>
          <w:szCs w:val="22"/>
        </w:rPr>
        <w:t>to</w:t>
      </w:r>
      <w:r w:rsidR="00CA5C33" w:rsidRPr="00A60DB9">
        <w:rPr>
          <w:rFonts w:ascii="Arial" w:hAnsi="Arial" w:cs="Arial"/>
          <w:sz w:val="22"/>
          <w:szCs w:val="22"/>
        </w:rPr>
        <w:t xml:space="preserve"> “</w:t>
      </w:r>
      <w:r w:rsidR="00CA5C33" w:rsidRPr="00A60DB9">
        <w:rPr>
          <w:rFonts w:ascii="Arial" w:hAnsi="Arial" w:cs="Arial"/>
          <w:i/>
          <w:iCs/>
          <w:sz w:val="22"/>
          <w:szCs w:val="22"/>
        </w:rPr>
        <w:t xml:space="preserve">implement a collective understanding of the duties and responsibilities of the police” </w:t>
      </w:r>
      <w:r w:rsidR="00CA5C33" w:rsidRPr="00A60DB9">
        <w:rPr>
          <w:rFonts w:ascii="Arial" w:hAnsi="Arial" w:cs="Arial"/>
          <w:sz w:val="22"/>
          <w:szCs w:val="22"/>
        </w:rPr>
        <w:t>surrounding vulnerable individuals and how to support them (College of Policing, 2020: p. 2).</w:t>
      </w:r>
    </w:p>
    <w:p w14:paraId="430FD50C" w14:textId="28744217" w:rsidR="00CF2ADA" w:rsidRPr="00A60DB9" w:rsidRDefault="00CF2ADA" w:rsidP="008B0B17">
      <w:pPr>
        <w:spacing w:line="360" w:lineRule="auto"/>
        <w:rPr>
          <w:rFonts w:ascii="Arial" w:hAnsi="Arial" w:cs="Arial"/>
          <w:sz w:val="22"/>
          <w:szCs w:val="22"/>
        </w:rPr>
      </w:pPr>
      <w:r w:rsidRPr="00A60DB9">
        <w:rPr>
          <w:rFonts w:ascii="Arial" w:hAnsi="Arial" w:cs="Arial"/>
          <w:sz w:val="22"/>
          <w:szCs w:val="22"/>
        </w:rPr>
        <w:t>According to the College of Policing (2021), not o</w:t>
      </w:r>
      <w:r w:rsidR="00817BBE" w:rsidRPr="00A60DB9">
        <w:rPr>
          <w:rFonts w:ascii="Arial" w:hAnsi="Arial" w:cs="Arial"/>
          <w:sz w:val="22"/>
          <w:szCs w:val="22"/>
        </w:rPr>
        <w:t xml:space="preserve">nly should officers know how to respond to a vulnerable </w:t>
      </w:r>
      <w:r w:rsidR="006512DD" w:rsidRPr="00A60DB9">
        <w:rPr>
          <w:rFonts w:ascii="Arial" w:hAnsi="Arial" w:cs="Arial"/>
          <w:sz w:val="22"/>
          <w:szCs w:val="22"/>
        </w:rPr>
        <w:t>incident,</w:t>
      </w:r>
      <w:r w:rsidR="00817BBE" w:rsidRPr="00A60DB9">
        <w:rPr>
          <w:rFonts w:ascii="Arial" w:hAnsi="Arial" w:cs="Arial"/>
          <w:sz w:val="22"/>
          <w:szCs w:val="22"/>
        </w:rPr>
        <w:t xml:space="preserve"> but they should also understand </w:t>
      </w:r>
      <w:r w:rsidR="006512DD" w:rsidRPr="00A60DB9">
        <w:rPr>
          <w:rFonts w:ascii="Arial" w:hAnsi="Arial" w:cs="Arial"/>
          <w:sz w:val="22"/>
          <w:szCs w:val="22"/>
        </w:rPr>
        <w:t xml:space="preserve">why individuals may not want to share their vulnerabilities. Some reasons include fear or bullying, lack of recognition of abuse, past experience, fear of being blamed and impact of trauma. Vulnerable individuals </w:t>
      </w:r>
      <w:r w:rsidR="007E39A3" w:rsidRPr="00A60DB9">
        <w:rPr>
          <w:rFonts w:ascii="Arial" w:hAnsi="Arial" w:cs="Arial"/>
          <w:sz w:val="22"/>
          <w:szCs w:val="22"/>
        </w:rPr>
        <w:t xml:space="preserve">may </w:t>
      </w:r>
      <w:r w:rsidR="001341D0" w:rsidRPr="00A60DB9">
        <w:rPr>
          <w:rFonts w:ascii="Arial" w:hAnsi="Arial" w:cs="Arial"/>
          <w:sz w:val="22"/>
          <w:szCs w:val="22"/>
        </w:rPr>
        <w:t xml:space="preserve">also </w:t>
      </w:r>
      <w:r w:rsidR="007E39A3" w:rsidRPr="00A60DB9">
        <w:rPr>
          <w:rFonts w:ascii="Arial" w:hAnsi="Arial" w:cs="Arial"/>
          <w:sz w:val="22"/>
          <w:szCs w:val="22"/>
        </w:rPr>
        <w:t>not see or want to see themselves as having a vulnerability. The College of Policing</w:t>
      </w:r>
      <w:r w:rsidR="00956ABB" w:rsidRPr="00A60DB9">
        <w:rPr>
          <w:rFonts w:ascii="Arial" w:hAnsi="Arial" w:cs="Arial"/>
          <w:sz w:val="22"/>
          <w:szCs w:val="22"/>
        </w:rPr>
        <w:t xml:space="preserve"> (2021)</w:t>
      </w:r>
      <w:r w:rsidR="007E39A3" w:rsidRPr="00A60DB9">
        <w:rPr>
          <w:rFonts w:ascii="Arial" w:hAnsi="Arial" w:cs="Arial"/>
          <w:sz w:val="22"/>
          <w:szCs w:val="22"/>
        </w:rPr>
        <w:t xml:space="preserve"> </w:t>
      </w:r>
      <w:r w:rsidR="00956ABB" w:rsidRPr="00A60DB9">
        <w:rPr>
          <w:rFonts w:ascii="Arial" w:hAnsi="Arial" w:cs="Arial"/>
          <w:sz w:val="22"/>
          <w:szCs w:val="22"/>
        </w:rPr>
        <w:t>stated that individuals may not disclose their vulnerabilities due to coercive control which keep</w:t>
      </w:r>
      <w:r w:rsidR="00AE54DA" w:rsidRPr="00A60DB9">
        <w:rPr>
          <w:rFonts w:ascii="Arial" w:hAnsi="Arial" w:cs="Arial"/>
          <w:sz w:val="22"/>
          <w:szCs w:val="22"/>
        </w:rPr>
        <w:t>s</w:t>
      </w:r>
      <w:r w:rsidR="00956ABB" w:rsidRPr="00A60DB9">
        <w:rPr>
          <w:rFonts w:ascii="Arial" w:hAnsi="Arial" w:cs="Arial"/>
          <w:sz w:val="22"/>
          <w:szCs w:val="22"/>
        </w:rPr>
        <w:t xml:space="preserve"> a vulnerable victim “</w:t>
      </w:r>
      <w:r w:rsidR="00956ABB" w:rsidRPr="00A60DB9">
        <w:rPr>
          <w:rFonts w:ascii="Arial" w:hAnsi="Arial" w:cs="Arial"/>
          <w:i/>
          <w:iCs/>
          <w:sz w:val="22"/>
          <w:szCs w:val="22"/>
        </w:rPr>
        <w:t>subordinate and create</w:t>
      </w:r>
      <w:r w:rsidR="00AA7696" w:rsidRPr="00A60DB9">
        <w:rPr>
          <w:rFonts w:ascii="Arial" w:hAnsi="Arial" w:cs="Arial"/>
          <w:i/>
          <w:iCs/>
          <w:sz w:val="22"/>
          <w:szCs w:val="22"/>
        </w:rPr>
        <w:t>s</w:t>
      </w:r>
      <w:r w:rsidR="00956ABB" w:rsidRPr="00A60DB9">
        <w:rPr>
          <w:rFonts w:ascii="Arial" w:hAnsi="Arial" w:cs="Arial"/>
          <w:i/>
          <w:iCs/>
          <w:sz w:val="22"/>
          <w:szCs w:val="22"/>
        </w:rPr>
        <w:t xml:space="preserve"> a state of entrapment”</w:t>
      </w:r>
      <w:r w:rsidR="00956ABB" w:rsidRPr="00A60DB9">
        <w:rPr>
          <w:rFonts w:ascii="Arial" w:hAnsi="Arial" w:cs="Arial"/>
          <w:sz w:val="22"/>
          <w:szCs w:val="22"/>
        </w:rPr>
        <w:t xml:space="preserve">. Organisations also use the Vulnerability Assessment Framework (VAF) which helps identify vulnerable </w:t>
      </w:r>
      <w:r w:rsidR="00956ABB" w:rsidRPr="00A60DB9">
        <w:rPr>
          <w:rFonts w:ascii="Arial" w:hAnsi="Arial" w:cs="Arial"/>
          <w:sz w:val="22"/>
          <w:szCs w:val="22"/>
        </w:rPr>
        <w:lastRenderedPageBreak/>
        <w:t xml:space="preserve">individuals. The framework includes an assessment of appearance, behaviour, communication, </w:t>
      </w:r>
      <w:r w:rsidR="001473E5" w:rsidRPr="00A60DB9">
        <w:rPr>
          <w:rFonts w:ascii="Arial" w:hAnsi="Arial" w:cs="Arial"/>
          <w:sz w:val="22"/>
          <w:szCs w:val="22"/>
        </w:rPr>
        <w:t>danger,</w:t>
      </w:r>
      <w:r w:rsidR="00956ABB" w:rsidRPr="00A60DB9">
        <w:rPr>
          <w:rFonts w:ascii="Arial" w:hAnsi="Arial" w:cs="Arial"/>
          <w:sz w:val="22"/>
          <w:szCs w:val="22"/>
        </w:rPr>
        <w:t xml:space="preserve"> and environmental circumstances (College of Policing, 2021).</w:t>
      </w:r>
    </w:p>
    <w:p w14:paraId="45501B4D" w14:textId="77777777" w:rsidR="001473E5" w:rsidRPr="00A60DB9" w:rsidRDefault="001473E5" w:rsidP="008B0B17">
      <w:pPr>
        <w:spacing w:line="360" w:lineRule="auto"/>
        <w:rPr>
          <w:rFonts w:ascii="Arial" w:hAnsi="Arial" w:cs="Arial"/>
          <w:sz w:val="22"/>
          <w:szCs w:val="22"/>
        </w:rPr>
      </w:pPr>
    </w:p>
    <w:p w14:paraId="201816C6" w14:textId="27DCA721" w:rsidR="001473E5" w:rsidRPr="00A60DB9" w:rsidRDefault="001473E5" w:rsidP="008B0B17">
      <w:pPr>
        <w:spacing w:line="360" w:lineRule="auto"/>
        <w:rPr>
          <w:rFonts w:ascii="Arial" w:hAnsi="Arial" w:cs="Arial"/>
          <w:sz w:val="22"/>
          <w:szCs w:val="22"/>
          <w:u w:val="single"/>
        </w:rPr>
      </w:pPr>
      <w:r w:rsidRPr="00A60DB9">
        <w:rPr>
          <w:rFonts w:ascii="Arial" w:hAnsi="Arial" w:cs="Arial"/>
          <w:sz w:val="22"/>
          <w:szCs w:val="22"/>
          <w:u w:val="single"/>
        </w:rPr>
        <w:t xml:space="preserve">Personal factors of vulnerability </w:t>
      </w:r>
    </w:p>
    <w:p w14:paraId="60FEF84F" w14:textId="01CA8046" w:rsidR="001473E5" w:rsidRPr="00A60DB9" w:rsidRDefault="006170A2" w:rsidP="008B0B17">
      <w:pPr>
        <w:spacing w:line="360" w:lineRule="auto"/>
        <w:rPr>
          <w:rFonts w:ascii="Arial" w:hAnsi="Arial" w:cs="Arial"/>
          <w:sz w:val="22"/>
          <w:szCs w:val="22"/>
        </w:rPr>
      </w:pPr>
      <w:r w:rsidRPr="00A60DB9">
        <w:rPr>
          <w:rFonts w:ascii="Arial" w:hAnsi="Arial" w:cs="Arial"/>
          <w:sz w:val="22"/>
          <w:szCs w:val="22"/>
        </w:rPr>
        <w:t xml:space="preserve">Innes et al. (2013) stated that there are three types of vulnerability: personal, situational, and incidental vulnerability. </w:t>
      </w:r>
      <w:r w:rsidR="00CD6A81" w:rsidRPr="00A60DB9">
        <w:rPr>
          <w:rFonts w:ascii="Arial" w:hAnsi="Arial" w:cs="Arial"/>
          <w:sz w:val="22"/>
          <w:szCs w:val="22"/>
        </w:rPr>
        <w:t xml:space="preserve">Personal vulnerability is a result from the individual’s </w:t>
      </w:r>
      <w:r w:rsidR="00CD6A81" w:rsidRPr="00A60DB9">
        <w:rPr>
          <w:rFonts w:ascii="Arial" w:hAnsi="Arial" w:cs="Arial"/>
          <w:i/>
          <w:iCs/>
          <w:sz w:val="22"/>
          <w:szCs w:val="22"/>
        </w:rPr>
        <w:t>“characteristics, identity or status”</w:t>
      </w:r>
      <w:r w:rsidR="00CD6A81" w:rsidRPr="00A60DB9">
        <w:rPr>
          <w:rFonts w:ascii="Arial" w:hAnsi="Arial" w:cs="Arial"/>
          <w:sz w:val="22"/>
          <w:szCs w:val="22"/>
        </w:rPr>
        <w:t xml:space="preserve">. Some </w:t>
      </w:r>
      <w:r w:rsidR="006D68F9" w:rsidRPr="00A60DB9">
        <w:rPr>
          <w:rFonts w:ascii="Arial" w:hAnsi="Arial" w:cs="Arial"/>
          <w:sz w:val="22"/>
          <w:szCs w:val="22"/>
        </w:rPr>
        <w:t>examples are mental or physical health, disability, and race.</w:t>
      </w:r>
      <w:r w:rsidR="002851FA" w:rsidRPr="00A60DB9">
        <w:rPr>
          <w:rFonts w:ascii="Arial" w:hAnsi="Arial" w:cs="Arial"/>
          <w:sz w:val="22"/>
          <w:szCs w:val="22"/>
        </w:rPr>
        <w:t xml:space="preserve"> Vulnerability means than an individual or community is more likely to be </w:t>
      </w:r>
      <w:r w:rsidR="002851FA" w:rsidRPr="00A60DB9">
        <w:rPr>
          <w:rFonts w:ascii="Arial" w:hAnsi="Arial" w:cs="Arial"/>
          <w:i/>
          <w:iCs/>
          <w:sz w:val="22"/>
          <w:szCs w:val="22"/>
        </w:rPr>
        <w:t xml:space="preserve">“negatively impacted by anti-social behaviour” </w:t>
      </w:r>
      <w:r w:rsidR="002851FA" w:rsidRPr="00A60DB9">
        <w:rPr>
          <w:rFonts w:ascii="Arial" w:hAnsi="Arial" w:cs="Arial"/>
          <w:sz w:val="22"/>
          <w:szCs w:val="22"/>
        </w:rPr>
        <w:t>and are “</w:t>
      </w:r>
      <w:r w:rsidR="002851FA" w:rsidRPr="00A60DB9">
        <w:rPr>
          <w:rFonts w:ascii="Arial" w:hAnsi="Arial" w:cs="Arial"/>
          <w:i/>
          <w:iCs/>
          <w:sz w:val="22"/>
          <w:szCs w:val="22"/>
        </w:rPr>
        <w:t>subject to repeated incidents of ASB”</w:t>
      </w:r>
      <w:r w:rsidR="0006198D" w:rsidRPr="00A60DB9">
        <w:rPr>
          <w:rFonts w:ascii="Arial" w:hAnsi="Arial" w:cs="Arial"/>
          <w:sz w:val="22"/>
          <w:szCs w:val="22"/>
        </w:rPr>
        <w:t>. These individuals should also be prioritised by the police (Innes et al., 2013).</w:t>
      </w:r>
      <w:r w:rsidR="006D68F9" w:rsidRPr="00A60DB9">
        <w:rPr>
          <w:rFonts w:ascii="Arial" w:hAnsi="Arial" w:cs="Arial"/>
          <w:sz w:val="22"/>
          <w:szCs w:val="22"/>
        </w:rPr>
        <w:t xml:space="preserve"> </w:t>
      </w:r>
    </w:p>
    <w:p w14:paraId="3124F131" w14:textId="0EC803DF" w:rsidR="0048640A" w:rsidRPr="00A60DB9" w:rsidRDefault="0048640A" w:rsidP="008B0B17">
      <w:pPr>
        <w:spacing w:line="360" w:lineRule="auto"/>
        <w:rPr>
          <w:rFonts w:ascii="Arial" w:hAnsi="Arial" w:cs="Arial"/>
          <w:sz w:val="22"/>
          <w:szCs w:val="22"/>
        </w:rPr>
      </w:pPr>
      <w:r w:rsidRPr="00A60DB9">
        <w:rPr>
          <w:rFonts w:ascii="Arial" w:hAnsi="Arial" w:cs="Arial"/>
          <w:sz w:val="22"/>
          <w:szCs w:val="22"/>
        </w:rPr>
        <w:t xml:space="preserve">According to Connect Ceredigion (2021), personal vulnerabilities include disability, ethnicity, gender, mental health problems, religion, sexual orientation and age. </w:t>
      </w:r>
    </w:p>
    <w:p w14:paraId="215AE453" w14:textId="117A2CE8" w:rsidR="00113768" w:rsidRPr="00A60DB9" w:rsidRDefault="00113768" w:rsidP="008B0B17">
      <w:pPr>
        <w:spacing w:line="360" w:lineRule="auto"/>
        <w:rPr>
          <w:rFonts w:ascii="Arial" w:hAnsi="Arial" w:cs="Arial"/>
          <w:sz w:val="22"/>
          <w:szCs w:val="22"/>
        </w:rPr>
      </w:pPr>
      <w:r w:rsidRPr="00A60DB9">
        <w:rPr>
          <w:rFonts w:ascii="Arial" w:hAnsi="Arial" w:cs="Arial"/>
          <w:sz w:val="22"/>
          <w:szCs w:val="22"/>
        </w:rPr>
        <w:t>Most crimes that are included in vulnerability cases, but are not limited to</w:t>
      </w:r>
      <w:r w:rsidR="00A53AC6" w:rsidRPr="00A60DB9">
        <w:rPr>
          <w:rFonts w:ascii="Arial" w:hAnsi="Arial" w:cs="Arial"/>
          <w:sz w:val="22"/>
          <w:szCs w:val="22"/>
        </w:rPr>
        <w:t>, include cases such as domestic abuse, scams, frauds or white- collar crime, county lines and cuckooing (Connect Ceredigion, 2021).</w:t>
      </w:r>
    </w:p>
    <w:p w14:paraId="2AB3B908" w14:textId="77777777" w:rsidR="00A53AC6" w:rsidRPr="00A60DB9" w:rsidRDefault="00A53AC6" w:rsidP="008B0B17">
      <w:pPr>
        <w:spacing w:line="360" w:lineRule="auto"/>
        <w:rPr>
          <w:rFonts w:ascii="Arial" w:hAnsi="Arial" w:cs="Arial"/>
          <w:sz w:val="22"/>
          <w:szCs w:val="22"/>
        </w:rPr>
      </w:pPr>
    </w:p>
    <w:p w14:paraId="409526E4" w14:textId="35F85DE4" w:rsidR="00A53AC6" w:rsidRPr="00A60DB9" w:rsidRDefault="00A53AC6" w:rsidP="008B0B17">
      <w:pPr>
        <w:spacing w:line="360" w:lineRule="auto"/>
        <w:rPr>
          <w:rFonts w:ascii="Arial" w:hAnsi="Arial" w:cs="Arial"/>
          <w:sz w:val="22"/>
          <w:szCs w:val="22"/>
          <w:u w:val="single"/>
        </w:rPr>
      </w:pPr>
      <w:r w:rsidRPr="00A60DB9">
        <w:rPr>
          <w:rFonts w:ascii="Arial" w:hAnsi="Arial" w:cs="Arial"/>
          <w:sz w:val="22"/>
          <w:szCs w:val="22"/>
          <w:u w:val="single"/>
        </w:rPr>
        <w:t>The Stephen Lawrence case</w:t>
      </w:r>
    </w:p>
    <w:p w14:paraId="134F43E3" w14:textId="68793765" w:rsidR="00A53AC6" w:rsidRPr="00A60DB9" w:rsidRDefault="00AF7B62" w:rsidP="008B0B17">
      <w:pPr>
        <w:spacing w:line="360" w:lineRule="auto"/>
        <w:rPr>
          <w:rFonts w:ascii="Arial" w:hAnsi="Arial" w:cs="Arial"/>
          <w:sz w:val="22"/>
          <w:szCs w:val="22"/>
        </w:rPr>
      </w:pPr>
      <w:r w:rsidRPr="00A60DB9">
        <w:rPr>
          <w:rFonts w:ascii="Arial" w:hAnsi="Arial" w:cs="Arial"/>
          <w:sz w:val="22"/>
          <w:szCs w:val="22"/>
        </w:rPr>
        <w:t xml:space="preserve">According to </w:t>
      </w:r>
      <w:r w:rsidR="001B7F24" w:rsidRPr="00A60DB9">
        <w:rPr>
          <w:rFonts w:ascii="Arial" w:hAnsi="Arial" w:cs="Arial"/>
          <w:sz w:val="22"/>
          <w:szCs w:val="22"/>
        </w:rPr>
        <w:t>Crime and Investigation (2023), i</w:t>
      </w:r>
      <w:r w:rsidR="000651F4" w:rsidRPr="00A60DB9">
        <w:rPr>
          <w:rFonts w:ascii="Arial" w:hAnsi="Arial" w:cs="Arial"/>
          <w:sz w:val="22"/>
          <w:szCs w:val="22"/>
        </w:rPr>
        <w:t xml:space="preserve">n 1993, while waiting at a bus stop, a group of white teenagers </w:t>
      </w:r>
      <w:r w:rsidR="0063494D" w:rsidRPr="00A60DB9">
        <w:rPr>
          <w:rFonts w:ascii="Arial" w:hAnsi="Arial" w:cs="Arial"/>
          <w:sz w:val="22"/>
          <w:szCs w:val="22"/>
        </w:rPr>
        <w:t>began</w:t>
      </w:r>
      <w:r w:rsidR="000651F4" w:rsidRPr="00A60DB9">
        <w:rPr>
          <w:rFonts w:ascii="Arial" w:hAnsi="Arial" w:cs="Arial"/>
          <w:sz w:val="22"/>
          <w:szCs w:val="22"/>
        </w:rPr>
        <w:t xml:space="preserve"> to shout racial slurs at</w:t>
      </w:r>
      <w:r w:rsidR="0063494D" w:rsidRPr="00A60DB9">
        <w:rPr>
          <w:rFonts w:ascii="Arial" w:hAnsi="Arial" w:cs="Arial"/>
          <w:sz w:val="22"/>
          <w:szCs w:val="22"/>
        </w:rPr>
        <w:t xml:space="preserve"> Stephen</w:t>
      </w:r>
      <w:r w:rsidR="000651F4" w:rsidRPr="00A60DB9">
        <w:rPr>
          <w:rFonts w:ascii="Arial" w:hAnsi="Arial" w:cs="Arial"/>
          <w:sz w:val="22"/>
          <w:szCs w:val="22"/>
        </w:rPr>
        <w:t xml:space="preserve"> Lawrence and Duwayne Brooks, and then proceeded to attack the two. Lawrence was hit with a bat and was stabbed and </w:t>
      </w:r>
      <w:r w:rsidR="00711BF5" w:rsidRPr="00A60DB9">
        <w:rPr>
          <w:rFonts w:ascii="Arial" w:hAnsi="Arial" w:cs="Arial"/>
          <w:sz w:val="22"/>
          <w:szCs w:val="22"/>
        </w:rPr>
        <w:t>later died in hospital.</w:t>
      </w:r>
      <w:r w:rsidR="001B7F24" w:rsidRPr="00A60DB9">
        <w:rPr>
          <w:rFonts w:ascii="Arial" w:hAnsi="Arial" w:cs="Arial"/>
          <w:sz w:val="22"/>
          <w:szCs w:val="22"/>
        </w:rPr>
        <w:t xml:space="preserve"> The day after the attack, a list of the suspects’ names were left in a telephone box, moreover, it was also found that one of the suspects, David Norris, had stabbed Stacey Benefield a month before the Lawrence murder.</w:t>
      </w:r>
      <w:r w:rsidR="004F248C" w:rsidRPr="00A60DB9">
        <w:rPr>
          <w:rFonts w:ascii="Arial" w:hAnsi="Arial" w:cs="Arial"/>
          <w:sz w:val="22"/>
          <w:szCs w:val="22"/>
        </w:rPr>
        <w:t xml:space="preserve"> Years later after </w:t>
      </w:r>
      <w:r w:rsidR="00F5671B" w:rsidRPr="00A60DB9">
        <w:rPr>
          <w:rFonts w:ascii="Arial" w:hAnsi="Arial" w:cs="Arial"/>
          <w:sz w:val="22"/>
          <w:szCs w:val="22"/>
        </w:rPr>
        <w:t>Lawrence’s murder, his inquest went on and the verdict was an “</w:t>
      </w:r>
      <w:r w:rsidR="00F5671B" w:rsidRPr="00A60DB9">
        <w:rPr>
          <w:rFonts w:ascii="Arial" w:hAnsi="Arial" w:cs="Arial"/>
          <w:i/>
          <w:iCs/>
          <w:sz w:val="22"/>
          <w:szCs w:val="22"/>
        </w:rPr>
        <w:t xml:space="preserve">unlawful killing in </w:t>
      </w:r>
      <w:r w:rsidR="004E6B17" w:rsidRPr="00A60DB9">
        <w:rPr>
          <w:rFonts w:ascii="Arial" w:hAnsi="Arial" w:cs="Arial"/>
          <w:i/>
          <w:iCs/>
          <w:sz w:val="22"/>
          <w:szCs w:val="22"/>
        </w:rPr>
        <w:t xml:space="preserve">an ‘unprovoked racist attack by five youths’”. </w:t>
      </w:r>
      <w:r w:rsidR="004E6B17" w:rsidRPr="00A60DB9">
        <w:rPr>
          <w:rFonts w:ascii="Arial" w:hAnsi="Arial" w:cs="Arial"/>
          <w:sz w:val="22"/>
          <w:szCs w:val="22"/>
        </w:rPr>
        <w:t xml:space="preserve">However, </w:t>
      </w:r>
      <w:r w:rsidR="00147C6B" w:rsidRPr="00A60DB9">
        <w:rPr>
          <w:rFonts w:ascii="Arial" w:hAnsi="Arial" w:cs="Arial"/>
          <w:sz w:val="22"/>
          <w:szCs w:val="22"/>
        </w:rPr>
        <w:t>no</w:t>
      </w:r>
      <w:r w:rsidR="004E6B17" w:rsidRPr="00A60DB9">
        <w:rPr>
          <w:rFonts w:ascii="Arial" w:hAnsi="Arial" w:cs="Arial"/>
          <w:sz w:val="22"/>
          <w:szCs w:val="22"/>
        </w:rPr>
        <w:t xml:space="preserve"> charges </w:t>
      </w:r>
      <w:r w:rsidR="00147C6B" w:rsidRPr="00A60DB9">
        <w:rPr>
          <w:rFonts w:ascii="Arial" w:hAnsi="Arial" w:cs="Arial"/>
          <w:sz w:val="22"/>
          <w:szCs w:val="22"/>
        </w:rPr>
        <w:t xml:space="preserve">were </w:t>
      </w:r>
      <w:r w:rsidR="004E6B17" w:rsidRPr="00A60DB9">
        <w:rPr>
          <w:rFonts w:ascii="Arial" w:hAnsi="Arial" w:cs="Arial"/>
          <w:sz w:val="22"/>
          <w:szCs w:val="22"/>
        </w:rPr>
        <w:t xml:space="preserve">made against the suspects. In 2011, Dobson and Norris were then </w:t>
      </w:r>
      <w:r w:rsidR="004E6B17" w:rsidRPr="00A60DB9">
        <w:rPr>
          <w:rFonts w:ascii="Arial" w:hAnsi="Arial" w:cs="Arial"/>
          <w:i/>
          <w:iCs/>
          <w:sz w:val="22"/>
          <w:szCs w:val="22"/>
        </w:rPr>
        <w:t xml:space="preserve">“charged and sentenced” </w:t>
      </w:r>
      <w:r w:rsidR="004E6B17" w:rsidRPr="00A60DB9">
        <w:rPr>
          <w:rFonts w:ascii="Arial" w:hAnsi="Arial" w:cs="Arial"/>
          <w:sz w:val="22"/>
          <w:szCs w:val="22"/>
        </w:rPr>
        <w:t>and were found guilty of Stephen Lawrence’s murder (Crime and Investigation, 2023).</w:t>
      </w:r>
      <w:r w:rsidR="00727D35" w:rsidRPr="00A60DB9">
        <w:rPr>
          <w:rFonts w:ascii="Arial" w:hAnsi="Arial" w:cs="Arial"/>
          <w:sz w:val="22"/>
          <w:szCs w:val="22"/>
        </w:rPr>
        <w:t xml:space="preserve"> </w:t>
      </w:r>
    </w:p>
    <w:p w14:paraId="2273FEF2" w14:textId="48B9BBAF" w:rsidR="00727D35" w:rsidRPr="00A60DB9" w:rsidRDefault="00CB57ED" w:rsidP="008B0B17">
      <w:pPr>
        <w:spacing w:line="360" w:lineRule="auto"/>
        <w:rPr>
          <w:rFonts w:ascii="Arial" w:hAnsi="Arial" w:cs="Arial"/>
          <w:sz w:val="22"/>
          <w:szCs w:val="22"/>
        </w:rPr>
      </w:pPr>
      <w:r w:rsidRPr="00A60DB9">
        <w:rPr>
          <w:rFonts w:ascii="Arial" w:hAnsi="Arial" w:cs="Arial"/>
          <w:sz w:val="22"/>
          <w:szCs w:val="22"/>
        </w:rPr>
        <w:t>Paton (2021) stated that Stephen Lawrence was “</w:t>
      </w:r>
      <w:r w:rsidRPr="00A60DB9">
        <w:rPr>
          <w:rFonts w:ascii="Arial" w:hAnsi="Arial" w:cs="Arial"/>
          <w:i/>
          <w:iCs/>
          <w:sz w:val="22"/>
          <w:szCs w:val="22"/>
        </w:rPr>
        <w:t>killed in a racially motivated attack</w:t>
      </w:r>
      <w:r w:rsidR="00EE536E" w:rsidRPr="00A60DB9">
        <w:rPr>
          <w:rFonts w:ascii="Arial" w:hAnsi="Arial" w:cs="Arial"/>
          <w:i/>
          <w:iCs/>
          <w:sz w:val="22"/>
          <w:szCs w:val="22"/>
        </w:rPr>
        <w:t>”</w:t>
      </w:r>
      <w:r w:rsidR="00EE536E" w:rsidRPr="00A60DB9">
        <w:rPr>
          <w:rFonts w:ascii="Arial" w:hAnsi="Arial" w:cs="Arial"/>
          <w:sz w:val="22"/>
          <w:szCs w:val="22"/>
        </w:rPr>
        <w:t xml:space="preserve">. Moreover, after the case, a public inquiry was made and </w:t>
      </w:r>
      <w:r w:rsidR="00774D96" w:rsidRPr="00A60DB9">
        <w:rPr>
          <w:rFonts w:ascii="Arial" w:hAnsi="Arial" w:cs="Arial"/>
          <w:sz w:val="22"/>
          <w:szCs w:val="22"/>
        </w:rPr>
        <w:t>stated that the Metropolitan Police were “</w:t>
      </w:r>
      <w:r w:rsidR="00774D96" w:rsidRPr="00A60DB9">
        <w:rPr>
          <w:rFonts w:ascii="Arial" w:hAnsi="Arial" w:cs="Arial"/>
          <w:i/>
          <w:iCs/>
          <w:sz w:val="22"/>
          <w:szCs w:val="22"/>
        </w:rPr>
        <w:t>institutionally racis</w:t>
      </w:r>
      <w:r w:rsidR="004A6298" w:rsidRPr="00A60DB9">
        <w:rPr>
          <w:rFonts w:ascii="Arial" w:hAnsi="Arial" w:cs="Arial"/>
          <w:i/>
          <w:iCs/>
          <w:sz w:val="22"/>
          <w:szCs w:val="22"/>
        </w:rPr>
        <w:t>t</w:t>
      </w:r>
      <w:r w:rsidR="00774D96" w:rsidRPr="00A60DB9">
        <w:rPr>
          <w:rFonts w:ascii="Arial" w:hAnsi="Arial" w:cs="Arial"/>
          <w:i/>
          <w:iCs/>
          <w:sz w:val="22"/>
          <w:szCs w:val="22"/>
        </w:rPr>
        <w:t>”.</w:t>
      </w:r>
      <w:r w:rsidR="00774D96" w:rsidRPr="00A60DB9">
        <w:rPr>
          <w:rFonts w:ascii="Arial" w:hAnsi="Arial" w:cs="Arial"/>
          <w:sz w:val="22"/>
          <w:szCs w:val="22"/>
        </w:rPr>
        <w:t xml:space="preserve"> </w:t>
      </w:r>
      <w:r w:rsidR="004A6298" w:rsidRPr="00A60DB9">
        <w:rPr>
          <w:rFonts w:ascii="Arial" w:hAnsi="Arial" w:cs="Arial"/>
          <w:sz w:val="22"/>
          <w:szCs w:val="22"/>
        </w:rPr>
        <w:t>Lawrence’s parents</w:t>
      </w:r>
      <w:r w:rsidR="00221116" w:rsidRPr="00A60DB9">
        <w:rPr>
          <w:rFonts w:ascii="Arial" w:hAnsi="Arial" w:cs="Arial"/>
          <w:sz w:val="22"/>
          <w:szCs w:val="22"/>
        </w:rPr>
        <w:t xml:space="preserve"> </w:t>
      </w:r>
      <w:r w:rsidR="004A6298" w:rsidRPr="00A60DB9">
        <w:rPr>
          <w:rFonts w:ascii="Arial" w:hAnsi="Arial" w:cs="Arial"/>
          <w:sz w:val="22"/>
          <w:szCs w:val="22"/>
        </w:rPr>
        <w:t xml:space="preserve">also held a press conference after the murder as they became increasingly frustrated with the </w:t>
      </w:r>
      <w:r w:rsidR="009311A1" w:rsidRPr="00A60DB9">
        <w:rPr>
          <w:rFonts w:ascii="Arial" w:hAnsi="Arial" w:cs="Arial"/>
          <w:sz w:val="22"/>
          <w:szCs w:val="22"/>
        </w:rPr>
        <w:t>Metropolitan P</w:t>
      </w:r>
      <w:r w:rsidR="004A6298" w:rsidRPr="00A60DB9">
        <w:rPr>
          <w:rFonts w:ascii="Arial" w:hAnsi="Arial" w:cs="Arial"/>
          <w:sz w:val="22"/>
          <w:szCs w:val="22"/>
        </w:rPr>
        <w:t>olic</w:t>
      </w:r>
      <w:r w:rsidR="009311A1" w:rsidRPr="00A60DB9">
        <w:rPr>
          <w:rFonts w:ascii="Arial" w:hAnsi="Arial" w:cs="Arial"/>
          <w:sz w:val="22"/>
          <w:szCs w:val="22"/>
        </w:rPr>
        <w:t>e and believed that “</w:t>
      </w:r>
      <w:r w:rsidR="009311A1" w:rsidRPr="00A60DB9">
        <w:rPr>
          <w:rFonts w:ascii="Arial" w:hAnsi="Arial" w:cs="Arial"/>
          <w:i/>
          <w:iCs/>
          <w:sz w:val="22"/>
          <w:szCs w:val="22"/>
        </w:rPr>
        <w:t>not enough is being done</w:t>
      </w:r>
      <w:r w:rsidR="009311A1" w:rsidRPr="00A60DB9">
        <w:rPr>
          <w:rFonts w:ascii="Arial" w:hAnsi="Arial" w:cs="Arial"/>
          <w:sz w:val="22"/>
          <w:szCs w:val="22"/>
        </w:rPr>
        <w:t>” (Paton, 2021).</w:t>
      </w:r>
    </w:p>
    <w:p w14:paraId="3E1F6763" w14:textId="77777777" w:rsidR="003816BC" w:rsidRPr="00A60DB9" w:rsidRDefault="003816BC" w:rsidP="008B0B17">
      <w:pPr>
        <w:spacing w:line="360" w:lineRule="auto"/>
        <w:rPr>
          <w:rFonts w:ascii="Arial" w:hAnsi="Arial" w:cs="Arial"/>
          <w:sz w:val="22"/>
          <w:szCs w:val="22"/>
        </w:rPr>
      </w:pPr>
    </w:p>
    <w:p w14:paraId="5DF5AD5F" w14:textId="5833C53B" w:rsidR="003816BC" w:rsidRPr="00A60DB9" w:rsidRDefault="003816BC" w:rsidP="008B0B17">
      <w:pPr>
        <w:spacing w:line="360" w:lineRule="auto"/>
        <w:rPr>
          <w:rFonts w:ascii="Arial" w:hAnsi="Arial" w:cs="Arial"/>
          <w:sz w:val="22"/>
          <w:szCs w:val="22"/>
          <w:u w:val="single"/>
        </w:rPr>
      </w:pPr>
      <w:r w:rsidRPr="00A60DB9">
        <w:rPr>
          <w:rFonts w:ascii="Arial" w:hAnsi="Arial" w:cs="Arial"/>
          <w:sz w:val="22"/>
          <w:szCs w:val="22"/>
          <w:u w:val="single"/>
        </w:rPr>
        <w:t>The failings of the police</w:t>
      </w:r>
    </w:p>
    <w:p w14:paraId="2026F427" w14:textId="0EEB6B03" w:rsidR="003816BC" w:rsidRPr="00A60DB9" w:rsidRDefault="00147039" w:rsidP="008B0B17">
      <w:pPr>
        <w:spacing w:line="360" w:lineRule="auto"/>
        <w:rPr>
          <w:rFonts w:ascii="Arial" w:hAnsi="Arial" w:cs="Arial"/>
          <w:sz w:val="22"/>
          <w:szCs w:val="22"/>
        </w:rPr>
      </w:pPr>
      <w:r w:rsidRPr="00A60DB9">
        <w:rPr>
          <w:rFonts w:ascii="Arial" w:hAnsi="Arial" w:cs="Arial"/>
          <w:sz w:val="22"/>
          <w:szCs w:val="22"/>
        </w:rPr>
        <w:t xml:space="preserve">Pallister (1998) stated that the Metropolitan Police were </w:t>
      </w:r>
      <w:r w:rsidR="00726567" w:rsidRPr="00A60DB9">
        <w:rPr>
          <w:rFonts w:ascii="Arial" w:hAnsi="Arial" w:cs="Arial"/>
          <w:sz w:val="22"/>
          <w:szCs w:val="22"/>
        </w:rPr>
        <w:t>“</w:t>
      </w:r>
      <w:r w:rsidR="00726567" w:rsidRPr="00A60DB9">
        <w:rPr>
          <w:rFonts w:ascii="Arial" w:hAnsi="Arial" w:cs="Arial"/>
          <w:i/>
          <w:iCs/>
          <w:sz w:val="22"/>
          <w:szCs w:val="22"/>
        </w:rPr>
        <w:t>roasted for the many failures</w:t>
      </w:r>
      <w:r w:rsidR="00726567" w:rsidRPr="00A60DB9">
        <w:rPr>
          <w:rFonts w:ascii="Arial" w:hAnsi="Arial" w:cs="Arial"/>
          <w:sz w:val="22"/>
          <w:szCs w:val="22"/>
        </w:rPr>
        <w:t xml:space="preserve">” that occurred during the Lawrence </w:t>
      </w:r>
      <w:r w:rsidR="00320A05" w:rsidRPr="00A60DB9">
        <w:rPr>
          <w:rFonts w:ascii="Arial" w:hAnsi="Arial" w:cs="Arial"/>
          <w:sz w:val="22"/>
          <w:szCs w:val="22"/>
        </w:rPr>
        <w:t xml:space="preserve">case. </w:t>
      </w:r>
      <w:r w:rsidR="007F2D2F" w:rsidRPr="00A60DB9">
        <w:rPr>
          <w:rFonts w:ascii="Arial" w:hAnsi="Arial" w:cs="Arial"/>
          <w:sz w:val="22"/>
          <w:szCs w:val="22"/>
        </w:rPr>
        <w:t xml:space="preserve">Crime and Investigation (2023) also reported that Lawrence was </w:t>
      </w:r>
      <w:r w:rsidR="007F2D2F" w:rsidRPr="00A60DB9">
        <w:rPr>
          <w:rFonts w:ascii="Arial" w:hAnsi="Arial" w:cs="Arial"/>
          <w:i/>
          <w:iCs/>
          <w:sz w:val="22"/>
          <w:szCs w:val="22"/>
        </w:rPr>
        <w:t xml:space="preserve">“one of four black youths” </w:t>
      </w:r>
      <w:r w:rsidR="007F2D2F" w:rsidRPr="00A60DB9">
        <w:rPr>
          <w:rFonts w:ascii="Arial" w:hAnsi="Arial" w:cs="Arial"/>
          <w:sz w:val="22"/>
          <w:szCs w:val="22"/>
        </w:rPr>
        <w:t>who was murdered in</w:t>
      </w:r>
      <w:r w:rsidR="00DA5B1C" w:rsidRPr="00A60DB9">
        <w:rPr>
          <w:rFonts w:ascii="Arial" w:hAnsi="Arial" w:cs="Arial"/>
          <w:sz w:val="22"/>
          <w:szCs w:val="22"/>
        </w:rPr>
        <w:t xml:space="preserve"> that area within two years. </w:t>
      </w:r>
      <w:r w:rsidR="00DA5B1C" w:rsidRPr="00A60DB9">
        <w:rPr>
          <w:rFonts w:ascii="Arial" w:hAnsi="Arial" w:cs="Arial"/>
          <w:sz w:val="22"/>
          <w:szCs w:val="22"/>
        </w:rPr>
        <w:lastRenderedPageBreak/>
        <w:t xml:space="preserve">Moreover, the police found that Neil and Jamie Acourt as well as David Norris had criminal records and were known for their violent behaviour. They also found that Stacey Benefield had completed a statement on how him and his friend were confronted by Neil </w:t>
      </w:r>
      <w:r w:rsidR="00C02B55" w:rsidRPr="00A60DB9">
        <w:rPr>
          <w:rFonts w:ascii="Arial" w:hAnsi="Arial" w:cs="Arial"/>
          <w:sz w:val="22"/>
          <w:szCs w:val="22"/>
        </w:rPr>
        <w:t>and Norris “</w:t>
      </w:r>
      <w:r w:rsidR="00C02B55" w:rsidRPr="00A60DB9">
        <w:rPr>
          <w:rFonts w:ascii="Arial" w:hAnsi="Arial" w:cs="Arial"/>
          <w:i/>
          <w:iCs/>
          <w:sz w:val="22"/>
          <w:szCs w:val="22"/>
        </w:rPr>
        <w:t xml:space="preserve">had stabbed him with a miniature sword”, </w:t>
      </w:r>
      <w:r w:rsidR="00C02B55" w:rsidRPr="00A60DB9">
        <w:rPr>
          <w:rFonts w:ascii="Arial" w:hAnsi="Arial" w:cs="Arial"/>
          <w:sz w:val="22"/>
          <w:szCs w:val="22"/>
        </w:rPr>
        <w:t>however, the police did not act on any of this information (Pallister, 1998).</w:t>
      </w:r>
      <w:r w:rsidR="00EC0FD4" w:rsidRPr="00A60DB9">
        <w:rPr>
          <w:rFonts w:ascii="Arial" w:hAnsi="Arial" w:cs="Arial"/>
          <w:sz w:val="22"/>
          <w:szCs w:val="22"/>
        </w:rPr>
        <w:t xml:space="preserve"> According to Crime and investigation (2023), Brooks stated that the attitudes of the police towards him were negative, and, at one point, an officer threatened to handcuff him and questioned Brooks if racial slurs were </w:t>
      </w:r>
      <w:r w:rsidR="00BE4561" w:rsidRPr="00A60DB9">
        <w:rPr>
          <w:rFonts w:ascii="Arial" w:hAnsi="Arial" w:cs="Arial"/>
          <w:sz w:val="22"/>
          <w:szCs w:val="22"/>
        </w:rPr>
        <w:t>in fact</w:t>
      </w:r>
      <w:r w:rsidR="00EC0FD4" w:rsidRPr="00A60DB9">
        <w:rPr>
          <w:rFonts w:ascii="Arial" w:hAnsi="Arial" w:cs="Arial"/>
          <w:sz w:val="22"/>
          <w:szCs w:val="22"/>
        </w:rPr>
        <w:t xml:space="preserve"> used. </w:t>
      </w:r>
      <w:r w:rsidR="00EC0FD4" w:rsidRPr="00A60DB9">
        <w:rPr>
          <w:rFonts w:ascii="Arial" w:hAnsi="Arial" w:cs="Arial"/>
          <w:color w:val="000000" w:themeColor="text1"/>
          <w:sz w:val="22"/>
          <w:szCs w:val="22"/>
        </w:rPr>
        <w:t xml:space="preserve">The Police were also criticised for not </w:t>
      </w:r>
      <w:r w:rsidR="00BE4561" w:rsidRPr="00A60DB9">
        <w:rPr>
          <w:rFonts w:ascii="Arial" w:hAnsi="Arial" w:cs="Arial"/>
          <w:color w:val="000000" w:themeColor="text1"/>
          <w:sz w:val="22"/>
          <w:szCs w:val="22"/>
        </w:rPr>
        <w:t>doing house- to- house investigation as it was found that two of the suspects lived incredibly close to the scene (Crime and investigation, 2023).</w:t>
      </w:r>
    </w:p>
    <w:p w14:paraId="53753560" w14:textId="3B23B8CB" w:rsidR="00E83863" w:rsidRPr="00A60DB9" w:rsidRDefault="0093639A" w:rsidP="008B0B17">
      <w:pPr>
        <w:spacing w:line="360" w:lineRule="auto"/>
        <w:rPr>
          <w:rFonts w:ascii="Arial" w:hAnsi="Arial" w:cs="Arial"/>
          <w:sz w:val="22"/>
          <w:szCs w:val="22"/>
        </w:rPr>
      </w:pPr>
      <w:r w:rsidRPr="00A60DB9">
        <w:rPr>
          <w:rFonts w:ascii="Arial" w:hAnsi="Arial" w:cs="Arial"/>
          <w:sz w:val="22"/>
          <w:szCs w:val="22"/>
        </w:rPr>
        <w:t>The “</w:t>
      </w:r>
      <w:r w:rsidRPr="00A60DB9">
        <w:rPr>
          <w:rFonts w:ascii="Arial" w:hAnsi="Arial" w:cs="Arial"/>
          <w:i/>
          <w:iCs/>
          <w:sz w:val="22"/>
          <w:szCs w:val="22"/>
        </w:rPr>
        <w:t xml:space="preserve">surveillance operation” </w:t>
      </w:r>
      <w:r w:rsidRPr="00A60DB9">
        <w:rPr>
          <w:rFonts w:ascii="Arial" w:hAnsi="Arial" w:cs="Arial"/>
          <w:sz w:val="22"/>
          <w:szCs w:val="22"/>
        </w:rPr>
        <w:t>on Acourt’s house was an “</w:t>
      </w:r>
      <w:r w:rsidRPr="00A60DB9">
        <w:rPr>
          <w:rFonts w:ascii="Arial" w:hAnsi="Arial" w:cs="Arial"/>
          <w:i/>
          <w:iCs/>
          <w:sz w:val="22"/>
          <w:szCs w:val="22"/>
        </w:rPr>
        <w:t>unmitigated disaster”</w:t>
      </w:r>
      <w:r w:rsidRPr="00A60DB9">
        <w:rPr>
          <w:rFonts w:ascii="Arial" w:hAnsi="Arial" w:cs="Arial"/>
          <w:sz w:val="22"/>
          <w:szCs w:val="22"/>
        </w:rPr>
        <w:t>. The photographers missed out on vital information, that being, an unknown individual carrying clothes that were covered in black plastic.</w:t>
      </w:r>
      <w:r w:rsidR="00C5783A" w:rsidRPr="00A60DB9">
        <w:rPr>
          <w:rFonts w:ascii="Arial" w:hAnsi="Arial" w:cs="Arial"/>
          <w:sz w:val="22"/>
          <w:szCs w:val="22"/>
        </w:rPr>
        <w:t xml:space="preserve"> The day after, Acourt was found taking out a black binbag, however, the photographers </w:t>
      </w:r>
      <w:r w:rsidR="00B47D28" w:rsidRPr="00A60DB9">
        <w:rPr>
          <w:rFonts w:ascii="Arial" w:hAnsi="Arial" w:cs="Arial"/>
          <w:sz w:val="22"/>
          <w:szCs w:val="22"/>
        </w:rPr>
        <w:t xml:space="preserve">were </w:t>
      </w:r>
      <w:r w:rsidR="00DA36F5" w:rsidRPr="00A60DB9">
        <w:rPr>
          <w:rFonts w:ascii="Arial" w:hAnsi="Arial" w:cs="Arial"/>
          <w:sz w:val="22"/>
          <w:szCs w:val="22"/>
        </w:rPr>
        <w:t>unable</w:t>
      </w:r>
      <w:r w:rsidR="00B47D28" w:rsidRPr="00A60DB9">
        <w:rPr>
          <w:rFonts w:ascii="Arial" w:hAnsi="Arial" w:cs="Arial"/>
          <w:sz w:val="22"/>
          <w:szCs w:val="22"/>
        </w:rPr>
        <w:t xml:space="preserve"> to call for more officers as they had “</w:t>
      </w:r>
      <w:r w:rsidR="00B47D28" w:rsidRPr="00A60DB9">
        <w:rPr>
          <w:rFonts w:ascii="Arial" w:hAnsi="Arial" w:cs="Arial"/>
          <w:i/>
          <w:iCs/>
          <w:sz w:val="22"/>
          <w:szCs w:val="22"/>
        </w:rPr>
        <w:t xml:space="preserve">no means of communication” </w:t>
      </w:r>
      <w:r w:rsidR="00C5783A" w:rsidRPr="00A60DB9">
        <w:rPr>
          <w:rFonts w:ascii="Arial" w:hAnsi="Arial" w:cs="Arial"/>
          <w:sz w:val="22"/>
          <w:szCs w:val="22"/>
        </w:rPr>
        <w:t>(Pallister, 1998).</w:t>
      </w:r>
      <w:r w:rsidR="00B47D28" w:rsidRPr="00A60DB9">
        <w:rPr>
          <w:rFonts w:ascii="Arial" w:hAnsi="Arial" w:cs="Arial"/>
          <w:sz w:val="22"/>
          <w:szCs w:val="22"/>
        </w:rPr>
        <w:t xml:space="preserve"> Furthermore, when Dobson was interviewed, he denied knowing Norris, however, photos that could have </w:t>
      </w:r>
      <w:r w:rsidR="00833521" w:rsidRPr="00A60DB9">
        <w:rPr>
          <w:rFonts w:ascii="Arial" w:hAnsi="Arial" w:cs="Arial"/>
          <w:sz w:val="22"/>
          <w:szCs w:val="22"/>
        </w:rPr>
        <w:t xml:space="preserve">been used to </w:t>
      </w:r>
      <w:r w:rsidR="00B47D28" w:rsidRPr="00A60DB9">
        <w:rPr>
          <w:rFonts w:ascii="Arial" w:hAnsi="Arial" w:cs="Arial"/>
          <w:sz w:val="22"/>
          <w:szCs w:val="22"/>
        </w:rPr>
        <w:t>contradict</w:t>
      </w:r>
      <w:r w:rsidR="00833521" w:rsidRPr="00A60DB9">
        <w:rPr>
          <w:rFonts w:ascii="Arial" w:hAnsi="Arial" w:cs="Arial"/>
          <w:sz w:val="22"/>
          <w:szCs w:val="22"/>
        </w:rPr>
        <w:t xml:space="preserve"> what he said</w:t>
      </w:r>
      <w:r w:rsidR="008153C4" w:rsidRPr="00A60DB9">
        <w:rPr>
          <w:rFonts w:ascii="Arial" w:hAnsi="Arial" w:cs="Arial"/>
          <w:sz w:val="22"/>
          <w:szCs w:val="22"/>
        </w:rPr>
        <w:t xml:space="preserve"> </w:t>
      </w:r>
      <w:r w:rsidR="00833521" w:rsidRPr="00A60DB9">
        <w:rPr>
          <w:rFonts w:ascii="Arial" w:hAnsi="Arial" w:cs="Arial"/>
          <w:sz w:val="22"/>
          <w:szCs w:val="22"/>
        </w:rPr>
        <w:t>were never shown. Moreover, the Police Complaints Authority- Supervised Inquiry stated that there was a “</w:t>
      </w:r>
      <w:r w:rsidR="00833521" w:rsidRPr="00A60DB9">
        <w:rPr>
          <w:rFonts w:ascii="Arial" w:hAnsi="Arial" w:cs="Arial"/>
          <w:i/>
          <w:iCs/>
          <w:sz w:val="22"/>
          <w:szCs w:val="22"/>
        </w:rPr>
        <w:t xml:space="preserve">failure to arrest Neil Acourt and Norris” </w:t>
      </w:r>
      <w:r w:rsidR="00833521" w:rsidRPr="00A60DB9">
        <w:rPr>
          <w:rFonts w:ascii="Arial" w:hAnsi="Arial" w:cs="Arial"/>
          <w:sz w:val="22"/>
          <w:szCs w:val="22"/>
        </w:rPr>
        <w:t xml:space="preserve">for the </w:t>
      </w:r>
      <w:r w:rsidR="00843531" w:rsidRPr="00A60DB9">
        <w:rPr>
          <w:rFonts w:ascii="Arial" w:hAnsi="Arial" w:cs="Arial"/>
          <w:sz w:val="22"/>
          <w:szCs w:val="22"/>
        </w:rPr>
        <w:t>Benefield stabbing and it was a “</w:t>
      </w:r>
      <w:r w:rsidR="00843531" w:rsidRPr="00A60DB9">
        <w:rPr>
          <w:rFonts w:ascii="Arial" w:hAnsi="Arial" w:cs="Arial"/>
          <w:i/>
          <w:iCs/>
          <w:sz w:val="22"/>
          <w:szCs w:val="22"/>
        </w:rPr>
        <w:t>’golden opportunity’ missed”</w:t>
      </w:r>
      <w:r w:rsidR="00E83863" w:rsidRPr="00A60DB9">
        <w:rPr>
          <w:rFonts w:ascii="Arial" w:hAnsi="Arial" w:cs="Arial"/>
          <w:sz w:val="22"/>
          <w:szCs w:val="22"/>
        </w:rPr>
        <w:t xml:space="preserve"> that could have potentially prevented the Lawrence case from happening. Pallister (1998) also reported that the police were found to be uncooperative and shared little to no information with Lawrence’s family which lead to an increase in frustration for the family.</w:t>
      </w:r>
    </w:p>
    <w:p w14:paraId="4171B3C6" w14:textId="2E02A6A9" w:rsidR="0093639A" w:rsidRPr="00A60DB9" w:rsidRDefault="00E83863" w:rsidP="008B0B17">
      <w:pPr>
        <w:spacing w:line="360" w:lineRule="auto"/>
        <w:rPr>
          <w:rFonts w:ascii="Arial" w:hAnsi="Arial" w:cs="Arial"/>
          <w:sz w:val="22"/>
          <w:szCs w:val="22"/>
        </w:rPr>
      </w:pPr>
      <w:r w:rsidRPr="00A60DB9">
        <w:rPr>
          <w:rFonts w:ascii="Arial" w:hAnsi="Arial" w:cs="Arial"/>
          <w:sz w:val="22"/>
          <w:szCs w:val="22"/>
        </w:rPr>
        <w:t xml:space="preserve">Due to the many and continuous failings of the police during the Lawrence case, it damaged the trust and relationship between the police and the public, </w:t>
      </w:r>
      <w:r w:rsidR="004533CB" w:rsidRPr="00A60DB9">
        <w:rPr>
          <w:rFonts w:ascii="Arial" w:hAnsi="Arial" w:cs="Arial"/>
          <w:sz w:val="22"/>
          <w:szCs w:val="22"/>
        </w:rPr>
        <w:t>especially that of Lawrence’s friends and family; Mrs Lawrence stated, “</w:t>
      </w:r>
      <w:r w:rsidR="004533CB" w:rsidRPr="00A60DB9">
        <w:rPr>
          <w:rFonts w:ascii="Arial" w:hAnsi="Arial" w:cs="Arial"/>
          <w:i/>
          <w:iCs/>
          <w:sz w:val="22"/>
          <w:szCs w:val="22"/>
        </w:rPr>
        <w:t xml:space="preserve">no black person can ever trust the police” </w:t>
      </w:r>
      <w:r w:rsidR="004533CB" w:rsidRPr="00A60DB9">
        <w:rPr>
          <w:rFonts w:ascii="Arial" w:hAnsi="Arial" w:cs="Arial"/>
          <w:sz w:val="22"/>
          <w:szCs w:val="22"/>
        </w:rPr>
        <w:t>(Pallister, 1998).</w:t>
      </w:r>
    </w:p>
    <w:p w14:paraId="5D409128" w14:textId="51B05404" w:rsidR="00690B70" w:rsidRPr="00A60DB9" w:rsidRDefault="007D5E28" w:rsidP="008B0B17">
      <w:pPr>
        <w:spacing w:line="360" w:lineRule="auto"/>
        <w:rPr>
          <w:rFonts w:ascii="Arial" w:hAnsi="Arial" w:cs="Arial"/>
          <w:sz w:val="22"/>
          <w:szCs w:val="22"/>
        </w:rPr>
      </w:pPr>
      <w:r w:rsidRPr="00A60DB9">
        <w:rPr>
          <w:rFonts w:ascii="Arial" w:hAnsi="Arial" w:cs="Arial"/>
          <w:sz w:val="22"/>
          <w:szCs w:val="22"/>
        </w:rPr>
        <w:t>Furthermore,</w:t>
      </w:r>
      <w:r w:rsidR="00FB32FB" w:rsidRPr="00A60DB9">
        <w:rPr>
          <w:rFonts w:ascii="Arial" w:hAnsi="Arial" w:cs="Arial"/>
          <w:sz w:val="22"/>
          <w:szCs w:val="22"/>
        </w:rPr>
        <w:t xml:space="preserve"> the Press Association (2014) reported that</w:t>
      </w:r>
      <w:r w:rsidRPr="00A60DB9">
        <w:rPr>
          <w:rFonts w:ascii="Arial" w:hAnsi="Arial" w:cs="Arial"/>
          <w:sz w:val="22"/>
          <w:szCs w:val="22"/>
        </w:rPr>
        <w:t xml:space="preserve"> during the Lawrence investigation, Commander Richard Walton was removed from his duties and later resumed his role again on the case, even though he was “</w:t>
      </w:r>
      <w:r w:rsidRPr="00A60DB9">
        <w:rPr>
          <w:rFonts w:ascii="Arial" w:hAnsi="Arial" w:cs="Arial"/>
          <w:i/>
          <w:iCs/>
          <w:sz w:val="22"/>
          <w:szCs w:val="22"/>
        </w:rPr>
        <w:t xml:space="preserve">still facing an inquiry” </w:t>
      </w:r>
      <w:r w:rsidRPr="00A60DB9">
        <w:rPr>
          <w:rFonts w:ascii="Arial" w:hAnsi="Arial" w:cs="Arial"/>
          <w:sz w:val="22"/>
          <w:szCs w:val="22"/>
        </w:rPr>
        <w:t xml:space="preserve">by the Independent Police Complaints Commissioner. </w:t>
      </w:r>
    </w:p>
    <w:p w14:paraId="6B0CEF38" w14:textId="77777777" w:rsidR="004E7090" w:rsidRPr="00A60DB9" w:rsidRDefault="004E7090" w:rsidP="008B0B17">
      <w:pPr>
        <w:spacing w:line="360" w:lineRule="auto"/>
        <w:rPr>
          <w:rFonts w:ascii="Arial" w:hAnsi="Arial" w:cs="Arial"/>
          <w:sz w:val="22"/>
          <w:szCs w:val="22"/>
        </w:rPr>
      </w:pPr>
    </w:p>
    <w:p w14:paraId="4FAF9F01" w14:textId="23D5D45C" w:rsidR="00982010" w:rsidRPr="00A60DB9" w:rsidRDefault="00FE024A" w:rsidP="008B0B17">
      <w:pPr>
        <w:spacing w:line="360" w:lineRule="auto"/>
        <w:rPr>
          <w:rFonts w:ascii="Arial" w:hAnsi="Arial" w:cs="Arial"/>
          <w:sz w:val="22"/>
          <w:szCs w:val="22"/>
          <w:u w:val="single"/>
        </w:rPr>
      </w:pPr>
      <w:r w:rsidRPr="00A60DB9">
        <w:rPr>
          <w:rFonts w:ascii="Arial" w:hAnsi="Arial" w:cs="Arial"/>
          <w:sz w:val="22"/>
          <w:szCs w:val="22"/>
          <w:u w:val="single"/>
        </w:rPr>
        <w:t>The failings of the Family Liaison Officers</w:t>
      </w:r>
    </w:p>
    <w:p w14:paraId="0B2A63A8" w14:textId="48574D3C" w:rsidR="00CA5C33" w:rsidRPr="00A60DB9" w:rsidRDefault="001946D2" w:rsidP="008B0B17">
      <w:pPr>
        <w:spacing w:line="360" w:lineRule="auto"/>
        <w:rPr>
          <w:rFonts w:ascii="Arial" w:hAnsi="Arial" w:cs="Arial"/>
          <w:sz w:val="22"/>
          <w:szCs w:val="22"/>
        </w:rPr>
      </w:pPr>
      <w:r w:rsidRPr="00A60DB9">
        <w:rPr>
          <w:rFonts w:ascii="Arial" w:hAnsi="Arial" w:cs="Arial"/>
          <w:sz w:val="22"/>
          <w:szCs w:val="22"/>
        </w:rPr>
        <w:t xml:space="preserve">The family Liaison Officers for the Lawrence family were described as </w:t>
      </w:r>
      <w:r w:rsidRPr="00A60DB9">
        <w:rPr>
          <w:rFonts w:ascii="Arial" w:hAnsi="Arial" w:cs="Arial"/>
          <w:i/>
          <w:iCs/>
          <w:sz w:val="22"/>
          <w:szCs w:val="22"/>
        </w:rPr>
        <w:t xml:space="preserve">“patronising” </w:t>
      </w:r>
      <w:r w:rsidRPr="00A60DB9">
        <w:rPr>
          <w:rFonts w:ascii="Arial" w:hAnsi="Arial" w:cs="Arial"/>
          <w:sz w:val="22"/>
          <w:szCs w:val="22"/>
        </w:rPr>
        <w:t>and were “</w:t>
      </w:r>
      <w:r w:rsidRPr="00A60DB9">
        <w:rPr>
          <w:rFonts w:ascii="Arial" w:hAnsi="Arial" w:cs="Arial"/>
          <w:i/>
          <w:iCs/>
          <w:sz w:val="22"/>
          <w:szCs w:val="22"/>
        </w:rPr>
        <w:t>more interested</w:t>
      </w:r>
      <w:r w:rsidR="00DA5838" w:rsidRPr="00A60DB9">
        <w:rPr>
          <w:rFonts w:ascii="Arial" w:hAnsi="Arial" w:cs="Arial"/>
          <w:i/>
          <w:iCs/>
          <w:sz w:val="22"/>
          <w:szCs w:val="22"/>
        </w:rPr>
        <w:t xml:space="preserve">” </w:t>
      </w:r>
      <w:r w:rsidR="00DA5838" w:rsidRPr="00A60DB9">
        <w:rPr>
          <w:rFonts w:ascii="Arial" w:hAnsi="Arial" w:cs="Arial"/>
          <w:sz w:val="22"/>
          <w:szCs w:val="22"/>
        </w:rPr>
        <w:t>in Stephen Lawrence’s background (Pallister, 1998).</w:t>
      </w:r>
      <w:r w:rsidR="00FB48BB" w:rsidRPr="00A60DB9">
        <w:rPr>
          <w:rFonts w:ascii="Arial" w:hAnsi="Arial" w:cs="Arial"/>
          <w:sz w:val="22"/>
          <w:szCs w:val="22"/>
        </w:rPr>
        <w:t xml:space="preserve"> Much like the relationship between the police and the Lawrence family, the relationship between the Liaison Officers and the family was “</w:t>
      </w:r>
      <w:r w:rsidR="00FB48BB" w:rsidRPr="00A60DB9">
        <w:rPr>
          <w:rFonts w:ascii="Arial" w:hAnsi="Arial" w:cs="Arial"/>
          <w:i/>
          <w:iCs/>
          <w:sz w:val="22"/>
          <w:szCs w:val="22"/>
        </w:rPr>
        <w:t xml:space="preserve">almost non- existent” </w:t>
      </w:r>
      <w:r w:rsidR="00FB48BB" w:rsidRPr="00A60DB9">
        <w:rPr>
          <w:rFonts w:ascii="Arial" w:hAnsi="Arial" w:cs="Arial"/>
          <w:sz w:val="22"/>
          <w:szCs w:val="22"/>
        </w:rPr>
        <w:t>(</w:t>
      </w:r>
      <w:r w:rsidR="008A5DE9" w:rsidRPr="00A60DB9">
        <w:rPr>
          <w:rFonts w:ascii="Arial" w:hAnsi="Arial" w:cs="Arial"/>
          <w:sz w:val="22"/>
          <w:szCs w:val="22"/>
        </w:rPr>
        <w:t>Cook et al., 1999: 26.8).</w:t>
      </w:r>
      <w:r w:rsidR="000C6640" w:rsidRPr="00A60DB9">
        <w:rPr>
          <w:rFonts w:ascii="Arial" w:hAnsi="Arial" w:cs="Arial"/>
          <w:sz w:val="22"/>
          <w:szCs w:val="22"/>
        </w:rPr>
        <w:t xml:space="preserve"> Detective Sergeant Bevan was one of the two Family Liaison Officers for the Lawrence family and was unaware that there were “</w:t>
      </w:r>
      <w:r w:rsidR="000C6640" w:rsidRPr="00A60DB9">
        <w:rPr>
          <w:rFonts w:ascii="Arial" w:hAnsi="Arial" w:cs="Arial"/>
          <w:i/>
          <w:iCs/>
          <w:sz w:val="22"/>
          <w:szCs w:val="22"/>
        </w:rPr>
        <w:t xml:space="preserve">guidelines” </w:t>
      </w:r>
      <w:r w:rsidR="000C6640" w:rsidRPr="00A60DB9">
        <w:rPr>
          <w:rFonts w:ascii="Arial" w:hAnsi="Arial" w:cs="Arial"/>
          <w:sz w:val="22"/>
          <w:szCs w:val="22"/>
        </w:rPr>
        <w:t>on how to “</w:t>
      </w:r>
      <w:r w:rsidR="000C6640" w:rsidRPr="00A60DB9">
        <w:rPr>
          <w:rFonts w:ascii="Arial" w:hAnsi="Arial" w:cs="Arial"/>
          <w:i/>
          <w:iCs/>
          <w:sz w:val="22"/>
          <w:szCs w:val="22"/>
        </w:rPr>
        <w:t xml:space="preserve">assist officers in respect of </w:t>
      </w:r>
      <w:r w:rsidR="000C6640" w:rsidRPr="00A60DB9">
        <w:rPr>
          <w:rFonts w:ascii="Arial" w:hAnsi="Arial" w:cs="Arial"/>
          <w:i/>
          <w:iCs/>
          <w:sz w:val="22"/>
          <w:szCs w:val="22"/>
        </w:rPr>
        <w:lastRenderedPageBreak/>
        <w:t>family liaison”</w:t>
      </w:r>
      <w:r w:rsidR="00654899" w:rsidRPr="00A60DB9">
        <w:rPr>
          <w:rFonts w:ascii="Arial" w:hAnsi="Arial" w:cs="Arial"/>
          <w:i/>
          <w:iCs/>
          <w:sz w:val="22"/>
          <w:szCs w:val="22"/>
        </w:rPr>
        <w:t xml:space="preserve">. </w:t>
      </w:r>
      <w:r w:rsidR="00654899" w:rsidRPr="00A60DB9">
        <w:rPr>
          <w:rFonts w:ascii="Arial" w:hAnsi="Arial" w:cs="Arial"/>
          <w:sz w:val="22"/>
          <w:szCs w:val="22"/>
        </w:rPr>
        <w:t xml:space="preserve">He also stated that the title of a Family Liaison Officer is self-explanatory and </w:t>
      </w:r>
      <w:r w:rsidR="00431FBA" w:rsidRPr="00A60DB9">
        <w:rPr>
          <w:rFonts w:ascii="Arial" w:hAnsi="Arial" w:cs="Arial"/>
          <w:sz w:val="22"/>
          <w:szCs w:val="22"/>
        </w:rPr>
        <w:t>an ”explanation</w:t>
      </w:r>
      <w:r w:rsidR="00654899" w:rsidRPr="00A60DB9">
        <w:rPr>
          <w:rFonts w:ascii="Arial" w:hAnsi="Arial" w:cs="Arial"/>
          <w:i/>
          <w:iCs/>
          <w:sz w:val="22"/>
          <w:szCs w:val="22"/>
        </w:rPr>
        <w:t xml:space="preserve"> of what is </w:t>
      </w:r>
      <w:r w:rsidR="00431FBA" w:rsidRPr="00A60DB9">
        <w:rPr>
          <w:rFonts w:ascii="Arial" w:hAnsi="Arial" w:cs="Arial"/>
          <w:i/>
          <w:iCs/>
          <w:sz w:val="22"/>
          <w:szCs w:val="22"/>
        </w:rPr>
        <w:t xml:space="preserve">required and what is needed”, </w:t>
      </w:r>
      <w:r w:rsidR="00431FBA" w:rsidRPr="00A60DB9">
        <w:rPr>
          <w:rFonts w:ascii="Arial" w:hAnsi="Arial" w:cs="Arial"/>
          <w:sz w:val="22"/>
          <w:szCs w:val="22"/>
        </w:rPr>
        <w:t>however this</w:t>
      </w:r>
      <w:r w:rsidR="00283563" w:rsidRPr="00A60DB9">
        <w:rPr>
          <w:rFonts w:ascii="Arial" w:hAnsi="Arial" w:cs="Arial"/>
          <w:sz w:val="22"/>
          <w:szCs w:val="22"/>
        </w:rPr>
        <w:t xml:space="preserve"> </w:t>
      </w:r>
      <w:r w:rsidR="00431FBA" w:rsidRPr="00A60DB9">
        <w:rPr>
          <w:rFonts w:ascii="Arial" w:hAnsi="Arial" w:cs="Arial"/>
          <w:sz w:val="22"/>
          <w:szCs w:val="22"/>
        </w:rPr>
        <w:t>is not the case as it is evident that everyone needs training</w:t>
      </w:r>
      <w:r w:rsidR="00E5133E" w:rsidRPr="00A60DB9">
        <w:rPr>
          <w:rFonts w:ascii="Arial" w:hAnsi="Arial" w:cs="Arial"/>
          <w:sz w:val="22"/>
          <w:szCs w:val="22"/>
        </w:rPr>
        <w:t xml:space="preserve">, especially when involved in such a sensitive and integral role (Cook et al., 1999: </w:t>
      </w:r>
      <w:r w:rsidR="00B838F2" w:rsidRPr="00A60DB9">
        <w:rPr>
          <w:rFonts w:ascii="Arial" w:hAnsi="Arial" w:cs="Arial"/>
          <w:sz w:val="22"/>
          <w:szCs w:val="22"/>
        </w:rPr>
        <w:t>26.7).</w:t>
      </w:r>
      <w:r w:rsidR="00490F3F" w:rsidRPr="00A60DB9">
        <w:rPr>
          <w:rFonts w:ascii="Arial" w:hAnsi="Arial" w:cs="Arial"/>
          <w:sz w:val="22"/>
          <w:szCs w:val="22"/>
        </w:rPr>
        <w:t xml:space="preserve"> Moreover</w:t>
      </w:r>
      <w:r w:rsidR="006071BF" w:rsidRPr="00A60DB9">
        <w:rPr>
          <w:rFonts w:ascii="Arial" w:hAnsi="Arial" w:cs="Arial"/>
          <w:sz w:val="22"/>
          <w:szCs w:val="22"/>
        </w:rPr>
        <w:t>, Detective Sergeant (DS) Bevan stated that there was “</w:t>
      </w:r>
      <w:r w:rsidR="006071BF" w:rsidRPr="00A60DB9">
        <w:rPr>
          <w:rFonts w:ascii="Arial" w:hAnsi="Arial" w:cs="Arial"/>
          <w:i/>
          <w:iCs/>
          <w:sz w:val="22"/>
          <w:szCs w:val="22"/>
        </w:rPr>
        <w:t>a tremendous barrier to communication</w:t>
      </w:r>
      <w:r w:rsidR="00731B56" w:rsidRPr="00A60DB9">
        <w:rPr>
          <w:rFonts w:ascii="Arial" w:hAnsi="Arial" w:cs="Arial"/>
          <w:i/>
          <w:iCs/>
          <w:sz w:val="22"/>
          <w:szCs w:val="22"/>
        </w:rPr>
        <w:t>”</w:t>
      </w:r>
      <w:r w:rsidR="00731B56" w:rsidRPr="00A60DB9">
        <w:rPr>
          <w:rFonts w:ascii="Arial" w:hAnsi="Arial" w:cs="Arial"/>
          <w:sz w:val="22"/>
          <w:szCs w:val="22"/>
        </w:rPr>
        <w:t xml:space="preserve"> and blame</w:t>
      </w:r>
      <w:r w:rsidR="00123BE9" w:rsidRPr="00A60DB9">
        <w:rPr>
          <w:rFonts w:ascii="Arial" w:hAnsi="Arial" w:cs="Arial"/>
          <w:sz w:val="22"/>
          <w:szCs w:val="22"/>
        </w:rPr>
        <w:t>d</w:t>
      </w:r>
      <w:r w:rsidR="00731B56" w:rsidRPr="00A60DB9">
        <w:rPr>
          <w:rFonts w:ascii="Arial" w:hAnsi="Arial" w:cs="Arial"/>
          <w:sz w:val="22"/>
          <w:szCs w:val="22"/>
        </w:rPr>
        <w:t xml:space="preserve"> it on “</w:t>
      </w:r>
      <w:r w:rsidR="00731B56" w:rsidRPr="00A60DB9">
        <w:rPr>
          <w:rFonts w:ascii="Arial" w:hAnsi="Arial" w:cs="Arial"/>
          <w:i/>
          <w:iCs/>
          <w:sz w:val="22"/>
          <w:szCs w:val="22"/>
        </w:rPr>
        <w:t xml:space="preserve">outside bodies who wanted to make their own statement”. </w:t>
      </w:r>
    </w:p>
    <w:p w14:paraId="2448D2F8" w14:textId="06494D0D" w:rsidR="00731B56" w:rsidRPr="00A60DB9" w:rsidRDefault="00B1086A" w:rsidP="008B0B17">
      <w:pPr>
        <w:spacing w:line="360" w:lineRule="auto"/>
        <w:rPr>
          <w:rFonts w:ascii="Arial" w:hAnsi="Arial" w:cs="Arial"/>
          <w:sz w:val="22"/>
          <w:szCs w:val="22"/>
        </w:rPr>
      </w:pPr>
      <w:r w:rsidRPr="00A60DB9">
        <w:rPr>
          <w:rFonts w:ascii="Arial" w:hAnsi="Arial" w:cs="Arial"/>
          <w:sz w:val="22"/>
          <w:szCs w:val="22"/>
        </w:rPr>
        <w:t>According to Cook et al. (1999: 26.8)</w:t>
      </w:r>
      <w:r w:rsidR="0093695D" w:rsidRPr="00A60DB9">
        <w:rPr>
          <w:rFonts w:ascii="Arial" w:hAnsi="Arial" w:cs="Arial"/>
          <w:sz w:val="22"/>
          <w:szCs w:val="22"/>
        </w:rPr>
        <w:t>, a</w:t>
      </w:r>
      <w:r w:rsidR="00731B56" w:rsidRPr="00A60DB9">
        <w:rPr>
          <w:rFonts w:ascii="Arial" w:hAnsi="Arial" w:cs="Arial"/>
          <w:sz w:val="22"/>
          <w:szCs w:val="22"/>
        </w:rPr>
        <w:t>fter the initial meeting, both DS Bevan and Detective Constable (DC) Holden, the Family Liaison Officers, were seen with “</w:t>
      </w:r>
      <w:r w:rsidR="00731B56" w:rsidRPr="00A60DB9">
        <w:rPr>
          <w:rFonts w:ascii="Arial" w:hAnsi="Arial" w:cs="Arial"/>
          <w:i/>
          <w:iCs/>
          <w:sz w:val="22"/>
          <w:szCs w:val="22"/>
        </w:rPr>
        <w:t xml:space="preserve">suspicion and mistrust” </w:t>
      </w:r>
      <w:r w:rsidR="00731B56" w:rsidRPr="00A60DB9">
        <w:rPr>
          <w:rFonts w:ascii="Arial" w:hAnsi="Arial" w:cs="Arial"/>
          <w:sz w:val="22"/>
          <w:szCs w:val="22"/>
        </w:rPr>
        <w:t>and were unable to gain the confidence and trust of the Lawrence family</w:t>
      </w:r>
      <w:r w:rsidR="0093695D" w:rsidRPr="00A60DB9">
        <w:rPr>
          <w:rFonts w:ascii="Arial" w:hAnsi="Arial" w:cs="Arial"/>
          <w:sz w:val="22"/>
          <w:szCs w:val="22"/>
        </w:rPr>
        <w:t>.</w:t>
      </w:r>
    </w:p>
    <w:p w14:paraId="6D90994F" w14:textId="5BD5C0D7" w:rsidR="0093695D" w:rsidRPr="00A60DB9" w:rsidRDefault="0093695D" w:rsidP="008B0B17">
      <w:pPr>
        <w:spacing w:line="360" w:lineRule="auto"/>
        <w:rPr>
          <w:rFonts w:ascii="Arial" w:hAnsi="Arial" w:cs="Arial"/>
          <w:sz w:val="22"/>
          <w:szCs w:val="22"/>
        </w:rPr>
      </w:pPr>
      <w:r w:rsidRPr="00A60DB9">
        <w:rPr>
          <w:rFonts w:ascii="Arial" w:hAnsi="Arial" w:cs="Arial"/>
          <w:sz w:val="22"/>
          <w:szCs w:val="22"/>
        </w:rPr>
        <w:t xml:space="preserve">It was also found </w:t>
      </w:r>
      <w:r w:rsidR="00737C8A" w:rsidRPr="00A60DB9">
        <w:rPr>
          <w:rFonts w:ascii="Arial" w:hAnsi="Arial" w:cs="Arial"/>
          <w:sz w:val="22"/>
          <w:szCs w:val="22"/>
        </w:rPr>
        <w:t>that DS Bevan, along with others on the case, did not</w:t>
      </w:r>
      <w:r w:rsidR="00575DC5" w:rsidRPr="00A60DB9">
        <w:rPr>
          <w:rFonts w:ascii="Arial" w:hAnsi="Arial" w:cs="Arial"/>
          <w:sz w:val="22"/>
          <w:szCs w:val="22"/>
        </w:rPr>
        <w:t xml:space="preserve"> accept the fact that the murder of Stephen Lawrence </w:t>
      </w:r>
      <w:r w:rsidR="00416843" w:rsidRPr="00A60DB9">
        <w:rPr>
          <w:rFonts w:ascii="Arial" w:hAnsi="Arial" w:cs="Arial"/>
          <w:sz w:val="22"/>
          <w:szCs w:val="22"/>
        </w:rPr>
        <w:t>was “</w:t>
      </w:r>
      <w:r w:rsidR="00416843" w:rsidRPr="00A60DB9">
        <w:rPr>
          <w:rFonts w:ascii="Arial" w:hAnsi="Arial" w:cs="Arial"/>
          <w:i/>
          <w:iCs/>
          <w:sz w:val="22"/>
          <w:szCs w:val="22"/>
        </w:rPr>
        <w:t>purely a racist crime”</w:t>
      </w:r>
      <w:r w:rsidR="00416843" w:rsidRPr="00A60DB9">
        <w:rPr>
          <w:rFonts w:ascii="Arial" w:hAnsi="Arial" w:cs="Arial"/>
          <w:sz w:val="22"/>
          <w:szCs w:val="22"/>
        </w:rPr>
        <w:t xml:space="preserve"> </w:t>
      </w:r>
      <w:r w:rsidR="009D7DA2" w:rsidRPr="00A60DB9">
        <w:rPr>
          <w:rFonts w:ascii="Arial" w:hAnsi="Arial" w:cs="Arial"/>
          <w:sz w:val="22"/>
          <w:szCs w:val="22"/>
        </w:rPr>
        <w:t xml:space="preserve">and </w:t>
      </w:r>
      <w:r w:rsidR="005E60AC" w:rsidRPr="00A60DB9">
        <w:rPr>
          <w:rFonts w:ascii="Arial" w:hAnsi="Arial" w:cs="Arial"/>
          <w:sz w:val="22"/>
          <w:szCs w:val="22"/>
        </w:rPr>
        <w:t xml:space="preserve">most likely </w:t>
      </w:r>
      <w:r w:rsidR="00827F09" w:rsidRPr="00A60DB9">
        <w:rPr>
          <w:rFonts w:ascii="Arial" w:hAnsi="Arial" w:cs="Arial"/>
          <w:sz w:val="22"/>
          <w:szCs w:val="22"/>
        </w:rPr>
        <w:t xml:space="preserve">interfered with his capability to do an effective job as a Family Liaison Officer (Cook et al., </w:t>
      </w:r>
      <w:r w:rsidR="00C370FD" w:rsidRPr="00A60DB9">
        <w:rPr>
          <w:rFonts w:ascii="Arial" w:hAnsi="Arial" w:cs="Arial"/>
          <w:sz w:val="22"/>
          <w:szCs w:val="22"/>
        </w:rPr>
        <w:t>1999: 26. 12).</w:t>
      </w:r>
    </w:p>
    <w:p w14:paraId="7C31B9BB" w14:textId="77777777" w:rsidR="00733195" w:rsidRPr="00A60DB9" w:rsidRDefault="00733195" w:rsidP="008B0B17">
      <w:pPr>
        <w:spacing w:line="360" w:lineRule="auto"/>
        <w:rPr>
          <w:rFonts w:ascii="Arial" w:hAnsi="Arial" w:cs="Arial"/>
          <w:sz w:val="22"/>
          <w:szCs w:val="22"/>
        </w:rPr>
      </w:pPr>
    </w:p>
    <w:p w14:paraId="743C9886" w14:textId="77777777" w:rsidR="008F6DD9" w:rsidRPr="00A60DB9" w:rsidRDefault="008F6DD9" w:rsidP="008F6DD9">
      <w:pPr>
        <w:spacing w:line="360" w:lineRule="auto"/>
        <w:rPr>
          <w:rFonts w:ascii="Arial" w:hAnsi="Arial" w:cs="Arial"/>
          <w:sz w:val="22"/>
          <w:szCs w:val="22"/>
          <w:u w:val="single"/>
        </w:rPr>
      </w:pPr>
      <w:r w:rsidRPr="00A60DB9">
        <w:rPr>
          <w:rFonts w:ascii="Arial" w:hAnsi="Arial" w:cs="Arial"/>
          <w:sz w:val="22"/>
          <w:szCs w:val="22"/>
          <w:u w:val="single"/>
        </w:rPr>
        <w:t xml:space="preserve">The failings of the court </w:t>
      </w:r>
    </w:p>
    <w:p w14:paraId="49BE152C" w14:textId="77777777" w:rsidR="004A7473" w:rsidRPr="00A60DB9" w:rsidRDefault="008F6DD9" w:rsidP="008F6DD9">
      <w:pPr>
        <w:spacing w:line="360" w:lineRule="auto"/>
        <w:rPr>
          <w:rFonts w:ascii="Arial" w:hAnsi="Arial" w:cs="Arial"/>
          <w:sz w:val="22"/>
          <w:szCs w:val="22"/>
        </w:rPr>
      </w:pPr>
      <w:r w:rsidRPr="00A60DB9">
        <w:rPr>
          <w:rFonts w:ascii="Arial" w:hAnsi="Arial" w:cs="Arial"/>
          <w:sz w:val="22"/>
          <w:szCs w:val="22"/>
        </w:rPr>
        <w:t xml:space="preserve">The court also played a part in the many failings of the Stephen Lawrence </w:t>
      </w:r>
      <w:r w:rsidR="00A834BA" w:rsidRPr="00A60DB9">
        <w:rPr>
          <w:rFonts w:ascii="Arial" w:hAnsi="Arial" w:cs="Arial"/>
          <w:sz w:val="22"/>
          <w:szCs w:val="22"/>
        </w:rPr>
        <w:t>case and</w:t>
      </w:r>
      <w:r w:rsidRPr="00A60DB9">
        <w:rPr>
          <w:rFonts w:ascii="Arial" w:hAnsi="Arial" w:cs="Arial"/>
          <w:sz w:val="22"/>
          <w:szCs w:val="22"/>
        </w:rPr>
        <w:t xml:space="preserve"> was evident when evidence of the CPS’s part in the case was requested for the inquiry</w:t>
      </w:r>
      <w:r w:rsidR="00A834BA" w:rsidRPr="00A60DB9">
        <w:rPr>
          <w:rFonts w:ascii="Arial" w:hAnsi="Arial" w:cs="Arial"/>
          <w:sz w:val="22"/>
          <w:szCs w:val="22"/>
        </w:rPr>
        <w:t>.</w:t>
      </w:r>
      <w:r w:rsidR="00EA4CF1" w:rsidRPr="00A60DB9">
        <w:rPr>
          <w:rFonts w:ascii="Arial" w:hAnsi="Arial" w:cs="Arial"/>
          <w:sz w:val="22"/>
          <w:szCs w:val="22"/>
        </w:rPr>
        <w:t xml:space="preserve"> </w:t>
      </w:r>
      <w:r w:rsidR="00866E35" w:rsidRPr="00A60DB9">
        <w:rPr>
          <w:rFonts w:ascii="Arial" w:hAnsi="Arial" w:cs="Arial"/>
          <w:sz w:val="22"/>
          <w:szCs w:val="22"/>
        </w:rPr>
        <w:t xml:space="preserve">However, Mr </w:t>
      </w:r>
      <w:r w:rsidR="001B1C55" w:rsidRPr="00A60DB9">
        <w:rPr>
          <w:rFonts w:ascii="Arial" w:hAnsi="Arial" w:cs="Arial"/>
          <w:sz w:val="22"/>
          <w:szCs w:val="22"/>
        </w:rPr>
        <w:t xml:space="preserve">Medwynter who </w:t>
      </w:r>
      <w:r w:rsidR="00CB3B7C" w:rsidRPr="00A60DB9">
        <w:rPr>
          <w:rFonts w:ascii="Arial" w:hAnsi="Arial" w:cs="Arial"/>
          <w:sz w:val="22"/>
          <w:szCs w:val="22"/>
        </w:rPr>
        <w:t>oversaw</w:t>
      </w:r>
      <w:r w:rsidR="001B1C55" w:rsidRPr="00A60DB9">
        <w:rPr>
          <w:rFonts w:ascii="Arial" w:hAnsi="Arial" w:cs="Arial"/>
          <w:sz w:val="22"/>
          <w:szCs w:val="22"/>
        </w:rPr>
        <w:t xml:space="preserve"> </w:t>
      </w:r>
      <w:r w:rsidR="001B1C55" w:rsidRPr="00A60DB9">
        <w:rPr>
          <w:rFonts w:ascii="Arial" w:hAnsi="Arial" w:cs="Arial"/>
          <w:i/>
          <w:iCs/>
          <w:sz w:val="22"/>
          <w:szCs w:val="22"/>
        </w:rPr>
        <w:t xml:space="preserve">“collating the evidence” </w:t>
      </w:r>
      <w:r w:rsidR="001B1C55" w:rsidRPr="00A60DB9">
        <w:rPr>
          <w:rFonts w:ascii="Arial" w:hAnsi="Arial" w:cs="Arial"/>
          <w:sz w:val="22"/>
          <w:szCs w:val="22"/>
        </w:rPr>
        <w:t>from the police, and Mr Grant- Whyte</w:t>
      </w:r>
      <w:r w:rsidR="00B54F34" w:rsidRPr="00A60DB9">
        <w:rPr>
          <w:rFonts w:ascii="Arial" w:hAnsi="Arial" w:cs="Arial"/>
          <w:sz w:val="22"/>
          <w:szCs w:val="22"/>
        </w:rPr>
        <w:t xml:space="preserve">, who </w:t>
      </w:r>
      <w:r w:rsidR="005E60AC" w:rsidRPr="00A60DB9">
        <w:rPr>
          <w:rFonts w:ascii="Arial" w:hAnsi="Arial" w:cs="Arial"/>
          <w:sz w:val="22"/>
          <w:szCs w:val="22"/>
        </w:rPr>
        <w:t>oversaw</w:t>
      </w:r>
      <w:r w:rsidR="00B54F34" w:rsidRPr="00A60DB9">
        <w:rPr>
          <w:rFonts w:ascii="Arial" w:hAnsi="Arial" w:cs="Arial"/>
          <w:sz w:val="22"/>
          <w:szCs w:val="22"/>
        </w:rPr>
        <w:t xml:space="preserve"> the “</w:t>
      </w:r>
      <w:r w:rsidR="00B54F34" w:rsidRPr="00A60DB9">
        <w:rPr>
          <w:rFonts w:ascii="Arial" w:hAnsi="Arial" w:cs="Arial"/>
          <w:i/>
          <w:iCs/>
          <w:sz w:val="22"/>
          <w:szCs w:val="22"/>
        </w:rPr>
        <w:t xml:space="preserve">quality of the admissible evidence” </w:t>
      </w:r>
      <w:r w:rsidR="00B54F34" w:rsidRPr="00A60DB9">
        <w:rPr>
          <w:rFonts w:ascii="Arial" w:hAnsi="Arial" w:cs="Arial"/>
          <w:sz w:val="22"/>
          <w:szCs w:val="22"/>
        </w:rPr>
        <w:t>both had a “</w:t>
      </w:r>
      <w:r w:rsidR="00B54F34" w:rsidRPr="00A60DB9">
        <w:rPr>
          <w:rFonts w:ascii="Arial" w:hAnsi="Arial" w:cs="Arial"/>
          <w:i/>
          <w:iCs/>
          <w:sz w:val="22"/>
          <w:szCs w:val="22"/>
        </w:rPr>
        <w:t xml:space="preserve">constant review of the evidence” </w:t>
      </w:r>
      <w:r w:rsidR="00B54F34" w:rsidRPr="00A60DB9">
        <w:rPr>
          <w:rFonts w:ascii="Arial" w:hAnsi="Arial" w:cs="Arial"/>
          <w:sz w:val="22"/>
          <w:szCs w:val="22"/>
        </w:rPr>
        <w:t>and that “</w:t>
      </w:r>
      <w:r w:rsidR="00B54F34" w:rsidRPr="00A60DB9">
        <w:rPr>
          <w:rFonts w:ascii="Arial" w:hAnsi="Arial" w:cs="Arial"/>
          <w:i/>
          <w:iCs/>
          <w:sz w:val="22"/>
          <w:szCs w:val="22"/>
        </w:rPr>
        <w:t xml:space="preserve">developments were made by Mr Medwynter on behalf of his superiors” </w:t>
      </w:r>
      <w:r w:rsidR="00B54F34" w:rsidRPr="00A60DB9">
        <w:rPr>
          <w:rFonts w:ascii="Arial" w:hAnsi="Arial" w:cs="Arial"/>
          <w:sz w:val="22"/>
          <w:szCs w:val="22"/>
        </w:rPr>
        <w:t xml:space="preserve">(Cook et al., 1999: </w:t>
      </w:r>
      <w:r w:rsidR="00CB3B7C" w:rsidRPr="00A60DB9">
        <w:rPr>
          <w:rFonts w:ascii="Arial" w:hAnsi="Arial" w:cs="Arial"/>
          <w:sz w:val="22"/>
          <w:szCs w:val="22"/>
        </w:rPr>
        <w:t>39.</w:t>
      </w:r>
      <w:r w:rsidR="00D71B1F" w:rsidRPr="00A60DB9">
        <w:rPr>
          <w:rFonts w:ascii="Arial" w:hAnsi="Arial" w:cs="Arial"/>
          <w:sz w:val="22"/>
          <w:szCs w:val="22"/>
        </w:rPr>
        <w:t xml:space="preserve"> </w:t>
      </w:r>
      <w:r w:rsidR="00CB3B7C" w:rsidRPr="00A60DB9">
        <w:rPr>
          <w:rFonts w:ascii="Arial" w:hAnsi="Arial" w:cs="Arial"/>
          <w:sz w:val="22"/>
          <w:szCs w:val="22"/>
        </w:rPr>
        <w:t xml:space="preserve">3). </w:t>
      </w:r>
      <w:r w:rsidR="00781DE3" w:rsidRPr="00A60DB9">
        <w:rPr>
          <w:rFonts w:ascii="Arial" w:hAnsi="Arial" w:cs="Arial"/>
          <w:sz w:val="22"/>
          <w:szCs w:val="22"/>
        </w:rPr>
        <w:t>Also, because Lawrence’s parents had launched a private prosecution against Acourt, Norris and Knight, this meant that the three could not be tried again</w:t>
      </w:r>
      <w:r w:rsidR="001328A0" w:rsidRPr="00A60DB9">
        <w:rPr>
          <w:rFonts w:ascii="Arial" w:hAnsi="Arial" w:cs="Arial"/>
          <w:sz w:val="22"/>
          <w:szCs w:val="22"/>
        </w:rPr>
        <w:t xml:space="preserve"> for the same crime due to the double jeopardy law, which prevented them from being brought to justice</w:t>
      </w:r>
      <w:r w:rsidR="00866E35" w:rsidRPr="00A60DB9">
        <w:rPr>
          <w:rFonts w:ascii="Arial" w:hAnsi="Arial" w:cs="Arial"/>
          <w:sz w:val="22"/>
          <w:szCs w:val="22"/>
        </w:rPr>
        <w:t>, however, in 2005, the double jeopardy law was scrapped (Paton, 2021).</w:t>
      </w:r>
    </w:p>
    <w:p w14:paraId="2C0F9CD7" w14:textId="28C2EED4" w:rsidR="008911F0" w:rsidRPr="00A60DB9" w:rsidRDefault="008911F0" w:rsidP="008F6DD9">
      <w:pPr>
        <w:spacing w:line="360" w:lineRule="auto"/>
        <w:rPr>
          <w:rFonts w:ascii="Arial" w:hAnsi="Arial" w:cs="Arial"/>
          <w:sz w:val="22"/>
          <w:szCs w:val="22"/>
        </w:rPr>
      </w:pPr>
      <w:r w:rsidRPr="00A60DB9">
        <w:rPr>
          <w:rFonts w:ascii="Arial" w:hAnsi="Arial" w:cs="Arial"/>
          <w:sz w:val="22"/>
          <w:szCs w:val="22"/>
        </w:rPr>
        <w:t>Furthermore, unlike the Liaison Family Officer</w:t>
      </w:r>
      <w:r w:rsidR="00367CDE" w:rsidRPr="00A60DB9">
        <w:rPr>
          <w:rFonts w:ascii="Arial" w:hAnsi="Arial" w:cs="Arial"/>
          <w:sz w:val="22"/>
          <w:szCs w:val="22"/>
        </w:rPr>
        <w:t xml:space="preserve"> and the Metropolitan Police, Mr Medwynter </w:t>
      </w:r>
      <w:r w:rsidR="00CA608B" w:rsidRPr="00A60DB9">
        <w:rPr>
          <w:rFonts w:ascii="Arial" w:hAnsi="Arial" w:cs="Arial"/>
          <w:sz w:val="22"/>
          <w:szCs w:val="22"/>
        </w:rPr>
        <w:t>a</w:t>
      </w:r>
      <w:r w:rsidR="004A7473" w:rsidRPr="00A60DB9">
        <w:rPr>
          <w:rFonts w:ascii="Arial" w:hAnsi="Arial" w:cs="Arial"/>
          <w:sz w:val="22"/>
          <w:szCs w:val="22"/>
        </w:rPr>
        <w:t xml:space="preserve">nd </w:t>
      </w:r>
      <w:r w:rsidR="00CA608B" w:rsidRPr="00A60DB9">
        <w:rPr>
          <w:rFonts w:ascii="Arial" w:hAnsi="Arial" w:cs="Arial"/>
          <w:sz w:val="22"/>
          <w:szCs w:val="22"/>
        </w:rPr>
        <w:t xml:space="preserve">other </w:t>
      </w:r>
      <w:r w:rsidR="00D71B1F" w:rsidRPr="00A60DB9">
        <w:rPr>
          <w:rFonts w:ascii="Arial" w:hAnsi="Arial" w:cs="Arial"/>
          <w:sz w:val="22"/>
          <w:szCs w:val="22"/>
        </w:rPr>
        <w:t>prosecutors</w:t>
      </w:r>
      <w:r w:rsidR="00CA608B" w:rsidRPr="00A60DB9">
        <w:rPr>
          <w:rFonts w:ascii="Arial" w:hAnsi="Arial" w:cs="Arial"/>
          <w:sz w:val="22"/>
          <w:szCs w:val="22"/>
        </w:rPr>
        <w:t xml:space="preserve"> were “</w:t>
      </w:r>
      <w:r w:rsidR="00CA608B" w:rsidRPr="00A60DB9">
        <w:rPr>
          <w:rFonts w:ascii="Arial" w:hAnsi="Arial" w:cs="Arial"/>
          <w:i/>
          <w:iCs/>
          <w:sz w:val="22"/>
          <w:szCs w:val="22"/>
        </w:rPr>
        <w:t>fully conscious</w:t>
      </w:r>
      <w:r w:rsidR="00CA608B" w:rsidRPr="00A60DB9">
        <w:rPr>
          <w:rFonts w:ascii="Arial" w:hAnsi="Arial" w:cs="Arial"/>
          <w:sz w:val="22"/>
          <w:szCs w:val="22"/>
        </w:rPr>
        <w:t>” that this crime was “</w:t>
      </w:r>
      <w:r w:rsidR="00CA608B" w:rsidRPr="00A60DB9">
        <w:rPr>
          <w:rFonts w:ascii="Arial" w:hAnsi="Arial" w:cs="Arial"/>
          <w:i/>
          <w:iCs/>
          <w:sz w:val="22"/>
          <w:szCs w:val="22"/>
        </w:rPr>
        <w:t>motivated by racism</w:t>
      </w:r>
      <w:r w:rsidR="00CA608B" w:rsidRPr="00A60DB9">
        <w:rPr>
          <w:rFonts w:ascii="Arial" w:hAnsi="Arial" w:cs="Arial"/>
          <w:sz w:val="22"/>
          <w:szCs w:val="22"/>
        </w:rPr>
        <w:t>”</w:t>
      </w:r>
      <w:r w:rsidR="006A0D99" w:rsidRPr="00A60DB9">
        <w:rPr>
          <w:rFonts w:ascii="Arial" w:hAnsi="Arial" w:cs="Arial"/>
          <w:sz w:val="22"/>
          <w:szCs w:val="22"/>
        </w:rPr>
        <w:t xml:space="preserve"> but </w:t>
      </w:r>
      <w:r w:rsidR="00C00D14" w:rsidRPr="00A60DB9">
        <w:rPr>
          <w:rFonts w:ascii="Arial" w:hAnsi="Arial" w:cs="Arial"/>
          <w:sz w:val="22"/>
          <w:szCs w:val="22"/>
        </w:rPr>
        <w:t xml:space="preserve">the </w:t>
      </w:r>
      <w:r w:rsidR="00D71B1F" w:rsidRPr="00A60DB9">
        <w:rPr>
          <w:rFonts w:ascii="Arial" w:hAnsi="Arial" w:cs="Arial"/>
          <w:sz w:val="22"/>
          <w:szCs w:val="22"/>
        </w:rPr>
        <w:t>witness evidence given by Brooks was described as “</w:t>
      </w:r>
      <w:r w:rsidR="00D71B1F" w:rsidRPr="00A60DB9">
        <w:rPr>
          <w:rFonts w:ascii="Arial" w:hAnsi="Arial" w:cs="Arial"/>
          <w:i/>
          <w:iCs/>
          <w:sz w:val="22"/>
          <w:szCs w:val="22"/>
        </w:rPr>
        <w:t xml:space="preserve">weak” </w:t>
      </w:r>
      <w:r w:rsidR="00D71B1F" w:rsidRPr="00A60DB9">
        <w:rPr>
          <w:rFonts w:ascii="Arial" w:hAnsi="Arial" w:cs="Arial"/>
          <w:sz w:val="22"/>
          <w:szCs w:val="22"/>
        </w:rPr>
        <w:t>and was “</w:t>
      </w:r>
      <w:r w:rsidR="00D71B1F" w:rsidRPr="00A60DB9">
        <w:rPr>
          <w:rFonts w:ascii="Arial" w:hAnsi="Arial" w:cs="Arial"/>
          <w:i/>
          <w:iCs/>
          <w:sz w:val="22"/>
          <w:szCs w:val="22"/>
        </w:rPr>
        <w:t xml:space="preserve">undermined by the evidence of DS Crowley” </w:t>
      </w:r>
      <w:r w:rsidR="00D71B1F" w:rsidRPr="00A60DB9">
        <w:rPr>
          <w:rFonts w:ascii="Arial" w:hAnsi="Arial" w:cs="Arial"/>
          <w:sz w:val="22"/>
          <w:szCs w:val="22"/>
        </w:rPr>
        <w:t>even though Brooks was also attacked with Lawrence</w:t>
      </w:r>
      <w:r w:rsidR="006A0D99" w:rsidRPr="00A60DB9">
        <w:rPr>
          <w:rFonts w:ascii="Arial" w:hAnsi="Arial" w:cs="Arial"/>
          <w:sz w:val="22"/>
          <w:szCs w:val="22"/>
        </w:rPr>
        <w:t xml:space="preserve"> </w:t>
      </w:r>
      <w:r w:rsidR="006A0D99" w:rsidRPr="00A60DB9">
        <w:rPr>
          <w:rFonts w:ascii="Arial" w:hAnsi="Arial" w:cs="Arial"/>
          <w:sz w:val="22"/>
          <w:szCs w:val="22"/>
        </w:rPr>
        <w:t>(Cook et al., 1999: 39. 4)</w:t>
      </w:r>
      <w:r w:rsidR="006A0D99" w:rsidRPr="00A60DB9">
        <w:rPr>
          <w:rFonts w:ascii="Arial" w:hAnsi="Arial" w:cs="Arial"/>
          <w:sz w:val="22"/>
          <w:szCs w:val="22"/>
        </w:rPr>
        <w:t>.</w:t>
      </w:r>
    </w:p>
    <w:p w14:paraId="2876E08E" w14:textId="103A3703" w:rsidR="00C62650" w:rsidRPr="00A60DB9" w:rsidRDefault="00C62650" w:rsidP="008F6DD9">
      <w:pPr>
        <w:spacing w:line="360" w:lineRule="auto"/>
        <w:rPr>
          <w:rFonts w:ascii="Arial" w:hAnsi="Arial" w:cs="Arial"/>
          <w:sz w:val="22"/>
          <w:szCs w:val="22"/>
        </w:rPr>
      </w:pPr>
      <w:r w:rsidRPr="00A60DB9">
        <w:rPr>
          <w:rFonts w:ascii="Arial" w:hAnsi="Arial" w:cs="Arial"/>
          <w:sz w:val="22"/>
          <w:szCs w:val="22"/>
        </w:rPr>
        <w:t>Moreover, Mr Grant- Whyte believed that there was “</w:t>
      </w:r>
      <w:r w:rsidRPr="00A60DB9">
        <w:rPr>
          <w:rFonts w:ascii="Arial" w:hAnsi="Arial" w:cs="Arial"/>
          <w:i/>
          <w:iCs/>
          <w:sz w:val="22"/>
          <w:szCs w:val="22"/>
        </w:rPr>
        <w:t xml:space="preserve">no realistic prospect of conviction” </w:t>
      </w:r>
      <w:r w:rsidRPr="00A60DB9">
        <w:rPr>
          <w:rFonts w:ascii="Arial" w:hAnsi="Arial" w:cs="Arial"/>
          <w:sz w:val="22"/>
          <w:szCs w:val="22"/>
        </w:rPr>
        <w:t xml:space="preserve">just based on Brook’s evidence, and was the reason there was no conviction of the suspects. Furthermore, </w:t>
      </w:r>
      <w:r w:rsidR="00497E84" w:rsidRPr="00A60DB9">
        <w:rPr>
          <w:rFonts w:ascii="Arial" w:hAnsi="Arial" w:cs="Arial"/>
          <w:sz w:val="22"/>
          <w:szCs w:val="22"/>
        </w:rPr>
        <w:t>Crime and Investigation (2023) stated that the judge claimed that Brook</w:t>
      </w:r>
      <w:r w:rsidR="00A108DD" w:rsidRPr="00A60DB9">
        <w:rPr>
          <w:rFonts w:ascii="Arial" w:hAnsi="Arial" w:cs="Arial"/>
          <w:sz w:val="22"/>
          <w:szCs w:val="22"/>
        </w:rPr>
        <w:t xml:space="preserve">s’ </w:t>
      </w:r>
      <w:r w:rsidR="00497E84" w:rsidRPr="00A60DB9">
        <w:rPr>
          <w:rFonts w:ascii="Arial" w:hAnsi="Arial" w:cs="Arial"/>
          <w:sz w:val="22"/>
          <w:szCs w:val="22"/>
        </w:rPr>
        <w:t>evidence was “</w:t>
      </w:r>
      <w:r w:rsidR="00497E84" w:rsidRPr="00A60DB9">
        <w:rPr>
          <w:rFonts w:ascii="Arial" w:hAnsi="Arial" w:cs="Arial"/>
          <w:i/>
          <w:iCs/>
          <w:sz w:val="22"/>
          <w:szCs w:val="22"/>
        </w:rPr>
        <w:t>inadmissible</w:t>
      </w:r>
      <w:r w:rsidR="001D44DB" w:rsidRPr="00A60DB9">
        <w:rPr>
          <w:rFonts w:ascii="Arial" w:hAnsi="Arial" w:cs="Arial"/>
          <w:sz w:val="22"/>
          <w:szCs w:val="22"/>
        </w:rPr>
        <w:t>”,</w:t>
      </w:r>
      <w:r w:rsidR="00D745D4" w:rsidRPr="00A60DB9">
        <w:rPr>
          <w:rFonts w:ascii="Arial" w:hAnsi="Arial" w:cs="Arial"/>
          <w:sz w:val="22"/>
          <w:szCs w:val="22"/>
        </w:rPr>
        <w:t xml:space="preserve"> </w:t>
      </w:r>
      <w:r w:rsidR="00497E84" w:rsidRPr="00A60DB9">
        <w:rPr>
          <w:rFonts w:ascii="Arial" w:hAnsi="Arial" w:cs="Arial"/>
          <w:sz w:val="22"/>
          <w:szCs w:val="22"/>
        </w:rPr>
        <w:t xml:space="preserve">and the three suspects were </w:t>
      </w:r>
      <w:r w:rsidR="004B0B66" w:rsidRPr="00A60DB9">
        <w:rPr>
          <w:rFonts w:ascii="Arial" w:hAnsi="Arial" w:cs="Arial"/>
          <w:sz w:val="22"/>
          <w:szCs w:val="22"/>
        </w:rPr>
        <w:t xml:space="preserve">acquitted. </w:t>
      </w:r>
    </w:p>
    <w:p w14:paraId="7716DA5D" w14:textId="099E6B79" w:rsidR="004173BD" w:rsidRPr="00A60DB9" w:rsidRDefault="004173BD" w:rsidP="008F6DD9">
      <w:pPr>
        <w:spacing w:line="360" w:lineRule="auto"/>
        <w:rPr>
          <w:rFonts w:ascii="Arial" w:hAnsi="Arial" w:cs="Arial"/>
          <w:sz w:val="22"/>
          <w:szCs w:val="22"/>
        </w:rPr>
      </w:pPr>
      <w:r w:rsidRPr="00A60DB9">
        <w:rPr>
          <w:rFonts w:ascii="Arial" w:hAnsi="Arial" w:cs="Arial"/>
          <w:sz w:val="22"/>
          <w:szCs w:val="22"/>
        </w:rPr>
        <w:t>Moreover, Mr Grant- Whyte and Mr Medwynter both claimed that the police had “</w:t>
      </w:r>
      <w:r w:rsidRPr="00A60DB9">
        <w:rPr>
          <w:rFonts w:ascii="Arial" w:hAnsi="Arial" w:cs="Arial"/>
          <w:i/>
          <w:iCs/>
          <w:sz w:val="22"/>
          <w:szCs w:val="22"/>
        </w:rPr>
        <w:t xml:space="preserve">remained active” </w:t>
      </w:r>
      <w:r w:rsidRPr="00A60DB9">
        <w:rPr>
          <w:rFonts w:ascii="Arial" w:hAnsi="Arial" w:cs="Arial"/>
          <w:sz w:val="22"/>
          <w:szCs w:val="22"/>
        </w:rPr>
        <w:t>during the investigation, and despite their efforts, “</w:t>
      </w:r>
      <w:r w:rsidRPr="00A60DB9">
        <w:rPr>
          <w:rFonts w:ascii="Arial" w:hAnsi="Arial" w:cs="Arial"/>
          <w:i/>
          <w:iCs/>
          <w:sz w:val="22"/>
          <w:szCs w:val="22"/>
        </w:rPr>
        <w:t xml:space="preserve">no fresh evidence” </w:t>
      </w:r>
      <w:r w:rsidRPr="00A60DB9">
        <w:rPr>
          <w:rFonts w:ascii="Arial" w:hAnsi="Arial" w:cs="Arial"/>
          <w:sz w:val="22"/>
          <w:szCs w:val="22"/>
        </w:rPr>
        <w:t>was found, therefore, there was not enough evidence to charge the suspects of the murder of Stephen Lawrence (Cook et al., 1999: 39.20).</w:t>
      </w:r>
    </w:p>
    <w:p w14:paraId="733F1162" w14:textId="77777777" w:rsidR="00CB3B7C" w:rsidRPr="00A60DB9" w:rsidRDefault="00CB3B7C" w:rsidP="008F6DD9">
      <w:pPr>
        <w:spacing w:line="360" w:lineRule="auto"/>
        <w:rPr>
          <w:rFonts w:ascii="Arial" w:hAnsi="Arial" w:cs="Arial"/>
          <w:sz w:val="22"/>
          <w:szCs w:val="22"/>
        </w:rPr>
      </w:pPr>
    </w:p>
    <w:p w14:paraId="3C263C5D" w14:textId="7B78653D" w:rsidR="00945E94" w:rsidRPr="00A60DB9" w:rsidRDefault="00945E94" w:rsidP="008F6DD9">
      <w:pPr>
        <w:spacing w:line="360" w:lineRule="auto"/>
        <w:rPr>
          <w:rFonts w:ascii="Arial" w:hAnsi="Arial" w:cs="Arial"/>
          <w:sz w:val="22"/>
          <w:szCs w:val="22"/>
          <w:u w:val="single"/>
        </w:rPr>
      </w:pPr>
      <w:r w:rsidRPr="00A60DB9">
        <w:rPr>
          <w:rFonts w:ascii="Arial" w:hAnsi="Arial" w:cs="Arial"/>
          <w:sz w:val="22"/>
          <w:szCs w:val="22"/>
          <w:u w:val="single"/>
        </w:rPr>
        <w:lastRenderedPageBreak/>
        <w:t>The Macpherson report.</w:t>
      </w:r>
    </w:p>
    <w:p w14:paraId="23B11CB9" w14:textId="3690BA17" w:rsidR="00690B70" w:rsidRPr="00A60DB9" w:rsidRDefault="008E789C" w:rsidP="00690B70">
      <w:pPr>
        <w:spacing w:line="360" w:lineRule="auto"/>
        <w:rPr>
          <w:rFonts w:ascii="Arial" w:hAnsi="Arial" w:cs="Arial"/>
          <w:sz w:val="22"/>
          <w:szCs w:val="22"/>
        </w:rPr>
      </w:pPr>
      <w:r w:rsidRPr="00A60DB9">
        <w:rPr>
          <w:rFonts w:ascii="Arial" w:hAnsi="Arial" w:cs="Arial"/>
          <w:sz w:val="22"/>
          <w:szCs w:val="22"/>
        </w:rPr>
        <w:t xml:space="preserve">An inquiry was made after the murder and found the many failings of the Metropolitan Police and had accused the force of “institutional racism” (Press Association, 2014). </w:t>
      </w:r>
      <w:r w:rsidR="00945E94" w:rsidRPr="00A60DB9">
        <w:rPr>
          <w:rFonts w:ascii="Arial" w:hAnsi="Arial" w:cs="Arial"/>
          <w:sz w:val="22"/>
          <w:szCs w:val="22"/>
        </w:rPr>
        <w:t>The Macpherson report has been described as “</w:t>
      </w:r>
      <w:r w:rsidR="00945E94" w:rsidRPr="00A60DB9">
        <w:rPr>
          <w:rFonts w:ascii="Arial" w:hAnsi="Arial" w:cs="Arial"/>
          <w:i/>
          <w:iCs/>
          <w:sz w:val="22"/>
          <w:szCs w:val="22"/>
        </w:rPr>
        <w:t>one of the most important moments in the modern history of the criminal justice system in Britain</w:t>
      </w:r>
      <w:r w:rsidR="00945E94" w:rsidRPr="00A60DB9">
        <w:rPr>
          <w:rFonts w:ascii="Arial" w:hAnsi="Arial" w:cs="Arial"/>
          <w:sz w:val="22"/>
          <w:szCs w:val="22"/>
        </w:rPr>
        <w:t>” as it brought “</w:t>
      </w:r>
      <w:r w:rsidR="00945E94" w:rsidRPr="00A60DB9">
        <w:rPr>
          <w:rFonts w:ascii="Arial" w:hAnsi="Arial" w:cs="Arial"/>
          <w:i/>
          <w:iCs/>
          <w:sz w:val="22"/>
          <w:szCs w:val="22"/>
        </w:rPr>
        <w:t>changes in the law and police practices</w:t>
      </w:r>
      <w:r w:rsidR="00945E94" w:rsidRPr="00A60DB9">
        <w:rPr>
          <w:rFonts w:ascii="Arial" w:hAnsi="Arial" w:cs="Arial"/>
          <w:sz w:val="22"/>
          <w:szCs w:val="22"/>
        </w:rPr>
        <w:t>” (</w:t>
      </w:r>
      <w:r w:rsidR="005F1B71" w:rsidRPr="00A60DB9">
        <w:rPr>
          <w:rFonts w:ascii="Arial" w:hAnsi="Arial" w:cs="Arial"/>
          <w:sz w:val="22"/>
          <w:szCs w:val="22"/>
        </w:rPr>
        <w:t>Paton, 2021</w:t>
      </w:r>
      <w:r w:rsidR="00201C49" w:rsidRPr="00A60DB9">
        <w:rPr>
          <w:rFonts w:ascii="Arial" w:hAnsi="Arial" w:cs="Arial"/>
          <w:sz w:val="22"/>
          <w:szCs w:val="22"/>
        </w:rPr>
        <w:t>)</w:t>
      </w:r>
      <w:r w:rsidR="00690B70" w:rsidRPr="00A60DB9">
        <w:rPr>
          <w:rFonts w:ascii="Arial" w:hAnsi="Arial" w:cs="Arial"/>
          <w:sz w:val="22"/>
          <w:szCs w:val="22"/>
        </w:rPr>
        <w:t>.</w:t>
      </w:r>
      <w:r w:rsidR="007F1D89" w:rsidRPr="00A60DB9">
        <w:rPr>
          <w:rFonts w:ascii="Arial" w:hAnsi="Arial" w:cs="Arial"/>
          <w:sz w:val="22"/>
          <w:szCs w:val="22"/>
        </w:rPr>
        <w:t xml:space="preserve"> </w:t>
      </w:r>
      <w:r w:rsidR="00201C49" w:rsidRPr="00A60DB9">
        <w:rPr>
          <w:rFonts w:ascii="Arial" w:hAnsi="Arial" w:cs="Arial"/>
          <w:sz w:val="22"/>
          <w:szCs w:val="22"/>
        </w:rPr>
        <w:t xml:space="preserve">The Macpherson report made 70 recommendations with the aim of changing the </w:t>
      </w:r>
      <w:r w:rsidR="00201C49" w:rsidRPr="00A60DB9">
        <w:rPr>
          <w:rFonts w:ascii="Arial" w:hAnsi="Arial" w:cs="Arial"/>
          <w:i/>
          <w:iCs/>
          <w:sz w:val="22"/>
          <w:szCs w:val="22"/>
        </w:rPr>
        <w:t>“police’s attitudes towards racism</w:t>
      </w:r>
      <w:r w:rsidR="008E43A1" w:rsidRPr="00A60DB9">
        <w:rPr>
          <w:rFonts w:ascii="Arial" w:hAnsi="Arial" w:cs="Arial"/>
          <w:sz w:val="22"/>
          <w:szCs w:val="22"/>
        </w:rPr>
        <w:t>”, however s</w:t>
      </w:r>
      <w:r w:rsidR="007F1D89" w:rsidRPr="00A60DB9">
        <w:rPr>
          <w:rFonts w:ascii="Arial" w:hAnsi="Arial" w:cs="Arial"/>
          <w:sz w:val="22"/>
          <w:szCs w:val="22"/>
        </w:rPr>
        <w:t>ix years after the report had been published, there had been “</w:t>
      </w:r>
      <w:r w:rsidR="007F1D89" w:rsidRPr="00A60DB9">
        <w:rPr>
          <w:rFonts w:ascii="Arial" w:hAnsi="Arial" w:cs="Arial"/>
          <w:i/>
          <w:iCs/>
          <w:sz w:val="22"/>
          <w:szCs w:val="22"/>
        </w:rPr>
        <w:t xml:space="preserve">no progress” </w:t>
      </w:r>
      <w:r w:rsidR="008E43A1" w:rsidRPr="00A60DB9">
        <w:rPr>
          <w:rFonts w:ascii="Arial" w:hAnsi="Arial" w:cs="Arial"/>
          <w:i/>
          <w:iCs/>
          <w:sz w:val="22"/>
          <w:szCs w:val="22"/>
        </w:rPr>
        <w:t>(</w:t>
      </w:r>
      <w:r w:rsidR="008E43A1" w:rsidRPr="00A60DB9">
        <w:rPr>
          <w:rFonts w:ascii="Arial" w:hAnsi="Arial" w:cs="Arial"/>
          <w:sz w:val="22"/>
          <w:szCs w:val="22"/>
        </w:rPr>
        <w:t>Paton, 2021).</w:t>
      </w:r>
    </w:p>
    <w:p w14:paraId="00C7F2EE" w14:textId="58B3D868" w:rsidR="008E43A1" w:rsidRPr="00A60DB9" w:rsidRDefault="008E43A1" w:rsidP="00690B70">
      <w:pPr>
        <w:spacing w:line="360" w:lineRule="auto"/>
        <w:rPr>
          <w:rFonts w:ascii="Arial" w:hAnsi="Arial" w:cs="Arial"/>
          <w:sz w:val="22"/>
          <w:szCs w:val="22"/>
        </w:rPr>
      </w:pPr>
      <w:r w:rsidRPr="00A60DB9">
        <w:rPr>
          <w:rFonts w:ascii="Arial" w:hAnsi="Arial" w:cs="Arial"/>
          <w:sz w:val="22"/>
          <w:szCs w:val="22"/>
        </w:rPr>
        <w:t xml:space="preserve">According to the House of Commons (2021), </w:t>
      </w:r>
      <w:r w:rsidR="00BD4D8B" w:rsidRPr="00A60DB9">
        <w:rPr>
          <w:rFonts w:ascii="Arial" w:hAnsi="Arial" w:cs="Arial"/>
          <w:sz w:val="22"/>
          <w:szCs w:val="22"/>
        </w:rPr>
        <w:t>the Macpherson Inquiry “</w:t>
      </w:r>
      <w:r w:rsidR="00BD4D8B" w:rsidRPr="00A60DB9">
        <w:rPr>
          <w:rFonts w:ascii="Arial" w:hAnsi="Arial" w:cs="Arial"/>
          <w:i/>
          <w:iCs/>
          <w:sz w:val="22"/>
          <w:szCs w:val="22"/>
        </w:rPr>
        <w:t xml:space="preserve">uncovered major failings” </w:t>
      </w:r>
      <w:r w:rsidR="00BD4D8B" w:rsidRPr="00A60DB9">
        <w:rPr>
          <w:rFonts w:ascii="Arial" w:hAnsi="Arial" w:cs="Arial"/>
          <w:sz w:val="22"/>
          <w:szCs w:val="22"/>
        </w:rPr>
        <w:t>in the investigation and with how Brooks and the Lawrence family were treated.</w:t>
      </w:r>
      <w:r w:rsidR="007A5865" w:rsidRPr="00A60DB9">
        <w:rPr>
          <w:rFonts w:ascii="Arial" w:hAnsi="Arial" w:cs="Arial"/>
          <w:sz w:val="22"/>
          <w:szCs w:val="22"/>
        </w:rPr>
        <w:t xml:space="preserve"> </w:t>
      </w:r>
      <w:r w:rsidR="00007259" w:rsidRPr="00A60DB9">
        <w:rPr>
          <w:rFonts w:ascii="Arial" w:hAnsi="Arial" w:cs="Arial"/>
          <w:sz w:val="22"/>
          <w:szCs w:val="22"/>
        </w:rPr>
        <w:t xml:space="preserve">The changes made by the report </w:t>
      </w:r>
      <w:r w:rsidR="007A5865" w:rsidRPr="00A60DB9">
        <w:rPr>
          <w:rFonts w:ascii="Arial" w:hAnsi="Arial" w:cs="Arial"/>
          <w:sz w:val="22"/>
          <w:szCs w:val="22"/>
        </w:rPr>
        <w:t xml:space="preserve">was due to “institutional racism and the treatment of racist crimes”. However, </w:t>
      </w:r>
      <w:r w:rsidR="006C7706" w:rsidRPr="00A60DB9">
        <w:rPr>
          <w:rFonts w:ascii="Arial" w:hAnsi="Arial" w:cs="Arial"/>
          <w:sz w:val="22"/>
          <w:szCs w:val="22"/>
        </w:rPr>
        <w:t xml:space="preserve">since the Macpherson report, Baroness Lawrence </w:t>
      </w:r>
      <w:r w:rsidR="000A5A88" w:rsidRPr="00A60DB9">
        <w:rPr>
          <w:rFonts w:ascii="Arial" w:hAnsi="Arial" w:cs="Arial"/>
          <w:sz w:val="22"/>
          <w:szCs w:val="22"/>
        </w:rPr>
        <w:t>stated,</w:t>
      </w:r>
      <w:r w:rsidR="006C7706" w:rsidRPr="00A60DB9">
        <w:rPr>
          <w:rFonts w:ascii="Arial" w:hAnsi="Arial" w:cs="Arial"/>
          <w:sz w:val="22"/>
          <w:szCs w:val="22"/>
        </w:rPr>
        <w:t xml:space="preserve"> “things have become really </w:t>
      </w:r>
      <w:r w:rsidR="000A5A88" w:rsidRPr="00A60DB9">
        <w:rPr>
          <w:rFonts w:ascii="Arial" w:hAnsi="Arial" w:cs="Arial"/>
          <w:sz w:val="22"/>
          <w:szCs w:val="22"/>
        </w:rPr>
        <w:t>stagnant,</w:t>
      </w:r>
      <w:r w:rsidR="006C7706" w:rsidRPr="00A60DB9">
        <w:rPr>
          <w:rFonts w:ascii="Arial" w:hAnsi="Arial" w:cs="Arial"/>
          <w:sz w:val="22"/>
          <w:szCs w:val="22"/>
        </w:rPr>
        <w:t xml:space="preserve"> and nothing seems to have moved”.</w:t>
      </w:r>
    </w:p>
    <w:p w14:paraId="19F1FC44" w14:textId="22C89E0E" w:rsidR="000A5A88" w:rsidRPr="00A60DB9" w:rsidRDefault="000A5A88" w:rsidP="00690B70">
      <w:pPr>
        <w:spacing w:line="360" w:lineRule="auto"/>
        <w:rPr>
          <w:rFonts w:ascii="Arial" w:hAnsi="Arial" w:cs="Arial"/>
          <w:sz w:val="22"/>
          <w:szCs w:val="22"/>
        </w:rPr>
      </w:pPr>
      <w:r w:rsidRPr="00A60DB9">
        <w:rPr>
          <w:rFonts w:ascii="Arial" w:hAnsi="Arial" w:cs="Arial"/>
          <w:sz w:val="22"/>
          <w:szCs w:val="22"/>
        </w:rPr>
        <w:t>The Macpherson report included recommendations such as: community confidence, tackling racist crimes, the recruitment of Black and minority ethnic officers. The House of Commons</w:t>
      </w:r>
      <w:r w:rsidR="00734C85" w:rsidRPr="00A60DB9">
        <w:rPr>
          <w:rFonts w:ascii="Arial" w:hAnsi="Arial" w:cs="Arial"/>
          <w:sz w:val="22"/>
          <w:szCs w:val="22"/>
        </w:rPr>
        <w:t xml:space="preserve"> (2021) listed three key conclusions</w:t>
      </w:r>
      <w:r w:rsidR="00886635" w:rsidRPr="00A60DB9">
        <w:rPr>
          <w:rFonts w:ascii="Arial" w:hAnsi="Arial" w:cs="Arial"/>
          <w:sz w:val="22"/>
          <w:szCs w:val="22"/>
        </w:rPr>
        <w:t xml:space="preserve">: </w:t>
      </w:r>
      <w:r w:rsidR="00734C85" w:rsidRPr="00A60DB9">
        <w:rPr>
          <w:rFonts w:ascii="Arial" w:hAnsi="Arial" w:cs="Arial"/>
          <w:sz w:val="22"/>
          <w:szCs w:val="22"/>
        </w:rPr>
        <w:t>confidence in the police, lack of representation in the police, and stop and search. The first conclusion was that community confidence must be prioritised by police forces, the second was that there is not enough diversity in the UK police, and that a target of 14%</w:t>
      </w:r>
      <w:r w:rsidR="00891541" w:rsidRPr="00A60DB9">
        <w:rPr>
          <w:rFonts w:ascii="Arial" w:hAnsi="Arial" w:cs="Arial"/>
          <w:sz w:val="22"/>
          <w:szCs w:val="22"/>
        </w:rPr>
        <w:t xml:space="preserve"> should be met by 2030, the final conclusion is that stop and search is now “</w:t>
      </w:r>
      <w:r w:rsidR="00891541" w:rsidRPr="00A60DB9">
        <w:rPr>
          <w:rFonts w:ascii="Arial" w:hAnsi="Arial" w:cs="Arial"/>
          <w:i/>
          <w:iCs/>
          <w:sz w:val="22"/>
          <w:szCs w:val="22"/>
        </w:rPr>
        <w:t>more disproportionate</w:t>
      </w:r>
      <w:r w:rsidR="00891541" w:rsidRPr="00A60DB9">
        <w:rPr>
          <w:rFonts w:ascii="Arial" w:hAnsi="Arial" w:cs="Arial"/>
          <w:sz w:val="22"/>
          <w:szCs w:val="22"/>
        </w:rPr>
        <w:t>” and that in 2019, black individuals were 2.4 times more likely to be stopped and searched than white individuals</w:t>
      </w:r>
      <w:r w:rsidR="0018031C" w:rsidRPr="00A60DB9">
        <w:rPr>
          <w:rFonts w:ascii="Arial" w:hAnsi="Arial" w:cs="Arial"/>
          <w:sz w:val="22"/>
          <w:szCs w:val="22"/>
        </w:rPr>
        <w:t xml:space="preserve"> (House of Commons, 2021), therefore showing that there still is not enough change that has happened since the report.</w:t>
      </w:r>
    </w:p>
    <w:p w14:paraId="4DD681E8" w14:textId="6BA7264A" w:rsidR="00ED0259" w:rsidRPr="00A60DB9" w:rsidRDefault="008E789C" w:rsidP="00690B70">
      <w:pPr>
        <w:spacing w:line="360" w:lineRule="auto"/>
        <w:rPr>
          <w:rFonts w:ascii="Arial" w:hAnsi="Arial" w:cs="Arial"/>
          <w:sz w:val="22"/>
          <w:szCs w:val="22"/>
        </w:rPr>
      </w:pPr>
      <w:r w:rsidRPr="00A60DB9">
        <w:rPr>
          <w:rFonts w:ascii="Arial" w:hAnsi="Arial" w:cs="Arial"/>
          <w:sz w:val="22"/>
          <w:szCs w:val="22"/>
        </w:rPr>
        <w:t>The Macpherson report was created with the aim of the “</w:t>
      </w:r>
      <w:r w:rsidRPr="00A60DB9">
        <w:rPr>
          <w:rFonts w:ascii="Arial" w:hAnsi="Arial" w:cs="Arial"/>
          <w:i/>
          <w:iCs/>
          <w:sz w:val="22"/>
          <w:szCs w:val="22"/>
        </w:rPr>
        <w:t>elimination of racist prejudice</w:t>
      </w:r>
      <w:r w:rsidRPr="00A60DB9">
        <w:rPr>
          <w:rFonts w:ascii="Arial" w:hAnsi="Arial" w:cs="Arial"/>
          <w:sz w:val="22"/>
          <w:szCs w:val="22"/>
        </w:rPr>
        <w:t>” and to create “</w:t>
      </w:r>
      <w:r w:rsidRPr="00A60DB9">
        <w:rPr>
          <w:rFonts w:ascii="Arial" w:hAnsi="Arial" w:cs="Arial"/>
          <w:i/>
          <w:iCs/>
          <w:sz w:val="22"/>
          <w:szCs w:val="22"/>
        </w:rPr>
        <w:t xml:space="preserve">fairness in all aspects of policing”. </w:t>
      </w:r>
      <w:r w:rsidR="002D5C96" w:rsidRPr="00A60DB9">
        <w:rPr>
          <w:rFonts w:ascii="Arial" w:hAnsi="Arial" w:cs="Arial"/>
          <w:sz w:val="22"/>
          <w:szCs w:val="22"/>
        </w:rPr>
        <w:t>Since the Macpherson report, many changes gave been made to improve the policing of racist crimes and its importance of “</w:t>
      </w:r>
      <w:r w:rsidR="002D5C96" w:rsidRPr="00A60DB9">
        <w:rPr>
          <w:rFonts w:ascii="Arial" w:hAnsi="Arial" w:cs="Arial"/>
          <w:i/>
          <w:iCs/>
          <w:sz w:val="22"/>
          <w:szCs w:val="22"/>
        </w:rPr>
        <w:t xml:space="preserve">promoting </w:t>
      </w:r>
      <w:r w:rsidR="000711BC" w:rsidRPr="00A60DB9">
        <w:rPr>
          <w:rFonts w:ascii="Arial" w:hAnsi="Arial" w:cs="Arial"/>
          <w:i/>
          <w:iCs/>
          <w:sz w:val="22"/>
          <w:szCs w:val="22"/>
        </w:rPr>
        <w:t xml:space="preserve">equality and diversity” </w:t>
      </w:r>
      <w:r w:rsidR="000711BC" w:rsidRPr="00A60DB9">
        <w:rPr>
          <w:rFonts w:ascii="Arial" w:hAnsi="Arial" w:cs="Arial"/>
          <w:sz w:val="22"/>
          <w:szCs w:val="22"/>
        </w:rPr>
        <w:t>in policing (Parliament</w:t>
      </w:r>
      <w:r w:rsidR="008839E9" w:rsidRPr="00A60DB9">
        <w:rPr>
          <w:rFonts w:ascii="Arial" w:hAnsi="Arial" w:cs="Arial"/>
          <w:sz w:val="22"/>
          <w:szCs w:val="22"/>
        </w:rPr>
        <w:t>ary business</w:t>
      </w:r>
      <w:r w:rsidR="000711BC" w:rsidRPr="00A60DB9">
        <w:rPr>
          <w:rFonts w:ascii="Arial" w:hAnsi="Arial" w:cs="Arial"/>
          <w:sz w:val="22"/>
          <w:szCs w:val="22"/>
        </w:rPr>
        <w:t>, 2021)</w:t>
      </w:r>
      <w:r w:rsidR="00470F23" w:rsidRPr="00A60DB9">
        <w:rPr>
          <w:rFonts w:ascii="Arial" w:hAnsi="Arial" w:cs="Arial"/>
          <w:sz w:val="22"/>
          <w:szCs w:val="22"/>
        </w:rPr>
        <w:t>. However, this inquiry found that there were “</w:t>
      </w:r>
      <w:r w:rsidR="00470F23" w:rsidRPr="00A60DB9">
        <w:rPr>
          <w:rFonts w:ascii="Arial" w:hAnsi="Arial" w:cs="Arial"/>
          <w:i/>
          <w:iCs/>
          <w:sz w:val="22"/>
          <w:szCs w:val="22"/>
        </w:rPr>
        <w:t>deep rooted and unjustified racial disparities</w:t>
      </w:r>
      <w:r w:rsidR="00A72BF3" w:rsidRPr="00A60DB9">
        <w:rPr>
          <w:rFonts w:ascii="Arial" w:hAnsi="Arial" w:cs="Arial"/>
          <w:i/>
          <w:iCs/>
          <w:sz w:val="22"/>
          <w:szCs w:val="22"/>
        </w:rPr>
        <w:t>”</w:t>
      </w:r>
      <w:r w:rsidR="00685EC9" w:rsidRPr="00A60DB9">
        <w:rPr>
          <w:rFonts w:ascii="Arial" w:hAnsi="Arial" w:cs="Arial"/>
          <w:sz w:val="22"/>
          <w:szCs w:val="22"/>
        </w:rPr>
        <w:t>. However, despite these statistics</w:t>
      </w:r>
      <w:r w:rsidR="00A72BF3" w:rsidRPr="00A60DB9">
        <w:rPr>
          <w:rFonts w:ascii="Arial" w:hAnsi="Arial" w:cs="Arial"/>
          <w:sz w:val="22"/>
          <w:szCs w:val="22"/>
        </w:rPr>
        <w:t xml:space="preserve">, </w:t>
      </w:r>
      <w:r w:rsidR="00685EC9" w:rsidRPr="00A60DB9">
        <w:rPr>
          <w:rFonts w:ascii="Arial" w:hAnsi="Arial" w:cs="Arial"/>
          <w:sz w:val="22"/>
          <w:szCs w:val="22"/>
        </w:rPr>
        <w:t>it has been stated that the UK police “</w:t>
      </w:r>
      <w:r w:rsidR="00685EC9" w:rsidRPr="00A60DB9">
        <w:rPr>
          <w:rFonts w:ascii="Arial" w:hAnsi="Arial" w:cs="Arial"/>
          <w:i/>
          <w:iCs/>
          <w:sz w:val="22"/>
          <w:szCs w:val="22"/>
        </w:rPr>
        <w:t>work immensely hard to deliver fairness in policing</w:t>
      </w:r>
      <w:r w:rsidR="00685EC9" w:rsidRPr="00A60DB9">
        <w:rPr>
          <w:rFonts w:ascii="Arial" w:hAnsi="Arial" w:cs="Arial"/>
          <w:sz w:val="22"/>
          <w:szCs w:val="22"/>
        </w:rPr>
        <w:t>”</w:t>
      </w:r>
      <w:r w:rsidR="00245845" w:rsidRPr="00A60DB9">
        <w:rPr>
          <w:rFonts w:ascii="Arial" w:hAnsi="Arial" w:cs="Arial"/>
          <w:sz w:val="22"/>
          <w:szCs w:val="22"/>
        </w:rPr>
        <w:t xml:space="preserve"> (Parliamentary business, 2021). </w:t>
      </w:r>
    </w:p>
    <w:p w14:paraId="574DD6C0" w14:textId="77777777" w:rsidR="00245845" w:rsidRPr="00A60DB9" w:rsidRDefault="00245845" w:rsidP="00690B70">
      <w:pPr>
        <w:spacing w:line="360" w:lineRule="auto"/>
        <w:rPr>
          <w:rFonts w:ascii="Arial" w:hAnsi="Arial" w:cs="Arial"/>
          <w:sz w:val="22"/>
          <w:szCs w:val="22"/>
        </w:rPr>
      </w:pPr>
    </w:p>
    <w:p w14:paraId="2AD3FBAB" w14:textId="15AC259B" w:rsidR="00245845" w:rsidRPr="00A60DB9" w:rsidRDefault="00245845" w:rsidP="00690B70">
      <w:pPr>
        <w:spacing w:line="360" w:lineRule="auto"/>
        <w:rPr>
          <w:rFonts w:ascii="Arial" w:hAnsi="Arial" w:cs="Arial"/>
          <w:sz w:val="22"/>
          <w:szCs w:val="22"/>
        </w:rPr>
      </w:pPr>
      <w:r w:rsidRPr="00A60DB9">
        <w:rPr>
          <w:rFonts w:ascii="Arial" w:hAnsi="Arial" w:cs="Arial"/>
          <w:sz w:val="22"/>
          <w:szCs w:val="22"/>
        </w:rPr>
        <w:t>In conclusion, since the Stephen Lawrence case and the Macpherson report, the aim of the elimination of unfairness and prejudice of Black individuals has still not been met and that much more needs to be done to meet these aims.</w:t>
      </w:r>
    </w:p>
    <w:p w14:paraId="7AF15697" w14:textId="77777777" w:rsidR="0018031C" w:rsidRPr="00A60DB9" w:rsidRDefault="0018031C" w:rsidP="00690B70">
      <w:pPr>
        <w:spacing w:line="360" w:lineRule="auto"/>
        <w:rPr>
          <w:rFonts w:ascii="Arial" w:hAnsi="Arial" w:cs="Arial"/>
          <w:sz w:val="22"/>
          <w:szCs w:val="22"/>
        </w:rPr>
      </w:pPr>
    </w:p>
    <w:p w14:paraId="2B78EABC" w14:textId="5CA7BCF2" w:rsidR="00945E94" w:rsidRPr="00A60DB9" w:rsidRDefault="00945E94" w:rsidP="008F6DD9">
      <w:pPr>
        <w:spacing w:line="360" w:lineRule="auto"/>
        <w:rPr>
          <w:rFonts w:ascii="Arial" w:hAnsi="Arial" w:cs="Arial"/>
          <w:sz w:val="22"/>
          <w:szCs w:val="22"/>
        </w:rPr>
      </w:pPr>
    </w:p>
    <w:p w14:paraId="36CC5F56" w14:textId="77777777" w:rsidR="00866E35" w:rsidRPr="00A60DB9" w:rsidRDefault="00866E35" w:rsidP="008F6DD9">
      <w:pPr>
        <w:spacing w:line="360" w:lineRule="auto"/>
        <w:rPr>
          <w:rFonts w:ascii="Arial" w:hAnsi="Arial" w:cs="Arial"/>
          <w:sz w:val="22"/>
          <w:szCs w:val="22"/>
        </w:rPr>
      </w:pPr>
    </w:p>
    <w:p w14:paraId="35EFB481" w14:textId="77777777" w:rsidR="000E571A" w:rsidRPr="00A60DB9" w:rsidRDefault="000E571A" w:rsidP="008B0B17">
      <w:pPr>
        <w:spacing w:line="360" w:lineRule="auto"/>
        <w:rPr>
          <w:rFonts w:ascii="Arial" w:hAnsi="Arial" w:cs="Arial"/>
          <w:sz w:val="22"/>
          <w:szCs w:val="22"/>
        </w:rPr>
      </w:pPr>
    </w:p>
    <w:p w14:paraId="097DFF02" w14:textId="245772B9" w:rsidR="000E571A" w:rsidRPr="00A60DB9" w:rsidRDefault="00733195" w:rsidP="000E571A">
      <w:pPr>
        <w:spacing w:line="360" w:lineRule="auto"/>
        <w:rPr>
          <w:rFonts w:ascii="Arial" w:hAnsi="Arial" w:cs="Arial"/>
          <w:sz w:val="22"/>
          <w:szCs w:val="22"/>
          <w:u w:val="single"/>
        </w:rPr>
      </w:pPr>
      <w:r w:rsidRPr="00A60DB9">
        <w:rPr>
          <w:rFonts w:ascii="Arial" w:hAnsi="Arial" w:cs="Arial"/>
          <w:sz w:val="22"/>
          <w:szCs w:val="22"/>
          <w:u w:val="single"/>
        </w:rPr>
        <w:lastRenderedPageBreak/>
        <w:t>Reference list</w:t>
      </w:r>
    </w:p>
    <w:p w14:paraId="27975F20" w14:textId="77777777" w:rsidR="000E571A" w:rsidRPr="00A60DB9" w:rsidRDefault="000E571A" w:rsidP="000E571A">
      <w:pPr>
        <w:pStyle w:val="ListParagraph"/>
        <w:numPr>
          <w:ilvl w:val="0"/>
          <w:numId w:val="2"/>
        </w:numPr>
        <w:spacing w:line="360" w:lineRule="auto"/>
        <w:rPr>
          <w:rStyle w:val="Hyperlink"/>
          <w:rFonts w:ascii="Arial" w:hAnsi="Arial" w:cs="Arial"/>
          <w:color w:val="auto"/>
          <w:sz w:val="22"/>
          <w:szCs w:val="22"/>
          <w:u w:val="none"/>
        </w:rPr>
      </w:pPr>
      <w:r w:rsidRPr="00A60DB9">
        <w:rPr>
          <w:rFonts w:ascii="Arial" w:hAnsi="Arial" w:cs="Arial"/>
          <w:color w:val="000000"/>
          <w:sz w:val="22"/>
          <w:szCs w:val="22"/>
        </w:rPr>
        <w:t>College of Policing. (2020) "</w:t>
      </w:r>
      <w:r w:rsidRPr="00A60DB9">
        <w:rPr>
          <w:rFonts w:ascii="Arial" w:hAnsi="Arial" w:cs="Arial"/>
          <w:i/>
          <w:iCs/>
          <w:color w:val="000000"/>
          <w:sz w:val="22"/>
          <w:szCs w:val="22"/>
        </w:rPr>
        <w:t>Recognising and responding to vulnerability related risks</w:t>
      </w:r>
      <w:r w:rsidRPr="00A60DB9">
        <w:rPr>
          <w:rFonts w:ascii="Arial" w:hAnsi="Arial" w:cs="Arial"/>
          <w:color w:val="000000"/>
          <w:sz w:val="22"/>
          <w:szCs w:val="22"/>
        </w:rPr>
        <w:t xml:space="preserve">" College of Policing Limited. Available at: </w:t>
      </w:r>
      <w:hyperlink r:id="rId6" w:history="1">
        <w:r w:rsidRPr="00A60DB9">
          <w:rPr>
            <w:rStyle w:val="Hyperlink"/>
            <w:rFonts w:ascii="Arial" w:hAnsi="Arial" w:cs="Arial"/>
            <w:sz w:val="22"/>
            <w:szCs w:val="22"/>
          </w:rPr>
          <w:t>https://paas-s3-broker-prod-lon-6453d964-1d1a-432a-9260-5e0ba7d2fc51.s3.eu-west-2.amazonaws.com/s3fs-public/Recognising-responding-vulnerability-related-risks-guidelines.pdf</w:t>
        </w:r>
      </w:hyperlink>
    </w:p>
    <w:p w14:paraId="46E29053" w14:textId="77777777" w:rsidR="000E571A" w:rsidRPr="00A60DB9" w:rsidRDefault="000E571A" w:rsidP="000E571A">
      <w:pPr>
        <w:pStyle w:val="ListParagraph"/>
        <w:numPr>
          <w:ilvl w:val="0"/>
          <w:numId w:val="2"/>
        </w:numPr>
        <w:spacing w:line="360" w:lineRule="auto"/>
        <w:rPr>
          <w:rStyle w:val="Hyperlink"/>
          <w:rFonts w:ascii="Arial" w:hAnsi="Arial" w:cs="Arial"/>
          <w:color w:val="auto"/>
          <w:sz w:val="22"/>
          <w:szCs w:val="22"/>
          <w:u w:val="none"/>
        </w:rPr>
      </w:pPr>
      <w:r w:rsidRPr="00A60DB9">
        <w:rPr>
          <w:rFonts w:ascii="Arial" w:hAnsi="Arial" w:cs="Arial"/>
          <w:color w:val="000000"/>
          <w:sz w:val="22"/>
          <w:szCs w:val="22"/>
        </w:rPr>
        <w:t>College of Policing. (2021) "</w:t>
      </w:r>
      <w:r w:rsidRPr="00A60DB9">
        <w:rPr>
          <w:rFonts w:ascii="Arial" w:hAnsi="Arial" w:cs="Arial"/>
          <w:i/>
          <w:iCs/>
          <w:color w:val="000000"/>
          <w:sz w:val="22"/>
          <w:szCs w:val="22"/>
        </w:rPr>
        <w:t xml:space="preserve">Clues" </w:t>
      </w:r>
      <w:r w:rsidRPr="00A60DB9">
        <w:rPr>
          <w:rFonts w:ascii="Arial" w:hAnsi="Arial" w:cs="Arial"/>
          <w:color w:val="000000"/>
          <w:sz w:val="22"/>
          <w:szCs w:val="22"/>
        </w:rPr>
        <w:t xml:space="preserve">College of Policing Limited. Available at: </w:t>
      </w:r>
      <w:hyperlink r:id="rId7" w:history="1">
        <w:r w:rsidRPr="00A60DB9">
          <w:rPr>
            <w:rStyle w:val="Hyperlink"/>
            <w:rFonts w:ascii="Arial" w:hAnsi="Arial" w:cs="Arial"/>
            <w:sz w:val="22"/>
            <w:szCs w:val="22"/>
          </w:rPr>
          <w:t>https://www.college.police.uk/guidance/vulnerability-related-risks/clues</w:t>
        </w:r>
      </w:hyperlink>
    </w:p>
    <w:p w14:paraId="11686B91" w14:textId="77777777" w:rsidR="000E571A" w:rsidRPr="00A60DB9" w:rsidRDefault="000E571A" w:rsidP="000E571A">
      <w:pPr>
        <w:pStyle w:val="ListParagraph"/>
        <w:numPr>
          <w:ilvl w:val="0"/>
          <w:numId w:val="2"/>
        </w:numPr>
        <w:spacing w:line="360" w:lineRule="auto"/>
        <w:rPr>
          <w:rFonts w:ascii="Arial" w:hAnsi="Arial" w:cs="Arial"/>
          <w:sz w:val="22"/>
          <w:szCs w:val="22"/>
        </w:rPr>
      </w:pPr>
      <w:r w:rsidRPr="00A60DB9">
        <w:rPr>
          <w:rFonts w:ascii="Arial" w:hAnsi="Arial" w:cs="Arial"/>
          <w:sz w:val="22"/>
          <w:szCs w:val="22"/>
        </w:rPr>
        <w:t>College of Policing. (2021) "</w:t>
      </w:r>
      <w:r w:rsidRPr="00A60DB9">
        <w:rPr>
          <w:rFonts w:ascii="Arial" w:hAnsi="Arial" w:cs="Arial"/>
          <w:i/>
          <w:iCs/>
          <w:sz w:val="22"/>
          <w:szCs w:val="22"/>
        </w:rPr>
        <w:t>Introduction to vulnerability- related risk</w:t>
      </w:r>
      <w:r w:rsidRPr="00A60DB9">
        <w:rPr>
          <w:rFonts w:ascii="Arial" w:hAnsi="Arial" w:cs="Arial"/>
          <w:sz w:val="22"/>
          <w:szCs w:val="22"/>
        </w:rPr>
        <w:t xml:space="preserve">" College of Policing. Available at: </w:t>
      </w:r>
      <w:hyperlink r:id="rId8" w:history="1">
        <w:r w:rsidRPr="00A60DB9">
          <w:rPr>
            <w:rStyle w:val="Hyperlink"/>
            <w:rFonts w:ascii="Arial" w:hAnsi="Arial" w:cs="Arial"/>
            <w:sz w:val="22"/>
            <w:szCs w:val="22"/>
          </w:rPr>
          <w:t>https://www.college.police.uk/guidance/vulnerability-related-risks/introduction-vulnerability-related-risk</w:t>
        </w:r>
      </w:hyperlink>
    </w:p>
    <w:p w14:paraId="1B8AB8DA" w14:textId="77777777" w:rsidR="00533A51" w:rsidRPr="00A60DB9" w:rsidRDefault="00533A51" w:rsidP="00533A51">
      <w:pPr>
        <w:pStyle w:val="ListParagraph"/>
        <w:numPr>
          <w:ilvl w:val="0"/>
          <w:numId w:val="2"/>
        </w:numPr>
        <w:spacing w:line="360" w:lineRule="auto"/>
        <w:rPr>
          <w:rFonts w:ascii="Arial" w:hAnsi="Arial" w:cs="Arial"/>
          <w:sz w:val="22"/>
          <w:szCs w:val="22"/>
        </w:rPr>
      </w:pPr>
      <w:r w:rsidRPr="00A60DB9">
        <w:rPr>
          <w:rFonts w:ascii="Arial" w:hAnsi="Arial" w:cs="Arial"/>
          <w:color w:val="000000"/>
          <w:sz w:val="22"/>
          <w:szCs w:val="22"/>
        </w:rPr>
        <w:t xml:space="preserve">Connect Ceredigion. (2021) </w:t>
      </w:r>
      <w:r w:rsidRPr="00A60DB9">
        <w:rPr>
          <w:rFonts w:ascii="Arial" w:hAnsi="Arial" w:cs="Arial"/>
          <w:i/>
          <w:iCs/>
          <w:color w:val="000000"/>
          <w:sz w:val="22"/>
          <w:szCs w:val="22"/>
        </w:rPr>
        <w:t>"Ceredigion Vulnerability Crimes Awareness Week</w:t>
      </w:r>
      <w:r w:rsidRPr="00A60DB9">
        <w:rPr>
          <w:rFonts w:ascii="Arial" w:hAnsi="Arial" w:cs="Arial"/>
          <w:color w:val="000000"/>
          <w:sz w:val="22"/>
          <w:szCs w:val="22"/>
        </w:rPr>
        <w:t xml:space="preserve">". Connect Ceredigion. Available at: </w:t>
      </w:r>
      <w:hyperlink r:id="rId9" w:history="1">
        <w:r w:rsidRPr="00A60DB9">
          <w:rPr>
            <w:rStyle w:val="Hyperlink"/>
            <w:rFonts w:ascii="Arial" w:hAnsi="Arial" w:cs="Arial"/>
            <w:sz w:val="22"/>
            <w:szCs w:val="22"/>
          </w:rPr>
          <w:t>https://connectceredigion.org.uk/vulnerability-crimes-awareness</w:t>
        </w:r>
      </w:hyperlink>
    </w:p>
    <w:p w14:paraId="083B7774" w14:textId="77777777" w:rsidR="00533A51" w:rsidRPr="00A60DB9" w:rsidRDefault="00533A51" w:rsidP="00533A51">
      <w:pPr>
        <w:pStyle w:val="ListParagraph"/>
        <w:numPr>
          <w:ilvl w:val="0"/>
          <w:numId w:val="2"/>
        </w:numPr>
        <w:spacing w:line="360" w:lineRule="auto"/>
        <w:rPr>
          <w:rStyle w:val="Hyperlink"/>
          <w:rFonts w:ascii="Arial" w:hAnsi="Arial" w:cs="Arial"/>
          <w:color w:val="auto"/>
          <w:sz w:val="22"/>
          <w:szCs w:val="22"/>
          <w:u w:val="none"/>
        </w:rPr>
      </w:pPr>
      <w:r w:rsidRPr="00A60DB9">
        <w:rPr>
          <w:rFonts w:ascii="Arial" w:hAnsi="Arial" w:cs="Arial"/>
          <w:sz w:val="22"/>
          <w:szCs w:val="22"/>
        </w:rPr>
        <w:t>Cook. T., Sentamu, J., Stone, R. (1999) "</w:t>
      </w:r>
      <w:r w:rsidRPr="00A60DB9">
        <w:rPr>
          <w:rFonts w:ascii="Arial" w:hAnsi="Arial" w:cs="Arial"/>
          <w:i/>
          <w:iCs/>
          <w:sz w:val="22"/>
          <w:szCs w:val="22"/>
        </w:rPr>
        <w:t xml:space="preserve">The Stephen Lawrence Inquiry" </w:t>
      </w:r>
      <w:r w:rsidRPr="00A60DB9">
        <w:rPr>
          <w:rFonts w:ascii="Arial" w:hAnsi="Arial" w:cs="Arial"/>
          <w:sz w:val="22"/>
          <w:szCs w:val="22"/>
        </w:rPr>
        <w:t xml:space="preserve">Secretary of State: Volume 1: Available at: </w:t>
      </w:r>
      <w:hyperlink r:id="rId10" w:history="1">
        <w:r w:rsidRPr="00A60DB9">
          <w:rPr>
            <w:rStyle w:val="Hyperlink"/>
            <w:rFonts w:ascii="Arial" w:hAnsi="Arial" w:cs="Arial"/>
            <w:sz w:val="22"/>
            <w:szCs w:val="22"/>
          </w:rPr>
          <w:t>https://assets.publishing.service.gov.uk/government/uploads/system/uploads/attachment_data/file/277111/4262.pdf</w:t>
        </w:r>
      </w:hyperlink>
    </w:p>
    <w:p w14:paraId="13178AEF" w14:textId="77777777" w:rsidR="00533A51" w:rsidRPr="00A60DB9" w:rsidRDefault="00533A51" w:rsidP="00533A51">
      <w:pPr>
        <w:pStyle w:val="ListParagraph"/>
        <w:numPr>
          <w:ilvl w:val="0"/>
          <w:numId w:val="2"/>
        </w:numPr>
        <w:spacing w:line="360" w:lineRule="auto"/>
        <w:rPr>
          <w:rFonts w:ascii="Arial" w:hAnsi="Arial" w:cs="Arial"/>
          <w:sz w:val="22"/>
          <w:szCs w:val="22"/>
        </w:rPr>
      </w:pPr>
      <w:r w:rsidRPr="00A60DB9">
        <w:rPr>
          <w:rFonts w:ascii="Arial" w:hAnsi="Arial" w:cs="Arial"/>
          <w:sz w:val="22"/>
          <w:szCs w:val="22"/>
        </w:rPr>
        <w:t>House of Commons (2021) "</w:t>
      </w:r>
      <w:r w:rsidRPr="00A60DB9">
        <w:rPr>
          <w:rFonts w:ascii="Arial" w:hAnsi="Arial" w:cs="Arial"/>
          <w:i/>
          <w:iCs/>
          <w:sz w:val="22"/>
          <w:szCs w:val="22"/>
        </w:rPr>
        <w:t xml:space="preserve">How has the Macpherson Report impacted racism in policing in the UK?" </w:t>
      </w:r>
      <w:r w:rsidRPr="00A60DB9">
        <w:rPr>
          <w:rFonts w:ascii="Arial" w:hAnsi="Arial" w:cs="Arial"/>
          <w:sz w:val="22"/>
          <w:szCs w:val="22"/>
        </w:rPr>
        <w:t xml:space="preserve">The House of Commons Home Affairs Committee. Available at: </w:t>
      </w:r>
      <w:hyperlink r:id="rId11" w:history="1">
        <w:r w:rsidRPr="00A60DB9">
          <w:rPr>
            <w:rStyle w:val="Hyperlink"/>
            <w:rFonts w:ascii="Arial" w:hAnsi="Arial" w:cs="Arial"/>
            <w:sz w:val="22"/>
            <w:szCs w:val="22"/>
          </w:rPr>
          <w:t>https://ukparliament.shorthandstories.com/home-affairs-committee-macphersonreport/index.html</w:t>
        </w:r>
      </w:hyperlink>
    </w:p>
    <w:p w14:paraId="06DE04EB" w14:textId="77777777" w:rsidR="00533A51" w:rsidRPr="00A60DB9" w:rsidRDefault="00533A51" w:rsidP="00533A51">
      <w:pPr>
        <w:pStyle w:val="ListParagraph"/>
        <w:numPr>
          <w:ilvl w:val="0"/>
          <w:numId w:val="2"/>
        </w:numPr>
        <w:spacing w:line="360" w:lineRule="auto"/>
        <w:rPr>
          <w:rFonts w:ascii="Arial" w:hAnsi="Arial" w:cs="Arial"/>
          <w:sz w:val="22"/>
          <w:szCs w:val="22"/>
        </w:rPr>
      </w:pPr>
      <w:r w:rsidRPr="00A60DB9">
        <w:rPr>
          <w:rFonts w:ascii="Arial" w:hAnsi="Arial" w:cs="Arial"/>
          <w:color w:val="000000"/>
          <w:sz w:val="22"/>
          <w:szCs w:val="22"/>
        </w:rPr>
        <w:t>Innes, H., Innes, M. (2013) "</w:t>
      </w:r>
      <w:r w:rsidRPr="00A60DB9">
        <w:rPr>
          <w:rFonts w:ascii="Arial" w:hAnsi="Arial" w:cs="Arial"/>
          <w:i/>
          <w:iCs/>
          <w:color w:val="000000"/>
          <w:sz w:val="22"/>
          <w:szCs w:val="22"/>
        </w:rPr>
        <w:t xml:space="preserve">Personal, Situational and Incidental Vulnerabilities to ASB Harm": ASB Help. Available at: </w:t>
      </w:r>
      <w:hyperlink r:id="rId12" w:anchor=":~:text=Personal%20vulnerability%20–%20resulting%20from%20an,group%27s%20characteristics%2C%20identity%20or%20status" w:history="1">
        <w:r w:rsidRPr="00A60DB9">
          <w:rPr>
            <w:rStyle w:val="Hyperlink"/>
            <w:rFonts w:ascii="Arial" w:hAnsi="Arial" w:cs="Arial"/>
            <w:sz w:val="22"/>
            <w:szCs w:val="22"/>
          </w:rPr>
          <w:t>https://asbhelp.co.uk/home-practitioners/personal-situational-incidental-vulnerabilities-asb-harm-follow-study/#:~:text=Personal%20vulnerability%20–%20resulting%20from%20an,group%27s%20characteristics%2C%20identity%20or%20status</w:t>
        </w:r>
      </w:hyperlink>
      <w:r w:rsidRPr="00A60DB9">
        <w:rPr>
          <w:rFonts w:ascii="Arial" w:hAnsi="Arial" w:cs="Arial"/>
          <w:color w:val="000000"/>
          <w:sz w:val="22"/>
          <w:szCs w:val="22"/>
        </w:rPr>
        <w:t>.</w:t>
      </w:r>
    </w:p>
    <w:p w14:paraId="64599CB0" w14:textId="77777777" w:rsidR="00533A51" w:rsidRPr="00A60DB9" w:rsidRDefault="00533A51" w:rsidP="00533A51">
      <w:pPr>
        <w:pStyle w:val="ListParagraph"/>
        <w:numPr>
          <w:ilvl w:val="0"/>
          <w:numId w:val="2"/>
        </w:numPr>
        <w:spacing w:line="360" w:lineRule="auto"/>
        <w:rPr>
          <w:rFonts w:ascii="Arial" w:hAnsi="Arial" w:cs="Arial"/>
          <w:sz w:val="22"/>
          <w:szCs w:val="22"/>
        </w:rPr>
      </w:pPr>
      <w:r w:rsidRPr="00A60DB9">
        <w:rPr>
          <w:rFonts w:ascii="Arial" w:hAnsi="Arial" w:cs="Arial"/>
          <w:sz w:val="22"/>
          <w:szCs w:val="22"/>
        </w:rPr>
        <w:t>Pallister, D. (1998) "</w:t>
      </w:r>
      <w:r w:rsidRPr="00A60DB9">
        <w:rPr>
          <w:rFonts w:ascii="Arial" w:hAnsi="Arial" w:cs="Arial"/>
          <w:i/>
          <w:iCs/>
          <w:sz w:val="22"/>
          <w:szCs w:val="22"/>
        </w:rPr>
        <w:t xml:space="preserve">Police bungling that betrayed Stephen Lawrence": </w:t>
      </w:r>
      <w:r w:rsidRPr="00A60DB9">
        <w:rPr>
          <w:rFonts w:ascii="Arial" w:hAnsi="Arial" w:cs="Arial"/>
          <w:sz w:val="22"/>
          <w:szCs w:val="22"/>
        </w:rPr>
        <w:t xml:space="preserve">The Guardian. Available at: </w:t>
      </w:r>
      <w:hyperlink r:id="rId13" w:history="1">
        <w:r w:rsidRPr="00A60DB9">
          <w:rPr>
            <w:rStyle w:val="Hyperlink"/>
            <w:rFonts w:ascii="Arial" w:hAnsi="Arial" w:cs="Arial"/>
            <w:sz w:val="22"/>
            <w:szCs w:val="22"/>
          </w:rPr>
          <w:t>https://www.theguardian.com/uk/1998/jul/18/lawrence.ukcrime</w:t>
        </w:r>
      </w:hyperlink>
    </w:p>
    <w:p w14:paraId="24A3AFB9" w14:textId="77777777" w:rsidR="00533A51" w:rsidRPr="00A60DB9" w:rsidRDefault="00533A51" w:rsidP="00533A51">
      <w:pPr>
        <w:pStyle w:val="ListParagraph"/>
        <w:numPr>
          <w:ilvl w:val="0"/>
          <w:numId w:val="2"/>
        </w:numPr>
        <w:spacing w:line="360" w:lineRule="auto"/>
        <w:rPr>
          <w:rStyle w:val="Hyperlink"/>
          <w:rFonts w:ascii="Arial" w:hAnsi="Arial" w:cs="Arial"/>
          <w:color w:val="auto"/>
          <w:sz w:val="22"/>
          <w:szCs w:val="22"/>
          <w:u w:val="none"/>
        </w:rPr>
      </w:pPr>
      <w:r w:rsidRPr="00A60DB9">
        <w:rPr>
          <w:rFonts w:ascii="Arial" w:hAnsi="Arial" w:cs="Arial"/>
          <w:sz w:val="22"/>
          <w:szCs w:val="22"/>
        </w:rPr>
        <w:t>Parliamentary business (2021) "</w:t>
      </w:r>
      <w:r w:rsidRPr="00A60DB9">
        <w:rPr>
          <w:rFonts w:ascii="Arial" w:hAnsi="Arial" w:cs="Arial"/>
          <w:i/>
          <w:iCs/>
          <w:sz w:val="22"/>
          <w:szCs w:val="22"/>
        </w:rPr>
        <w:t>The Macpherson Report: Twenty- two years on</w:t>
      </w:r>
      <w:r w:rsidRPr="00A60DB9">
        <w:rPr>
          <w:rFonts w:ascii="Arial" w:hAnsi="Arial" w:cs="Arial"/>
          <w:sz w:val="22"/>
          <w:szCs w:val="22"/>
        </w:rPr>
        <w:t xml:space="preserve">" Publications and records. Available at: </w:t>
      </w:r>
      <w:hyperlink r:id="rId14" w:history="1">
        <w:r w:rsidRPr="00A60DB9">
          <w:rPr>
            <w:rStyle w:val="Hyperlink"/>
            <w:rFonts w:ascii="Arial" w:hAnsi="Arial" w:cs="Arial"/>
            <w:sz w:val="22"/>
            <w:szCs w:val="22"/>
          </w:rPr>
          <w:t>https://publications.parliament.uk/pa/cm5802/cmselect/cmhaff/139/13903.htm</w:t>
        </w:r>
      </w:hyperlink>
    </w:p>
    <w:p w14:paraId="1D3A964D" w14:textId="77777777" w:rsidR="00BA6035" w:rsidRPr="00A60DB9" w:rsidRDefault="00BA6035" w:rsidP="00BA6035">
      <w:pPr>
        <w:pStyle w:val="NormalWeb"/>
        <w:numPr>
          <w:ilvl w:val="0"/>
          <w:numId w:val="2"/>
        </w:numPr>
        <w:spacing w:before="0" w:beforeAutospacing="0" w:after="0" w:afterAutospacing="0" w:line="360" w:lineRule="auto"/>
        <w:rPr>
          <w:rFonts w:ascii="Arial" w:hAnsi="Arial" w:cs="Arial"/>
          <w:sz w:val="22"/>
          <w:szCs w:val="22"/>
        </w:rPr>
      </w:pPr>
      <w:r w:rsidRPr="00A60DB9">
        <w:rPr>
          <w:rFonts w:ascii="Arial" w:hAnsi="Arial" w:cs="Arial"/>
          <w:sz w:val="22"/>
          <w:szCs w:val="22"/>
        </w:rPr>
        <w:t>Paton, R. (2021) "</w:t>
      </w:r>
      <w:r w:rsidRPr="00A60DB9">
        <w:rPr>
          <w:rFonts w:ascii="Arial" w:hAnsi="Arial" w:cs="Arial"/>
          <w:i/>
          <w:iCs/>
          <w:sz w:val="22"/>
          <w:szCs w:val="22"/>
        </w:rPr>
        <w:t>Stephen Lawrence murder timeline and everything that happened in the case"</w:t>
      </w:r>
      <w:r w:rsidRPr="00A60DB9">
        <w:rPr>
          <w:rFonts w:ascii="Arial" w:hAnsi="Arial" w:cs="Arial"/>
          <w:sz w:val="22"/>
          <w:szCs w:val="22"/>
        </w:rPr>
        <w:t xml:space="preserve"> Echo. Available at: </w:t>
      </w:r>
      <w:hyperlink r:id="rId15" w:history="1">
        <w:r w:rsidRPr="00A60DB9">
          <w:rPr>
            <w:rStyle w:val="Hyperlink"/>
            <w:rFonts w:ascii="Arial" w:hAnsi="Arial" w:cs="Arial"/>
            <w:sz w:val="22"/>
            <w:szCs w:val="22"/>
          </w:rPr>
          <w:t>https://www.liverpoolecho.co.uk/news/uk-world-news/stephen-lawrence-murder-timeline-everything-21410150</w:t>
        </w:r>
      </w:hyperlink>
    </w:p>
    <w:p w14:paraId="1A09C223" w14:textId="77777777" w:rsidR="00A60DB9" w:rsidRPr="00A60DB9" w:rsidRDefault="00A60DB9" w:rsidP="00A60DB9">
      <w:pPr>
        <w:pStyle w:val="ListParagraph"/>
        <w:numPr>
          <w:ilvl w:val="0"/>
          <w:numId w:val="2"/>
        </w:numPr>
        <w:spacing w:line="360" w:lineRule="auto"/>
        <w:rPr>
          <w:rFonts w:ascii="Arial" w:hAnsi="Arial" w:cs="Arial"/>
          <w:sz w:val="22"/>
          <w:szCs w:val="22"/>
        </w:rPr>
      </w:pPr>
      <w:r w:rsidRPr="00A60DB9">
        <w:rPr>
          <w:rFonts w:ascii="Arial" w:hAnsi="Arial" w:cs="Arial"/>
          <w:sz w:val="22"/>
          <w:szCs w:val="22"/>
        </w:rPr>
        <w:t>Press Association. (2014) "</w:t>
      </w:r>
      <w:r w:rsidRPr="00A60DB9">
        <w:rPr>
          <w:rFonts w:ascii="Arial" w:hAnsi="Arial" w:cs="Arial"/>
          <w:i/>
          <w:iCs/>
          <w:sz w:val="22"/>
          <w:szCs w:val="22"/>
        </w:rPr>
        <w:t xml:space="preserve">Stephen Lawrence murder: insufficient evidence to prosecute sixth suspect" </w:t>
      </w:r>
      <w:r w:rsidRPr="00A60DB9">
        <w:rPr>
          <w:rFonts w:ascii="Arial" w:hAnsi="Arial" w:cs="Arial"/>
          <w:sz w:val="22"/>
          <w:szCs w:val="22"/>
        </w:rPr>
        <w:t xml:space="preserve">The Guardian. Available at: </w:t>
      </w:r>
      <w:hyperlink r:id="rId16" w:history="1">
        <w:r w:rsidRPr="00A60DB9">
          <w:rPr>
            <w:rStyle w:val="Hyperlink"/>
            <w:rFonts w:ascii="Arial" w:hAnsi="Arial" w:cs="Arial"/>
            <w:sz w:val="22"/>
            <w:szCs w:val="22"/>
          </w:rPr>
          <w:t>https://www.theguardian.com/uk-news/2014/nov/24/stephen-lawrence-murder-insufficient-evidence-sixth-suspect</w:t>
        </w:r>
      </w:hyperlink>
    </w:p>
    <w:p w14:paraId="14D5EC65" w14:textId="0A67C91C" w:rsidR="000E571A" w:rsidRPr="000E571A" w:rsidRDefault="000E571A" w:rsidP="00A60DB9">
      <w:pPr>
        <w:pStyle w:val="ListParagraph"/>
        <w:spacing w:line="360" w:lineRule="auto"/>
        <w:rPr>
          <w:rFonts w:ascii="Arial" w:hAnsi="Arial" w:cs="Arial"/>
          <w:sz w:val="22"/>
          <w:szCs w:val="22"/>
        </w:rPr>
      </w:pPr>
    </w:p>
    <w:sectPr w:rsidR="000E571A" w:rsidRPr="000E571A" w:rsidSect="00285E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F72DA"/>
    <w:multiLevelType w:val="hybridMultilevel"/>
    <w:tmpl w:val="A69AF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C118A"/>
    <w:multiLevelType w:val="hybridMultilevel"/>
    <w:tmpl w:val="80804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A4673A"/>
    <w:multiLevelType w:val="hybridMultilevel"/>
    <w:tmpl w:val="E3502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0514311">
    <w:abstractNumId w:val="2"/>
  </w:num>
  <w:num w:numId="2" w16cid:durableId="1823541504">
    <w:abstractNumId w:val="0"/>
  </w:num>
  <w:num w:numId="3" w16cid:durableId="1240024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54C"/>
    <w:rsid w:val="00007259"/>
    <w:rsid w:val="0001164D"/>
    <w:rsid w:val="0006198D"/>
    <w:rsid w:val="000651F4"/>
    <w:rsid w:val="00065F08"/>
    <w:rsid w:val="000711BC"/>
    <w:rsid w:val="000A5A88"/>
    <w:rsid w:val="000C6640"/>
    <w:rsid w:val="000D5160"/>
    <w:rsid w:val="000E571A"/>
    <w:rsid w:val="00113768"/>
    <w:rsid w:val="00123BE9"/>
    <w:rsid w:val="001328A0"/>
    <w:rsid w:val="001341D0"/>
    <w:rsid w:val="001355A4"/>
    <w:rsid w:val="001445B6"/>
    <w:rsid w:val="00147039"/>
    <w:rsid w:val="001473E5"/>
    <w:rsid w:val="00147C6B"/>
    <w:rsid w:val="0018031C"/>
    <w:rsid w:val="001946D2"/>
    <w:rsid w:val="001B1C55"/>
    <w:rsid w:val="001B7F24"/>
    <w:rsid w:val="001D44DB"/>
    <w:rsid w:val="00201C49"/>
    <w:rsid w:val="00221116"/>
    <w:rsid w:val="00245845"/>
    <w:rsid w:val="00252F5A"/>
    <w:rsid w:val="00283563"/>
    <w:rsid w:val="002851FA"/>
    <w:rsid w:val="00285EA4"/>
    <w:rsid w:val="002A234F"/>
    <w:rsid w:val="002D5C96"/>
    <w:rsid w:val="002D640C"/>
    <w:rsid w:val="002F496A"/>
    <w:rsid w:val="00311F51"/>
    <w:rsid w:val="00320A05"/>
    <w:rsid w:val="0032751D"/>
    <w:rsid w:val="0035085A"/>
    <w:rsid w:val="00367CDE"/>
    <w:rsid w:val="003734E2"/>
    <w:rsid w:val="003816BC"/>
    <w:rsid w:val="00411545"/>
    <w:rsid w:val="00416843"/>
    <w:rsid w:val="004173BD"/>
    <w:rsid w:val="00427D34"/>
    <w:rsid w:val="00431FBA"/>
    <w:rsid w:val="00436D97"/>
    <w:rsid w:val="004533CB"/>
    <w:rsid w:val="00453E09"/>
    <w:rsid w:val="00457B25"/>
    <w:rsid w:val="00457C55"/>
    <w:rsid w:val="00463620"/>
    <w:rsid w:val="00470F23"/>
    <w:rsid w:val="0048640A"/>
    <w:rsid w:val="00490F3F"/>
    <w:rsid w:val="00497E84"/>
    <w:rsid w:val="004A6298"/>
    <w:rsid w:val="004A7473"/>
    <w:rsid w:val="004B0B66"/>
    <w:rsid w:val="004E6B17"/>
    <w:rsid w:val="004E7090"/>
    <w:rsid w:val="004F248C"/>
    <w:rsid w:val="004F5865"/>
    <w:rsid w:val="00533A51"/>
    <w:rsid w:val="00551581"/>
    <w:rsid w:val="00575DC5"/>
    <w:rsid w:val="00597B5D"/>
    <w:rsid w:val="005E60AC"/>
    <w:rsid w:val="005F1B71"/>
    <w:rsid w:val="006071BF"/>
    <w:rsid w:val="006170A2"/>
    <w:rsid w:val="0063494D"/>
    <w:rsid w:val="006467A0"/>
    <w:rsid w:val="006512DD"/>
    <w:rsid w:val="00654899"/>
    <w:rsid w:val="00685EC9"/>
    <w:rsid w:val="00690B70"/>
    <w:rsid w:val="006A0D99"/>
    <w:rsid w:val="006C7706"/>
    <w:rsid w:val="006D64AB"/>
    <w:rsid w:val="006D68F9"/>
    <w:rsid w:val="00711BF5"/>
    <w:rsid w:val="00714BE5"/>
    <w:rsid w:val="00726567"/>
    <w:rsid w:val="00727D35"/>
    <w:rsid w:val="00731B56"/>
    <w:rsid w:val="00733195"/>
    <w:rsid w:val="00734C85"/>
    <w:rsid w:val="00737C8A"/>
    <w:rsid w:val="00774D96"/>
    <w:rsid w:val="00781DE3"/>
    <w:rsid w:val="007A5865"/>
    <w:rsid w:val="007A7D0F"/>
    <w:rsid w:val="007D3C88"/>
    <w:rsid w:val="007D5E28"/>
    <w:rsid w:val="007E39A3"/>
    <w:rsid w:val="007E56CB"/>
    <w:rsid w:val="007F1D89"/>
    <w:rsid w:val="007F2D2F"/>
    <w:rsid w:val="007F5FB8"/>
    <w:rsid w:val="008153C4"/>
    <w:rsid w:val="00817BBE"/>
    <w:rsid w:val="008229A6"/>
    <w:rsid w:val="00827F09"/>
    <w:rsid w:val="00833521"/>
    <w:rsid w:val="00843531"/>
    <w:rsid w:val="00844F9E"/>
    <w:rsid w:val="00866E35"/>
    <w:rsid w:val="008839E9"/>
    <w:rsid w:val="008841E0"/>
    <w:rsid w:val="00886635"/>
    <w:rsid w:val="008911F0"/>
    <w:rsid w:val="00891541"/>
    <w:rsid w:val="008A5DE9"/>
    <w:rsid w:val="008B0B17"/>
    <w:rsid w:val="008E43A1"/>
    <w:rsid w:val="008E789C"/>
    <w:rsid w:val="008F6DD9"/>
    <w:rsid w:val="009311A1"/>
    <w:rsid w:val="0093639A"/>
    <w:rsid w:val="0093695D"/>
    <w:rsid w:val="00945E94"/>
    <w:rsid w:val="009541D0"/>
    <w:rsid w:val="00956ABB"/>
    <w:rsid w:val="009629C4"/>
    <w:rsid w:val="0097338B"/>
    <w:rsid w:val="00973A83"/>
    <w:rsid w:val="00982010"/>
    <w:rsid w:val="009A405B"/>
    <w:rsid w:val="009C5AA2"/>
    <w:rsid w:val="009D725E"/>
    <w:rsid w:val="009D7DA2"/>
    <w:rsid w:val="009F03FC"/>
    <w:rsid w:val="00A108DD"/>
    <w:rsid w:val="00A266CA"/>
    <w:rsid w:val="00A53AC6"/>
    <w:rsid w:val="00A60DB9"/>
    <w:rsid w:val="00A613AB"/>
    <w:rsid w:val="00A72BF3"/>
    <w:rsid w:val="00A834BA"/>
    <w:rsid w:val="00AA70E5"/>
    <w:rsid w:val="00AA7696"/>
    <w:rsid w:val="00AE3861"/>
    <w:rsid w:val="00AE54DA"/>
    <w:rsid w:val="00AF7B62"/>
    <w:rsid w:val="00B1086A"/>
    <w:rsid w:val="00B221D3"/>
    <w:rsid w:val="00B47D28"/>
    <w:rsid w:val="00B54F34"/>
    <w:rsid w:val="00B838F2"/>
    <w:rsid w:val="00BA1B4A"/>
    <w:rsid w:val="00BA6035"/>
    <w:rsid w:val="00BC51D6"/>
    <w:rsid w:val="00BD4D8B"/>
    <w:rsid w:val="00BE4561"/>
    <w:rsid w:val="00C00D14"/>
    <w:rsid w:val="00C02B55"/>
    <w:rsid w:val="00C0754C"/>
    <w:rsid w:val="00C370FD"/>
    <w:rsid w:val="00C5783A"/>
    <w:rsid w:val="00C62650"/>
    <w:rsid w:val="00C86C14"/>
    <w:rsid w:val="00CA5C33"/>
    <w:rsid w:val="00CA608B"/>
    <w:rsid w:val="00CB3B7C"/>
    <w:rsid w:val="00CB57ED"/>
    <w:rsid w:val="00CC2211"/>
    <w:rsid w:val="00CD6A81"/>
    <w:rsid w:val="00CF2ADA"/>
    <w:rsid w:val="00D15608"/>
    <w:rsid w:val="00D40DEF"/>
    <w:rsid w:val="00D504C4"/>
    <w:rsid w:val="00D71B1F"/>
    <w:rsid w:val="00D745D4"/>
    <w:rsid w:val="00DA36F5"/>
    <w:rsid w:val="00DA5838"/>
    <w:rsid w:val="00DA5B1C"/>
    <w:rsid w:val="00E5133E"/>
    <w:rsid w:val="00E83863"/>
    <w:rsid w:val="00E94845"/>
    <w:rsid w:val="00EA4CF1"/>
    <w:rsid w:val="00EC0FD4"/>
    <w:rsid w:val="00EC73FD"/>
    <w:rsid w:val="00ED0259"/>
    <w:rsid w:val="00ED5CCA"/>
    <w:rsid w:val="00EE018F"/>
    <w:rsid w:val="00EE536E"/>
    <w:rsid w:val="00F10B62"/>
    <w:rsid w:val="00F31605"/>
    <w:rsid w:val="00F53751"/>
    <w:rsid w:val="00F5671B"/>
    <w:rsid w:val="00F619DE"/>
    <w:rsid w:val="00F658FF"/>
    <w:rsid w:val="00FB32FB"/>
    <w:rsid w:val="00FB48BB"/>
    <w:rsid w:val="00FB5405"/>
    <w:rsid w:val="00FE024A"/>
    <w:rsid w:val="00FF3DD2"/>
    <w:rsid w:val="00FF7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2DEC"/>
  <w15:chartTrackingRefBased/>
  <w15:docId w15:val="{D6CDE725-DDDC-6442-B492-7DAFCC176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EA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EA4"/>
    <w:rPr>
      <w:rFonts w:eastAsiaTheme="minorEastAsia"/>
      <w:kern w:val="0"/>
      <w:sz w:val="22"/>
      <w:szCs w:val="22"/>
      <w:lang w:val="en-US" w:eastAsia="zh-CN"/>
      <w14:ligatures w14:val="none"/>
    </w:rPr>
  </w:style>
  <w:style w:type="paragraph" w:styleId="ListParagraph">
    <w:name w:val="List Paragraph"/>
    <w:basedOn w:val="Normal"/>
    <w:uiPriority w:val="34"/>
    <w:qFormat/>
    <w:rsid w:val="00733195"/>
    <w:pPr>
      <w:ind w:left="720"/>
      <w:contextualSpacing/>
    </w:pPr>
  </w:style>
  <w:style w:type="character" w:styleId="Hyperlink">
    <w:name w:val="Hyperlink"/>
    <w:basedOn w:val="DefaultParagraphFont"/>
    <w:uiPriority w:val="99"/>
    <w:semiHidden/>
    <w:unhideWhenUsed/>
    <w:rsid w:val="00733195"/>
    <w:rPr>
      <w:color w:val="0000FF"/>
      <w:u w:val="single"/>
    </w:rPr>
  </w:style>
  <w:style w:type="paragraph" w:styleId="NormalWeb">
    <w:name w:val="Normal (Web)"/>
    <w:basedOn w:val="Normal"/>
    <w:uiPriority w:val="99"/>
    <w:semiHidden/>
    <w:unhideWhenUsed/>
    <w:rsid w:val="00B221D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A60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71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vulnerability-related-risks/introduction-vulnerability-related-risk" TargetMode="External"/><Relationship Id="rId13" Type="http://schemas.openxmlformats.org/officeDocument/2006/relationships/hyperlink" Target="https://www.theguardian.com/uk/1998/jul/18/lawrence.ukcrim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ollege.police.uk/guidance/vulnerability-related-risks/clues" TargetMode="External"/><Relationship Id="rId12" Type="http://schemas.openxmlformats.org/officeDocument/2006/relationships/hyperlink" Target="https://asbhelp.co.uk/home-practitioners/personal-situational-incidental-vulnerabilities-asb-harm-follow-stud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uk-news/2014/nov/24/stephen-lawrence-murder-insufficient-evidence-sixth-suspect" TargetMode="External"/><Relationship Id="rId1" Type="http://schemas.openxmlformats.org/officeDocument/2006/relationships/customXml" Target="../customXml/item1.xml"/><Relationship Id="rId6" Type="http://schemas.openxmlformats.org/officeDocument/2006/relationships/hyperlink" Target="https://paas-s3-broker-prod-lon-6453d964-1d1a-432a-9260-5e0ba7d2fc51.s3.eu-west-2.amazonaws.com/s3fs-public/Recognising-responding-vulnerability-related-risks-guidelines.pdf" TargetMode="External"/><Relationship Id="rId11" Type="http://schemas.openxmlformats.org/officeDocument/2006/relationships/hyperlink" Target="https://ukparliament.shorthandstories.com/home-affairs-committee-macphersonreport/index.html" TargetMode="External"/><Relationship Id="rId5" Type="http://schemas.openxmlformats.org/officeDocument/2006/relationships/webSettings" Target="webSettings.xml"/><Relationship Id="rId15" Type="http://schemas.openxmlformats.org/officeDocument/2006/relationships/hyperlink" Target="https://www.liverpoolecho.co.uk/news/uk-world-news/stephen-lawrence-murder-timeline-everything-21410150" TargetMode="External"/><Relationship Id="rId10" Type="http://schemas.openxmlformats.org/officeDocument/2006/relationships/hyperlink" Target="https://assets.publishing.service.gov.uk/government/uploads/system/uploads/attachment_data/file/277111/4262.pdf" TargetMode="External"/><Relationship Id="rId4" Type="http://schemas.openxmlformats.org/officeDocument/2006/relationships/settings" Target="settings.xml"/><Relationship Id="rId9" Type="http://schemas.openxmlformats.org/officeDocument/2006/relationships/hyperlink" Target="https://connectceredigion.org.uk/vulnerability-crimes-awareness" TargetMode="External"/><Relationship Id="rId14" Type="http://schemas.openxmlformats.org/officeDocument/2006/relationships/hyperlink" Target="https://publications.parliament.uk/pa/cm5802/cmselect/cmhaff/139/1390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BMCP5002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8</Pages>
  <Words>2688</Words>
  <Characters>15323</Characters>
  <Application>Microsoft Office Word</Application>
  <DocSecurity>0</DocSecurity>
  <Lines>127</Lines>
  <Paragraphs>35</Paragraphs>
  <ScaleCrop>false</ScaleCrop>
  <Company/>
  <LinksUpToDate>false</LinksUpToDate>
  <CharactersWithSpaces>17976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choose a uk case where someone with personal factors of vulnerability have been a victim of crime. Critically evaluate how the criminal justice supported or failed them</dc:title>
  <dc:subject/>
  <dc:creator>Emma Haggett (2100501)</dc:creator>
  <cp:keywords/>
  <dc:description/>
  <cp:lastModifiedBy>Emma Haggett (2100501)</cp:lastModifiedBy>
  <cp:revision>200</cp:revision>
  <dcterms:created xsi:type="dcterms:W3CDTF">2023-05-02T12:59:00Z</dcterms:created>
  <dcterms:modified xsi:type="dcterms:W3CDTF">2023-05-04T16:09:00Z</dcterms:modified>
</cp:coreProperties>
</file>