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1D0AF0B" w14:textId="3294A8C4" w:rsidR="00C70D83" w:rsidRPr="00B10FAA" w:rsidRDefault="00B40910">
      <w:pPr>
        <w:rPr>
          <w:rFonts w:ascii="Arial" w:hAnsi="Arial" w:cs="Arial"/>
          <w:sz w:val="20"/>
          <w:szCs w:val="20"/>
        </w:rPr>
      </w:pPr>
      <w:r w:rsidRPr="00B10FAA">
        <w:rPr>
          <w:rFonts w:ascii="Arial" w:hAnsi="Arial" w:cs="Arial"/>
          <w:sz w:val="20"/>
          <w:szCs w:val="20"/>
        </w:rPr>
        <w:t>Student code: 2502909                         module code: BMSH4303</w:t>
      </w:r>
    </w:p>
    <w:p w14:paraId="43CB9510" w14:textId="77777777" w:rsidR="00B40910" w:rsidRPr="00B10FAA" w:rsidRDefault="00B40910">
      <w:pPr>
        <w:rPr>
          <w:rFonts w:ascii="Arial" w:hAnsi="Arial" w:cs="Arial"/>
          <w:sz w:val="20"/>
          <w:szCs w:val="20"/>
        </w:rPr>
      </w:pPr>
    </w:p>
    <w:p w14:paraId="639B3297" w14:textId="739934B8" w:rsidR="00B40910" w:rsidRPr="00B10FAA" w:rsidRDefault="00B90B7F">
      <w:pPr>
        <w:rPr>
          <w:rFonts w:ascii="Arial" w:hAnsi="Arial" w:cs="Arial"/>
          <w:bCs/>
          <w:sz w:val="20"/>
          <w:szCs w:val="20"/>
          <w:u w:val="single"/>
        </w:rPr>
      </w:pPr>
      <w:r w:rsidRPr="00B10FAA">
        <w:rPr>
          <w:rFonts w:ascii="Arial" w:hAnsi="Arial" w:cs="Arial"/>
          <w:bCs/>
          <w:sz w:val="20"/>
          <w:szCs w:val="20"/>
          <w:u w:val="single"/>
        </w:rPr>
        <w:t xml:space="preserve">Comprehensive </w:t>
      </w:r>
      <w:r w:rsidR="00B40910" w:rsidRPr="00B10FAA">
        <w:rPr>
          <w:rFonts w:ascii="Arial" w:hAnsi="Arial" w:cs="Arial"/>
          <w:bCs/>
          <w:sz w:val="20"/>
          <w:szCs w:val="20"/>
          <w:u w:val="single"/>
        </w:rPr>
        <w:t>Health and Fitness Assessment Report</w:t>
      </w:r>
    </w:p>
    <w:p w14:paraId="38D2AC01" w14:textId="77777777" w:rsidR="007E3902" w:rsidRDefault="007E3902" w:rsidP="004A1F94">
      <w:pPr>
        <w:rPr>
          <w:rFonts w:ascii="Arial" w:hAnsi="Arial" w:cs="Arial"/>
          <w:bCs/>
          <w:sz w:val="20"/>
          <w:szCs w:val="20"/>
        </w:rPr>
      </w:pPr>
    </w:p>
    <w:p w14:paraId="31D50C4D" w14:textId="0A6DF87B" w:rsidR="00FA62AB" w:rsidRDefault="00F44902" w:rsidP="004A1F94">
      <w:pPr>
        <w:rPr>
          <w:rFonts w:ascii="Arial" w:hAnsi="Arial" w:cs="Arial"/>
          <w:bCs/>
          <w:sz w:val="20"/>
          <w:szCs w:val="20"/>
        </w:rPr>
      </w:pPr>
      <w:r w:rsidRPr="00F44902">
        <w:rPr>
          <w:rFonts w:ascii="Arial" w:hAnsi="Arial" w:cs="Arial"/>
          <w:bCs/>
          <w:sz w:val="20"/>
          <w:szCs w:val="20"/>
        </w:rPr>
        <w:t>A health and fitness assessment gives a clear picture of someone’s physical condition and overall wellbeing. By carrying out tests on key health</w:t>
      </w:r>
      <w:r w:rsidRPr="00F44902">
        <w:rPr>
          <w:rFonts w:ascii="Cambria Math" w:hAnsi="Cambria Math" w:cs="Cambria Math"/>
          <w:bCs/>
          <w:sz w:val="20"/>
          <w:szCs w:val="20"/>
        </w:rPr>
        <w:t>‑</w:t>
      </w:r>
      <w:r w:rsidRPr="00F44902">
        <w:rPr>
          <w:rFonts w:ascii="Arial" w:hAnsi="Arial" w:cs="Arial"/>
          <w:bCs/>
          <w:sz w:val="20"/>
          <w:szCs w:val="20"/>
        </w:rPr>
        <w:t>related components, practitioners can spot strengths and weaknesses, track changes over time, and pick up early signs of potential health issues that might shape future training or lifestyle choices. These assessments also create a useful starting point for personalised exercise plans, helping ensure activities are safe, realistic, and aligned with the person’s goals. They can also boost motivation by showing clear progress and highlighting areas that may need extra focus. On top of this, assessments open conversations about daily habits, routines, and long</w:t>
      </w:r>
      <w:r w:rsidRPr="00F44902">
        <w:rPr>
          <w:rFonts w:ascii="Cambria Math" w:hAnsi="Cambria Math" w:cs="Cambria Math"/>
          <w:bCs/>
          <w:sz w:val="20"/>
          <w:szCs w:val="20"/>
        </w:rPr>
        <w:t>‑</w:t>
      </w:r>
      <w:r w:rsidRPr="00F44902">
        <w:rPr>
          <w:rFonts w:ascii="Arial" w:hAnsi="Arial" w:cs="Arial"/>
          <w:bCs/>
          <w:sz w:val="20"/>
          <w:szCs w:val="20"/>
        </w:rPr>
        <w:t>term health, giving individuals the knowledge and confidence to make positive changes. They also help people understand how their current lifestyle affects their overall wellbeing, making it easier to set achievable goals and stay committed to long</w:t>
      </w:r>
      <w:r w:rsidRPr="00F44902">
        <w:rPr>
          <w:rFonts w:ascii="Cambria Math" w:hAnsi="Cambria Math" w:cs="Cambria Math"/>
          <w:bCs/>
          <w:sz w:val="20"/>
          <w:szCs w:val="20"/>
        </w:rPr>
        <w:t>‑</w:t>
      </w:r>
      <w:r w:rsidRPr="00F44902">
        <w:rPr>
          <w:rFonts w:ascii="Arial" w:hAnsi="Arial" w:cs="Arial"/>
          <w:bCs/>
          <w:sz w:val="20"/>
          <w:szCs w:val="20"/>
        </w:rPr>
        <w:t>term improvements. Overall, a well</w:t>
      </w:r>
      <w:r w:rsidRPr="00F44902">
        <w:rPr>
          <w:rFonts w:ascii="Cambria Math" w:hAnsi="Cambria Math" w:cs="Cambria Math"/>
          <w:bCs/>
          <w:sz w:val="20"/>
          <w:szCs w:val="20"/>
        </w:rPr>
        <w:t>‑</w:t>
      </w:r>
      <w:r w:rsidRPr="00F44902">
        <w:rPr>
          <w:rFonts w:ascii="Arial" w:hAnsi="Arial" w:cs="Arial"/>
          <w:bCs/>
          <w:sz w:val="20"/>
          <w:szCs w:val="20"/>
        </w:rPr>
        <w:t>structured assessment provides valuable insight, supports informed decision</w:t>
      </w:r>
      <w:r w:rsidRPr="00F44902">
        <w:rPr>
          <w:rFonts w:ascii="Cambria Math" w:hAnsi="Cambria Math" w:cs="Cambria Math"/>
          <w:bCs/>
          <w:sz w:val="20"/>
          <w:szCs w:val="20"/>
        </w:rPr>
        <w:t>‑</w:t>
      </w:r>
      <w:r w:rsidRPr="00F44902">
        <w:rPr>
          <w:rFonts w:ascii="Arial" w:hAnsi="Arial" w:cs="Arial"/>
          <w:bCs/>
          <w:sz w:val="20"/>
          <w:szCs w:val="20"/>
        </w:rPr>
        <w:t>making, and encourages individuals to take an active role in improving their health and fitness over time and supporting sustainable habits that enhance long</w:t>
      </w:r>
      <w:r w:rsidRPr="00F44902">
        <w:rPr>
          <w:rFonts w:ascii="Cambria Math" w:hAnsi="Cambria Math" w:cs="Cambria Math"/>
          <w:bCs/>
          <w:sz w:val="20"/>
          <w:szCs w:val="20"/>
        </w:rPr>
        <w:t>‑</w:t>
      </w:r>
      <w:r w:rsidRPr="00F44902">
        <w:rPr>
          <w:rFonts w:ascii="Arial" w:hAnsi="Arial" w:cs="Arial"/>
          <w:bCs/>
          <w:sz w:val="20"/>
          <w:szCs w:val="20"/>
        </w:rPr>
        <w:t>term wellbeing.</w:t>
      </w:r>
    </w:p>
    <w:p w14:paraId="26879A33" w14:textId="77777777" w:rsidR="00F44902" w:rsidRPr="00B10FAA" w:rsidRDefault="00F44902" w:rsidP="004A1F94">
      <w:pPr>
        <w:rPr>
          <w:rFonts w:ascii="Arial" w:hAnsi="Arial" w:cs="Arial"/>
          <w:bCs/>
          <w:sz w:val="20"/>
          <w:szCs w:val="20"/>
        </w:rPr>
      </w:pPr>
    </w:p>
    <w:p w14:paraId="49F2055B" w14:textId="573E280B" w:rsidR="004A1F94" w:rsidRPr="00B10FAA" w:rsidRDefault="004A1F94" w:rsidP="004A1F94">
      <w:pPr>
        <w:rPr>
          <w:rFonts w:ascii="Arial" w:hAnsi="Arial" w:cs="Arial"/>
          <w:bCs/>
          <w:sz w:val="20"/>
          <w:szCs w:val="20"/>
        </w:rPr>
      </w:pPr>
      <w:r w:rsidRPr="00B10FAA">
        <w:rPr>
          <w:rFonts w:ascii="Arial" w:hAnsi="Arial" w:cs="Arial"/>
          <w:bCs/>
          <w:sz w:val="20"/>
          <w:szCs w:val="20"/>
        </w:rPr>
        <w:t>health and fitness assessment provides essential information about an individual’s physical condition and overall wellbeing. By assessing key health</w:t>
      </w:r>
      <w:r w:rsidRPr="00B10FAA">
        <w:rPr>
          <w:rFonts w:ascii="Cambria Math" w:hAnsi="Cambria Math" w:cs="Cambria Math"/>
          <w:bCs/>
          <w:sz w:val="20"/>
          <w:szCs w:val="20"/>
        </w:rPr>
        <w:t>‑</w:t>
      </w:r>
      <w:r w:rsidRPr="00B10FAA">
        <w:rPr>
          <w:rFonts w:ascii="Arial" w:hAnsi="Arial" w:cs="Arial"/>
          <w:bCs/>
          <w:sz w:val="20"/>
          <w:szCs w:val="20"/>
        </w:rPr>
        <w:t>related components, practitioners can identify strengths, weaknesses and any potential health risks that may require attention. The assessments used in this report offer a balanced and well</w:t>
      </w:r>
      <w:r w:rsidRPr="00B10FAA">
        <w:rPr>
          <w:rFonts w:ascii="Cambria Math" w:hAnsi="Cambria Math" w:cs="Cambria Math"/>
          <w:bCs/>
          <w:sz w:val="20"/>
          <w:szCs w:val="20"/>
        </w:rPr>
        <w:t>‑</w:t>
      </w:r>
      <w:r w:rsidRPr="00B10FAA">
        <w:rPr>
          <w:rFonts w:ascii="Arial" w:hAnsi="Arial" w:cs="Arial"/>
          <w:bCs/>
          <w:sz w:val="20"/>
          <w:szCs w:val="20"/>
        </w:rPr>
        <w:t xml:space="preserve">rounded overview of the main components of fitness. Each test was selected because it is simple to </w:t>
      </w:r>
      <w:r w:rsidR="002A1097">
        <w:rPr>
          <w:rFonts w:ascii="Arial" w:hAnsi="Arial" w:cs="Arial"/>
          <w:bCs/>
          <w:sz w:val="20"/>
          <w:szCs w:val="20"/>
        </w:rPr>
        <w:t>conduct,</w:t>
      </w:r>
      <w:r w:rsidRPr="00B10FAA">
        <w:rPr>
          <w:rFonts w:ascii="Arial" w:hAnsi="Arial" w:cs="Arial"/>
          <w:bCs/>
          <w:sz w:val="20"/>
          <w:szCs w:val="20"/>
        </w:rPr>
        <w:t xml:space="preserve"> scientifically supported and provides meaningful data that can be compared against established normative values. Body composition was measured using the InBody scanner, which uses bioelectrical impedance analysis to estimate fat mass, lean mass and muscle distribution. This method was chosen because it provides a more detailed and reliable insight into health than basic measures such as weight or BMI (Heyward &amp; Gibson, 2014). By breaking down the proportions of fat and muscle, it allows for a clearer understanding of physical condition, training status and potential health risks. Cardiovascular fitness was assessed using the Queens College Step Test, a widely used submaximal test that estimates aerobic capacity through heart rate recovery (Golding, 2000). Heart rate recovery is a valuable indicator of how efficiently the cardiovascular system responds to and recovers from exercise. Faster recovery is associated with better aerobic fitness and long</w:t>
      </w:r>
      <w:r w:rsidRPr="00B10FAA">
        <w:rPr>
          <w:rFonts w:ascii="Cambria Math" w:hAnsi="Cambria Math" w:cs="Cambria Math"/>
          <w:bCs/>
          <w:sz w:val="20"/>
          <w:szCs w:val="20"/>
        </w:rPr>
        <w:t>‑</w:t>
      </w:r>
      <w:r w:rsidRPr="00B10FAA">
        <w:rPr>
          <w:rFonts w:ascii="Arial" w:hAnsi="Arial" w:cs="Arial"/>
          <w:bCs/>
          <w:sz w:val="20"/>
          <w:szCs w:val="20"/>
        </w:rPr>
        <w:t>term heart health. Flexibility was measured using the sit</w:t>
      </w:r>
      <w:r w:rsidRPr="00B10FAA">
        <w:rPr>
          <w:rFonts w:ascii="Cambria Math" w:hAnsi="Cambria Math" w:cs="Cambria Math"/>
          <w:bCs/>
          <w:sz w:val="20"/>
          <w:szCs w:val="20"/>
        </w:rPr>
        <w:t>‑</w:t>
      </w:r>
      <w:r w:rsidRPr="00B10FAA">
        <w:rPr>
          <w:rFonts w:ascii="Arial" w:hAnsi="Arial" w:cs="Arial"/>
          <w:bCs/>
          <w:sz w:val="20"/>
          <w:szCs w:val="20"/>
        </w:rPr>
        <w:t>and</w:t>
      </w:r>
      <w:r w:rsidRPr="00B10FAA">
        <w:rPr>
          <w:rFonts w:ascii="Cambria Math" w:hAnsi="Cambria Math" w:cs="Cambria Math"/>
          <w:bCs/>
          <w:sz w:val="20"/>
          <w:szCs w:val="20"/>
        </w:rPr>
        <w:t>‑</w:t>
      </w:r>
      <w:r w:rsidRPr="00B10FAA">
        <w:rPr>
          <w:rFonts w:ascii="Arial" w:hAnsi="Arial" w:cs="Arial"/>
          <w:bCs/>
          <w:sz w:val="20"/>
          <w:szCs w:val="20"/>
        </w:rPr>
        <w:t>reach test, which focuses specifically on hamstring and lower</w:t>
      </w:r>
      <w:r w:rsidRPr="00B10FAA">
        <w:rPr>
          <w:rFonts w:ascii="Cambria Math" w:hAnsi="Cambria Math" w:cs="Cambria Math"/>
          <w:bCs/>
          <w:sz w:val="20"/>
          <w:szCs w:val="20"/>
        </w:rPr>
        <w:t>‑</w:t>
      </w:r>
      <w:r w:rsidRPr="00B10FAA">
        <w:rPr>
          <w:rFonts w:ascii="Arial" w:hAnsi="Arial" w:cs="Arial"/>
          <w:bCs/>
          <w:sz w:val="20"/>
          <w:szCs w:val="20"/>
        </w:rPr>
        <w:t>back mobility. These areas are closely linked to posture, movement quality and injury prevention. Limited flexibility in the posterior chain is often associated with tightness, discomfort and reduced range of motion (ACSM, 2021). For this reason, the sit</w:t>
      </w:r>
      <w:r w:rsidRPr="00B10FAA">
        <w:rPr>
          <w:rFonts w:ascii="Cambria Math" w:hAnsi="Cambria Math" w:cs="Cambria Math"/>
          <w:bCs/>
          <w:sz w:val="20"/>
          <w:szCs w:val="20"/>
        </w:rPr>
        <w:t>‑</w:t>
      </w:r>
      <w:r w:rsidRPr="00B10FAA">
        <w:rPr>
          <w:rFonts w:ascii="Arial" w:hAnsi="Arial" w:cs="Arial"/>
          <w:bCs/>
          <w:sz w:val="20"/>
          <w:szCs w:val="20"/>
        </w:rPr>
        <w:t>and</w:t>
      </w:r>
      <w:r w:rsidRPr="00B10FAA">
        <w:rPr>
          <w:rFonts w:ascii="Cambria Math" w:hAnsi="Cambria Math" w:cs="Cambria Math"/>
          <w:bCs/>
          <w:sz w:val="20"/>
          <w:szCs w:val="20"/>
        </w:rPr>
        <w:t>‑</w:t>
      </w:r>
      <w:r w:rsidRPr="00B10FAA">
        <w:rPr>
          <w:rFonts w:ascii="Arial" w:hAnsi="Arial" w:cs="Arial"/>
          <w:bCs/>
          <w:sz w:val="20"/>
          <w:szCs w:val="20"/>
        </w:rPr>
        <w:t xml:space="preserve">reach test provides useful information about functional mobility and overall movement </w:t>
      </w:r>
      <w:r w:rsidR="00FD07FB" w:rsidRPr="00B10FAA">
        <w:rPr>
          <w:rFonts w:ascii="Arial" w:hAnsi="Arial" w:cs="Arial"/>
          <w:bCs/>
          <w:sz w:val="20"/>
          <w:szCs w:val="20"/>
        </w:rPr>
        <w:t>efficiency. Muscular</w:t>
      </w:r>
      <w:r w:rsidRPr="00B10FAA">
        <w:rPr>
          <w:rFonts w:ascii="Arial" w:hAnsi="Arial" w:cs="Arial"/>
          <w:bCs/>
          <w:sz w:val="20"/>
          <w:szCs w:val="20"/>
        </w:rPr>
        <w:t xml:space="preserve"> endurance was evaluated using the press</w:t>
      </w:r>
      <w:r w:rsidRPr="00B10FAA">
        <w:rPr>
          <w:rFonts w:ascii="Cambria Math" w:hAnsi="Cambria Math" w:cs="Cambria Math"/>
          <w:bCs/>
          <w:sz w:val="20"/>
          <w:szCs w:val="20"/>
        </w:rPr>
        <w:t>‑</w:t>
      </w:r>
      <w:r w:rsidRPr="00B10FAA">
        <w:rPr>
          <w:rFonts w:ascii="Arial" w:hAnsi="Arial" w:cs="Arial"/>
          <w:bCs/>
          <w:sz w:val="20"/>
          <w:szCs w:val="20"/>
        </w:rPr>
        <w:t xml:space="preserve">up test, a simple but effective way to assess the upper body’s ability to sustain repeated contractions. This test reflects the endurance capacity of the chest, shoulders and triceps, which are important for daily tasks and many forms of physical activity (Baechle &amp; Earle, 2016). Good muscular endurance helps reduce fatigue and supports overall </w:t>
      </w:r>
      <w:r w:rsidR="00FD07FB" w:rsidRPr="00B10FAA">
        <w:rPr>
          <w:rFonts w:ascii="Arial" w:hAnsi="Arial" w:cs="Arial"/>
          <w:bCs/>
          <w:sz w:val="20"/>
          <w:szCs w:val="20"/>
        </w:rPr>
        <w:t>performance. Finally</w:t>
      </w:r>
      <w:r w:rsidRPr="00B10FAA">
        <w:rPr>
          <w:rFonts w:ascii="Arial" w:hAnsi="Arial" w:cs="Arial"/>
          <w:bCs/>
          <w:sz w:val="20"/>
          <w:szCs w:val="20"/>
        </w:rPr>
        <w:t>, muscular strength was measured using a handgrip dynamometer. Grip strength is widely recognised as an important indicator of overall strength, independence in daily activities and long</w:t>
      </w:r>
      <w:r w:rsidRPr="00B10FAA">
        <w:rPr>
          <w:rFonts w:ascii="Cambria Math" w:hAnsi="Cambria Math" w:cs="Cambria Math"/>
          <w:bCs/>
          <w:sz w:val="20"/>
          <w:szCs w:val="20"/>
        </w:rPr>
        <w:t>‑</w:t>
      </w:r>
      <w:r w:rsidRPr="00B10FAA">
        <w:rPr>
          <w:rFonts w:ascii="Arial" w:hAnsi="Arial" w:cs="Arial"/>
          <w:bCs/>
          <w:sz w:val="20"/>
          <w:szCs w:val="20"/>
        </w:rPr>
        <w:t xml:space="preserve">term functional ability (ACSM, 2018). </w:t>
      </w:r>
    </w:p>
    <w:p w14:paraId="39BD8C7F" w14:textId="77777777" w:rsidR="00D43497" w:rsidRPr="00B10FAA" w:rsidRDefault="00D43497" w:rsidP="006B1982">
      <w:pPr>
        <w:rPr>
          <w:rFonts w:ascii="Arial" w:hAnsi="Arial" w:cs="Arial"/>
          <w:bCs/>
          <w:sz w:val="20"/>
          <w:szCs w:val="20"/>
        </w:rPr>
      </w:pPr>
    </w:p>
    <w:p w14:paraId="29510E28" w14:textId="77777777" w:rsidR="00FD07FB" w:rsidRDefault="00FD07FB" w:rsidP="006B1982">
      <w:pPr>
        <w:rPr>
          <w:rFonts w:ascii="Arial" w:hAnsi="Arial" w:cs="Arial"/>
          <w:bCs/>
          <w:sz w:val="20"/>
          <w:szCs w:val="20"/>
        </w:rPr>
      </w:pPr>
    </w:p>
    <w:p w14:paraId="6C98F1B4" w14:textId="77777777" w:rsidR="00415FEB" w:rsidRPr="00B10FAA" w:rsidRDefault="00415FEB" w:rsidP="006B1982">
      <w:pPr>
        <w:rPr>
          <w:rFonts w:ascii="Arial" w:hAnsi="Arial" w:cs="Arial"/>
          <w:bCs/>
          <w:sz w:val="20"/>
          <w:szCs w:val="20"/>
        </w:rPr>
      </w:pPr>
    </w:p>
    <w:p w14:paraId="72013D9A" w14:textId="77777777" w:rsidR="00FD07FB" w:rsidRPr="00B10FAA" w:rsidRDefault="00FD07FB" w:rsidP="006B1982">
      <w:pPr>
        <w:rPr>
          <w:rFonts w:ascii="Arial" w:hAnsi="Arial" w:cs="Arial"/>
          <w:bCs/>
          <w:sz w:val="20"/>
          <w:szCs w:val="20"/>
        </w:rPr>
      </w:pPr>
    </w:p>
    <w:p w14:paraId="4226F207" w14:textId="1F1295C0" w:rsidR="000725AE" w:rsidRPr="00B10FAA" w:rsidRDefault="00C368DE" w:rsidP="00C368DE">
      <w:pPr>
        <w:rPr>
          <w:rFonts w:ascii="Arial" w:hAnsi="Arial" w:cs="Arial"/>
          <w:bCs/>
          <w:sz w:val="20"/>
          <w:szCs w:val="20"/>
        </w:rPr>
      </w:pPr>
      <w:r w:rsidRPr="00B10FAA">
        <w:rPr>
          <w:rFonts w:ascii="Arial" w:hAnsi="Arial" w:cs="Arial"/>
          <w:bCs/>
          <w:sz w:val="20"/>
          <w:szCs w:val="20"/>
        </w:rPr>
        <w:t>Each test followed standardised procedures to ensure the data collected was accurate, consistent and fair. Body composition was measured using the InBody bioelectrical impedance analyser. For this assessment, the participant removed their shoes and socks, stood upright on the metal footplates and held the hand electrodes with their arms slightly away from the body. The device then passed a safe, low</w:t>
      </w:r>
      <w:r w:rsidRPr="00B10FAA">
        <w:rPr>
          <w:rFonts w:ascii="Cambria Math" w:hAnsi="Cambria Math" w:cs="Cambria Math"/>
          <w:bCs/>
          <w:sz w:val="20"/>
          <w:szCs w:val="20"/>
        </w:rPr>
        <w:t>‑</w:t>
      </w:r>
      <w:r w:rsidRPr="00B10FAA">
        <w:rPr>
          <w:rFonts w:ascii="Arial" w:hAnsi="Arial" w:cs="Arial"/>
          <w:bCs/>
          <w:sz w:val="20"/>
          <w:szCs w:val="20"/>
        </w:rPr>
        <w:t>level electrical current through the body, allowing it to estimate fat mass, lean mass and muscle distribution (ACSM, 2021). To improve accuracy, the participant was advised to avoid eating, drinking or exercising beforehand, as hydration levels can significantly influence impedance readings.   Cardiovascular fitness was assessed using the Queens College Step Test. This required a 41 cm step, a stopwatch and a metronome to maintain the correct stepping rhythm. The participant stepped at the set pace for three minutes. Immediately after finishing, heart rate was recorded for 15 seconds and multiplied by four to calculate beats per minute. This heart rate recovery value was then used to estimate aerobic capacity, as heart rate recovery is a recognised indicator of cardiovascular efficiency (ACSM, 2021). Keeping the same step height, pace and timing</w:t>
      </w:r>
      <w:r w:rsidR="005416F7">
        <w:rPr>
          <w:rFonts w:ascii="Arial" w:hAnsi="Arial" w:cs="Arial"/>
          <w:bCs/>
          <w:sz w:val="20"/>
          <w:szCs w:val="20"/>
        </w:rPr>
        <w:t xml:space="preserve"> at 96</w:t>
      </w:r>
      <w:r w:rsidR="00BC5BDE">
        <w:rPr>
          <w:rFonts w:ascii="Arial" w:hAnsi="Arial" w:cs="Arial"/>
          <w:bCs/>
          <w:sz w:val="20"/>
          <w:szCs w:val="20"/>
        </w:rPr>
        <w:t xml:space="preserve"> metronome </w:t>
      </w:r>
      <w:r w:rsidR="007F0F20">
        <w:rPr>
          <w:rFonts w:ascii="Arial" w:hAnsi="Arial" w:cs="Arial"/>
          <w:bCs/>
          <w:sz w:val="20"/>
          <w:szCs w:val="20"/>
        </w:rPr>
        <w:t>rates</w:t>
      </w:r>
      <w:r w:rsidRPr="00B10FAA">
        <w:rPr>
          <w:rFonts w:ascii="Arial" w:hAnsi="Arial" w:cs="Arial"/>
          <w:bCs/>
          <w:sz w:val="20"/>
          <w:szCs w:val="20"/>
        </w:rPr>
        <w:t xml:space="preserve"> ensured the test remained fair and comparable. Flexibility was measured using the sit</w:t>
      </w:r>
      <w:r w:rsidRPr="00B10FAA">
        <w:rPr>
          <w:rFonts w:ascii="Cambria Math" w:hAnsi="Cambria Math" w:cs="Cambria Math"/>
          <w:bCs/>
          <w:sz w:val="20"/>
          <w:szCs w:val="20"/>
        </w:rPr>
        <w:t>‑</w:t>
      </w:r>
      <w:r w:rsidRPr="00B10FAA">
        <w:rPr>
          <w:rFonts w:ascii="Arial" w:hAnsi="Arial" w:cs="Arial"/>
          <w:bCs/>
          <w:sz w:val="20"/>
          <w:szCs w:val="20"/>
        </w:rPr>
        <w:t>and</w:t>
      </w:r>
      <w:r w:rsidRPr="00B10FAA">
        <w:rPr>
          <w:rFonts w:ascii="Cambria Math" w:hAnsi="Cambria Math" w:cs="Cambria Math"/>
          <w:bCs/>
          <w:sz w:val="20"/>
          <w:szCs w:val="20"/>
        </w:rPr>
        <w:t>‑</w:t>
      </w:r>
      <w:r w:rsidRPr="00B10FAA">
        <w:rPr>
          <w:rFonts w:ascii="Arial" w:hAnsi="Arial" w:cs="Arial"/>
          <w:bCs/>
          <w:sz w:val="20"/>
          <w:szCs w:val="20"/>
        </w:rPr>
        <w:t>reach test. A sit</w:t>
      </w:r>
      <w:r w:rsidRPr="00B10FAA">
        <w:rPr>
          <w:rFonts w:ascii="Cambria Math" w:hAnsi="Cambria Math" w:cs="Cambria Math"/>
          <w:bCs/>
          <w:sz w:val="20"/>
          <w:szCs w:val="20"/>
        </w:rPr>
        <w:t>‑</w:t>
      </w:r>
      <w:r w:rsidRPr="00B10FAA">
        <w:rPr>
          <w:rFonts w:ascii="Arial" w:hAnsi="Arial" w:cs="Arial"/>
          <w:bCs/>
          <w:sz w:val="20"/>
          <w:szCs w:val="20"/>
        </w:rPr>
        <w:t>and</w:t>
      </w:r>
      <w:r w:rsidRPr="00B10FAA">
        <w:rPr>
          <w:rFonts w:ascii="Cambria Math" w:hAnsi="Cambria Math" w:cs="Cambria Math"/>
          <w:bCs/>
          <w:sz w:val="20"/>
          <w:szCs w:val="20"/>
        </w:rPr>
        <w:t>‑</w:t>
      </w:r>
      <w:r w:rsidRPr="00B10FAA">
        <w:rPr>
          <w:rFonts w:ascii="Arial" w:hAnsi="Arial" w:cs="Arial"/>
          <w:bCs/>
          <w:sz w:val="20"/>
          <w:szCs w:val="20"/>
        </w:rPr>
        <w:t>reach box was placed firmly against a wall, and the participant sat with legs straight, feet flat against the box and hands stacked on top of each other. They reached forward while maintaining correct form, and the distance was recorded in centimetres. Following the same technique and ACSM measurement guidelines helped reduce variability and improve reliability (ACSM, 2021). Muscular endurance was assessed using the push</w:t>
      </w:r>
      <w:r w:rsidRPr="00B10FAA">
        <w:rPr>
          <w:rFonts w:ascii="Cambria Math" w:hAnsi="Cambria Math" w:cs="Cambria Math"/>
          <w:bCs/>
          <w:sz w:val="20"/>
          <w:szCs w:val="20"/>
        </w:rPr>
        <w:t>‑</w:t>
      </w:r>
      <w:r w:rsidRPr="00B10FAA">
        <w:rPr>
          <w:rFonts w:ascii="Arial" w:hAnsi="Arial" w:cs="Arial"/>
          <w:bCs/>
          <w:sz w:val="20"/>
          <w:szCs w:val="20"/>
        </w:rPr>
        <w:t>up test. The participant began in the standard down position with hands under the shoulders, back straight and toes as the pivot point. Repetitions were performed until fatigue or until proper technique could no longer be maintained. Each push</w:t>
      </w:r>
      <w:r w:rsidRPr="00B10FAA">
        <w:rPr>
          <w:rFonts w:ascii="Cambria Math" w:hAnsi="Cambria Math" w:cs="Cambria Math"/>
          <w:bCs/>
          <w:sz w:val="20"/>
          <w:szCs w:val="20"/>
        </w:rPr>
        <w:t>‑</w:t>
      </w:r>
      <w:r w:rsidRPr="00B10FAA">
        <w:rPr>
          <w:rFonts w:ascii="Arial" w:hAnsi="Arial" w:cs="Arial"/>
          <w:bCs/>
          <w:sz w:val="20"/>
          <w:szCs w:val="20"/>
        </w:rPr>
        <w:t>up required full elbow extension at the top and the chin touching the mat at the bottom. The test ended if form broke for more than two repetitions (NSCA, 2016). Grip strength was measured using a handgrip dynamometer. The grip bar was adjusted so the second finger joints sat comfortably on the handle. The participant held the device at thigh level, away from the body, and squeezed maximally without holding their breath. Two attempts were completed on each hand, and the highest score from each side was added together (ACSM, 2021).</w:t>
      </w:r>
    </w:p>
    <w:tbl>
      <w:tblPr>
        <w:tblStyle w:val="TableGrid"/>
        <w:tblpPr w:leftFromText="180" w:rightFromText="180" w:vertAnchor="text" w:horzAnchor="margin" w:tblpY="241"/>
        <w:tblW w:w="0" w:type="auto"/>
        <w:tblLook w:val="04A0" w:firstRow="1" w:lastRow="0" w:firstColumn="1" w:lastColumn="0" w:noHBand="0" w:noVBand="1"/>
      </w:tblPr>
      <w:tblGrid>
        <w:gridCol w:w="2254"/>
        <w:gridCol w:w="2254"/>
        <w:gridCol w:w="2254"/>
        <w:gridCol w:w="2254"/>
      </w:tblGrid>
      <w:tr w:rsidR="00E20ED1" w:rsidRPr="00B10FAA" w14:paraId="5BA4EDD8" w14:textId="77777777" w:rsidTr="00E20ED1">
        <w:tc>
          <w:tcPr>
            <w:tcW w:w="2254" w:type="dxa"/>
          </w:tcPr>
          <w:p w14:paraId="7A3FB7ED" w14:textId="77777777" w:rsidR="00E20ED1" w:rsidRPr="00B10FAA" w:rsidRDefault="00E20ED1" w:rsidP="00E20ED1">
            <w:pPr>
              <w:rPr>
                <w:rFonts w:ascii="Arial" w:hAnsi="Arial" w:cs="Arial"/>
                <w:bCs/>
                <w:sz w:val="20"/>
                <w:szCs w:val="20"/>
              </w:rPr>
            </w:pPr>
            <w:r w:rsidRPr="00B10FAA">
              <w:rPr>
                <w:rFonts w:ascii="Arial" w:hAnsi="Arial" w:cs="Arial"/>
                <w:bCs/>
                <w:sz w:val="20"/>
                <w:szCs w:val="20"/>
              </w:rPr>
              <w:t>assessment</w:t>
            </w:r>
          </w:p>
        </w:tc>
        <w:tc>
          <w:tcPr>
            <w:tcW w:w="2254" w:type="dxa"/>
          </w:tcPr>
          <w:p w14:paraId="797FE91E" w14:textId="77777777" w:rsidR="00E20ED1" w:rsidRPr="00B10FAA" w:rsidRDefault="00E20ED1" w:rsidP="00E20ED1">
            <w:pPr>
              <w:rPr>
                <w:rFonts w:ascii="Arial" w:hAnsi="Arial" w:cs="Arial"/>
                <w:bCs/>
                <w:sz w:val="20"/>
                <w:szCs w:val="20"/>
              </w:rPr>
            </w:pPr>
            <w:r w:rsidRPr="00B10FAA">
              <w:rPr>
                <w:rFonts w:ascii="Arial" w:hAnsi="Arial" w:cs="Arial"/>
                <w:bCs/>
                <w:sz w:val="20"/>
                <w:szCs w:val="20"/>
              </w:rPr>
              <w:t>result</w:t>
            </w:r>
          </w:p>
        </w:tc>
        <w:tc>
          <w:tcPr>
            <w:tcW w:w="2254" w:type="dxa"/>
          </w:tcPr>
          <w:p w14:paraId="3B1F2500" w14:textId="77777777" w:rsidR="00E20ED1" w:rsidRPr="00B10FAA" w:rsidRDefault="00E20ED1" w:rsidP="00E20ED1">
            <w:pPr>
              <w:rPr>
                <w:rFonts w:ascii="Arial" w:hAnsi="Arial" w:cs="Arial"/>
                <w:bCs/>
                <w:sz w:val="20"/>
                <w:szCs w:val="20"/>
              </w:rPr>
            </w:pPr>
            <w:r w:rsidRPr="00B10FAA">
              <w:rPr>
                <w:rFonts w:ascii="Arial" w:hAnsi="Arial" w:cs="Arial"/>
                <w:bCs/>
                <w:sz w:val="20"/>
                <w:szCs w:val="20"/>
              </w:rPr>
              <w:t>Normative data</w:t>
            </w:r>
          </w:p>
        </w:tc>
        <w:tc>
          <w:tcPr>
            <w:tcW w:w="2254" w:type="dxa"/>
          </w:tcPr>
          <w:p w14:paraId="34DB49A4" w14:textId="77777777" w:rsidR="00E20ED1" w:rsidRPr="00B10FAA" w:rsidRDefault="00E20ED1" w:rsidP="00E20ED1">
            <w:pPr>
              <w:rPr>
                <w:rFonts w:ascii="Arial" w:hAnsi="Arial" w:cs="Arial"/>
                <w:bCs/>
                <w:sz w:val="20"/>
                <w:szCs w:val="20"/>
              </w:rPr>
            </w:pPr>
            <w:r w:rsidRPr="00B10FAA">
              <w:rPr>
                <w:rFonts w:ascii="Arial" w:hAnsi="Arial" w:cs="Arial"/>
                <w:bCs/>
                <w:sz w:val="20"/>
                <w:szCs w:val="20"/>
              </w:rPr>
              <w:t>score</w:t>
            </w:r>
          </w:p>
        </w:tc>
      </w:tr>
      <w:tr w:rsidR="00E20ED1" w:rsidRPr="00B10FAA" w14:paraId="3B0AE0E0" w14:textId="77777777" w:rsidTr="00E20ED1">
        <w:trPr>
          <w:trHeight w:val="1002"/>
        </w:trPr>
        <w:tc>
          <w:tcPr>
            <w:tcW w:w="2254" w:type="dxa"/>
          </w:tcPr>
          <w:p w14:paraId="61456C6E" w14:textId="77777777" w:rsidR="00E20ED1" w:rsidRPr="00B10FAA" w:rsidRDefault="00E20ED1" w:rsidP="00E20ED1">
            <w:pPr>
              <w:rPr>
                <w:rFonts w:ascii="Arial" w:hAnsi="Arial" w:cs="Arial"/>
                <w:bCs/>
                <w:sz w:val="20"/>
                <w:szCs w:val="20"/>
              </w:rPr>
            </w:pPr>
            <w:r w:rsidRPr="00B10FAA">
              <w:rPr>
                <w:rFonts w:ascii="Arial" w:hAnsi="Arial" w:cs="Arial"/>
                <w:bCs/>
                <w:sz w:val="20"/>
                <w:szCs w:val="20"/>
              </w:rPr>
              <w:t>Inbody scanner</w:t>
            </w:r>
          </w:p>
        </w:tc>
        <w:tc>
          <w:tcPr>
            <w:tcW w:w="2254" w:type="dxa"/>
          </w:tcPr>
          <w:p w14:paraId="3F5DA68E" w14:textId="77777777" w:rsidR="00E20ED1" w:rsidRPr="00B10FAA" w:rsidRDefault="00E20ED1" w:rsidP="00E20ED1">
            <w:pPr>
              <w:rPr>
                <w:rFonts w:ascii="Arial" w:hAnsi="Arial" w:cs="Arial"/>
                <w:bCs/>
                <w:sz w:val="20"/>
                <w:szCs w:val="20"/>
              </w:rPr>
            </w:pPr>
          </w:p>
          <w:p w14:paraId="06CB7353" w14:textId="77777777" w:rsidR="00E20ED1" w:rsidRPr="00B10FAA" w:rsidRDefault="00E20ED1" w:rsidP="00E20ED1">
            <w:pPr>
              <w:rPr>
                <w:rFonts w:ascii="Arial" w:hAnsi="Arial" w:cs="Arial"/>
                <w:bCs/>
                <w:sz w:val="20"/>
                <w:szCs w:val="20"/>
              </w:rPr>
            </w:pPr>
            <w:r w:rsidRPr="00B10FAA">
              <w:rPr>
                <w:rFonts w:ascii="Arial" w:hAnsi="Arial" w:cs="Arial"/>
                <w:bCs/>
                <w:sz w:val="20"/>
                <w:szCs w:val="20"/>
              </w:rPr>
              <w:t xml:space="preserve"> 7.3% Body fat </w:t>
            </w:r>
          </w:p>
        </w:tc>
        <w:tc>
          <w:tcPr>
            <w:tcW w:w="2254" w:type="dxa"/>
          </w:tcPr>
          <w:p w14:paraId="4613F38B" w14:textId="77777777" w:rsidR="00E20ED1" w:rsidRPr="00B10FAA" w:rsidRDefault="00E20ED1" w:rsidP="00E20ED1">
            <w:pPr>
              <w:rPr>
                <w:rFonts w:ascii="Arial" w:hAnsi="Arial" w:cs="Arial"/>
                <w:bCs/>
                <w:sz w:val="20"/>
                <w:szCs w:val="20"/>
              </w:rPr>
            </w:pPr>
            <w:r w:rsidRPr="00B10FAA">
              <w:rPr>
                <w:rFonts w:ascii="Arial" w:hAnsi="Arial" w:cs="Arial"/>
                <w:bCs/>
                <w:sz w:val="20"/>
                <w:szCs w:val="20"/>
              </w:rPr>
              <w:t>8-18%</w:t>
            </w:r>
          </w:p>
          <w:p w14:paraId="067304C6" w14:textId="77777777" w:rsidR="00E20ED1" w:rsidRPr="00B10FAA" w:rsidRDefault="00E20ED1" w:rsidP="00E20ED1">
            <w:pPr>
              <w:rPr>
                <w:rFonts w:ascii="Arial" w:hAnsi="Arial" w:cs="Arial"/>
                <w:bCs/>
                <w:sz w:val="20"/>
                <w:szCs w:val="20"/>
              </w:rPr>
            </w:pPr>
          </w:p>
        </w:tc>
        <w:tc>
          <w:tcPr>
            <w:tcW w:w="2254" w:type="dxa"/>
          </w:tcPr>
          <w:p w14:paraId="058ADB47" w14:textId="77777777" w:rsidR="00E20ED1" w:rsidRPr="00B10FAA" w:rsidRDefault="00E20ED1" w:rsidP="00E20ED1">
            <w:pPr>
              <w:rPr>
                <w:rFonts w:ascii="Arial" w:hAnsi="Arial" w:cs="Arial"/>
                <w:bCs/>
                <w:sz w:val="20"/>
                <w:szCs w:val="20"/>
              </w:rPr>
            </w:pPr>
            <w:r w:rsidRPr="00B10FAA">
              <w:rPr>
                <w:rFonts w:ascii="Arial" w:hAnsi="Arial" w:cs="Arial"/>
                <w:bCs/>
                <w:sz w:val="20"/>
                <w:szCs w:val="20"/>
              </w:rPr>
              <w:t>athlete</w:t>
            </w:r>
          </w:p>
        </w:tc>
      </w:tr>
      <w:tr w:rsidR="00E20ED1" w:rsidRPr="00B10FAA" w14:paraId="32B0FD9F" w14:textId="77777777" w:rsidTr="00E20ED1">
        <w:trPr>
          <w:trHeight w:val="988"/>
        </w:trPr>
        <w:tc>
          <w:tcPr>
            <w:tcW w:w="2254" w:type="dxa"/>
          </w:tcPr>
          <w:p w14:paraId="2B61C00D" w14:textId="77777777" w:rsidR="00E20ED1" w:rsidRPr="00B10FAA" w:rsidRDefault="00E20ED1" w:rsidP="00E20ED1">
            <w:pPr>
              <w:rPr>
                <w:rFonts w:ascii="Arial" w:hAnsi="Arial" w:cs="Arial"/>
                <w:bCs/>
                <w:sz w:val="20"/>
                <w:szCs w:val="20"/>
              </w:rPr>
            </w:pPr>
            <w:r w:rsidRPr="00B10FAA">
              <w:rPr>
                <w:rFonts w:ascii="Arial" w:hAnsi="Arial" w:cs="Arial"/>
                <w:bCs/>
                <w:sz w:val="20"/>
                <w:szCs w:val="20"/>
              </w:rPr>
              <w:t>Queens college step test</w:t>
            </w:r>
          </w:p>
        </w:tc>
        <w:tc>
          <w:tcPr>
            <w:tcW w:w="2254" w:type="dxa"/>
          </w:tcPr>
          <w:p w14:paraId="601181EC" w14:textId="77777777" w:rsidR="00E20ED1" w:rsidRPr="00B10FAA" w:rsidRDefault="00E20ED1" w:rsidP="00E20ED1">
            <w:pPr>
              <w:rPr>
                <w:rFonts w:ascii="Arial" w:hAnsi="Arial" w:cs="Arial"/>
                <w:bCs/>
                <w:sz w:val="20"/>
                <w:szCs w:val="20"/>
              </w:rPr>
            </w:pPr>
            <w:r w:rsidRPr="00B10FAA">
              <w:rPr>
                <w:rFonts w:ascii="Arial" w:hAnsi="Arial" w:cs="Arial"/>
                <w:bCs/>
                <w:sz w:val="20"/>
                <w:szCs w:val="20"/>
              </w:rPr>
              <w:t>133bpm</w:t>
            </w:r>
          </w:p>
        </w:tc>
        <w:tc>
          <w:tcPr>
            <w:tcW w:w="2254" w:type="dxa"/>
          </w:tcPr>
          <w:p w14:paraId="1AB2145A" w14:textId="77777777" w:rsidR="00E20ED1" w:rsidRPr="00B10FAA" w:rsidRDefault="00E20ED1" w:rsidP="00E20ED1">
            <w:pPr>
              <w:rPr>
                <w:rFonts w:ascii="Arial" w:hAnsi="Arial" w:cs="Arial"/>
                <w:bCs/>
                <w:sz w:val="20"/>
                <w:szCs w:val="20"/>
              </w:rPr>
            </w:pPr>
            <w:r w:rsidRPr="00B10FAA">
              <w:rPr>
                <w:rFonts w:ascii="Arial" w:hAnsi="Arial" w:cs="Arial"/>
                <w:bCs/>
                <w:sz w:val="20"/>
                <w:szCs w:val="20"/>
              </w:rPr>
              <w:t>121-148bpm</w:t>
            </w:r>
          </w:p>
        </w:tc>
        <w:tc>
          <w:tcPr>
            <w:tcW w:w="2254" w:type="dxa"/>
          </w:tcPr>
          <w:p w14:paraId="3CC37D76" w14:textId="77777777" w:rsidR="00E20ED1" w:rsidRPr="00B10FAA" w:rsidRDefault="00E20ED1" w:rsidP="00E20ED1">
            <w:pPr>
              <w:rPr>
                <w:rFonts w:ascii="Arial" w:hAnsi="Arial" w:cs="Arial"/>
                <w:bCs/>
                <w:sz w:val="20"/>
                <w:szCs w:val="20"/>
              </w:rPr>
            </w:pPr>
            <w:r w:rsidRPr="00B10FAA">
              <w:rPr>
                <w:rFonts w:ascii="Arial" w:hAnsi="Arial" w:cs="Arial"/>
                <w:bCs/>
                <w:sz w:val="20"/>
                <w:szCs w:val="20"/>
              </w:rPr>
              <w:t>Above average</w:t>
            </w:r>
          </w:p>
        </w:tc>
      </w:tr>
      <w:tr w:rsidR="00E20ED1" w:rsidRPr="00B10FAA" w14:paraId="723633B1" w14:textId="77777777" w:rsidTr="00E20ED1">
        <w:trPr>
          <w:trHeight w:val="1179"/>
        </w:trPr>
        <w:tc>
          <w:tcPr>
            <w:tcW w:w="2254" w:type="dxa"/>
          </w:tcPr>
          <w:p w14:paraId="4AFE89DD" w14:textId="77777777" w:rsidR="00E20ED1" w:rsidRPr="00B10FAA" w:rsidRDefault="00E20ED1" w:rsidP="00E20ED1">
            <w:pPr>
              <w:rPr>
                <w:rFonts w:ascii="Arial" w:hAnsi="Arial" w:cs="Arial"/>
                <w:bCs/>
                <w:sz w:val="20"/>
                <w:szCs w:val="20"/>
              </w:rPr>
            </w:pPr>
            <w:r w:rsidRPr="00B10FAA">
              <w:rPr>
                <w:rFonts w:ascii="Arial" w:hAnsi="Arial" w:cs="Arial"/>
                <w:bCs/>
                <w:sz w:val="20"/>
                <w:szCs w:val="20"/>
              </w:rPr>
              <w:t>Sit and reach test</w:t>
            </w:r>
          </w:p>
        </w:tc>
        <w:tc>
          <w:tcPr>
            <w:tcW w:w="2254" w:type="dxa"/>
          </w:tcPr>
          <w:p w14:paraId="21FBB99B" w14:textId="77777777" w:rsidR="00E20ED1" w:rsidRPr="00B10FAA" w:rsidRDefault="00E20ED1" w:rsidP="00E20ED1">
            <w:pPr>
              <w:rPr>
                <w:rFonts w:ascii="Arial" w:hAnsi="Arial" w:cs="Arial"/>
                <w:bCs/>
                <w:sz w:val="20"/>
                <w:szCs w:val="20"/>
              </w:rPr>
            </w:pPr>
            <w:r w:rsidRPr="00B10FAA">
              <w:rPr>
                <w:rFonts w:ascii="Arial" w:hAnsi="Arial" w:cs="Arial"/>
                <w:bCs/>
                <w:sz w:val="20"/>
                <w:szCs w:val="20"/>
              </w:rPr>
              <w:t>29cm</w:t>
            </w:r>
          </w:p>
        </w:tc>
        <w:tc>
          <w:tcPr>
            <w:tcW w:w="2254" w:type="dxa"/>
          </w:tcPr>
          <w:p w14:paraId="510C2C60" w14:textId="77777777" w:rsidR="00E20ED1" w:rsidRPr="00B10FAA" w:rsidRDefault="00E20ED1" w:rsidP="00E20ED1">
            <w:pPr>
              <w:rPr>
                <w:rFonts w:ascii="Arial" w:hAnsi="Arial" w:cs="Arial"/>
                <w:bCs/>
                <w:sz w:val="20"/>
                <w:szCs w:val="20"/>
              </w:rPr>
            </w:pPr>
            <w:r w:rsidRPr="00B10FAA">
              <w:rPr>
                <w:rFonts w:ascii="Arial" w:hAnsi="Arial" w:cs="Arial"/>
                <w:bCs/>
                <w:sz w:val="20"/>
                <w:szCs w:val="20"/>
              </w:rPr>
              <w:t>&gt;14cm</w:t>
            </w:r>
          </w:p>
        </w:tc>
        <w:tc>
          <w:tcPr>
            <w:tcW w:w="2254" w:type="dxa"/>
          </w:tcPr>
          <w:p w14:paraId="5B0F3A23" w14:textId="77777777" w:rsidR="00E20ED1" w:rsidRPr="00B10FAA" w:rsidRDefault="00E20ED1" w:rsidP="00E20ED1">
            <w:pPr>
              <w:rPr>
                <w:rFonts w:ascii="Arial" w:hAnsi="Arial" w:cs="Arial"/>
                <w:bCs/>
                <w:sz w:val="20"/>
                <w:szCs w:val="20"/>
              </w:rPr>
            </w:pPr>
            <w:r w:rsidRPr="00B10FAA">
              <w:rPr>
                <w:rFonts w:ascii="Arial" w:hAnsi="Arial" w:cs="Arial"/>
                <w:bCs/>
                <w:sz w:val="20"/>
                <w:szCs w:val="20"/>
              </w:rPr>
              <w:t>excellent</w:t>
            </w:r>
          </w:p>
        </w:tc>
      </w:tr>
      <w:tr w:rsidR="00E20ED1" w:rsidRPr="00B10FAA" w14:paraId="5C01850D" w14:textId="77777777" w:rsidTr="00E20ED1">
        <w:trPr>
          <w:trHeight w:val="488"/>
        </w:trPr>
        <w:tc>
          <w:tcPr>
            <w:tcW w:w="2254" w:type="dxa"/>
          </w:tcPr>
          <w:p w14:paraId="246A0B7B" w14:textId="77777777" w:rsidR="00E20ED1" w:rsidRPr="00B10FAA" w:rsidRDefault="00E20ED1" w:rsidP="00E20ED1">
            <w:pPr>
              <w:rPr>
                <w:rFonts w:ascii="Arial" w:hAnsi="Arial" w:cs="Arial"/>
                <w:bCs/>
                <w:sz w:val="20"/>
                <w:szCs w:val="20"/>
              </w:rPr>
            </w:pPr>
            <w:r w:rsidRPr="00B10FAA">
              <w:rPr>
                <w:rFonts w:ascii="Arial" w:hAnsi="Arial" w:cs="Arial"/>
                <w:bCs/>
                <w:sz w:val="20"/>
                <w:szCs w:val="20"/>
              </w:rPr>
              <w:t xml:space="preserve">Push up test </w:t>
            </w:r>
          </w:p>
        </w:tc>
        <w:tc>
          <w:tcPr>
            <w:tcW w:w="2254" w:type="dxa"/>
          </w:tcPr>
          <w:p w14:paraId="13474308" w14:textId="77777777" w:rsidR="00E20ED1" w:rsidRPr="00B10FAA" w:rsidRDefault="00E20ED1" w:rsidP="00E20ED1">
            <w:pPr>
              <w:rPr>
                <w:rFonts w:ascii="Arial" w:hAnsi="Arial" w:cs="Arial"/>
                <w:bCs/>
                <w:sz w:val="20"/>
                <w:szCs w:val="20"/>
              </w:rPr>
            </w:pPr>
            <w:r w:rsidRPr="00B10FAA">
              <w:rPr>
                <w:rFonts w:ascii="Arial" w:hAnsi="Arial" w:cs="Arial"/>
                <w:bCs/>
                <w:sz w:val="20"/>
                <w:szCs w:val="20"/>
              </w:rPr>
              <w:t>50</w:t>
            </w:r>
          </w:p>
        </w:tc>
        <w:tc>
          <w:tcPr>
            <w:tcW w:w="2254" w:type="dxa"/>
          </w:tcPr>
          <w:p w14:paraId="2FE3391D" w14:textId="77777777" w:rsidR="00E20ED1" w:rsidRPr="00B10FAA" w:rsidRDefault="00E20ED1" w:rsidP="00E20ED1">
            <w:pPr>
              <w:rPr>
                <w:rFonts w:ascii="Arial" w:hAnsi="Arial" w:cs="Arial"/>
                <w:bCs/>
                <w:sz w:val="20"/>
                <w:szCs w:val="20"/>
              </w:rPr>
            </w:pPr>
            <w:r w:rsidRPr="00B10FAA">
              <w:rPr>
                <w:rFonts w:ascii="Arial" w:hAnsi="Arial" w:cs="Arial"/>
                <w:bCs/>
                <w:sz w:val="20"/>
                <w:szCs w:val="20"/>
              </w:rPr>
              <w:t>47-56</w:t>
            </w:r>
          </w:p>
        </w:tc>
        <w:tc>
          <w:tcPr>
            <w:tcW w:w="2254" w:type="dxa"/>
          </w:tcPr>
          <w:p w14:paraId="3B12D1A5" w14:textId="77777777" w:rsidR="00E20ED1" w:rsidRPr="00B10FAA" w:rsidRDefault="00E20ED1" w:rsidP="00E20ED1">
            <w:pPr>
              <w:rPr>
                <w:rFonts w:ascii="Arial" w:hAnsi="Arial" w:cs="Arial"/>
                <w:bCs/>
                <w:sz w:val="20"/>
                <w:szCs w:val="20"/>
              </w:rPr>
            </w:pPr>
            <w:r w:rsidRPr="00B10FAA">
              <w:rPr>
                <w:rFonts w:ascii="Arial" w:hAnsi="Arial" w:cs="Arial"/>
                <w:bCs/>
                <w:sz w:val="20"/>
                <w:szCs w:val="20"/>
              </w:rPr>
              <w:t>good</w:t>
            </w:r>
          </w:p>
        </w:tc>
      </w:tr>
      <w:tr w:rsidR="00E20ED1" w:rsidRPr="00B10FAA" w14:paraId="1407F3D5" w14:textId="77777777" w:rsidTr="00E20ED1">
        <w:tc>
          <w:tcPr>
            <w:tcW w:w="2254" w:type="dxa"/>
          </w:tcPr>
          <w:p w14:paraId="415A22F5" w14:textId="77777777" w:rsidR="00E20ED1" w:rsidRPr="00B10FAA" w:rsidRDefault="00E20ED1" w:rsidP="00E20ED1">
            <w:pPr>
              <w:rPr>
                <w:rFonts w:ascii="Arial" w:hAnsi="Arial" w:cs="Arial"/>
                <w:bCs/>
                <w:sz w:val="20"/>
                <w:szCs w:val="20"/>
              </w:rPr>
            </w:pPr>
            <w:r w:rsidRPr="00B10FAA">
              <w:rPr>
                <w:rFonts w:ascii="Arial" w:hAnsi="Arial" w:cs="Arial"/>
                <w:bCs/>
                <w:sz w:val="20"/>
                <w:szCs w:val="20"/>
              </w:rPr>
              <w:t xml:space="preserve">Hand grip dynamometer best score </w:t>
            </w:r>
          </w:p>
        </w:tc>
        <w:tc>
          <w:tcPr>
            <w:tcW w:w="2254" w:type="dxa"/>
          </w:tcPr>
          <w:p w14:paraId="39FBE5AC" w14:textId="77777777" w:rsidR="00E20ED1" w:rsidRPr="00B10FAA" w:rsidRDefault="00E20ED1" w:rsidP="00E20ED1">
            <w:pPr>
              <w:rPr>
                <w:rFonts w:ascii="Arial" w:hAnsi="Arial" w:cs="Arial"/>
                <w:bCs/>
                <w:sz w:val="20"/>
                <w:szCs w:val="20"/>
              </w:rPr>
            </w:pPr>
            <w:r w:rsidRPr="00B10FAA">
              <w:rPr>
                <w:rFonts w:ascii="Arial" w:hAnsi="Arial" w:cs="Arial"/>
                <w:bCs/>
                <w:sz w:val="20"/>
                <w:szCs w:val="20"/>
              </w:rPr>
              <w:t>40.1kg</w:t>
            </w:r>
          </w:p>
        </w:tc>
        <w:tc>
          <w:tcPr>
            <w:tcW w:w="2254" w:type="dxa"/>
          </w:tcPr>
          <w:p w14:paraId="0FA6DB11" w14:textId="77777777" w:rsidR="00E20ED1" w:rsidRPr="00B10FAA" w:rsidRDefault="00E20ED1" w:rsidP="00E20ED1">
            <w:pPr>
              <w:rPr>
                <w:rFonts w:ascii="Arial" w:hAnsi="Arial" w:cs="Arial"/>
                <w:bCs/>
                <w:sz w:val="20"/>
                <w:szCs w:val="20"/>
              </w:rPr>
            </w:pPr>
            <w:r w:rsidRPr="00B10FAA">
              <w:rPr>
                <w:rFonts w:ascii="Arial" w:hAnsi="Arial" w:cs="Arial"/>
                <w:bCs/>
                <w:sz w:val="20"/>
                <w:szCs w:val="20"/>
              </w:rPr>
              <w:t>39-44kg</w:t>
            </w:r>
          </w:p>
        </w:tc>
        <w:tc>
          <w:tcPr>
            <w:tcW w:w="2254" w:type="dxa"/>
          </w:tcPr>
          <w:p w14:paraId="0F2EDE04" w14:textId="77777777" w:rsidR="00E20ED1" w:rsidRPr="00B10FAA" w:rsidRDefault="00E20ED1" w:rsidP="00E20ED1">
            <w:pPr>
              <w:rPr>
                <w:rFonts w:ascii="Arial" w:hAnsi="Arial" w:cs="Arial"/>
                <w:bCs/>
                <w:sz w:val="20"/>
                <w:szCs w:val="20"/>
              </w:rPr>
            </w:pPr>
            <w:r w:rsidRPr="00B10FAA">
              <w:rPr>
                <w:rFonts w:ascii="Arial" w:hAnsi="Arial" w:cs="Arial"/>
                <w:bCs/>
                <w:sz w:val="20"/>
                <w:szCs w:val="20"/>
              </w:rPr>
              <w:t>fair</w:t>
            </w:r>
          </w:p>
        </w:tc>
      </w:tr>
    </w:tbl>
    <w:p w14:paraId="677C0482" w14:textId="77777777" w:rsidR="00C368DE" w:rsidRPr="00B10FAA" w:rsidRDefault="00C368DE">
      <w:pPr>
        <w:rPr>
          <w:rFonts w:ascii="Arial" w:hAnsi="Arial" w:cs="Arial"/>
          <w:bCs/>
          <w:sz w:val="20"/>
          <w:szCs w:val="20"/>
        </w:rPr>
      </w:pPr>
    </w:p>
    <w:p w14:paraId="10B640B5" w14:textId="77777777" w:rsidR="00C368DE" w:rsidRPr="00B10FAA" w:rsidRDefault="00C368DE">
      <w:pPr>
        <w:rPr>
          <w:rFonts w:ascii="Arial" w:hAnsi="Arial" w:cs="Arial"/>
          <w:bCs/>
          <w:sz w:val="20"/>
          <w:szCs w:val="20"/>
        </w:rPr>
      </w:pPr>
    </w:p>
    <w:p w14:paraId="04AACA45" w14:textId="77777777" w:rsidR="00B3494B" w:rsidRPr="00B10FAA" w:rsidRDefault="00B3494B">
      <w:pPr>
        <w:rPr>
          <w:rFonts w:ascii="Arial" w:hAnsi="Arial" w:cs="Arial"/>
          <w:bCs/>
          <w:sz w:val="20"/>
          <w:szCs w:val="20"/>
        </w:rPr>
      </w:pPr>
    </w:p>
    <w:p w14:paraId="638D5361" w14:textId="77777777" w:rsidR="00415FEB" w:rsidRDefault="00415FEB" w:rsidP="003F1546">
      <w:pPr>
        <w:rPr>
          <w:rFonts w:ascii="Arial" w:hAnsi="Arial" w:cs="Arial"/>
          <w:bCs/>
          <w:sz w:val="20"/>
          <w:szCs w:val="20"/>
        </w:rPr>
      </w:pPr>
    </w:p>
    <w:p w14:paraId="54342DCE" w14:textId="427D7F66" w:rsidR="00B3494B" w:rsidRPr="00B10FAA" w:rsidRDefault="003F1546" w:rsidP="003F1546">
      <w:pPr>
        <w:rPr>
          <w:rFonts w:ascii="Arial" w:hAnsi="Arial" w:cs="Arial"/>
          <w:bCs/>
          <w:sz w:val="20"/>
          <w:szCs w:val="20"/>
        </w:rPr>
      </w:pPr>
      <w:r w:rsidRPr="00B10FAA">
        <w:rPr>
          <w:rFonts w:ascii="Arial" w:hAnsi="Arial" w:cs="Arial"/>
          <w:bCs/>
          <w:sz w:val="20"/>
          <w:szCs w:val="20"/>
        </w:rPr>
        <w:t>The subject’s body composition was measured using the InBody scanner, which showed a body fat percentage of 7.3%. This sits just below the normative male range of 8–18%, indicating a very lean physique with a high proportion of fat</w:t>
      </w:r>
      <w:r w:rsidRPr="00B10FAA">
        <w:rPr>
          <w:rFonts w:ascii="Cambria Math" w:hAnsi="Cambria Math" w:cs="Cambria Math"/>
          <w:bCs/>
          <w:sz w:val="20"/>
          <w:szCs w:val="20"/>
        </w:rPr>
        <w:t>‑</w:t>
      </w:r>
      <w:r w:rsidRPr="00B10FAA">
        <w:rPr>
          <w:rFonts w:ascii="Arial" w:hAnsi="Arial" w:cs="Arial"/>
          <w:bCs/>
          <w:sz w:val="20"/>
          <w:szCs w:val="20"/>
        </w:rPr>
        <w:t xml:space="preserve">free mass. Such results are typically seen in individuals who train regularly and maintain consistent nutrition and activity habits. While low body fat can support performance, </w:t>
      </w:r>
      <w:r w:rsidR="00486A57">
        <w:rPr>
          <w:rFonts w:ascii="Arial" w:hAnsi="Arial" w:cs="Arial"/>
          <w:bCs/>
          <w:sz w:val="20"/>
          <w:szCs w:val="20"/>
        </w:rPr>
        <w:t>levels must remain</w:t>
      </w:r>
      <w:r w:rsidRPr="00B10FAA">
        <w:rPr>
          <w:rFonts w:ascii="Arial" w:hAnsi="Arial" w:cs="Arial"/>
          <w:bCs/>
          <w:sz w:val="20"/>
          <w:szCs w:val="20"/>
        </w:rPr>
        <w:t xml:space="preserve"> stable, as excessively low values may affect energy availability and recovery (ACSM, 2021).</w:t>
      </w:r>
      <w:r w:rsidR="00C12EF5" w:rsidRPr="00B10FAA">
        <w:rPr>
          <w:rFonts w:ascii="Arial" w:hAnsi="Arial" w:cs="Arial"/>
          <w:bCs/>
          <w:sz w:val="20"/>
          <w:szCs w:val="20"/>
        </w:rPr>
        <w:t xml:space="preserve"> </w:t>
      </w:r>
      <w:r w:rsidRPr="00B10FAA">
        <w:rPr>
          <w:rFonts w:ascii="Arial" w:hAnsi="Arial" w:cs="Arial"/>
          <w:bCs/>
          <w:sz w:val="20"/>
          <w:szCs w:val="20"/>
        </w:rPr>
        <w:t xml:space="preserve">Cardiovascular fitness was assessed using the Queens College Step Test. The participant recorded a recovery heart rate of 133 bpm after </w:t>
      </w:r>
      <w:r w:rsidR="00BA0110">
        <w:rPr>
          <w:rFonts w:ascii="Arial" w:hAnsi="Arial" w:cs="Arial"/>
          <w:bCs/>
          <w:sz w:val="20"/>
          <w:szCs w:val="20"/>
        </w:rPr>
        <w:t>5 seconds</w:t>
      </w:r>
      <w:r w:rsidRPr="00B10FAA">
        <w:rPr>
          <w:rFonts w:ascii="Arial" w:hAnsi="Arial" w:cs="Arial"/>
          <w:bCs/>
          <w:sz w:val="20"/>
          <w:szCs w:val="20"/>
        </w:rPr>
        <w:t>. This score falls into the above</w:t>
      </w:r>
      <w:r w:rsidRPr="00B10FAA">
        <w:rPr>
          <w:rFonts w:ascii="Cambria Math" w:hAnsi="Cambria Math" w:cs="Cambria Math"/>
          <w:bCs/>
          <w:sz w:val="20"/>
          <w:szCs w:val="20"/>
        </w:rPr>
        <w:t>‑</w:t>
      </w:r>
      <w:r w:rsidRPr="00B10FAA">
        <w:rPr>
          <w:rFonts w:ascii="Arial" w:hAnsi="Arial" w:cs="Arial"/>
          <w:bCs/>
          <w:sz w:val="20"/>
          <w:szCs w:val="20"/>
        </w:rPr>
        <w:t>average category when compared to normative data, suggesting efficient cardiovascular recovery and strong aerobic capacity. Faster heart rate recovery is associated with better cardiovascular health and a reduced long</w:t>
      </w:r>
      <w:r w:rsidRPr="00B10FAA">
        <w:rPr>
          <w:rFonts w:ascii="Cambria Math" w:hAnsi="Cambria Math" w:cs="Cambria Math"/>
          <w:bCs/>
          <w:sz w:val="20"/>
          <w:szCs w:val="20"/>
        </w:rPr>
        <w:t>‑</w:t>
      </w:r>
      <w:r w:rsidRPr="00B10FAA">
        <w:rPr>
          <w:rFonts w:ascii="Arial" w:hAnsi="Arial" w:cs="Arial"/>
          <w:bCs/>
          <w:sz w:val="20"/>
          <w:szCs w:val="20"/>
        </w:rPr>
        <w:t>term risk of heart disease (ACSM, 2021).</w:t>
      </w:r>
      <w:r w:rsidR="00C12EF5" w:rsidRPr="00B10FAA">
        <w:rPr>
          <w:rFonts w:ascii="Arial" w:hAnsi="Arial" w:cs="Arial"/>
          <w:bCs/>
          <w:sz w:val="20"/>
          <w:szCs w:val="20"/>
        </w:rPr>
        <w:t xml:space="preserve"> </w:t>
      </w:r>
      <w:r w:rsidRPr="00B10FAA">
        <w:rPr>
          <w:rFonts w:ascii="Arial" w:hAnsi="Arial" w:cs="Arial"/>
          <w:bCs/>
          <w:sz w:val="20"/>
          <w:szCs w:val="20"/>
        </w:rPr>
        <w:t>Flexibility was evaluated using the sit</w:t>
      </w:r>
      <w:r w:rsidRPr="00B10FAA">
        <w:rPr>
          <w:rFonts w:ascii="Cambria Math" w:hAnsi="Cambria Math" w:cs="Cambria Math"/>
          <w:bCs/>
          <w:sz w:val="20"/>
          <w:szCs w:val="20"/>
        </w:rPr>
        <w:t>‑</w:t>
      </w:r>
      <w:r w:rsidRPr="00B10FAA">
        <w:rPr>
          <w:rFonts w:ascii="Arial" w:hAnsi="Arial" w:cs="Arial"/>
          <w:bCs/>
          <w:sz w:val="20"/>
          <w:szCs w:val="20"/>
        </w:rPr>
        <w:t>and</w:t>
      </w:r>
      <w:r w:rsidRPr="00B10FAA">
        <w:rPr>
          <w:rFonts w:ascii="Cambria Math" w:hAnsi="Cambria Math" w:cs="Cambria Math"/>
          <w:bCs/>
          <w:sz w:val="20"/>
          <w:szCs w:val="20"/>
        </w:rPr>
        <w:t>‑</w:t>
      </w:r>
      <w:r w:rsidRPr="00B10FAA">
        <w:rPr>
          <w:rFonts w:ascii="Arial" w:hAnsi="Arial" w:cs="Arial"/>
          <w:bCs/>
          <w:sz w:val="20"/>
          <w:szCs w:val="20"/>
        </w:rPr>
        <w:t>reach test, where the participant achieved 29 cm, well above the benchmark of 14 cm. This demonstrates excellent hamstring and lower</w:t>
      </w:r>
      <w:r w:rsidRPr="00B10FAA">
        <w:rPr>
          <w:rFonts w:ascii="Cambria Math" w:hAnsi="Cambria Math" w:cs="Cambria Math"/>
          <w:bCs/>
          <w:sz w:val="20"/>
          <w:szCs w:val="20"/>
        </w:rPr>
        <w:t>‑</w:t>
      </w:r>
      <w:r w:rsidRPr="00B10FAA">
        <w:rPr>
          <w:rFonts w:ascii="Arial" w:hAnsi="Arial" w:cs="Arial"/>
          <w:bCs/>
          <w:sz w:val="20"/>
          <w:szCs w:val="20"/>
        </w:rPr>
        <w:t>back flexibility. High flexibility in these areas can reduce the risk of strains, improve posture and enhance movement efficiency during functional tasks such as bending, lifting and reaching. Good flexibility also supports better technique in resistance training and sport</w:t>
      </w:r>
      <w:r w:rsidRPr="00B10FAA">
        <w:rPr>
          <w:rFonts w:ascii="Cambria Math" w:hAnsi="Cambria Math" w:cs="Cambria Math"/>
          <w:bCs/>
          <w:sz w:val="20"/>
          <w:szCs w:val="20"/>
        </w:rPr>
        <w:t>‑</w:t>
      </w:r>
      <w:r w:rsidRPr="00B10FAA">
        <w:rPr>
          <w:rFonts w:ascii="Arial" w:hAnsi="Arial" w:cs="Arial"/>
          <w:bCs/>
          <w:sz w:val="20"/>
          <w:szCs w:val="20"/>
        </w:rPr>
        <w:t>specific movements (ACSM, 2021).</w:t>
      </w:r>
      <w:r w:rsidR="00C12EF5" w:rsidRPr="00B10FAA">
        <w:rPr>
          <w:rFonts w:ascii="Arial" w:hAnsi="Arial" w:cs="Arial"/>
          <w:bCs/>
          <w:sz w:val="20"/>
          <w:szCs w:val="20"/>
        </w:rPr>
        <w:t xml:space="preserve"> </w:t>
      </w:r>
      <w:r w:rsidRPr="00B10FAA">
        <w:rPr>
          <w:rFonts w:ascii="Arial" w:hAnsi="Arial" w:cs="Arial"/>
          <w:bCs/>
          <w:sz w:val="20"/>
          <w:szCs w:val="20"/>
        </w:rPr>
        <w:t>Muscular endurance was assessed using the push</w:t>
      </w:r>
      <w:r w:rsidRPr="00B10FAA">
        <w:rPr>
          <w:rFonts w:ascii="Cambria Math" w:hAnsi="Cambria Math" w:cs="Cambria Math"/>
          <w:bCs/>
          <w:sz w:val="20"/>
          <w:szCs w:val="20"/>
        </w:rPr>
        <w:t>‑</w:t>
      </w:r>
      <w:r w:rsidRPr="00B10FAA">
        <w:rPr>
          <w:rFonts w:ascii="Arial" w:hAnsi="Arial" w:cs="Arial"/>
          <w:bCs/>
          <w:sz w:val="20"/>
          <w:szCs w:val="20"/>
        </w:rPr>
        <w:t>up test. The participant completed 50 strict repetitions, placing them in the good range compared to normative values. This indicates strong endurance in the chest, shoulders and triceps. High muscular endurance helps reduce fatigue during repeated or sustained activities and supports overall physical performance in both daily life and structured training (NSCA, 2016).</w:t>
      </w:r>
      <w:r w:rsidR="00C12EF5" w:rsidRPr="00B10FAA">
        <w:rPr>
          <w:rFonts w:ascii="Arial" w:hAnsi="Arial" w:cs="Arial"/>
          <w:bCs/>
          <w:sz w:val="20"/>
          <w:szCs w:val="20"/>
        </w:rPr>
        <w:t xml:space="preserve"> </w:t>
      </w:r>
      <w:r w:rsidRPr="00B10FAA">
        <w:rPr>
          <w:rFonts w:ascii="Arial" w:hAnsi="Arial" w:cs="Arial"/>
          <w:bCs/>
          <w:sz w:val="20"/>
          <w:szCs w:val="20"/>
        </w:rPr>
        <w:t>Grip strength was measured using a handgrip dynamometer, where the participant achieved a fair score of 40.1 kg. This was the only area that appeared as a relative weakness compared to the other assessments. Grip strength is important for lifting, carrying and many functional tasks, so improving this area would help create a more balanced and well</w:t>
      </w:r>
      <w:r w:rsidRPr="00B10FAA">
        <w:rPr>
          <w:rFonts w:ascii="Cambria Math" w:hAnsi="Cambria Math" w:cs="Cambria Math"/>
          <w:bCs/>
          <w:sz w:val="20"/>
          <w:szCs w:val="20"/>
        </w:rPr>
        <w:t>‑</w:t>
      </w:r>
      <w:r w:rsidRPr="00B10FAA">
        <w:rPr>
          <w:rFonts w:ascii="Arial" w:hAnsi="Arial" w:cs="Arial"/>
          <w:bCs/>
          <w:sz w:val="20"/>
          <w:szCs w:val="20"/>
        </w:rPr>
        <w:t>rounded fitness profile (ACSM, 2021).</w:t>
      </w:r>
    </w:p>
    <w:p w14:paraId="304EC011" w14:textId="77777777" w:rsidR="00B3494B" w:rsidRPr="00B10FAA" w:rsidRDefault="00B3494B">
      <w:pPr>
        <w:rPr>
          <w:rFonts w:ascii="Arial" w:hAnsi="Arial" w:cs="Arial"/>
          <w:bCs/>
          <w:sz w:val="20"/>
          <w:szCs w:val="20"/>
        </w:rPr>
      </w:pPr>
    </w:p>
    <w:p w14:paraId="400333CA" w14:textId="4E644921" w:rsidR="003F1546" w:rsidRPr="00B10FAA" w:rsidRDefault="00486A57" w:rsidP="006C5EF9">
      <w:pPr>
        <w:rPr>
          <w:rFonts w:ascii="Arial" w:hAnsi="Arial" w:cs="Arial"/>
          <w:bCs/>
          <w:sz w:val="20"/>
          <w:szCs w:val="20"/>
        </w:rPr>
      </w:pPr>
      <w:r>
        <w:rPr>
          <w:rFonts w:ascii="Arial" w:hAnsi="Arial" w:cs="Arial"/>
          <w:bCs/>
          <w:sz w:val="20"/>
          <w:szCs w:val="20"/>
        </w:rPr>
        <w:t>Based</w:t>
      </w:r>
      <w:r w:rsidR="006C5EF9" w:rsidRPr="00B10FAA">
        <w:rPr>
          <w:rFonts w:ascii="Arial" w:hAnsi="Arial" w:cs="Arial"/>
          <w:bCs/>
          <w:sz w:val="20"/>
          <w:szCs w:val="20"/>
        </w:rPr>
        <w:t xml:space="preserve"> on the assessment results, the participant has demonstrated strong overall fitness across the key components tested, with clear strengths in flexibility, aerobic capacity, muscular endurance and body composition. To maintain these positive areas, it is recommended that the individual continues regular cardiovascular training such as running, cycling or interval</w:t>
      </w:r>
      <w:r w:rsidR="006C5EF9" w:rsidRPr="00B10FAA">
        <w:rPr>
          <w:rFonts w:ascii="Cambria Math" w:hAnsi="Cambria Math" w:cs="Cambria Math"/>
          <w:bCs/>
          <w:sz w:val="20"/>
          <w:szCs w:val="20"/>
        </w:rPr>
        <w:t>‑</w:t>
      </w:r>
      <w:r w:rsidR="006C5EF9" w:rsidRPr="00B10FAA">
        <w:rPr>
          <w:rFonts w:ascii="Arial" w:hAnsi="Arial" w:cs="Arial"/>
          <w:bCs/>
          <w:sz w:val="20"/>
          <w:szCs w:val="20"/>
        </w:rPr>
        <w:t>based sessions 3–4 times per week (ACSM, 2021). This will help sustain their above</w:t>
      </w:r>
      <w:r w:rsidR="006C5EF9" w:rsidRPr="00B10FAA">
        <w:rPr>
          <w:rFonts w:ascii="Cambria Math" w:hAnsi="Cambria Math" w:cs="Cambria Math"/>
          <w:bCs/>
          <w:sz w:val="20"/>
          <w:szCs w:val="20"/>
        </w:rPr>
        <w:t>‑</w:t>
      </w:r>
      <w:r w:rsidR="006C5EF9" w:rsidRPr="00B10FAA">
        <w:rPr>
          <w:rFonts w:ascii="Arial" w:hAnsi="Arial" w:cs="Arial"/>
          <w:bCs/>
          <w:sz w:val="20"/>
          <w:szCs w:val="20"/>
        </w:rPr>
        <w:t>average aerobic fitness and support long</w:t>
      </w:r>
      <w:r w:rsidR="006C5EF9" w:rsidRPr="00B10FAA">
        <w:rPr>
          <w:rFonts w:ascii="Cambria Math" w:hAnsi="Cambria Math" w:cs="Cambria Math"/>
          <w:bCs/>
          <w:sz w:val="20"/>
          <w:szCs w:val="20"/>
        </w:rPr>
        <w:t>‑</w:t>
      </w:r>
      <w:r w:rsidR="006C5EF9" w:rsidRPr="00B10FAA">
        <w:rPr>
          <w:rFonts w:ascii="Arial" w:hAnsi="Arial" w:cs="Arial"/>
          <w:bCs/>
          <w:sz w:val="20"/>
          <w:szCs w:val="20"/>
        </w:rPr>
        <w:t>term heart health. Flexibility should also be maintained through consistent stretching and mobility work before and after training to preserve or further improve the sit</w:t>
      </w:r>
      <w:r w:rsidR="006C5EF9" w:rsidRPr="00B10FAA">
        <w:rPr>
          <w:rFonts w:ascii="Cambria Math" w:hAnsi="Cambria Math" w:cs="Cambria Math"/>
          <w:bCs/>
          <w:sz w:val="20"/>
          <w:szCs w:val="20"/>
        </w:rPr>
        <w:t>‑</w:t>
      </w:r>
      <w:r w:rsidR="006C5EF9" w:rsidRPr="00B10FAA">
        <w:rPr>
          <w:rFonts w:ascii="Arial" w:hAnsi="Arial" w:cs="Arial"/>
          <w:bCs/>
          <w:sz w:val="20"/>
          <w:szCs w:val="20"/>
        </w:rPr>
        <w:t>and</w:t>
      </w:r>
      <w:r w:rsidR="006C5EF9" w:rsidRPr="00B10FAA">
        <w:rPr>
          <w:rFonts w:ascii="Cambria Math" w:hAnsi="Cambria Math" w:cs="Cambria Math"/>
          <w:bCs/>
          <w:sz w:val="20"/>
          <w:szCs w:val="20"/>
        </w:rPr>
        <w:t>‑</w:t>
      </w:r>
      <w:r w:rsidR="006C5EF9" w:rsidRPr="00B10FAA">
        <w:rPr>
          <w:rFonts w:ascii="Arial" w:hAnsi="Arial" w:cs="Arial"/>
          <w:bCs/>
          <w:sz w:val="20"/>
          <w:szCs w:val="20"/>
        </w:rPr>
        <w:t>reach score. The main area identified for improvement is grip strength, which was noticeably lower than the other test results. To address this, grip</w:t>
      </w:r>
      <w:r w:rsidR="006C5EF9" w:rsidRPr="00B10FAA">
        <w:rPr>
          <w:rFonts w:ascii="Cambria Math" w:hAnsi="Cambria Math" w:cs="Cambria Math"/>
          <w:bCs/>
          <w:sz w:val="20"/>
          <w:szCs w:val="20"/>
        </w:rPr>
        <w:t>‑</w:t>
      </w:r>
      <w:r w:rsidR="006C5EF9" w:rsidRPr="00B10FAA">
        <w:rPr>
          <w:rFonts w:ascii="Arial" w:hAnsi="Arial" w:cs="Arial"/>
          <w:bCs/>
          <w:sz w:val="20"/>
          <w:szCs w:val="20"/>
        </w:rPr>
        <w:t>specific exercises such as farmer’s walks, dead hangs and resistance</w:t>
      </w:r>
      <w:r w:rsidR="006C5EF9" w:rsidRPr="00B10FAA">
        <w:rPr>
          <w:rFonts w:ascii="Cambria Math" w:hAnsi="Cambria Math" w:cs="Cambria Math"/>
          <w:bCs/>
          <w:sz w:val="20"/>
          <w:szCs w:val="20"/>
        </w:rPr>
        <w:t>‑</w:t>
      </w:r>
      <w:r w:rsidR="006C5EF9" w:rsidRPr="00B10FAA">
        <w:rPr>
          <w:rFonts w:ascii="Arial" w:hAnsi="Arial" w:cs="Arial"/>
          <w:bCs/>
          <w:sz w:val="20"/>
          <w:szCs w:val="20"/>
        </w:rPr>
        <w:t>based forearm work should be included 2–3 times per week (Haff &amp; Triplett, 2016). Improving grip strength will support overall functional performance and make it easier to handle heavier loads during resistance training. General strength training should also continue to maintain muscular endurance and support healthy body composition. A balanced programme including compound lifts such as squats, deadlifts, bench press and rowing variations performed 2–3 times per week (Haff &amp; Triplett, 2016) would be beneficial. Alongside training, maintaining a balanced diet, staying hydrated and prioritising good sleep will further support physical and mental wellbeing.</w:t>
      </w:r>
    </w:p>
    <w:p w14:paraId="1E83CF23" w14:textId="77777777" w:rsidR="00B3494B" w:rsidRPr="00B10FAA" w:rsidRDefault="00B3494B">
      <w:pPr>
        <w:rPr>
          <w:rFonts w:ascii="Arial" w:hAnsi="Arial" w:cs="Arial"/>
          <w:bCs/>
          <w:sz w:val="20"/>
          <w:szCs w:val="20"/>
        </w:rPr>
      </w:pPr>
    </w:p>
    <w:p w14:paraId="532B7F92" w14:textId="77777777" w:rsidR="00B3494B" w:rsidRPr="00B10FAA" w:rsidRDefault="00B3494B">
      <w:pPr>
        <w:rPr>
          <w:rFonts w:ascii="Arial" w:hAnsi="Arial" w:cs="Arial"/>
          <w:bCs/>
          <w:sz w:val="20"/>
          <w:szCs w:val="20"/>
        </w:rPr>
      </w:pPr>
    </w:p>
    <w:p w14:paraId="3C909F89" w14:textId="77777777" w:rsidR="00B3494B" w:rsidRPr="00B10FAA" w:rsidRDefault="00B3494B">
      <w:pPr>
        <w:rPr>
          <w:rFonts w:ascii="Arial" w:hAnsi="Arial" w:cs="Arial"/>
          <w:bCs/>
          <w:sz w:val="20"/>
          <w:szCs w:val="20"/>
        </w:rPr>
      </w:pPr>
    </w:p>
    <w:p w14:paraId="08DDD4C1" w14:textId="77777777" w:rsidR="0015763A" w:rsidRPr="00B10FAA" w:rsidRDefault="0015763A">
      <w:pPr>
        <w:rPr>
          <w:rFonts w:ascii="Arial" w:hAnsi="Arial" w:cs="Arial"/>
          <w:bCs/>
          <w:sz w:val="20"/>
          <w:szCs w:val="20"/>
        </w:rPr>
      </w:pPr>
    </w:p>
    <w:p w14:paraId="5CCE5B09" w14:textId="77777777" w:rsidR="00B3494B" w:rsidRPr="00B10FAA" w:rsidRDefault="00B3494B">
      <w:pPr>
        <w:rPr>
          <w:rFonts w:ascii="Arial" w:hAnsi="Arial" w:cs="Arial"/>
          <w:bCs/>
          <w:sz w:val="20"/>
          <w:szCs w:val="20"/>
        </w:rPr>
      </w:pPr>
    </w:p>
    <w:p w14:paraId="72611518" w14:textId="7204AC3E" w:rsidR="004A58F2" w:rsidRPr="00B10FAA" w:rsidRDefault="00E4198A" w:rsidP="004A58F2">
      <w:pPr>
        <w:rPr>
          <w:rFonts w:ascii="Arial" w:hAnsi="Arial" w:cs="Arial"/>
          <w:bCs/>
          <w:sz w:val="20"/>
          <w:szCs w:val="20"/>
          <w:u w:val="single"/>
        </w:rPr>
      </w:pPr>
      <w:r w:rsidRPr="00B10FAA">
        <w:rPr>
          <w:rFonts w:ascii="Arial" w:hAnsi="Arial" w:cs="Arial"/>
          <w:bCs/>
          <w:sz w:val="20"/>
          <w:szCs w:val="20"/>
          <w:u w:val="single"/>
        </w:rPr>
        <w:lastRenderedPageBreak/>
        <w:t>Reference list</w:t>
      </w:r>
    </w:p>
    <w:p w14:paraId="532217C7" w14:textId="7EAC0E55" w:rsidR="008B2859" w:rsidRPr="008B2859" w:rsidRDefault="008B2859" w:rsidP="008B2859">
      <w:pPr>
        <w:rPr>
          <w:rFonts w:ascii="Arial" w:hAnsi="Arial" w:cs="Arial"/>
          <w:bCs/>
          <w:sz w:val="20"/>
          <w:szCs w:val="20"/>
        </w:rPr>
      </w:pPr>
    </w:p>
    <w:p w14:paraId="5DF6FD51" w14:textId="77777777" w:rsidR="008B2859" w:rsidRPr="008B2859" w:rsidRDefault="008B2859" w:rsidP="008B2859">
      <w:pPr>
        <w:rPr>
          <w:rFonts w:ascii="Arial" w:hAnsi="Arial" w:cs="Arial"/>
          <w:bCs/>
          <w:sz w:val="20"/>
          <w:szCs w:val="20"/>
        </w:rPr>
      </w:pPr>
      <w:r w:rsidRPr="008B2859">
        <w:rPr>
          <w:rFonts w:ascii="Arial" w:hAnsi="Arial" w:cs="Arial"/>
          <w:bCs/>
          <w:sz w:val="20"/>
          <w:szCs w:val="20"/>
        </w:rPr>
        <w:t>American College of Sports Medicine (2018) ACSM’s Health</w:t>
      </w:r>
      <w:r w:rsidRPr="008B2859">
        <w:rPr>
          <w:rFonts w:ascii="Cambria Math" w:hAnsi="Cambria Math" w:cs="Cambria Math"/>
          <w:bCs/>
          <w:sz w:val="20"/>
          <w:szCs w:val="20"/>
        </w:rPr>
        <w:t>‑</w:t>
      </w:r>
      <w:r w:rsidRPr="008B2859">
        <w:rPr>
          <w:rFonts w:ascii="Arial" w:hAnsi="Arial" w:cs="Arial"/>
          <w:bCs/>
          <w:sz w:val="20"/>
          <w:szCs w:val="20"/>
        </w:rPr>
        <w:t xml:space="preserve">Related Physical Fitness Assessment Manual. 5th </w:t>
      </w:r>
      <w:proofErr w:type="spellStart"/>
      <w:r w:rsidRPr="008B2859">
        <w:rPr>
          <w:rFonts w:ascii="Arial" w:hAnsi="Arial" w:cs="Arial"/>
          <w:bCs/>
          <w:sz w:val="20"/>
          <w:szCs w:val="20"/>
        </w:rPr>
        <w:t>edn</w:t>
      </w:r>
      <w:proofErr w:type="spellEnd"/>
      <w:r w:rsidRPr="008B2859">
        <w:rPr>
          <w:rFonts w:ascii="Arial" w:hAnsi="Arial" w:cs="Arial"/>
          <w:bCs/>
          <w:sz w:val="20"/>
          <w:szCs w:val="20"/>
        </w:rPr>
        <w:t>. Philadelphia: Wolters Kluwer. Available at: https://shop.lww.com (Accessed: 27 March 2026).</w:t>
      </w:r>
    </w:p>
    <w:p w14:paraId="0B6310E5" w14:textId="77777777" w:rsidR="008B2859" w:rsidRPr="008B2859" w:rsidRDefault="008B2859" w:rsidP="008B2859">
      <w:pPr>
        <w:rPr>
          <w:rFonts w:ascii="Arial" w:hAnsi="Arial" w:cs="Arial"/>
          <w:bCs/>
          <w:sz w:val="20"/>
          <w:szCs w:val="20"/>
        </w:rPr>
      </w:pPr>
      <w:r w:rsidRPr="008B2859">
        <w:rPr>
          <w:rFonts w:ascii="Arial" w:hAnsi="Arial" w:cs="Arial"/>
          <w:bCs/>
          <w:sz w:val="20"/>
          <w:szCs w:val="20"/>
        </w:rPr>
        <w:t xml:space="preserve">American College of Sports Medicine (2021a) ACSM’s Guidelines for Exercise Testing and Prescription. 11th </w:t>
      </w:r>
      <w:proofErr w:type="spellStart"/>
      <w:r w:rsidRPr="008B2859">
        <w:rPr>
          <w:rFonts w:ascii="Arial" w:hAnsi="Arial" w:cs="Arial"/>
          <w:bCs/>
          <w:sz w:val="20"/>
          <w:szCs w:val="20"/>
        </w:rPr>
        <w:t>edn</w:t>
      </w:r>
      <w:proofErr w:type="spellEnd"/>
      <w:r w:rsidRPr="008B2859">
        <w:rPr>
          <w:rFonts w:ascii="Arial" w:hAnsi="Arial" w:cs="Arial"/>
          <w:bCs/>
          <w:sz w:val="20"/>
          <w:szCs w:val="20"/>
        </w:rPr>
        <w:t>. Philadelphia: Wolters Kluwer. Available at: https://shop.lww.com (Accessed: 27 March 2026).</w:t>
      </w:r>
    </w:p>
    <w:p w14:paraId="7BD19A1D" w14:textId="77777777" w:rsidR="008B2859" w:rsidRPr="008B2859" w:rsidRDefault="008B2859" w:rsidP="008B2859">
      <w:pPr>
        <w:rPr>
          <w:rFonts w:ascii="Arial" w:hAnsi="Arial" w:cs="Arial"/>
          <w:bCs/>
          <w:sz w:val="20"/>
          <w:szCs w:val="20"/>
        </w:rPr>
      </w:pPr>
      <w:r w:rsidRPr="008B2859">
        <w:rPr>
          <w:rFonts w:ascii="Arial" w:hAnsi="Arial" w:cs="Arial"/>
          <w:bCs/>
          <w:sz w:val="20"/>
          <w:szCs w:val="20"/>
        </w:rPr>
        <w:t>American College of Sports Medicine (2021b) ACSM’s Health</w:t>
      </w:r>
      <w:r w:rsidRPr="008B2859">
        <w:rPr>
          <w:rFonts w:ascii="Cambria Math" w:hAnsi="Cambria Math" w:cs="Cambria Math"/>
          <w:bCs/>
          <w:sz w:val="20"/>
          <w:szCs w:val="20"/>
        </w:rPr>
        <w:t>‑</w:t>
      </w:r>
      <w:r w:rsidRPr="008B2859">
        <w:rPr>
          <w:rFonts w:ascii="Arial" w:hAnsi="Arial" w:cs="Arial"/>
          <w:bCs/>
          <w:sz w:val="20"/>
          <w:szCs w:val="20"/>
        </w:rPr>
        <w:t xml:space="preserve">Related Physical Fitness Assessment Manual. 6th </w:t>
      </w:r>
      <w:proofErr w:type="spellStart"/>
      <w:r w:rsidRPr="008B2859">
        <w:rPr>
          <w:rFonts w:ascii="Arial" w:hAnsi="Arial" w:cs="Arial"/>
          <w:bCs/>
          <w:sz w:val="20"/>
          <w:szCs w:val="20"/>
        </w:rPr>
        <w:t>edn</w:t>
      </w:r>
      <w:proofErr w:type="spellEnd"/>
      <w:r w:rsidRPr="008B2859">
        <w:rPr>
          <w:rFonts w:ascii="Arial" w:hAnsi="Arial" w:cs="Arial"/>
          <w:bCs/>
          <w:sz w:val="20"/>
          <w:szCs w:val="20"/>
        </w:rPr>
        <w:t>. Philadelphia: Wolters Kluwer. Available at: https://shop.lww.com (Accessed: 27 March 2026).</w:t>
      </w:r>
    </w:p>
    <w:p w14:paraId="5FCA0668" w14:textId="77777777" w:rsidR="008B2859" w:rsidRPr="008B2859" w:rsidRDefault="008B2859" w:rsidP="008B2859">
      <w:pPr>
        <w:rPr>
          <w:rFonts w:ascii="Arial" w:hAnsi="Arial" w:cs="Arial"/>
          <w:bCs/>
          <w:sz w:val="20"/>
          <w:szCs w:val="20"/>
        </w:rPr>
      </w:pPr>
      <w:r w:rsidRPr="008B2859">
        <w:rPr>
          <w:rFonts w:ascii="Arial" w:hAnsi="Arial" w:cs="Arial"/>
          <w:bCs/>
          <w:sz w:val="20"/>
          <w:szCs w:val="20"/>
        </w:rPr>
        <w:t xml:space="preserve">Baechle, T.R. and Earle, R.W. (2016) NSCA’s Essentials of Strength Training and Conditioning. 4th </w:t>
      </w:r>
      <w:proofErr w:type="spellStart"/>
      <w:r w:rsidRPr="008B2859">
        <w:rPr>
          <w:rFonts w:ascii="Arial" w:hAnsi="Arial" w:cs="Arial"/>
          <w:bCs/>
          <w:sz w:val="20"/>
          <w:szCs w:val="20"/>
        </w:rPr>
        <w:t>edn</w:t>
      </w:r>
      <w:proofErr w:type="spellEnd"/>
      <w:r w:rsidRPr="008B2859">
        <w:rPr>
          <w:rFonts w:ascii="Arial" w:hAnsi="Arial" w:cs="Arial"/>
          <w:bCs/>
          <w:sz w:val="20"/>
          <w:szCs w:val="20"/>
        </w:rPr>
        <w:t>. Champaign, IL: Human Kinetics. Available at: https://us.humankinetics.com (Accessed: 27 March 2026).</w:t>
      </w:r>
    </w:p>
    <w:p w14:paraId="03F9C330" w14:textId="77777777" w:rsidR="008B2859" w:rsidRPr="008B2859" w:rsidRDefault="008B2859" w:rsidP="008B2859">
      <w:pPr>
        <w:rPr>
          <w:rFonts w:ascii="Arial" w:hAnsi="Arial" w:cs="Arial"/>
          <w:bCs/>
          <w:sz w:val="20"/>
          <w:szCs w:val="20"/>
        </w:rPr>
      </w:pPr>
      <w:r w:rsidRPr="008B2859">
        <w:rPr>
          <w:rFonts w:ascii="Arial" w:hAnsi="Arial" w:cs="Arial"/>
          <w:bCs/>
          <w:sz w:val="20"/>
          <w:szCs w:val="20"/>
        </w:rPr>
        <w:t xml:space="preserve">Golding, L.A. (2000) Fitness Assessment Manual. 3rd </w:t>
      </w:r>
      <w:proofErr w:type="spellStart"/>
      <w:r w:rsidRPr="008B2859">
        <w:rPr>
          <w:rFonts w:ascii="Arial" w:hAnsi="Arial" w:cs="Arial"/>
          <w:bCs/>
          <w:sz w:val="20"/>
          <w:szCs w:val="20"/>
        </w:rPr>
        <w:t>edn</w:t>
      </w:r>
      <w:proofErr w:type="spellEnd"/>
      <w:r w:rsidRPr="008B2859">
        <w:rPr>
          <w:rFonts w:ascii="Arial" w:hAnsi="Arial" w:cs="Arial"/>
          <w:bCs/>
          <w:sz w:val="20"/>
          <w:szCs w:val="20"/>
        </w:rPr>
        <w:t>. Boston: McGraw</w:t>
      </w:r>
      <w:r w:rsidRPr="008B2859">
        <w:rPr>
          <w:rFonts w:ascii="Cambria Math" w:hAnsi="Cambria Math" w:cs="Cambria Math"/>
          <w:bCs/>
          <w:sz w:val="20"/>
          <w:szCs w:val="20"/>
        </w:rPr>
        <w:t>‑</w:t>
      </w:r>
      <w:r w:rsidRPr="008B2859">
        <w:rPr>
          <w:rFonts w:ascii="Arial" w:hAnsi="Arial" w:cs="Arial"/>
          <w:bCs/>
          <w:sz w:val="20"/>
          <w:szCs w:val="20"/>
        </w:rPr>
        <w:t>Hill. Available at: https://www.mheducation.com (Accessed: 27 March 2026).</w:t>
      </w:r>
    </w:p>
    <w:p w14:paraId="6444C958" w14:textId="77777777" w:rsidR="008B2859" w:rsidRPr="008B2859" w:rsidRDefault="008B2859" w:rsidP="008B2859">
      <w:pPr>
        <w:rPr>
          <w:rFonts w:ascii="Arial" w:hAnsi="Arial" w:cs="Arial"/>
          <w:bCs/>
          <w:sz w:val="20"/>
          <w:szCs w:val="20"/>
        </w:rPr>
      </w:pPr>
      <w:r w:rsidRPr="008B2859">
        <w:rPr>
          <w:rFonts w:ascii="Arial" w:hAnsi="Arial" w:cs="Arial"/>
          <w:bCs/>
          <w:sz w:val="20"/>
          <w:szCs w:val="20"/>
        </w:rPr>
        <w:t xml:space="preserve">Haff, G.G. and Triplett, N.T. (2016) Essentials of Strength Training and Conditioning. 4th </w:t>
      </w:r>
      <w:proofErr w:type="spellStart"/>
      <w:r w:rsidRPr="008B2859">
        <w:rPr>
          <w:rFonts w:ascii="Arial" w:hAnsi="Arial" w:cs="Arial"/>
          <w:bCs/>
          <w:sz w:val="20"/>
          <w:szCs w:val="20"/>
        </w:rPr>
        <w:t>edn</w:t>
      </w:r>
      <w:proofErr w:type="spellEnd"/>
      <w:r w:rsidRPr="008B2859">
        <w:rPr>
          <w:rFonts w:ascii="Arial" w:hAnsi="Arial" w:cs="Arial"/>
          <w:bCs/>
          <w:sz w:val="20"/>
          <w:szCs w:val="20"/>
        </w:rPr>
        <w:t>. Champaign, IL: Human Kinetics. Available at: https://us.humankinetics.com (Accessed: 27 March 2026).</w:t>
      </w:r>
    </w:p>
    <w:p w14:paraId="4E156210" w14:textId="77777777" w:rsidR="008B2859" w:rsidRPr="008B2859" w:rsidRDefault="008B2859" w:rsidP="008B2859">
      <w:pPr>
        <w:rPr>
          <w:rFonts w:ascii="Arial" w:hAnsi="Arial" w:cs="Arial"/>
          <w:bCs/>
          <w:sz w:val="20"/>
          <w:szCs w:val="20"/>
        </w:rPr>
      </w:pPr>
      <w:r w:rsidRPr="008B2859">
        <w:rPr>
          <w:rFonts w:ascii="Arial" w:hAnsi="Arial" w:cs="Arial"/>
          <w:bCs/>
          <w:sz w:val="20"/>
          <w:szCs w:val="20"/>
        </w:rPr>
        <w:t xml:space="preserve">Heyward, V.H. and Gibson, A.L. (2014) Advanced Fitness Assessment and Exercise Prescription. 7th </w:t>
      </w:r>
      <w:proofErr w:type="spellStart"/>
      <w:r w:rsidRPr="008B2859">
        <w:rPr>
          <w:rFonts w:ascii="Arial" w:hAnsi="Arial" w:cs="Arial"/>
          <w:bCs/>
          <w:sz w:val="20"/>
          <w:szCs w:val="20"/>
        </w:rPr>
        <w:t>edn</w:t>
      </w:r>
      <w:proofErr w:type="spellEnd"/>
      <w:r w:rsidRPr="008B2859">
        <w:rPr>
          <w:rFonts w:ascii="Arial" w:hAnsi="Arial" w:cs="Arial"/>
          <w:bCs/>
          <w:sz w:val="20"/>
          <w:szCs w:val="20"/>
        </w:rPr>
        <w:t>. Champaign, IL: Human Kinetics. Available at: https://us.humankinetics.com (Accessed: 27 March 2026).</w:t>
      </w:r>
    </w:p>
    <w:p w14:paraId="4B2925D5" w14:textId="7F5911A3" w:rsidR="008B2859" w:rsidRPr="008B2859" w:rsidRDefault="008B2859" w:rsidP="008B2859">
      <w:pPr>
        <w:rPr>
          <w:rFonts w:ascii="Arial" w:hAnsi="Arial" w:cs="Arial"/>
          <w:bCs/>
          <w:sz w:val="20"/>
          <w:szCs w:val="20"/>
        </w:rPr>
      </w:pPr>
      <w:r w:rsidRPr="008B2859">
        <w:rPr>
          <w:rFonts w:ascii="Arial" w:hAnsi="Arial" w:cs="Arial"/>
          <w:bCs/>
          <w:sz w:val="20"/>
          <w:szCs w:val="20"/>
        </w:rPr>
        <w:t>InBody USA (2024) InBody USA. Available at: https://inbodyusa.com (Accessed: 27 March 2026).</w:t>
      </w:r>
    </w:p>
    <w:p w14:paraId="049D30D4" w14:textId="77777777" w:rsidR="008B2859" w:rsidRPr="008B2859" w:rsidRDefault="008B2859" w:rsidP="008B2859">
      <w:pPr>
        <w:rPr>
          <w:rFonts w:ascii="Arial" w:hAnsi="Arial" w:cs="Arial"/>
          <w:bCs/>
          <w:sz w:val="20"/>
          <w:szCs w:val="20"/>
        </w:rPr>
      </w:pPr>
      <w:r w:rsidRPr="008B2859">
        <w:rPr>
          <w:rFonts w:ascii="Arial" w:hAnsi="Arial" w:cs="Arial"/>
          <w:bCs/>
          <w:sz w:val="20"/>
          <w:szCs w:val="20"/>
        </w:rPr>
        <w:t>Mackenzie, B. (2000) Sit and Reach Test. Available at: https://www.brianmac.co.uk/sitreach.htm (Accessed: 27 March 2026).</w:t>
      </w:r>
    </w:p>
    <w:p w14:paraId="0E45AEB8" w14:textId="77777777" w:rsidR="008B2859" w:rsidRPr="008B2859" w:rsidRDefault="008B2859" w:rsidP="008B2859">
      <w:pPr>
        <w:rPr>
          <w:rFonts w:ascii="Arial" w:hAnsi="Arial" w:cs="Arial"/>
          <w:bCs/>
          <w:sz w:val="20"/>
          <w:szCs w:val="20"/>
        </w:rPr>
      </w:pPr>
      <w:r w:rsidRPr="008B2859">
        <w:rPr>
          <w:rFonts w:ascii="Arial" w:hAnsi="Arial" w:cs="Arial"/>
          <w:bCs/>
          <w:sz w:val="20"/>
          <w:szCs w:val="20"/>
        </w:rPr>
        <w:t>Mackenzie, B. (2001) Grip Strength Test. Available at: https://www.brianmac.co.uk (Accessed: 27 March 2026).</w:t>
      </w:r>
    </w:p>
    <w:p w14:paraId="6B4187D9" w14:textId="77777777" w:rsidR="008B2859" w:rsidRPr="008B2859" w:rsidRDefault="008B2859" w:rsidP="008B2859">
      <w:pPr>
        <w:rPr>
          <w:rFonts w:ascii="Arial" w:hAnsi="Arial" w:cs="Arial"/>
          <w:bCs/>
          <w:sz w:val="20"/>
          <w:szCs w:val="20"/>
        </w:rPr>
      </w:pPr>
      <w:r w:rsidRPr="008B2859">
        <w:rPr>
          <w:rFonts w:ascii="Arial" w:hAnsi="Arial" w:cs="Arial"/>
          <w:bCs/>
          <w:sz w:val="20"/>
          <w:szCs w:val="20"/>
        </w:rPr>
        <w:t>Mackenzie, B. (2001) Press</w:t>
      </w:r>
      <w:r w:rsidRPr="008B2859">
        <w:rPr>
          <w:rFonts w:ascii="Cambria Math" w:hAnsi="Cambria Math" w:cs="Cambria Math"/>
          <w:bCs/>
          <w:sz w:val="20"/>
          <w:szCs w:val="20"/>
        </w:rPr>
        <w:t>‑</w:t>
      </w:r>
      <w:r w:rsidRPr="008B2859">
        <w:rPr>
          <w:rFonts w:ascii="Arial" w:hAnsi="Arial" w:cs="Arial"/>
          <w:bCs/>
          <w:sz w:val="20"/>
          <w:szCs w:val="20"/>
        </w:rPr>
        <w:t>Up Test. Available at: https://www.brianmac.co.uk (Accessed: 27 March 2026).</w:t>
      </w:r>
    </w:p>
    <w:p w14:paraId="001F9C1B" w14:textId="087CC8BF" w:rsidR="004A58F2" w:rsidRPr="00B10FAA" w:rsidRDefault="008B2859" w:rsidP="008B2859">
      <w:pPr>
        <w:rPr>
          <w:rFonts w:ascii="Arial" w:hAnsi="Arial" w:cs="Arial"/>
          <w:bCs/>
          <w:sz w:val="20"/>
          <w:szCs w:val="20"/>
        </w:rPr>
      </w:pPr>
      <w:r w:rsidRPr="008B2859">
        <w:rPr>
          <w:rFonts w:ascii="Arial" w:hAnsi="Arial" w:cs="Arial"/>
          <w:bCs/>
          <w:sz w:val="20"/>
          <w:szCs w:val="20"/>
        </w:rPr>
        <w:t>Mackenzie, B. (2001) Queen’s College Step Test. Available at: https://www.brianmac.co.uk/queens.htm (Accessed: 27 March 2026).</w:t>
      </w:r>
    </w:p>
    <w:p w14:paraId="41986945" w14:textId="77777777" w:rsidR="004A58F2" w:rsidRPr="00B10FAA" w:rsidRDefault="004A58F2" w:rsidP="00E4198A">
      <w:pPr>
        <w:rPr>
          <w:rFonts w:ascii="Arial" w:hAnsi="Arial" w:cs="Arial"/>
          <w:bCs/>
          <w:sz w:val="20"/>
          <w:szCs w:val="20"/>
        </w:rPr>
      </w:pPr>
    </w:p>
    <w:p w14:paraId="3DFD38B5" w14:textId="77777777" w:rsidR="004A58F2" w:rsidRPr="00B10FAA" w:rsidRDefault="004A58F2" w:rsidP="00E4198A">
      <w:pPr>
        <w:rPr>
          <w:rFonts w:ascii="Arial" w:hAnsi="Arial" w:cs="Arial"/>
          <w:bCs/>
          <w:sz w:val="20"/>
          <w:szCs w:val="20"/>
        </w:rPr>
      </w:pPr>
    </w:p>
    <w:p w14:paraId="4DED6435" w14:textId="77777777" w:rsidR="004A58F2" w:rsidRPr="00B10FAA" w:rsidRDefault="004A58F2" w:rsidP="00E4198A">
      <w:pPr>
        <w:rPr>
          <w:rFonts w:ascii="Arial" w:hAnsi="Arial" w:cs="Arial"/>
          <w:bCs/>
          <w:sz w:val="20"/>
          <w:szCs w:val="20"/>
        </w:rPr>
      </w:pPr>
    </w:p>
    <w:p w14:paraId="195EA635" w14:textId="77777777" w:rsidR="004A58F2" w:rsidRPr="00B10FAA" w:rsidRDefault="004A58F2" w:rsidP="00E4198A">
      <w:pPr>
        <w:rPr>
          <w:rFonts w:ascii="Arial" w:hAnsi="Arial" w:cs="Arial"/>
          <w:bCs/>
          <w:sz w:val="20"/>
          <w:szCs w:val="20"/>
        </w:rPr>
      </w:pPr>
    </w:p>
    <w:p w14:paraId="2A658482" w14:textId="77777777" w:rsidR="004A58F2" w:rsidRPr="00B10FAA" w:rsidRDefault="004A58F2" w:rsidP="00E4198A">
      <w:pPr>
        <w:rPr>
          <w:rFonts w:ascii="Arial" w:hAnsi="Arial" w:cs="Arial"/>
          <w:bCs/>
          <w:sz w:val="20"/>
          <w:szCs w:val="20"/>
        </w:rPr>
      </w:pPr>
    </w:p>
    <w:p w14:paraId="79898EDF" w14:textId="77777777" w:rsidR="004A58F2" w:rsidRPr="00B10FAA" w:rsidRDefault="004A58F2" w:rsidP="00E4198A">
      <w:pPr>
        <w:rPr>
          <w:rFonts w:ascii="Arial" w:hAnsi="Arial" w:cs="Arial"/>
          <w:bCs/>
          <w:sz w:val="20"/>
          <w:szCs w:val="20"/>
        </w:rPr>
      </w:pPr>
    </w:p>
    <w:p w14:paraId="4B8ACE13" w14:textId="77777777" w:rsidR="004A58F2" w:rsidRPr="00B10FAA" w:rsidRDefault="004A58F2" w:rsidP="00E4198A">
      <w:pPr>
        <w:rPr>
          <w:rFonts w:ascii="Arial" w:hAnsi="Arial" w:cs="Arial"/>
          <w:bCs/>
          <w:sz w:val="20"/>
          <w:szCs w:val="20"/>
        </w:rPr>
      </w:pPr>
    </w:p>
    <w:p w14:paraId="680E3DD0" w14:textId="77777777" w:rsidR="002B79C0" w:rsidRDefault="002B79C0">
      <w:pPr>
        <w:rPr>
          <w:rFonts w:ascii="Arial" w:hAnsi="Arial" w:cs="Arial"/>
          <w:bCs/>
          <w:sz w:val="20"/>
          <w:szCs w:val="20"/>
        </w:rPr>
      </w:pPr>
    </w:p>
    <w:p w14:paraId="6CD4FBA3" w14:textId="510280A6" w:rsidR="00E840C7" w:rsidRPr="002B79C0" w:rsidRDefault="00B10FAA">
      <w:pPr>
        <w:rPr>
          <w:rFonts w:ascii="Arial" w:hAnsi="Arial" w:cs="Arial"/>
          <w:bCs/>
          <w:sz w:val="20"/>
          <w:szCs w:val="20"/>
        </w:rPr>
      </w:pPr>
      <w:r w:rsidRPr="00B10FAA">
        <w:rPr>
          <w:rFonts w:ascii="Arial" w:hAnsi="Arial" w:cs="Arial"/>
          <w:bCs/>
          <w:sz w:val="20"/>
          <w:szCs w:val="20"/>
          <w:u w:val="single"/>
        </w:rPr>
        <w:lastRenderedPageBreak/>
        <w:t xml:space="preserve">Ai acknowledgement </w:t>
      </w:r>
    </w:p>
    <w:p w14:paraId="5EF0B9A7" w14:textId="00E3C808" w:rsidR="00D55066" w:rsidRPr="00D55066" w:rsidRDefault="00E60DC6">
      <w:pPr>
        <w:rPr>
          <w:rFonts w:ascii="Arial" w:hAnsi="Arial" w:cs="Arial"/>
          <w:bCs/>
          <w:sz w:val="20"/>
          <w:szCs w:val="20"/>
        </w:rPr>
      </w:pPr>
      <w:r w:rsidRPr="00E60DC6">
        <w:rPr>
          <w:rFonts w:ascii="Arial" w:hAnsi="Arial" w:cs="Arial"/>
          <w:bCs/>
          <w:sz w:val="20"/>
          <w:szCs w:val="20"/>
        </w:rPr>
        <w:t>I used Microsoft Copilot to help with proofreading</w:t>
      </w:r>
      <w:r w:rsidR="003F14A3">
        <w:rPr>
          <w:rFonts w:ascii="Arial" w:hAnsi="Arial" w:cs="Arial"/>
          <w:bCs/>
          <w:sz w:val="20"/>
          <w:szCs w:val="20"/>
        </w:rPr>
        <w:t xml:space="preserve"> reference list</w:t>
      </w:r>
      <w:r w:rsidRPr="00E60DC6">
        <w:rPr>
          <w:rFonts w:ascii="Arial" w:hAnsi="Arial" w:cs="Arial"/>
          <w:bCs/>
          <w:sz w:val="20"/>
          <w:szCs w:val="20"/>
        </w:rPr>
        <w:t xml:space="preserve"> and organising my ideas. All analysis, decisions, and final writing are my own, and I checked all information for accuracy.</w:t>
      </w:r>
    </w:p>
    <w:sectPr w:rsidR="00D55066" w:rsidRPr="00D5506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FA6E4EC" w14:textId="77777777" w:rsidR="00F262A1" w:rsidRDefault="00F262A1" w:rsidP="00D43497">
      <w:pPr>
        <w:spacing w:after="0" w:line="240" w:lineRule="auto"/>
      </w:pPr>
      <w:r>
        <w:separator/>
      </w:r>
    </w:p>
  </w:endnote>
  <w:endnote w:type="continuationSeparator" w:id="0">
    <w:p w14:paraId="023EC048" w14:textId="77777777" w:rsidR="00F262A1" w:rsidRDefault="00F262A1" w:rsidP="00D434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13CADED" w14:textId="77777777" w:rsidR="00F262A1" w:rsidRDefault="00F262A1" w:rsidP="00D43497">
      <w:pPr>
        <w:spacing w:after="0" w:line="240" w:lineRule="auto"/>
      </w:pPr>
      <w:r>
        <w:separator/>
      </w:r>
    </w:p>
  </w:footnote>
  <w:footnote w:type="continuationSeparator" w:id="0">
    <w:p w14:paraId="0EA3013F" w14:textId="77777777" w:rsidR="00F262A1" w:rsidRDefault="00F262A1" w:rsidP="00D4349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0910"/>
    <w:rsid w:val="00003B77"/>
    <w:rsid w:val="000243D9"/>
    <w:rsid w:val="000360BB"/>
    <w:rsid w:val="00042C15"/>
    <w:rsid w:val="0006186B"/>
    <w:rsid w:val="000662F2"/>
    <w:rsid w:val="0006773F"/>
    <w:rsid w:val="000725AE"/>
    <w:rsid w:val="00080E39"/>
    <w:rsid w:val="00096E33"/>
    <w:rsid w:val="000970A7"/>
    <w:rsid w:val="000A2CBF"/>
    <w:rsid w:val="000A660C"/>
    <w:rsid w:val="000D0A71"/>
    <w:rsid w:val="000E5420"/>
    <w:rsid w:val="000F5C1B"/>
    <w:rsid w:val="0012307F"/>
    <w:rsid w:val="00130625"/>
    <w:rsid w:val="00156CDD"/>
    <w:rsid w:val="0015763A"/>
    <w:rsid w:val="001726E0"/>
    <w:rsid w:val="00192B94"/>
    <w:rsid w:val="001A2777"/>
    <w:rsid w:val="001B5039"/>
    <w:rsid w:val="001E36B3"/>
    <w:rsid w:val="001F1406"/>
    <w:rsid w:val="001F5B3D"/>
    <w:rsid w:val="001F7167"/>
    <w:rsid w:val="002100F5"/>
    <w:rsid w:val="002144EF"/>
    <w:rsid w:val="00224B67"/>
    <w:rsid w:val="00224DB3"/>
    <w:rsid w:val="00233EC9"/>
    <w:rsid w:val="00242570"/>
    <w:rsid w:val="00245BBF"/>
    <w:rsid w:val="00247DC7"/>
    <w:rsid w:val="00256560"/>
    <w:rsid w:val="00257B35"/>
    <w:rsid w:val="002647B8"/>
    <w:rsid w:val="002655BD"/>
    <w:rsid w:val="00273D3D"/>
    <w:rsid w:val="002900BB"/>
    <w:rsid w:val="002A1097"/>
    <w:rsid w:val="002B187B"/>
    <w:rsid w:val="002B1D37"/>
    <w:rsid w:val="002B3D22"/>
    <w:rsid w:val="002B79C0"/>
    <w:rsid w:val="002C3FE4"/>
    <w:rsid w:val="002E64C4"/>
    <w:rsid w:val="002F54EC"/>
    <w:rsid w:val="00302495"/>
    <w:rsid w:val="00305C59"/>
    <w:rsid w:val="0033266C"/>
    <w:rsid w:val="00333A6E"/>
    <w:rsid w:val="00333AC3"/>
    <w:rsid w:val="00337977"/>
    <w:rsid w:val="00341BD6"/>
    <w:rsid w:val="00371A56"/>
    <w:rsid w:val="003914EE"/>
    <w:rsid w:val="00392506"/>
    <w:rsid w:val="003967E4"/>
    <w:rsid w:val="003979EC"/>
    <w:rsid w:val="003A1641"/>
    <w:rsid w:val="003B0E8F"/>
    <w:rsid w:val="003D1904"/>
    <w:rsid w:val="003E63CE"/>
    <w:rsid w:val="003F14A3"/>
    <w:rsid w:val="003F1546"/>
    <w:rsid w:val="003F3642"/>
    <w:rsid w:val="003F6E18"/>
    <w:rsid w:val="003F7758"/>
    <w:rsid w:val="00401DC3"/>
    <w:rsid w:val="0041269E"/>
    <w:rsid w:val="00415FEB"/>
    <w:rsid w:val="00435796"/>
    <w:rsid w:val="00447FE6"/>
    <w:rsid w:val="0046040B"/>
    <w:rsid w:val="004753E7"/>
    <w:rsid w:val="00486A57"/>
    <w:rsid w:val="004A1F94"/>
    <w:rsid w:val="004A58F2"/>
    <w:rsid w:val="004A7126"/>
    <w:rsid w:val="004B1853"/>
    <w:rsid w:val="004D4FB1"/>
    <w:rsid w:val="00502AA0"/>
    <w:rsid w:val="0051320E"/>
    <w:rsid w:val="00533A7F"/>
    <w:rsid w:val="0053760D"/>
    <w:rsid w:val="00540A60"/>
    <w:rsid w:val="005416F7"/>
    <w:rsid w:val="00553AEB"/>
    <w:rsid w:val="00564132"/>
    <w:rsid w:val="0057516E"/>
    <w:rsid w:val="00577A6D"/>
    <w:rsid w:val="00583A53"/>
    <w:rsid w:val="005862F5"/>
    <w:rsid w:val="005C6549"/>
    <w:rsid w:val="005F0EDB"/>
    <w:rsid w:val="005F3E0F"/>
    <w:rsid w:val="00617DBC"/>
    <w:rsid w:val="006221AA"/>
    <w:rsid w:val="00632AE9"/>
    <w:rsid w:val="006475DB"/>
    <w:rsid w:val="006556A4"/>
    <w:rsid w:val="006B1982"/>
    <w:rsid w:val="006C5EF9"/>
    <w:rsid w:val="006D56F7"/>
    <w:rsid w:val="006E41A5"/>
    <w:rsid w:val="00706CF9"/>
    <w:rsid w:val="007263BB"/>
    <w:rsid w:val="0074276A"/>
    <w:rsid w:val="00754353"/>
    <w:rsid w:val="007B4F96"/>
    <w:rsid w:val="007C0602"/>
    <w:rsid w:val="007E2FBD"/>
    <w:rsid w:val="007E3902"/>
    <w:rsid w:val="007F0F20"/>
    <w:rsid w:val="007F15D9"/>
    <w:rsid w:val="007F3D5B"/>
    <w:rsid w:val="00812D95"/>
    <w:rsid w:val="00836C89"/>
    <w:rsid w:val="008400E3"/>
    <w:rsid w:val="00882CE4"/>
    <w:rsid w:val="00890C55"/>
    <w:rsid w:val="008A46F4"/>
    <w:rsid w:val="008B2859"/>
    <w:rsid w:val="008C3844"/>
    <w:rsid w:val="008D18B9"/>
    <w:rsid w:val="009017F0"/>
    <w:rsid w:val="00916F79"/>
    <w:rsid w:val="0092241B"/>
    <w:rsid w:val="009249DB"/>
    <w:rsid w:val="0094281E"/>
    <w:rsid w:val="009573D0"/>
    <w:rsid w:val="00961012"/>
    <w:rsid w:val="009753FC"/>
    <w:rsid w:val="00987E97"/>
    <w:rsid w:val="009D7305"/>
    <w:rsid w:val="009E3F64"/>
    <w:rsid w:val="009F2055"/>
    <w:rsid w:val="009F60D9"/>
    <w:rsid w:val="00A00712"/>
    <w:rsid w:val="00A0773A"/>
    <w:rsid w:val="00A105C7"/>
    <w:rsid w:val="00A123E7"/>
    <w:rsid w:val="00A61D3D"/>
    <w:rsid w:val="00A85559"/>
    <w:rsid w:val="00A95075"/>
    <w:rsid w:val="00AA6EE4"/>
    <w:rsid w:val="00AC22D5"/>
    <w:rsid w:val="00B10CD8"/>
    <w:rsid w:val="00B10FAA"/>
    <w:rsid w:val="00B17341"/>
    <w:rsid w:val="00B3494B"/>
    <w:rsid w:val="00B3581C"/>
    <w:rsid w:val="00B4004F"/>
    <w:rsid w:val="00B40910"/>
    <w:rsid w:val="00B442E4"/>
    <w:rsid w:val="00B466FE"/>
    <w:rsid w:val="00B61CF5"/>
    <w:rsid w:val="00B63D7F"/>
    <w:rsid w:val="00B83637"/>
    <w:rsid w:val="00B84FE9"/>
    <w:rsid w:val="00B90B7F"/>
    <w:rsid w:val="00BA0110"/>
    <w:rsid w:val="00BC5BDE"/>
    <w:rsid w:val="00BF52BA"/>
    <w:rsid w:val="00C0444B"/>
    <w:rsid w:val="00C11725"/>
    <w:rsid w:val="00C12EF5"/>
    <w:rsid w:val="00C35EAD"/>
    <w:rsid w:val="00C368DE"/>
    <w:rsid w:val="00C41483"/>
    <w:rsid w:val="00C43BF2"/>
    <w:rsid w:val="00C46760"/>
    <w:rsid w:val="00C70D83"/>
    <w:rsid w:val="00C766F2"/>
    <w:rsid w:val="00C77980"/>
    <w:rsid w:val="00C815A4"/>
    <w:rsid w:val="00C90BEF"/>
    <w:rsid w:val="00C958B4"/>
    <w:rsid w:val="00CB79A0"/>
    <w:rsid w:val="00CD4205"/>
    <w:rsid w:val="00CE438B"/>
    <w:rsid w:val="00D20136"/>
    <w:rsid w:val="00D22AAB"/>
    <w:rsid w:val="00D31595"/>
    <w:rsid w:val="00D43497"/>
    <w:rsid w:val="00D55066"/>
    <w:rsid w:val="00D634CF"/>
    <w:rsid w:val="00D937C1"/>
    <w:rsid w:val="00D96F31"/>
    <w:rsid w:val="00DB53E0"/>
    <w:rsid w:val="00DB696A"/>
    <w:rsid w:val="00DC0AFC"/>
    <w:rsid w:val="00DC5FAB"/>
    <w:rsid w:val="00DF65DC"/>
    <w:rsid w:val="00E06ADC"/>
    <w:rsid w:val="00E13D95"/>
    <w:rsid w:val="00E20ED1"/>
    <w:rsid w:val="00E3627D"/>
    <w:rsid w:val="00E37A6E"/>
    <w:rsid w:val="00E4198A"/>
    <w:rsid w:val="00E479DD"/>
    <w:rsid w:val="00E60DC6"/>
    <w:rsid w:val="00E731E9"/>
    <w:rsid w:val="00E8058E"/>
    <w:rsid w:val="00E840C7"/>
    <w:rsid w:val="00E938E6"/>
    <w:rsid w:val="00EB18FF"/>
    <w:rsid w:val="00EB1F78"/>
    <w:rsid w:val="00EC0260"/>
    <w:rsid w:val="00EE3466"/>
    <w:rsid w:val="00EF10E8"/>
    <w:rsid w:val="00F04302"/>
    <w:rsid w:val="00F178BB"/>
    <w:rsid w:val="00F262A1"/>
    <w:rsid w:val="00F44902"/>
    <w:rsid w:val="00F45522"/>
    <w:rsid w:val="00F56584"/>
    <w:rsid w:val="00F56D47"/>
    <w:rsid w:val="00F71ACA"/>
    <w:rsid w:val="00F72029"/>
    <w:rsid w:val="00F7772A"/>
    <w:rsid w:val="00F83ED5"/>
    <w:rsid w:val="00F9002D"/>
    <w:rsid w:val="00F923F5"/>
    <w:rsid w:val="00FA2949"/>
    <w:rsid w:val="00FA62AB"/>
    <w:rsid w:val="00FA683A"/>
    <w:rsid w:val="00FB44E5"/>
    <w:rsid w:val="00FC5A59"/>
    <w:rsid w:val="00FD07FB"/>
    <w:rsid w:val="00FD43A6"/>
    <w:rsid w:val="00FE389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37578C"/>
  <w15:chartTrackingRefBased/>
  <w15:docId w15:val="{31E53B83-B4A8-4C5D-8CDF-ACCCDE97E7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4091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4091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4091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4091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4091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4091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4091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4091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4091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4091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4091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4091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4091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4091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4091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4091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4091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40910"/>
    <w:rPr>
      <w:rFonts w:eastAsiaTheme="majorEastAsia" w:cstheme="majorBidi"/>
      <w:color w:val="272727" w:themeColor="text1" w:themeTint="D8"/>
    </w:rPr>
  </w:style>
  <w:style w:type="paragraph" w:styleId="Title">
    <w:name w:val="Title"/>
    <w:basedOn w:val="Normal"/>
    <w:next w:val="Normal"/>
    <w:link w:val="TitleChar"/>
    <w:uiPriority w:val="10"/>
    <w:qFormat/>
    <w:rsid w:val="00B4091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4091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4091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4091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40910"/>
    <w:pPr>
      <w:spacing w:before="160"/>
      <w:jc w:val="center"/>
    </w:pPr>
    <w:rPr>
      <w:i/>
      <w:iCs/>
      <w:color w:val="404040" w:themeColor="text1" w:themeTint="BF"/>
    </w:rPr>
  </w:style>
  <w:style w:type="character" w:customStyle="1" w:styleId="QuoteChar">
    <w:name w:val="Quote Char"/>
    <w:basedOn w:val="DefaultParagraphFont"/>
    <w:link w:val="Quote"/>
    <w:uiPriority w:val="29"/>
    <w:rsid w:val="00B40910"/>
    <w:rPr>
      <w:i/>
      <w:iCs/>
      <w:color w:val="404040" w:themeColor="text1" w:themeTint="BF"/>
    </w:rPr>
  </w:style>
  <w:style w:type="paragraph" w:styleId="ListParagraph">
    <w:name w:val="List Paragraph"/>
    <w:basedOn w:val="Normal"/>
    <w:uiPriority w:val="34"/>
    <w:qFormat/>
    <w:rsid w:val="00B40910"/>
    <w:pPr>
      <w:ind w:left="720"/>
      <w:contextualSpacing/>
    </w:pPr>
  </w:style>
  <w:style w:type="character" w:styleId="IntenseEmphasis">
    <w:name w:val="Intense Emphasis"/>
    <w:basedOn w:val="DefaultParagraphFont"/>
    <w:uiPriority w:val="21"/>
    <w:qFormat/>
    <w:rsid w:val="00B40910"/>
    <w:rPr>
      <w:i/>
      <w:iCs/>
      <w:color w:val="0F4761" w:themeColor="accent1" w:themeShade="BF"/>
    </w:rPr>
  </w:style>
  <w:style w:type="paragraph" w:styleId="IntenseQuote">
    <w:name w:val="Intense Quote"/>
    <w:basedOn w:val="Normal"/>
    <w:next w:val="Normal"/>
    <w:link w:val="IntenseQuoteChar"/>
    <w:uiPriority w:val="30"/>
    <w:qFormat/>
    <w:rsid w:val="00B4091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40910"/>
    <w:rPr>
      <w:i/>
      <w:iCs/>
      <w:color w:val="0F4761" w:themeColor="accent1" w:themeShade="BF"/>
    </w:rPr>
  </w:style>
  <w:style w:type="character" w:styleId="IntenseReference">
    <w:name w:val="Intense Reference"/>
    <w:basedOn w:val="DefaultParagraphFont"/>
    <w:uiPriority w:val="32"/>
    <w:qFormat/>
    <w:rsid w:val="00B40910"/>
    <w:rPr>
      <w:b/>
      <w:bCs/>
      <w:smallCaps/>
      <w:color w:val="0F4761" w:themeColor="accent1" w:themeShade="BF"/>
      <w:spacing w:val="5"/>
    </w:rPr>
  </w:style>
  <w:style w:type="table" w:styleId="TableGrid">
    <w:name w:val="Table Grid"/>
    <w:basedOn w:val="TableNormal"/>
    <w:uiPriority w:val="39"/>
    <w:rsid w:val="00C43BF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D434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D43497"/>
  </w:style>
  <w:style w:type="paragraph" w:styleId="Footer">
    <w:name w:val="footer"/>
    <w:basedOn w:val="Normal"/>
    <w:link w:val="FooterChar"/>
    <w:uiPriority w:val="99"/>
    <w:unhideWhenUsed/>
    <w:rsid w:val="00D434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D4349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1900</Words>
  <Characters>10832</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12707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Ben Davies</dc:creator>
  <cp:keywords/>
  <dc:description/>
  <cp:lastModifiedBy>Ben Davies</cp:lastModifiedBy>
  <cp:revision>2</cp:revision>
  <dcterms:created xsi:type="dcterms:W3CDTF">2026-03-29T17:42:00Z</dcterms:created>
  <dcterms:modified xsi:type="dcterms:W3CDTF">2026-03-29T17:42:00Z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2824c2a6-8d7f-40a3-b867-ebf81c58d793</vt:lpwstr>
  </property>
</Properties>
</file>