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5D5A37" w14:textId="7EE4C165" w:rsidR="00E045DE" w:rsidRDefault="00E045DE" w:rsidP="00EA350D">
      <w:pPr>
        <w:spacing w:line="259" w:lineRule="auto"/>
        <w:jc w:val="center"/>
        <w:rPr>
          <w:b/>
          <w:bCs/>
          <w:sz w:val="32"/>
          <w:szCs w:val="28"/>
        </w:rPr>
      </w:pPr>
      <w:r>
        <w:rPr>
          <w:noProof/>
          <w:bdr w:val="none" w:sz="0" w:space="0" w:color="auto" w:frame="1"/>
        </w:rPr>
        <w:drawing>
          <wp:anchor distT="0" distB="0" distL="114300" distR="114300" simplePos="0" relativeHeight="251658240" behindDoc="0" locked="0" layoutInCell="1" allowOverlap="1" wp14:anchorId="739B193B" wp14:editId="65B34112">
            <wp:simplePos x="0" y="0"/>
            <wp:positionH relativeFrom="column">
              <wp:posOffset>0</wp:posOffset>
            </wp:positionH>
            <wp:positionV relativeFrom="paragraph">
              <wp:posOffset>19050</wp:posOffset>
            </wp:positionV>
            <wp:extent cx="1809750" cy="723900"/>
            <wp:effectExtent l="0" t="0" r="0" b="0"/>
            <wp:wrapNone/>
            <wp:docPr id="806718414"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490ED6D" w14:textId="227BB53E" w:rsidR="00E045DE" w:rsidRDefault="00E045DE" w:rsidP="00EA350D">
      <w:pPr>
        <w:spacing w:line="259" w:lineRule="auto"/>
        <w:jc w:val="center"/>
        <w:rPr>
          <w:b/>
          <w:bCs/>
          <w:sz w:val="32"/>
          <w:szCs w:val="28"/>
        </w:rPr>
      </w:pPr>
    </w:p>
    <w:p w14:paraId="00BCCAA4" w14:textId="77777777" w:rsidR="00E045DE" w:rsidRDefault="00E045DE" w:rsidP="00EA350D">
      <w:pPr>
        <w:spacing w:line="259" w:lineRule="auto"/>
        <w:jc w:val="center"/>
        <w:rPr>
          <w:b/>
          <w:bCs/>
          <w:sz w:val="32"/>
          <w:szCs w:val="28"/>
        </w:rPr>
      </w:pPr>
    </w:p>
    <w:p w14:paraId="2AB718D0" w14:textId="77777777" w:rsidR="00E045DE" w:rsidRDefault="00E045DE" w:rsidP="00EA350D">
      <w:pPr>
        <w:spacing w:line="259" w:lineRule="auto"/>
        <w:jc w:val="center"/>
        <w:rPr>
          <w:b/>
          <w:bCs/>
          <w:sz w:val="32"/>
          <w:szCs w:val="28"/>
        </w:rPr>
      </w:pPr>
    </w:p>
    <w:p w14:paraId="203556E5" w14:textId="77777777" w:rsidR="00E045DE" w:rsidRPr="00E045DE" w:rsidRDefault="00E045DE" w:rsidP="00EA350D">
      <w:pPr>
        <w:spacing w:line="259" w:lineRule="auto"/>
        <w:jc w:val="center"/>
        <w:rPr>
          <w:b/>
          <w:bCs/>
          <w:sz w:val="36"/>
          <w:szCs w:val="32"/>
        </w:rPr>
      </w:pPr>
    </w:p>
    <w:p w14:paraId="1D88F0D8" w14:textId="39535A92" w:rsidR="007E7F73" w:rsidRPr="00E045DE" w:rsidRDefault="00B25308" w:rsidP="00E045DE">
      <w:pPr>
        <w:spacing w:line="259" w:lineRule="auto"/>
        <w:jc w:val="center"/>
        <w:rPr>
          <w:b/>
          <w:bCs/>
          <w:sz w:val="36"/>
          <w:szCs w:val="32"/>
        </w:rPr>
      </w:pPr>
      <w:r w:rsidRPr="00E045DE">
        <w:rPr>
          <w:b/>
          <w:bCs/>
          <w:sz w:val="36"/>
          <w:szCs w:val="32"/>
        </w:rPr>
        <w:t>BMPL 4</w:t>
      </w:r>
      <w:r w:rsidR="00453583" w:rsidRPr="00E045DE">
        <w:rPr>
          <w:b/>
          <w:bCs/>
          <w:sz w:val="36"/>
          <w:szCs w:val="32"/>
        </w:rPr>
        <w:t>002</w:t>
      </w:r>
    </w:p>
    <w:p w14:paraId="19F30E90" w14:textId="4DC6628A" w:rsidR="007E7F73" w:rsidRPr="00E045DE" w:rsidRDefault="00EA350D" w:rsidP="00E045DE">
      <w:pPr>
        <w:spacing w:line="259" w:lineRule="auto"/>
        <w:jc w:val="center"/>
        <w:rPr>
          <w:rFonts w:eastAsiaTheme="majorEastAsia" w:cstheme="majorBidi"/>
          <w:b/>
          <w:sz w:val="48"/>
          <w:szCs w:val="48"/>
        </w:rPr>
      </w:pPr>
      <w:r w:rsidRPr="00E045DE">
        <w:rPr>
          <w:b/>
          <w:bCs/>
          <w:sz w:val="40"/>
          <w:szCs w:val="36"/>
        </w:rPr>
        <w:t>Preparing for Professional Police Practice</w:t>
      </w:r>
    </w:p>
    <w:p w14:paraId="268CD5DE" w14:textId="5B21DB2D" w:rsidR="00EA350D" w:rsidRDefault="007E7F73" w:rsidP="007E7F73">
      <w:pPr>
        <w:spacing w:line="259" w:lineRule="auto"/>
        <w:jc w:val="center"/>
        <w:rPr>
          <w:b/>
          <w:bCs/>
          <w:sz w:val="32"/>
          <w:szCs w:val="28"/>
        </w:rPr>
      </w:pPr>
      <w:r>
        <w:rPr>
          <w:b/>
          <w:bCs/>
          <w:sz w:val="32"/>
          <w:szCs w:val="28"/>
        </w:rPr>
        <w:t>“</w:t>
      </w:r>
      <w:r w:rsidR="002C30F8" w:rsidRPr="007E7F73">
        <w:rPr>
          <w:b/>
          <w:bCs/>
          <w:sz w:val="32"/>
          <w:szCs w:val="28"/>
        </w:rPr>
        <w:t>Policing by consent</w:t>
      </w:r>
      <w:r>
        <w:rPr>
          <w:b/>
          <w:bCs/>
          <w:sz w:val="32"/>
          <w:szCs w:val="28"/>
        </w:rPr>
        <w:t>”</w:t>
      </w:r>
    </w:p>
    <w:p w14:paraId="1D8622E0" w14:textId="2662CA6F" w:rsidR="001A7058" w:rsidRDefault="001A7058" w:rsidP="007E7F73">
      <w:pPr>
        <w:spacing w:line="259" w:lineRule="auto"/>
        <w:jc w:val="center"/>
        <w:rPr>
          <w:b/>
          <w:bCs/>
          <w:sz w:val="32"/>
          <w:szCs w:val="28"/>
        </w:rPr>
      </w:pPr>
      <w:r>
        <w:rPr>
          <w:b/>
          <w:bCs/>
          <w:sz w:val="32"/>
          <w:szCs w:val="28"/>
        </w:rPr>
        <w:t>NAME : MARIANA CHITOROG</w:t>
      </w:r>
    </w:p>
    <w:p w14:paraId="3CE232CD" w14:textId="6840EB0C" w:rsidR="001A7058" w:rsidRPr="007E7F73" w:rsidRDefault="001A7058" w:rsidP="007E7F73">
      <w:pPr>
        <w:spacing w:line="259" w:lineRule="auto"/>
        <w:jc w:val="center"/>
        <w:rPr>
          <w:rFonts w:eastAsiaTheme="majorEastAsia" w:cstheme="majorBidi"/>
          <w:b/>
          <w:bCs/>
          <w:sz w:val="40"/>
          <w:szCs w:val="40"/>
        </w:rPr>
      </w:pPr>
      <w:r>
        <w:rPr>
          <w:b/>
          <w:bCs/>
          <w:sz w:val="32"/>
          <w:szCs w:val="28"/>
        </w:rPr>
        <w:t>ID 2221813</w:t>
      </w:r>
    </w:p>
    <w:p w14:paraId="0A1D91B5" w14:textId="1B2DADFF" w:rsidR="002C30F8" w:rsidRDefault="002C30F8">
      <w:pPr>
        <w:spacing w:line="259" w:lineRule="auto"/>
        <w:jc w:val="left"/>
        <w:rPr>
          <w:rFonts w:eastAsiaTheme="majorEastAsia" w:cstheme="majorBidi"/>
          <w:b/>
          <w:sz w:val="32"/>
          <w:szCs w:val="32"/>
        </w:rPr>
      </w:pPr>
      <w:r>
        <w:br w:type="page"/>
      </w:r>
    </w:p>
    <w:p w14:paraId="182CB49A" w14:textId="17721F46" w:rsidR="004E290D" w:rsidRPr="004E290D" w:rsidRDefault="004E290D" w:rsidP="00E045DE">
      <w:pPr>
        <w:pStyle w:val="Heading1"/>
        <w:spacing w:before="0" w:after="120"/>
      </w:pPr>
      <w:bookmarkStart w:id="0" w:name="_Toc160291614"/>
      <w:r w:rsidRPr="004E290D">
        <w:lastRenderedPageBreak/>
        <w:t>Introduction</w:t>
      </w:r>
      <w:bookmarkEnd w:id="0"/>
    </w:p>
    <w:p w14:paraId="06192F9F" w14:textId="4F8CDE8C" w:rsidR="004E290D" w:rsidRPr="004E290D" w:rsidRDefault="002868C0" w:rsidP="00E045DE">
      <w:pPr>
        <w:spacing w:after="120"/>
      </w:pPr>
      <w:r w:rsidRPr="002868C0">
        <w:t>The "policing by consent" rule raises the prospect that the public may allow the police to establish their legitimacy and position. This notion originated in 1829, when Sir Robert Peel established the Metropolitan Police in London, highlighting the need for networks' cooperation and faith in the police in order to maintain the rule of law. This explanation will examine the fundamental reasons why consent-based policing is essential to majority-rule social regimes, how it affects the relationship between the police and the people and its wider implications.</w:t>
      </w:r>
    </w:p>
    <w:p w14:paraId="55A18A8C" w14:textId="77777777" w:rsidR="004E290D" w:rsidRPr="00E045DE" w:rsidRDefault="004E290D" w:rsidP="00E045DE">
      <w:pPr>
        <w:pStyle w:val="Heading1"/>
        <w:spacing w:before="0" w:after="120"/>
        <w:rPr>
          <w:sz w:val="28"/>
          <w:szCs w:val="28"/>
        </w:rPr>
      </w:pPr>
      <w:bookmarkStart w:id="1" w:name="_Toc160291615"/>
      <w:r w:rsidRPr="00E045DE">
        <w:rPr>
          <w:sz w:val="28"/>
          <w:szCs w:val="28"/>
        </w:rPr>
        <w:t>Meaning and Origins</w:t>
      </w:r>
      <w:bookmarkEnd w:id="1"/>
    </w:p>
    <w:p w14:paraId="314D0011" w14:textId="314C90FE" w:rsidR="004E290D" w:rsidRDefault="007C7446" w:rsidP="00E045DE">
      <w:pPr>
        <w:spacing w:after="120"/>
      </w:pPr>
      <w:r w:rsidRPr="007C7446">
        <w:t xml:space="preserve">The core tenet of policing by acquiescence is that law enforcement derives its authority to impose restrictions from the general public rather than from the government. Unlike other autocratic regimes where the populace was forced to actively obey, Strip believed that English citizens could cooperate with laws and assist the police if they believed the system to be just and legitimate. Therefore, the assent-based methodology was essential for ensuring that requests were valid rather than relying on animal strength. Today, assent-based policing is actually strengthened by </w:t>
      </w:r>
      <w:r w:rsidR="00453583">
        <w:t>S</w:t>
      </w:r>
      <w:r w:rsidRPr="007C7446">
        <w:t>trip-framed fundamental criteria such as proportionality, accountability, and min</w:t>
      </w:r>
      <w:r w:rsidR="00F70860">
        <w:t>imal authority decentrali</w:t>
      </w:r>
      <w:r w:rsidR="00342A18">
        <w:t>s</w:t>
      </w:r>
      <w:r w:rsidR="00F70860">
        <w:t xml:space="preserve">ation </w:t>
      </w:r>
      <w:r w:rsidR="00F70860" w:rsidRPr="00F70860">
        <w:t>(Adato, 2013).</w:t>
      </w:r>
    </w:p>
    <w:p w14:paraId="6B6034A1" w14:textId="6A427F6B" w:rsidR="00766E5C" w:rsidRPr="00766E5C" w:rsidRDefault="007C7446" w:rsidP="00E045DE">
      <w:pPr>
        <w:spacing w:after="120"/>
      </w:pPr>
      <w:r w:rsidRPr="007C7446">
        <w:t>The inception of policing by consent can be traced back to 1829 when Sir Robert Peel founded the Metropolitan Police in London. In contrast to the prevalent authoritarian model observed abroad, which involves security forces coercing the public into submission through physical coercion or intimidation, Peel identified the necessity for a novel strategy consistent with the democratic principles of the United Kingd</w:t>
      </w:r>
      <w:r w:rsidR="00F70860">
        <w:t xml:space="preserve">om </w:t>
      </w:r>
      <w:r w:rsidR="00F70860" w:rsidRPr="00F70860">
        <w:t>(Alpert et al., 2017).</w:t>
      </w:r>
      <w:r w:rsidRPr="007C7446">
        <w:t xml:space="preserve"> </w:t>
      </w:r>
      <w:r w:rsidR="00342A18">
        <w:t>Their</w:t>
      </w:r>
      <w:r w:rsidRPr="007C7446">
        <w:t xml:space="preserve"> statement that "the public is the police and the police are the public" meant that the very first police force could not operate without the participation, support, and confidence of the communities it served</w:t>
      </w:r>
      <w:r w:rsidR="00766E5C" w:rsidRPr="00766E5C">
        <w:t>.</w:t>
      </w:r>
    </w:p>
    <w:p w14:paraId="64CFF4F4" w14:textId="396D8015" w:rsidR="00766E5C" w:rsidRPr="00766E5C" w:rsidRDefault="00081C49" w:rsidP="00E045DE">
      <w:pPr>
        <w:spacing w:after="120"/>
      </w:pPr>
      <w:r w:rsidRPr="00081C49">
        <w:t xml:space="preserve">The establishment of the assent-based model was deemed necessary because </w:t>
      </w:r>
      <w:r w:rsidR="00E045DE">
        <w:t>of</w:t>
      </w:r>
      <w:r w:rsidRPr="00081C49">
        <w:t xml:space="preserve"> the limited availability of armament, </w:t>
      </w:r>
      <w:r w:rsidR="00E045DE">
        <w:t xml:space="preserve">and </w:t>
      </w:r>
      <w:r w:rsidRPr="00081C49">
        <w:t xml:space="preserve">personnel, and the relatively weak foundation of early police forces in comparison to other dominant mainland nations. In order to adopt a meaningful position, the police need mutual esteem, endorsement, and partnership. </w:t>
      </w:r>
      <w:r w:rsidR="00DF5036" w:rsidRPr="00DF5036">
        <w:t xml:space="preserve">Yet, Strip likewise thought assent was mentally and morally viable within society's standards. To safeguard equity and opportunity, </w:t>
      </w:r>
      <w:r w:rsidR="00342A18">
        <w:t>they</w:t>
      </w:r>
      <w:r w:rsidR="00DF5036" w:rsidRPr="00DF5036">
        <w:t xml:space="preserve"> upheld the idea of "policing by </w:t>
      </w:r>
      <w:r w:rsidR="00DF5036" w:rsidRPr="00DF5036">
        <w:lastRenderedPageBreak/>
        <w:t>open endorsement" instead of a</w:t>
      </w:r>
      <w:r w:rsidR="00F70860">
        <w:t xml:space="preserve"> tyrannical style of government </w:t>
      </w:r>
      <w:r w:rsidR="00F70860" w:rsidRPr="00F70860">
        <w:t>(Barker and Branson, 2014).</w:t>
      </w:r>
      <w:r w:rsidR="00DF5036" w:rsidRPr="00DF5036">
        <w:t xml:space="preserve"> With this endorsement came </w:t>
      </w:r>
      <w:r w:rsidR="00E045DE">
        <w:t xml:space="preserve">a </w:t>
      </w:r>
      <w:r w:rsidR="00DF5036" w:rsidRPr="00DF5036">
        <w:t>greater obligation regarding police staff to act in a legitimate and moral way towards people in general, as well as more prominent power and preparation to follow public orders.</w:t>
      </w:r>
    </w:p>
    <w:p w14:paraId="4A648BCD" w14:textId="06136835" w:rsidR="00766E5C" w:rsidRPr="004E290D" w:rsidRDefault="00167D4D" w:rsidP="00E045DE">
      <w:pPr>
        <w:spacing w:after="120"/>
      </w:pPr>
      <w:r w:rsidRPr="00167D4D">
        <w:t>A few key components empowered proceeding with assent, which is as yet vital today. This structure advances proportionality in power and discipline, responsible and reviewable specialists, decentralised and locally responsive associations, and political autonomy from government contributions. Officials were required to be honest, unbiased, and keep away from force. This connection between police action and public worthiness was based on proportional social guidelines, making major areas o</w:t>
      </w:r>
      <w:r w:rsidR="00F704AB">
        <w:t xml:space="preserve">f strength for an enduring bond </w:t>
      </w:r>
      <w:r w:rsidR="00F704AB" w:rsidRPr="00F704AB">
        <w:t>(Bigo, 2014).</w:t>
      </w:r>
      <w:r w:rsidRPr="00167D4D">
        <w:t xml:space="preserve"> Trust breakdowns because of bias, freedom infringement, or exceed undermine police credibility.</w:t>
      </w:r>
    </w:p>
    <w:p w14:paraId="72085288" w14:textId="77777777" w:rsidR="004E290D" w:rsidRPr="00E045DE" w:rsidRDefault="004E290D" w:rsidP="00E045DE">
      <w:pPr>
        <w:pStyle w:val="Heading1"/>
        <w:spacing w:before="0" w:after="120"/>
        <w:rPr>
          <w:sz w:val="28"/>
          <w:szCs w:val="28"/>
        </w:rPr>
      </w:pPr>
      <w:bookmarkStart w:id="2" w:name="_Toc160291616"/>
      <w:r w:rsidRPr="00E045DE">
        <w:rPr>
          <w:sz w:val="28"/>
          <w:szCs w:val="28"/>
        </w:rPr>
        <w:t>Importance of Public Approval</w:t>
      </w:r>
      <w:bookmarkEnd w:id="2"/>
    </w:p>
    <w:p w14:paraId="62771B97" w14:textId="38D777D3" w:rsidR="00F704AB" w:rsidRPr="00F704AB" w:rsidRDefault="00490BD3" w:rsidP="00E045DE">
      <w:pPr>
        <w:spacing w:after="120"/>
      </w:pPr>
      <w:r w:rsidRPr="00490BD3">
        <w:t>Research recommends major areas of strength for a balance between the public's eagerness to coordinate with and support lawful power and their view of procedural decency and authenticity. Without public help, policing can explore violations, assemble data, or complete positions. Peer endorsement is often important to use interesting abilities and rule others. Studies propose that reliable experts make people bound to adhere to rules. Police power and adequacy need consent.</w:t>
      </w:r>
      <w:r w:rsidRPr="00490BD3">
        <w:br/>
        <w:t xml:space="preserve">A lot of exploration shows that the public trusts policing more than it fears punishments or authority. At the point when residents see the police as </w:t>
      </w:r>
      <w:r w:rsidR="00E045DE">
        <w:t xml:space="preserve">an </w:t>
      </w:r>
      <w:r w:rsidRPr="00490BD3">
        <w:t>authentic power that lines up with society's values and interests, they are bound to assist with examinations, report violations and guilty parties, give data, and participate in local area support cr</w:t>
      </w:r>
      <w:r w:rsidR="00F704AB">
        <w:t xml:space="preserve">usades, even at individual cost </w:t>
      </w:r>
      <w:r w:rsidR="00F704AB" w:rsidRPr="00F704AB">
        <w:t>(Calvaruso et al., 2017).</w:t>
      </w:r>
      <w:r w:rsidRPr="00490BD3">
        <w:br/>
      </w:r>
      <w:r w:rsidR="00F704AB" w:rsidRPr="00F704AB">
        <w:t>Procedural fairness constructs institutional trust and authenticity. People's views of true reasonableness and transparency during connections influence authority authenticity. Reasonableness, regard, and obligation make individuals bound to acknowledge and follow, notwithstanding the results. According to another study, even if they avoid fines, people who receive unfair treatment are less likely to obey the law. Fair strategies energise consistency with rules. The adequacy of policing depends on open support, which depends on procedural reasonableness and shared standards (Carroll, 2017).</w:t>
      </w:r>
    </w:p>
    <w:p w14:paraId="2CF386AF" w14:textId="3D1CBD75" w:rsidR="007A616A" w:rsidRPr="004E290D" w:rsidRDefault="00490BD3" w:rsidP="00E045DE">
      <w:pPr>
        <w:spacing w:after="120"/>
      </w:pPr>
      <w:r w:rsidRPr="00490BD3">
        <w:lastRenderedPageBreak/>
        <w:t xml:space="preserve">The police should show realness to acquire support and remember the general population for approval. Without help, these abilities may not advance public contributions. Monster power and endorsers might assist with pressuring submission through dread. Yet, </w:t>
      </w:r>
      <w:r w:rsidR="00E045DE">
        <w:t xml:space="preserve">the </w:t>
      </w:r>
      <w:r w:rsidRPr="00490BD3">
        <w:t>enduring majority</w:t>
      </w:r>
      <w:r w:rsidR="00342A18">
        <w:t>-</w:t>
      </w:r>
      <w:r w:rsidRPr="00490BD3">
        <w:t>rule government needs ethically adjusted establishments where people purposely submit to principles in light of their confidence in institutional respectability.</w:t>
      </w:r>
    </w:p>
    <w:p w14:paraId="43360E98" w14:textId="77777777" w:rsidR="004E290D" w:rsidRPr="00E045DE" w:rsidRDefault="004E290D" w:rsidP="00E045DE">
      <w:pPr>
        <w:pStyle w:val="Heading1"/>
        <w:spacing w:before="0" w:after="120"/>
        <w:rPr>
          <w:sz w:val="28"/>
          <w:szCs w:val="28"/>
        </w:rPr>
      </w:pPr>
      <w:bookmarkStart w:id="3" w:name="_Toc160291617"/>
      <w:r w:rsidRPr="00E045DE">
        <w:rPr>
          <w:sz w:val="28"/>
          <w:szCs w:val="28"/>
        </w:rPr>
        <w:t>Influences on Police Culture &amp; Conduct</w:t>
      </w:r>
      <w:bookmarkEnd w:id="3"/>
    </w:p>
    <w:p w14:paraId="0BDAA4B4" w14:textId="0C8C8F6B" w:rsidR="004E290D" w:rsidRDefault="00530404" w:rsidP="00E045DE">
      <w:pPr>
        <w:spacing w:after="120"/>
      </w:pPr>
      <w:r w:rsidRPr="00530404">
        <w:t>This authori</w:t>
      </w:r>
      <w:r w:rsidR="00342A18">
        <w:t>s</w:t>
      </w:r>
      <w:r w:rsidRPr="00530404">
        <w:t>ation-based legacy has shaped the general police culture and demeano</w:t>
      </w:r>
      <w:r w:rsidR="00342A18">
        <w:t>ur</w:t>
      </w:r>
      <w:r w:rsidRPr="00530404">
        <w:t>. Rather than taking on the tyrant or strategic positions seen in different countries, police powers that embrace Strip's methodology are constrained to adjust their functional procedures to public assumptions. English police have kept up with public help by constantly taking on a controlled disposition, the least power, and a help-situated mentality. At the point when police accomplish something that sells out the public's confidence or goals, non-military personnel observe, and responsibility measures are set up to</w:t>
      </w:r>
      <w:r w:rsidR="00BF1666">
        <w:t xml:space="preserve"> get them and make things right </w:t>
      </w:r>
      <w:r w:rsidR="00BF1666" w:rsidRPr="00BF1666">
        <w:t>(Dick and Jankowicz, 2017).</w:t>
      </w:r>
      <w:r w:rsidRPr="00530404">
        <w:t xml:space="preserve"> An emergency of authenticity, which might happen when assent isn't followed, can incredibly diminish the viability of police operations.</w:t>
      </w:r>
    </w:p>
    <w:p w14:paraId="5E76FA3B" w14:textId="2D788443" w:rsidR="009578AD" w:rsidRPr="009578AD" w:rsidRDefault="00CD410D" w:rsidP="00E045DE">
      <w:pPr>
        <w:spacing w:after="120"/>
      </w:pPr>
      <w:r w:rsidRPr="00CD410D">
        <w:t xml:space="preserve">The management, bearing, and culture of police forces in countries like the UK have been significantly impacted by the arrangement-based model of policing. Trailblazers in police preparation and the board impart </w:t>
      </w:r>
      <w:r w:rsidR="00E045DE">
        <w:t>to</w:t>
      </w:r>
      <w:r w:rsidRPr="00CD410D">
        <w:t xml:space="preserve"> their officials the conviction that acquiring and keeping public help is crucial for the outcome of their power. As a result, public presumptions and goals impact the association of approaches, fra</w:t>
      </w:r>
      <w:r w:rsidR="00B15575">
        <w:t xml:space="preserve">meworks, and official direction </w:t>
      </w:r>
      <w:r w:rsidR="00B15575" w:rsidRPr="00B15575">
        <w:t>(Zannettou et al., 2018).</w:t>
      </w:r>
    </w:p>
    <w:p w14:paraId="007F5EC9" w14:textId="7184C6DD" w:rsidR="00617A4D" w:rsidRPr="00617A4D" w:rsidRDefault="00617A4D" w:rsidP="00E045DE">
      <w:pPr>
        <w:spacing w:after="120"/>
      </w:pPr>
      <w:r w:rsidRPr="00617A4D">
        <w:t>British police, for instance, have a custom of peacefulness and balance that separates them from their more forceful mainland partners; they possibly resort to driving when important. To keep the public's help, cops are under persistent strain to embrace an assistance mindset, cooperate with the local area, and utilise little power. A few kinds of responsibility plan to distinguish, and that's what redress misconduct, whenever left unrestrained, could hurt trust and the readiness to assent. These incorporate common checks, protest examinations, and unfortunate behaviour preliminaries (Hea</w:t>
      </w:r>
      <w:r w:rsidR="00453583">
        <w:t>th</w:t>
      </w:r>
      <w:r w:rsidRPr="00617A4D">
        <w:t xml:space="preserve"> and Palenchar, 2014).</w:t>
      </w:r>
    </w:p>
    <w:p w14:paraId="28647E29" w14:textId="58B86E97" w:rsidR="009578AD" w:rsidRPr="004E290D" w:rsidRDefault="00FB337D" w:rsidP="00E045DE">
      <w:pPr>
        <w:spacing w:after="120"/>
      </w:pPr>
      <w:r w:rsidRPr="00FB337D">
        <w:lastRenderedPageBreak/>
        <w:t>At the point when public trust is subverted, it might prompt inquiries regarding the validity and utility of policing. To forestall radical, defiant, or hardliner societies from holding onto power, the consent custom has a fundamental impact as such. Disposing of bad behaviour is incomprehensible, yet keeping an honest, decent, and confined lifestyle is expected to hold agreement through the execution of projects for proce</w:t>
      </w:r>
      <w:r w:rsidR="00617A4D">
        <w:t xml:space="preserve">dural equity and responsibility </w:t>
      </w:r>
      <w:r w:rsidR="00617A4D" w:rsidRPr="00617A4D">
        <w:t>(Hess et al., 2013).</w:t>
      </w:r>
    </w:p>
    <w:p w14:paraId="5DED4BCE" w14:textId="77777777" w:rsidR="004E290D" w:rsidRPr="00E045DE" w:rsidRDefault="004E290D" w:rsidP="00E045DE">
      <w:pPr>
        <w:pStyle w:val="Heading1"/>
        <w:spacing w:before="0" w:after="120"/>
        <w:rPr>
          <w:sz w:val="28"/>
          <w:szCs w:val="28"/>
        </w:rPr>
      </w:pPr>
      <w:bookmarkStart w:id="4" w:name="_Toc160291618"/>
      <w:r w:rsidRPr="00E045DE">
        <w:rPr>
          <w:sz w:val="28"/>
          <w:szCs w:val="28"/>
        </w:rPr>
        <w:t>Impact on Community Relations</w:t>
      </w:r>
      <w:bookmarkEnd w:id="4"/>
    </w:p>
    <w:p w14:paraId="73820370" w14:textId="52A3BDE0" w:rsidR="004E290D" w:rsidRDefault="006C6CBC" w:rsidP="00E045DE">
      <w:pPr>
        <w:spacing w:after="120"/>
      </w:pPr>
      <w:r w:rsidRPr="006C6CBC">
        <w:t>Participation, people group perspectives, and legitimateness might be fundamentally influenced by assent policing.</w:t>
      </w:r>
      <w:r w:rsidR="00BD3C2E" w:rsidRPr="00BD3C2E">
        <w:t xml:space="preserve"> People are more inclined to self-regulate and see institutions as legitimate when authorities behave honestly, offer conversation opportunities, and exhibit respect, according to research in procedural justice theory. </w:t>
      </w:r>
      <w:r w:rsidR="001D2B5D" w:rsidRPr="001D2B5D">
        <w:t xml:space="preserve">Local area policing and other issue-arranged police strategies to help individuals' readiness to assent and connect by cultivating local area ties and handling nearby issues (Ingram et al., 2018). Oppressive </w:t>
      </w:r>
      <w:r w:rsidR="00F17C41">
        <w:t>over-policing</w:t>
      </w:r>
      <w:r w:rsidR="001D2B5D" w:rsidRPr="001D2B5D">
        <w:t xml:space="preserve"> can prompt an expansion in objections, rebelliousness, and struggle by abusing individuals' freedoms and shared standards. Assent depends on controlling local area assumptions and developing neighbo</w:t>
      </w:r>
      <w:r w:rsidR="00E16223">
        <w:t>urhood</w:t>
      </w:r>
      <w:r w:rsidR="001D2B5D" w:rsidRPr="001D2B5D">
        <w:t xml:space="preserve"> information.</w:t>
      </w:r>
    </w:p>
    <w:p w14:paraId="670ADA88" w14:textId="278175CF" w:rsidR="00EA350D" w:rsidRPr="00EA350D" w:rsidRDefault="001D2B5D" w:rsidP="00E045DE">
      <w:pPr>
        <w:spacing w:after="120"/>
      </w:pPr>
      <w:r w:rsidRPr="001D2B5D">
        <w:t>Depending on how neighbo</w:t>
      </w:r>
      <w:r w:rsidR="00E16223">
        <w:t>urhood</w:t>
      </w:r>
      <w:r w:rsidRPr="001D2B5D">
        <w:t xml:space="preserve"> specialists execute police standards through quiet submission, they can altogether affect public perspectives on legitimacy, levels of conscious commitment, and shared agreement. A broad and exact examination in view of the procedural value speculation exhibits that when police lay out direct correspondence, permit people to offer their viewpoints, treat people with pride and regard, and show responsibility, individuals are bound to see frameworks as genuine specialists of force and, subsequently, manage their way of behaving (Kostka, 2019).</w:t>
      </w:r>
    </w:p>
    <w:p w14:paraId="32E81B13" w14:textId="0FB4C419" w:rsidR="007D2A36" w:rsidRDefault="007D2A36" w:rsidP="00E045DE">
      <w:pPr>
        <w:spacing w:after="120"/>
      </w:pPr>
      <w:r w:rsidRPr="007D2A36">
        <w:t xml:space="preserve">Local area policing and issue-situated policing are strategies aimed at cultivating positive local area organisations and fostering trust. By providing guidance to residents on local matters, addressing specific problems, regardless of whether they are formally classified as criminal or not, and adapting to individual requirements, agreement and cooperation </w:t>
      </w:r>
      <w:r w:rsidR="00B15575">
        <w:t xml:space="preserve">may be strengthened </w:t>
      </w:r>
      <w:r w:rsidR="00B15575" w:rsidRPr="00B15575">
        <w:t>(Shay and Byers, 2023).</w:t>
      </w:r>
      <w:r w:rsidRPr="007D2A36">
        <w:t xml:space="preserve"> Officials </w:t>
      </w:r>
      <w:r w:rsidR="00E045DE">
        <w:t>engaged</w:t>
      </w:r>
      <w:r w:rsidRPr="007D2A36">
        <w:t xml:space="preserve"> in the practice of fabricating familiarity with networks in order to customise optional permission and support based on specific requirements.</w:t>
      </w:r>
    </w:p>
    <w:p w14:paraId="33B7C567" w14:textId="79CCF096" w:rsidR="00A677B7" w:rsidRDefault="007D2A36" w:rsidP="00E045DE">
      <w:pPr>
        <w:spacing w:after="120"/>
      </w:pPr>
      <w:r w:rsidRPr="007D2A36">
        <w:lastRenderedPageBreak/>
        <w:t xml:space="preserve">Various initiatives, such as voluntary awareness campaigns, external complaint mechanisms, and community-based forums and search engines, also aim to demonstrate accountability and ethical conduct. Conversely, when excessive law enforcement violates privileges or shared values, it poses a significant threat to public confidence and the capacity to give consent. </w:t>
      </w:r>
      <w:r w:rsidR="0017540D" w:rsidRPr="0017540D">
        <w:t>Techniques that disregard procedural reasonableness and trustworthiness incorporate uncalled-for pause and search, ridiculous utilisation of force, outlandish disturbance, media depictions of minority gatherings or activists in a negative light, and cle</w:t>
      </w:r>
      <w:r w:rsidR="00B15575">
        <w:t xml:space="preserve">ar suppression of contradiction </w:t>
      </w:r>
      <w:r w:rsidR="00B15575" w:rsidRPr="00B15575">
        <w:t>(Silver et al., 2017).</w:t>
      </w:r>
    </w:p>
    <w:p w14:paraId="05188907" w14:textId="78C52ECE" w:rsidR="00EA350D" w:rsidRPr="004E290D" w:rsidRDefault="007D2A36" w:rsidP="00E045DE">
      <w:pPr>
        <w:spacing w:after="120"/>
      </w:pPr>
      <w:r w:rsidRPr="007D2A36">
        <w:t>The aforementioned grievances, sentiments of disagreement with law enforcement strategies, and detachment from deliberate engagement pose substantial challenges in the prevention of unrest and misconduct. The reinforcement of viability through common approval necessitates the adaptation of public preconceptions a</w:t>
      </w:r>
      <w:r w:rsidR="00B15575">
        <w:t xml:space="preserve">nd experiences to limited norms </w:t>
      </w:r>
      <w:r w:rsidR="00B15575" w:rsidRPr="00B15575">
        <w:t>(Wanta, 2023).</w:t>
      </w:r>
      <w:r w:rsidRPr="007D2A36">
        <w:t xml:space="preserve"> The proliferation of biassed or illegal activities poses a significant challenge to the basic acquiescence required for effective vote-based policing.</w:t>
      </w:r>
    </w:p>
    <w:p w14:paraId="5DCAC537" w14:textId="77777777" w:rsidR="004E290D" w:rsidRPr="004E290D" w:rsidRDefault="004E290D" w:rsidP="00E045DE">
      <w:pPr>
        <w:pStyle w:val="Heading1"/>
        <w:spacing w:before="0" w:after="120"/>
      </w:pPr>
      <w:bookmarkStart w:id="5" w:name="_Toc160291619"/>
      <w:r w:rsidRPr="004E290D">
        <w:t>Conclusion</w:t>
      </w:r>
      <w:bookmarkEnd w:id="5"/>
    </w:p>
    <w:p w14:paraId="46FCAD9D" w14:textId="6E8B2D03" w:rsidR="004E290D" w:rsidRPr="004E290D" w:rsidRDefault="00A677B7" w:rsidP="00E045DE">
      <w:pPr>
        <w:spacing w:after="120"/>
      </w:pPr>
      <w:r w:rsidRPr="00A677B7">
        <w:t>This article has embraced an examination of the importance and results of policing by assent, which started with Strip's standards executed in nineteenth-century London. Agree keeps on being fundamental in the current day to guarantee the viability, obligation, utilisation of suitable power, and positive local area impressions that permit contemporary policing to complete their undertakings in a fair and productive way. In spite of the fact that there are steady hardships in executing assent-based policing, it remains a principal obligation regarding majority-rule police associations to safeguard public acknowledg</w:t>
      </w:r>
      <w:r w:rsidR="00342A18">
        <w:t>ement</w:t>
      </w:r>
      <w:r w:rsidRPr="00A677B7">
        <w:t xml:space="preserve"> and shared cultural beliefs.</w:t>
      </w:r>
    </w:p>
    <w:p w14:paraId="51948484" w14:textId="3F3D2556" w:rsidR="00863A78" w:rsidRDefault="00863A78" w:rsidP="00E045DE">
      <w:pPr>
        <w:spacing w:after="120"/>
        <w:jc w:val="left"/>
      </w:pPr>
      <w:r>
        <w:br w:type="page"/>
      </w:r>
    </w:p>
    <w:p w14:paraId="27CE344D" w14:textId="5DC2DD68" w:rsidR="00735ECB" w:rsidRDefault="00863A78" w:rsidP="00E045DE">
      <w:pPr>
        <w:pStyle w:val="Heading1"/>
        <w:spacing w:before="0" w:after="120"/>
      </w:pPr>
      <w:bookmarkStart w:id="6" w:name="_Toc160291620"/>
      <w:r>
        <w:lastRenderedPageBreak/>
        <w:t>References</w:t>
      </w:r>
      <w:bookmarkEnd w:id="6"/>
    </w:p>
    <w:p w14:paraId="5727DABF" w14:textId="77777777" w:rsidR="00E045DE" w:rsidRDefault="00E045DE" w:rsidP="00E045DE">
      <w:pPr>
        <w:spacing w:after="120"/>
      </w:pPr>
      <w:r>
        <w:t>Adato, M., 2013</w:t>
      </w:r>
      <w:r w:rsidRPr="007C05AA">
        <w:t>. </w:t>
      </w:r>
      <w:r w:rsidRPr="00E045DE">
        <w:rPr>
          <w:i/>
          <w:iCs/>
        </w:rPr>
        <w:t>The impact of PROGRESA on community social relationships</w:t>
      </w:r>
      <w:r w:rsidRPr="007C05AA">
        <w:t> (No. 600-2016-40145).</w:t>
      </w:r>
    </w:p>
    <w:p w14:paraId="2EFFB6FE" w14:textId="77777777" w:rsidR="00E045DE" w:rsidRDefault="00E045DE" w:rsidP="00E045DE">
      <w:pPr>
        <w:spacing w:after="120"/>
      </w:pPr>
      <w:r w:rsidRPr="008D5B62">
        <w:t>Alpert, G.P., McLean, K. and Wolfe, S., 2017. Consent decrees: An approach to police accountability and reform. </w:t>
      </w:r>
      <w:r w:rsidRPr="00E045DE">
        <w:rPr>
          <w:i/>
          <w:iCs/>
        </w:rPr>
        <w:t>Police Quarterly</w:t>
      </w:r>
      <w:r w:rsidRPr="008D5B62">
        <w:t>, </w:t>
      </w:r>
      <w:r w:rsidRPr="00E045DE">
        <w:rPr>
          <w:i/>
          <w:iCs/>
        </w:rPr>
        <w:t>20</w:t>
      </w:r>
      <w:r w:rsidRPr="008D5B62">
        <w:t>(3), pp.239-249.</w:t>
      </w:r>
    </w:p>
    <w:p w14:paraId="231BED71" w14:textId="77777777" w:rsidR="00E045DE" w:rsidRDefault="00E045DE" w:rsidP="00E045DE">
      <w:pPr>
        <w:spacing w:after="120"/>
      </w:pPr>
      <w:r w:rsidRPr="00E030F3">
        <w:t>Barker, R.L. and Branson, D.M., 2014. </w:t>
      </w:r>
      <w:r w:rsidRPr="00E045DE">
        <w:rPr>
          <w:i/>
          <w:iCs/>
        </w:rPr>
        <w:t>Forensic social work: Legal aspects of professional practice</w:t>
      </w:r>
      <w:r w:rsidRPr="00E030F3">
        <w:t>. Routledge.</w:t>
      </w:r>
    </w:p>
    <w:p w14:paraId="0170C040" w14:textId="77777777" w:rsidR="00E045DE" w:rsidRDefault="00E045DE" w:rsidP="00E045DE">
      <w:pPr>
        <w:spacing w:after="120"/>
      </w:pPr>
      <w:r w:rsidRPr="00E030F3">
        <w:t>Bigo, D., 2014. The (in) securitization practices of the three universes of EU border control: Military/Navy–border guards/police–database analysts. </w:t>
      </w:r>
      <w:r w:rsidRPr="00E045DE">
        <w:rPr>
          <w:i/>
          <w:iCs/>
        </w:rPr>
        <w:t>Security Dialogue</w:t>
      </w:r>
      <w:r w:rsidRPr="00E030F3">
        <w:t>, </w:t>
      </w:r>
      <w:r w:rsidRPr="00E045DE">
        <w:rPr>
          <w:i/>
          <w:iCs/>
        </w:rPr>
        <w:t>45</w:t>
      </w:r>
      <w:r w:rsidRPr="00E030F3">
        <w:t>(3), pp.209-225.</w:t>
      </w:r>
    </w:p>
    <w:p w14:paraId="5D8C1391" w14:textId="77777777" w:rsidR="00E045DE" w:rsidRDefault="00E045DE" w:rsidP="00E045DE">
      <w:pPr>
        <w:spacing w:after="120"/>
      </w:pPr>
      <w:r w:rsidRPr="009A2CE1">
        <w:t>Calvaruso, G., Clough, M.T., Rechulski, M.D.K. and Rinaldi, R., 2017. On the meaning and origins of lignin recalcitrance: A critical analysis of the catalytic upgrading of lignins obtained from mechanocatalytic biorefining and organosolv pulping. </w:t>
      </w:r>
      <w:r w:rsidRPr="00E045DE">
        <w:rPr>
          <w:i/>
          <w:iCs/>
        </w:rPr>
        <w:t>ChemCatChem</w:t>
      </w:r>
      <w:r w:rsidRPr="009A2CE1">
        <w:t>, </w:t>
      </w:r>
      <w:r w:rsidRPr="00E045DE">
        <w:rPr>
          <w:i/>
          <w:iCs/>
        </w:rPr>
        <w:t>9</w:t>
      </w:r>
      <w:r w:rsidRPr="009A2CE1">
        <w:t>(14), pp.2691-2700.</w:t>
      </w:r>
    </w:p>
    <w:p w14:paraId="61D783FB" w14:textId="77777777" w:rsidR="00E045DE" w:rsidRDefault="00E045DE" w:rsidP="00E045DE">
      <w:pPr>
        <w:spacing w:after="120"/>
      </w:pPr>
      <w:r w:rsidRPr="009A2CE1">
        <w:t>Carroll, S., 2017. </w:t>
      </w:r>
      <w:r w:rsidRPr="00E045DE">
        <w:rPr>
          <w:i/>
          <w:iCs/>
        </w:rPr>
        <w:t>The big picture: on the origins of life, meaning, and the universe itself</w:t>
      </w:r>
      <w:r w:rsidRPr="009A2CE1">
        <w:t>. Penguin.</w:t>
      </w:r>
    </w:p>
    <w:p w14:paraId="23EF257A" w14:textId="77777777" w:rsidR="00E045DE" w:rsidRDefault="00E045DE" w:rsidP="00E045DE">
      <w:pPr>
        <w:spacing w:after="120"/>
      </w:pPr>
      <w:r w:rsidRPr="009A2CE1">
        <w:t>Dick, P. and Jankowicz, D., 2017. A social constructionist account of police culture and its influence on the representation and progression of female officers: A repertory grid analysis in a UK police force. In </w:t>
      </w:r>
      <w:r w:rsidRPr="00E045DE">
        <w:rPr>
          <w:i/>
          <w:iCs/>
        </w:rPr>
        <w:t>Women Police</w:t>
      </w:r>
      <w:r w:rsidRPr="009A2CE1">
        <w:t> (pp. 213-231). Routledge.</w:t>
      </w:r>
    </w:p>
    <w:p w14:paraId="287D8560" w14:textId="77777777" w:rsidR="00E045DE" w:rsidRDefault="00E045DE" w:rsidP="00E045DE">
      <w:pPr>
        <w:spacing w:after="120"/>
      </w:pPr>
      <w:r w:rsidRPr="007C05AA">
        <w:t>Heath, R.L. and Pa</w:t>
      </w:r>
      <w:r>
        <w:t>lenchar, M., 2014</w:t>
      </w:r>
      <w:r w:rsidRPr="007C05AA">
        <w:t>. Community relations and risk communication: A longitudinal study of the impact of emergency response messages. </w:t>
      </w:r>
      <w:r w:rsidRPr="00E045DE">
        <w:rPr>
          <w:i/>
          <w:iCs/>
        </w:rPr>
        <w:t>Journal of Public Relations Research</w:t>
      </w:r>
      <w:r w:rsidRPr="007C05AA">
        <w:t>, </w:t>
      </w:r>
      <w:r w:rsidRPr="00E045DE">
        <w:rPr>
          <w:i/>
          <w:iCs/>
        </w:rPr>
        <w:t>12</w:t>
      </w:r>
      <w:r w:rsidRPr="007C05AA">
        <w:t>(2), pp.131-161.</w:t>
      </w:r>
    </w:p>
    <w:p w14:paraId="7272755C" w14:textId="77777777" w:rsidR="00E045DE" w:rsidRDefault="00E045DE" w:rsidP="00E045DE">
      <w:pPr>
        <w:spacing w:after="120"/>
      </w:pPr>
      <w:r w:rsidRPr="00E030F3">
        <w:t>Hess, K.M., Orthmann, C.H. and Cho, H.L., 2013. </w:t>
      </w:r>
      <w:r w:rsidRPr="00E045DE">
        <w:rPr>
          <w:i/>
          <w:iCs/>
        </w:rPr>
        <w:t>Police operations: Theory and practice</w:t>
      </w:r>
      <w:r w:rsidRPr="00E030F3">
        <w:t>. Cengage Learning.</w:t>
      </w:r>
    </w:p>
    <w:p w14:paraId="2C0D412F" w14:textId="77777777" w:rsidR="00E045DE" w:rsidRDefault="00E045DE" w:rsidP="00E045DE">
      <w:pPr>
        <w:spacing w:after="120"/>
      </w:pPr>
      <w:r w:rsidRPr="009A2CE1">
        <w:t>Ingram, J.R., Terrill, W. and PAOLINE III, E.A., 2018. Police culture and officer behavior: Application of a multilevel framework. </w:t>
      </w:r>
      <w:r w:rsidRPr="00E045DE">
        <w:rPr>
          <w:i/>
          <w:iCs/>
        </w:rPr>
        <w:t>Criminology</w:t>
      </w:r>
      <w:r w:rsidRPr="009A2CE1">
        <w:t>, </w:t>
      </w:r>
      <w:r w:rsidRPr="00E045DE">
        <w:rPr>
          <w:i/>
          <w:iCs/>
        </w:rPr>
        <w:t>56</w:t>
      </w:r>
      <w:r w:rsidRPr="009A2CE1">
        <w:t>(4), pp.780-811.</w:t>
      </w:r>
    </w:p>
    <w:p w14:paraId="138A7E2B" w14:textId="77777777" w:rsidR="00E045DE" w:rsidRDefault="00E045DE" w:rsidP="00E045DE">
      <w:pPr>
        <w:spacing w:after="120"/>
      </w:pPr>
      <w:r w:rsidRPr="002B5EBB">
        <w:t>Kostka, G., 2019. China’s social credit systems and public opinion: Explaining high levels of approval. </w:t>
      </w:r>
      <w:r w:rsidRPr="00E045DE">
        <w:rPr>
          <w:i/>
          <w:iCs/>
        </w:rPr>
        <w:t>New media &amp; society</w:t>
      </w:r>
      <w:r w:rsidRPr="002B5EBB">
        <w:t>, </w:t>
      </w:r>
      <w:r w:rsidRPr="00E045DE">
        <w:rPr>
          <w:i/>
          <w:iCs/>
        </w:rPr>
        <w:t>21</w:t>
      </w:r>
      <w:r w:rsidRPr="002B5EBB">
        <w:t>(7), pp.1565-1593.</w:t>
      </w:r>
    </w:p>
    <w:p w14:paraId="43170625" w14:textId="77777777" w:rsidR="00E045DE" w:rsidRDefault="00E045DE" w:rsidP="00E045DE">
      <w:pPr>
        <w:spacing w:after="120"/>
      </w:pPr>
      <w:r w:rsidRPr="009A2CE1">
        <w:lastRenderedPageBreak/>
        <w:t>Shay, L.P. and Byers, J.S., 2023. Can’t buy me love? An experiment on the relationship between federal grant spending and public approval of federal agencies. </w:t>
      </w:r>
      <w:r w:rsidRPr="00E045DE">
        <w:rPr>
          <w:i/>
          <w:iCs/>
        </w:rPr>
        <w:t>Public Management Review</w:t>
      </w:r>
      <w:r w:rsidRPr="009A2CE1">
        <w:t>, pp.1-19.</w:t>
      </w:r>
    </w:p>
    <w:p w14:paraId="6553A111" w14:textId="77777777" w:rsidR="00E045DE" w:rsidRDefault="00E045DE" w:rsidP="00E045DE">
      <w:pPr>
        <w:spacing w:after="120"/>
      </w:pPr>
      <w:r w:rsidRPr="009A2CE1">
        <w:t>Silver, J.R., Roche, S.P., Bilach, T.J. and Bontrager Ryon, S., 2017. Traditional police culture, use of force, and procedural justice: Investigating individual, organizational, and contextual factors. </w:t>
      </w:r>
      <w:r w:rsidRPr="00E045DE">
        <w:rPr>
          <w:i/>
          <w:iCs/>
        </w:rPr>
        <w:t>Justice quarterly</w:t>
      </w:r>
      <w:r w:rsidRPr="009A2CE1">
        <w:t>, </w:t>
      </w:r>
      <w:r w:rsidRPr="00E045DE">
        <w:rPr>
          <w:i/>
          <w:iCs/>
        </w:rPr>
        <w:t>34</w:t>
      </w:r>
      <w:r w:rsidRPr="009A2CE1">
        <w:t>(7), pp.1272-1309.</w:t>
      </w:r>
    </w:p>
    <w:p w14:paraId="5456EB08" w14:textId="77777777" w:rsidR="00E045DE" w:rsidRDefault="00E045DE" w:rsidP="00E045DE">
      <w:pPr>
        <w:spacing w:after="120"/>
      </w:pPr>
      <w:r w:rsidRPr="002B5EBB">
        <w:t>Wanta, W., 2023. </w:t>
      </w:r>
      <w:r w:rsidRPr="00E045DE">
        <w:rPr>
          <w:i/>
          <w:iCs/>
        </w:rPr>
        <w:t>The public and the national agenda: How people learn about important issues</w:t>
      </w:r>
      <w:r w:rsidRPr="002B5EBB">
        <w:t>. Taylor &amp; Francis.</w:t>
      </w:r>
    </w:p>
    <w:p w14:paraId="2583744A" w14:textId="77777777" w:rsidR="00E045DE" w:rsidRDefault="00E045DE" w:rsidP="00E045DE">
      <w:pPr>
        <w:spacing w:after="120"/>
      </w:pPr>
      <w:r w:rsidRPr="009A2CE1">
        <w:t>Zannettou, S., Caulfield, T., Blackburn, J., De Cristofaro, E., Sirivianos, M., Stringhini, G. and Suarez-Tangil, G., 2018, October. On the origins of memes by means of fringe web communities. In </w:t>
      </w:r>
      <w:r w:rsidRPr="00E045DE">
        <w:rPr>
          <w:i/>
          <w:iCs/>
        </w:rPr>
        <w:t>Proceedings of the internet measurement conference 2018</w:t>
      </w:r>
      <w:r w:rsidRPr="009A2CE1">
        <w:t> (pp. 188-202).</w:t>
      </w:r>
    </w:p>
    <w:p w14:paraId="62E89F68" w14:textId="57D5324F" w:rsidR="00EC505F" w:rsidRDefault="00EC505F" w:rsidP="008D5B62"/>
    <w:p w14:paraId="28F7E75A" w14:textId="3F694FC4" w:rsidR="00EC505F" w:rsidRDefault="00EC505F" w:rsidP="008D5B62"/>
    <w:p w14:paraId="4625DA22" w14:textId="4AD1188C" w:rsidR="00EC505F" w:rsidRDefault="00EC505F" w:rsidP="008D5B62"/>
    <w:p w14:paraId="52A7A067" w14:textId="6385671D" w:rsidR="00EC505F" w:rsidRDefault="00EC505F" w:rsidP="008D5B62"/>
    <w:p w14:paraId="0FD19E5A" w14:textId="52FB6072" w:rsidR="00EC505F" w:rsidRDefault="00EC505F" w:rsidP="008D5B62"/>
    <w:p w14:paraId="10AFC90A" w14:textId="5258DEF2" w:rsidR="00EC505F" w:rsidRDefault="00EC505F" w:rsidP="008D5B62"/>
    <w:p w14:paraId="366DC8D9" w14:textId="2613B065" w:rsidR="00EC505F" w:rsidRDefault="00EC505F" w:rsidP="008D5B62"/>
    <w:p w14:paraId="5C62E08A" w14:textId="172AFDE2" w:rsidR="00EC505F" w:rsidRDefault="00EC505F" w:rsidP="008D5B62"/>
    <w:p w14:paraId="675A88D0" w14:textId="1EA78810" w:rsidR="00EC505F" w:rsidRDefault="00EC505F" w:rsidP="008D5B62"/>
    <w:p w14:paraId="1C1B91B3" w14:textId="2F8F1AE5" w:rsidR="00EC505F" w:rsidRDefault="00EC505F" w:rsidP="008D5B62"/>
    <w:p w14:paraId="20079431" w14:textId="77777777" w:rsidR="00EC505F" w:rsidRPr="008D5B62" w:rsidRDefault="00EC505F" w:rsidP="008D5B62"/>
    <w:sectPr w:rsidR="00EC505F" w:rsidRPr="008D5B62" w:rsidSect="00D638D7">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855860" w14:textId="77777777" w:rsidR="00D80C98" w:rsidRDefault="00D80C98" w:rsidP="00453583">
      <w:pPr>
        <w:spacing w:after="0" w:line="240" w:lineRule="auto"/>
      </w:pPr>
      <w:r>
        <w:separator/>
      </w:r>
    </w:p>
  </w:endnote>
  <w:endnote w:type="continuationSeparator" w:id="0">
    <w:p w14:paraId="64C65B5B" w14:textId="77777777" w:rsidR="00D80C98" w:rsidRDefault="00D80C98" w:rsidP="004535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6680125"/>
      <w:docPartObj>
        <w:docPartGallery w:val="Page Numbers (Bottom of Page)"/>
        <w:docPartUnique/>
      </w:docPartObj>
    </w:sdtPr>
    <w:sdtEndPr>
      <w:rPr>
        <w:noProof/>
      </w:rPr>
    </w:sdtEndPr>
    <w:sdtContent>
      <w:p w14:paraId="35334DEC" w14:textId="500C4D49" w:rsidR="00453583" w:rsidRDefault="00453583">
        <w:pPr>
          <w:pStyle w:val="Footer"/>
          <w:jc w:val="right"/>
        </w:pPr>
        <w:r>
          <w:fldChar w:fldCharType="begin"/>
        </w:r>
        <w:r>
          <w:instrText xml:space="preserve"> PAGE   \* MERGEFORMAT </w:instrText>
        </w:r>
        <w:r>
          <w:fldChar w:fldCharType="separate"/>
        </w:r>
        <w:r w:rsidR="00E16223">
          <w:rPr>
            <w:noProof/>
          </w:rPr>
          <w:t>6</w:t>
        </w:r>
        <w:r>
          <w:rPr>
            <w:noProof/>
          </w:rPr>
          <w:fldChar w:fldCharType="end"/>
        </w:r>
      </w:p>
    </w:sdtContent>
  </w:sdt>
  <w:p w14:paraId="53B3FA5B" w14:textId="77777777" w:rsidR="00453583" w:rsidRDefault="004535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6CD6D9" w14:textId="77777777" w:rsidR="00D80C98" w:rsidRDefault="00D80C98" w:rsidP="00453583">
      <w:pPr>
        <w:spacing w:after="0" w:line="240" w:lineRule="auto"/>
      </w:pPr>
      <w:r>
        <w:separator/>
      </w:r>
    </w:p>
  </w:footnote>
  <w:footnote w:type="continuationSeparator" w:id="0">
    <w:p w14:paraId="1A8BA731" w14:textId="77777777" w:rsidR="00D80C98" w:rsidRDefault="00D80C98" w:rsidP="004535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613A7"/>
    <w:multiLevelType w:val="hybridMultilevel"/>
    <w:tmpl w:val="64660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957CC1"/>
    <w:multiLevelType w:val="hybridMultilevel"/>
    <w:tmpl w:val="B7D04A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C9B"/>
    <w:rsid w:val="00081C49"/>
    <w:rsid w:val="000C2ABE"/>
    <w:rsid w:val="001330B9"/>
    <w:rsid w:val="00167D4D"/>
    <w:rsid w:val="0017540D"/>
    <w:rsid w:val="001A7058"/>
    <w:rsid w:val="001D2B5D"/>
    <w:rsid w:val="00227D91"/>
    <w:rsid w:val="00231247"/>
    <w:rsid w:val="002868C0"/>
    <w:rsid w:val="002B5EBB"/>
    <w:rsid w:val="002C30F8"/>
    <w:rsid w:val="002D3961"/>
    <w:rsid w:val="00311475"/>
    <w:rsid w:val="00342A18"/>
    <w:rsid w:val="00395571"/>
    <w:rsid w:val="00453583"/>
    <w:rsid w:val="00490BD3"/>
    <w:rsid w:val="004E290D"/>
    <w:rsid w:val="00530404"/>
    <w:rsid w:val="00573405"/>
    <w:rsid w:val="00600FAF"/>
    <w:rsid w:val="00617A4D"/>
    <w:rsid w:val="00681D90"/>
    <w:rsid w:val="006A701A"/>
    <w:rsid w:val="006C6CBC"/>
    <w:rsid w:val="00735ECB"/>
    <w:rsid w:val="00766E5C"/>
    <w:rsid w:val="007A616A"/>
    <w:rsid w:val="007C05AA"/>
    <w:rsid w:val="007C7446"/>
    <w:rsid w:val="007D2A36"/>
    <w:rsid w:val="007E7F73"/>
    <w:rsid w:val="008164D3"/>
    <w:rsid w:val="00863A78"/>
    <w:rsid w:val="00875901"/>
    <w:rsid w:val="008C462A"/>
    <w:rsid w:val="008D5B62"/>
    <w:rsid w:val="009578AD"/>
    <w:rsid w:val="009A2CE1"/>
    <w:rsid w:val="00A677B7"/>
    <w:rsid w:val="00AB0921"/>
    <w:rsid w:val="00AB7C9B"/>
    <w:rsid w:val="00B15575"/>
    <w:rsid w:val="00B25308"/>
    <w:rsid w:val="00BD3C2E"/>
    <w:rsid w:val="00BF1666"/>
    <w:rsid w:val="00C06272"/>
    <w:rsid w:val="00CA150C"/>
    <w:rsid w:val="00CD410D"/>
    <w:rsid w:val="00CF08E7"/>
    <w:rsid w:val="00D638D7"/>
    <w:rsid w:val="00D80C98"/>
    <w:rsid w:val="00DF5036"/>
    <w:rsid w:val="00E030F3"/>
    <w:rsid w:val="00E045DE"/>
    <w:rsid w:val="00E16223"/>
    <w:rsid w:val="00E52821"/>
    <w:rsid w:val="00E54DBC"/>
    <w:rsid w:val="00E93AA0"/>
    <w:rsid w:val="00EA350D"/>
    <w:rsid w:val="00EC505F"/>
    <w:rsid w:val="00F17C41"/>
    <w:rsid w:val="00F704AB"/>
    <w:rsid w:val="00F70860"/>
    <w:rsid w:val="00FB337D"/>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2DE4EA"/>
  <w15:chartTrackingRefBased/>
  <w15:docId w15:val="{DDDA6F4F-F152-4601-9357-CA15F6CA7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AA0"/>
    <w:pPr>
      <w:spacing w:line="360" w:lineRule="auto"/>
      <w:jc w:val="both"/>
    </w:pPr>
    <w:rPr>
      <w:rFonts w:ascii="Arial" w:hAnsi="Arial"/>
    </w:rPr>
  </w:style>
  <w:style w:type="paragraph" w:styleId="Heading1">
    <w:name w:val="heading 1"/>
    <w:basedOn w:val="Normal"/>
    <w:next w:val="Normal"/>
    <w:link w:val="Heading1Char"/>
    <w:uiPriority w:val="9"/>
    <w:qFormat/>
    <w:rsid w:val="00395571"/>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681D90"/>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5571"/>
    <w:rPr>
      <w:rFonts w:eastAsiaTheme="majorEastAsia" w:cstheme="majorBidi"/>
      <w:b/>
      <w:sz w:val="32"/>
      <w:szCs w:val="32"/>
    </w:rPr>
  </w:style>
  <w:style w:type="character" w:customStyle="1" w:styleId="Heading2Char">
    <w:name w:val="Heading 2 Char"/>
    <w:basedOn w:val="DefaultParagraphFont"/>
    <w:link w:val="Heading2"/>
    <w:uiPriority w:val="9"/>
    <w:rsid w:val="00681D90"/>
    <w:rPr>
      <w:rFonts w:eastAsiaTheme="majorEastAsia" w:cstheme="majorBidi"/>
      <w:b/>
      <w:sz w:val="28"/>
      <w:szCs w:val="26"/>
    </w:rPr>
  </w:style>
  <w:style w:type="paragraph" w:styleId="NormalWeb">
    <w:name w:val="Normal (Web)"/>
    <w:basedOn w:val="Normal"/>
    <w:uiPriority w:val="99"/>
    <w:semiHidden/>
    <w:unhideWhenUsed/>
    <w:rsid w:val="00DF5036"/>
    <w:rPr>
      <w:rFonts w:ascii="Times New Roman" w:hAnsi="Times New Roman" w:cs="Times New Roman"/>
      <w:szCs w:val="24"/>
    </w:rPr>
  </w:style>
  <w:style w:type="paragraph" w:styleId="ListParagraph">
    <w:name w:val="List Paragraph"/>
    <w:basedOn w:val="Normal"/>
    <w:uiPriority w:val="34"/>
    <w:qFormat/>
    <w:rsid w:val="009A2CE1"/>
    <w:pPr>
      <w:ind w:left="720"/>
      <w:contextualSpacing/>
    </w:pPr>
  </w:style>
  <w:style w:type="paragraph" w:styleId="Header">
    <w:name w:val="header"/>
    <w:basedOn w:val="Normal"/>
    <w:link w:val="HeaderChar"/>
    <w:uiPriority w:val="99"/>
    <w:unhideWhenUsed/>
    <w:rsid w:val="004535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3583"/>
    <w:rPr>
      <w:rFonts w:ascii="Arial" w:hAnsi="Arial"/>
    </w:rPr>
  </w:style>
  <w:style w:type="paragraph" w:styleId="Footer">
    <w:name w:val="footer"/>
    <w:basedOn w:val="Normal"/>
    <w:link w:val="FooterChar"/>
    <w:uiPriority w:val="99"/>
    <w:unhideWhenUsed/>
    <w:rsid w:val="004535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3583"/>
    <w:rPr>
      <w:rFonts w:ascii="Arial" w:hAnsi="Arial"/>
    </w:rPr>
  </w:style>
  <w:style w:type="paragraph" w:styleId="TOCHeading">
    <w:name w:val="TOC Heading"/>
    <w:basedOn w:val="Heading1"/>
    <w:next w:val="Normal"/>
    <w:uiPriority w:val="39"/>
    <w:unhideWhenUsed/>
    <w:qFormat/>
    <w:rsid w:val="00453583"/>
    <w:pPr>
      <w:spacing w:line="259" w:lineRule="auto"/>
      <w:jc w:val="left"/>
      <w:outlineLvl w:val="9"/>
    </w:pPr>
    <w:rPr>
      <w:rFonts w:asciiTheme="majorHAnsi" w:hAnsiTheme="majorHAnsi"/>
      <w:b w:val="0"/>
      <w:color w:val="2F5496" w:themeColor="accent1" w:themeShade="BF"/>
      <w:kern w:val="0"/>
    </w:rPr>
  </w:style>
  <w:style w:type="paragraph" w:styleId="TOC1">
    <w:name w:val="toc 1"/>
    <w:basedOn w:val="Normal"/>
    <w:next w:val="Normal"/>
    <w:autoRedefine/>
    <w:uiPriority w:val="39"/>
    <w:unhideWhenUsed/>
    <w:rsid w:val="00453583"/>
    <w:pPr>
      <w:spacing w:after="100"/>
    </w:pPr>
  </w:style>
  <w:style w:type="character" w:styleId="Hyperlink">
    <w:name w:val="Hyperlink"/>
    <w:basedOn w:val="DefaultParagraphFont"/>
    <w:uiPriority w:val="99"/>
    <w:unhideWhenUsed/>
    <w:rsid w:val="0045358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12190">
      <w:bodyDiv w:val="1"/>
      <w:marLeft w:val="0"/>
      <w:marRight w:val="0"/>
      <w:marTop w:val="0"/>
      <w:marBottom w:val="0"/>
      <w:divBdr>
        <w:top w:val="none" w:sz="0" w:space="0" w:color="auto"/>
        <w:left w:val="none" w:sz="0" w:space="0" w:color="auto"/>
        <w:bottom w:val="none" w:sz="0" w:space="0" w:color="auto"/>
        <w:right w:val="none" w:sz="0" w:space="0" w:color="auto"/>
      </w:divBdr>
    </w:div>
    <w:div w:id="81293214">
      <w:bodyDiv w:val="1"/>
      <w:marLeft w:val="0"/>
      <w:marRight w:val="0"/>
      <w:marTop w:val="0"/>
      <w:marBottom w:val="0"/>
      <w:divBdr>
        <w:top w:val="none" w:sz="0" w:space="0" w:color="auto"/>
        <w:left w:val="none" w:sz="0" w:space="0" w:color="auto"/>
        <w:bottom w:val="none" w:sz="0" w:space="0" w:color="auto"/>
        <w:right w:val="none" w:sz="0" w:space="0" w:color="auto"/>
      </w:divBdr>
    </w:div>
    <w:div w:id="93979388">
      <w:bodyDiv w:val="1"/>
      <w:marLeft w:val="0"/>
      <w:marRight w:val="0"/>
      <w:marTop w:val="0"/>
      <w:marBottom w:val="0"/>
      <w:divBdr>
        <w:top w:val="none" w:sz="0" w:space="0" w:color="auto"/>
        <w:left w:val="none" w:sz="0" w:space="0" w:color="auto"/>
        <w:bottom w:val="none" w:sz="0" w:space="0" w:color="auto"/>
        <w:right w:val="none" w:sz="0" w:space="0" w:color="auto"/>
      </w:divBdr>
    </w:div>
    <w:div w:id="171457797">
      <w:bodyDiv w:val="1"/>
      <w:marLeft w:val="0"/>
      <w:marRight w:val="0"/>
      <w:marTop w:val="0"/>
      <w:marBottom w:val="0"/>
      <w:divBdr>
        <w:top w:val="none" w:sz="0" w:space="0" w:color="auto"/>
        <w:left w:val="none" w:sz="0" w:space="0" w:color="auto"/>
        <w:bottom w:val="none" w:sz="0" w:space="0" w:color="auto"/>
        <w:right w:val="none" w:sz="0" w:space="0" w:color="auto"/>
      </w:divBdr>
    </w:div>
    <w:div w:id="267080644">
      <w:bodyDiv w:val="1"/>
      <w:marLeft w:val="0"/>
      <w:marRight w:val="0"/>
      <w:marTop w:val="0"/>
      <w:marBottom w:val="0"/>
      <w:divBdr>
        <w:top w:val="none" w:sz="0" w:space="0" w:color="auto"/>
        <w:left w:val="none" w:sz="0" w:space="0" w:color="auto"/>
        <w:bottom w:val="none" w:sz="0" w:space="0" w:color="auto"/>
        <w:right w:val="none" w:sz="0" w:space="0" w:color="auto"/>
      </w:divBdr>
    </w:div>
    <w:div w:id="271284067">
      <w:bodyDiv w:val="1"/>
      <w:marLeft w:val="0"/>
      <w:marRight w:val="0"/>
      <w:marTop w:val="0"/>
      <w:marBottom w:val="0"/>
      <w:divBdr>
        <w:top w:val="none" w:sz="0" w:space="0" w:color="auto"/>
        <w:left w:val="none" w:sz="0" w:space="0" w:color="auto"/>
        <w:bottom w:val="none" w:sz="0" w:space="0" w:color="auto"/>
        <w:right w:val="none" w:sz="0" w:space="0" w:color="auto"/>
      </w:divBdr>
    </w:div>
    <w:div w:id="322316439">
      <w:bodyDiv w:val="1"/>
      <w:marLeft w:val="0"/>
      <w:marRight w:val="0"/>
      <w:marTop w:val="0"/>
      <w:marBottom w:val="0"/>
      <w:divBdr>
        <w:top w:val="none" w:sz="0" w:space="0" w:color="auto"/>
        <w:left w:val="none" w:sz="0" w:space="0" w:color="auto"/>
        <w:bottom w:val="none" w:sz="0" w:space="0" w:color="auto"/>
        <w:right w:val="none" w:sz="0" w:space="0" w:color="auto"/>
      </w:divBdr>
    </w:div>
    <w:div w:id="354237383">
      <w:bodyDiv w:val="1"/>
      <w:marLeft w:val="0"/>
      <w:marRight w:val="0"/>
      <w:marTop w:val="0"/>
      <w:marBottom w:val="0"/>
      <w:divBdr>
        <w:top w:val="none" w:sz="0" w:space="0" w:color="auto"/>
        <w:left w:val="none" w:sz="0" w:space="0" w:color="auto"/>
        <w:bottom w:val="none" w:sz="0" w:space="0" w:color="auto"/>
        <w:right w:val="none" w:sz="0" w:space="0" w:color="auto"/>
      </w:divBdr>
    </w:div>
    <w:div w:id="515508401">
      <w:bodyDiv w:val="1"/>
      <w:marLeft w:val="0"/>
      <w:marRight w:val="0"/>
      <w:marTop w:val="0"/>
      <w:marBottom w:val="0"/>
      <w:divBdr>
        <w:top w:val="none" w:sz="0" w:space="0" w:color="auto"/>
        <w:left w:val="none" w:sz="0" w:space="0" w:color="auto"/>
        <w:bottom w:val="none" w:sz="0" w:space="0" w:color="auto"/>
        <w:right w:val="none" w:sz="0" w:space="0" w:color="auto"/>
      </w:divBdr>
    </w:div>
    <w:div w:id="658851606">
      <w:bodyDiv w:val="1"/>
      <w:marLeft w:val="0"/>
      <w:marRight w:val="0"/>
      <w:marTop w:val="0"/>
      <w:marBottom w:val="0"/>
      <w:divBdr>
        <w:top w:val="none" w:sz="0" w:space="0" w:color="auto"/>
        <w:left w:val="none" w:sz="0" w:space="0" w:color="auto"/>
        <w:bottom w:val="none" w:sz="0" w:space="0" w:color="auto"/>
        <w:right w:val="none" w:sz="0" w:space="0" w:color="auto"/>
      </w:divBdr>
    </w:div>
    <w:div w:id="764837870">
      <w:bodyDiv w:val="1"/>
      <w:marLeft w:val="0"/>
      <w:marRight w:val="0"/>
      <w:marTop w:val="0"/>
      <w:marBottom w:val="0"/>
      <w:divBdr>
        <w:top w:val="none" w:sz="0" w:space="0" w:color="auto"/>
        <w:left w:val="none" w:sz="0" w:space="0" w:color="auto"/>
        <w:bottom w:val="none" w:sz="0" w:space="0" w:color="auto"/>
        <w:right w:val="none" w:sz="0" w:space="0" w:color="auto"/>
      </w:divBdr>
    </w:div>
    <w:div w:id="787092448">
      <w:bodyDiv w:val="1"/>
      <w:marLeft w:val="0"/>
      <w:marRight w:val="0"/>
      <w:marTop w:val="0"/>
      <w:marBottom w:val="0"/>
      <w:divBdr>
        <w:top w:val="none" w:sz="0" w:space="0" w:color="auto"/>
        <w:left w:val="none" w:sz="0" w:space="0" w:color="auto"/>
        <w:bottom w:val="none" w:sz="0" w:space="0" w:color="auto"/>
        <w:right w:val="none" w:sz="0" w:space="0" w:color="auto"/>
      </w:divBdr>
    </w:div>
    <w:div w:id="1137799856">
      <w:bodyDiv w:val="1"/>
      <w:marLeft w:val="0"/>
      <w:marRight w:val="0"/>
      <w:marTop w:val="0"/>
      <w:marBottom w:val="0"/>
      <w:divBdr>
        <w:top w:val="none" w:sz="0" w:space="0" w:color="auto"/>
        <w:left w:val="none" w:sz="0" w:space="0" w:color="auto"/>
        <w:bottom w:val="none" w:sz="0" w:space="0" w:color="auto"/>
        <w:right w:val="none" w:sz="0" w:space="0" w:color="auto"/>
      </w:divBdr>
    </w:div>
    <w:div w:id="1515920085">
      <w:bodyDiv w:val="1"/>
      <w:marLeft w:val="0"/>
      <w:marRight w:val="0"/>
      <w:marTop w:val="0"/>
      <w:marBottom w:val="0"/>
      <w:divBdr>
        <w:top w:val="none" w:sz="0" w:space="0" w:color="auto"/>
        <w:left w:val="none" w:sz="0" w:space="0" w:color="auto"/>
        <w:bottom w:val="none" w:sz="0" w:space="0" w:color="auto"/>
        <w:right w:val="none" w:sz="0" w:space="0" w:color="auto"/>
      </w:divBdr>
    </w:div>
    <w:div w:id="1546798483">
      <w:bodyDiv w:val="1"/>
      <w:marLeft w:val="0"/>
      <w:marRight w:val="0"/>
      <w:marTop w:val="0"/>
      <w:marBottom w:val="0"/>
      <w:divBdr>
        <w:top w:val="none" w:sz="0" w:space="0" w:color="auto"/>
        <w:left w:val="none" w:sz="0" w:space="0" w:color="auto"/>
        <w:bottom w:val="none" w:sz="0" w:space="0" w:color="auto"/>
        <w:right w:val="none" w:sz="0" w:space="0" w:color="auto"/>
      </w:divBdr>
    </w:div>
    <w:div w:id="1568876340">
      <w:bodyDiv w:val="1"/>
      <w:marLeft w:val="0"/>
      <w:marRight w:val="0"/>
      <w:marTop w:val="0"/>
      <w:marBottom w:val="0"/>
      <w:divBdr>
        <w:top w:val="none" w:sz="0" w:space="0" w:color="auto"/>
        <w:left w:val="none" w:sz="0" w:space="0" w:color="auto"/>
        <w:bottom w:val="none" w:sz="0" w:space="0" w:color="auto"/>
        <w:right w:val="none" w:sz="0" w:space="0" w:color="auto"/>
      </w:divBdr>
    </w:div>
    <w:div w:id="1630280298">
      <w:bodyDiv w:val="1"/>
      <w:marLeft w:val="0"/>
      <w:marRight w:val="0"/>
      <w:marTop w:val="0"/>
      <w:marBottom w:val="0"/>
      <w:divBdr>
        <w:top w:val="none" w:sz="0" w:space="0" w:color="auto"/>
        <w:left w:val="none" w:sz="0" w:space="0" w:color="auto"/>
        <w:bottom w:val="none" w:sz="0" w:space="0" w:color="auto"/>
        <w:right w:val="none" w:sz="0" w:space="0" w:color="auto"/>
      </w:divBdr>
      <w:divsChild>
        <w:div w:id="939027111">
          <w:marLeft w:val="0"/>
          <w:marRight w:val="0"/>
          <w:marTop w:val="0"/>
          <w:marBottom w:val="0"/>
          <w:divBdr>
            <w:top w:val="none" w:sz="0" w:space="0" w:color="auto"/>
            <w:left w:val="none" w:sz="0" w:space="0" w:color="auto"/>
            <w:bottom w:val="none" w:sz="0" w:space="0" w:color="auto"/>
            <w:right w:val="none" w:sz="0" w:space="0" w:color="auto"/>
          </w:divBdr>
        </w:div>
      </w:divsChild>
    </w:div>
    <w:div w:id="1633049896">
      <w:bodyDiv w:val="1"/>
      <w:marLeft w:val="0"/>
      <w:marRight w:val="0"/>
      <w:marTop w:val="0"/>
      <w:marBottom w:val="0"/>
      <w:divBdr>
        <w:top w:val="none" w:sz="0" w:space="0" w:color="auto"/>
        <w:left w:val="none" w:sz="0" w:space="0" w:color="auto"/>
        <w:bottom w:val="none" w:sz="0" w:space="0" w:color="auto"/>
        <w:right w:val="none" w:sz="0" w:space="0" w:color="auto"/>
      </w:divBdr>
    </w:div>
    <w:div w:id="1737775018">
      <w:bodyDiv w:val="1"/>
      <w:marLeft w:val="0"/>
      <w:marRight w:val="0"/>
      <w:marTop w:val="0"/>
      <w:marBottom w:val="0"/>
      <w:divBdr>
        <w:top w:val="none" w:sz="0" w:space="0" w:color="auto"/>
        <w:left w:val="none" w:sz="0" w:space="0" w:color="auto"/>
        <w:bottom w:val="none" w:sz="0" w:space="0" w:color="auto"/>
        <w:right w:val="none" w:sz="0" w:space="0" w:color="auto"/>
      </w:divBdr>
    </w:div>
    <w:div w:id="1969585504">
      <w:bodyDiv w:val="1"/>
      <w:marLeft w:val="0"/>
      <w:marRight w:val="0"/>
      <w:marTop w:val="0"/>
      <w:marBottom w:val="0"/>
      <w:divBdr>
        <w:top w:val="none" w:sz="0" w:space="0" w:color="auto"/>
        <w:left w:val="none" w:sz="0" w:space="0" w:color="auto"/>
        <w:bottom w:val="none" w:sz="0" w:space="0" w:color="auto"/>
        <w:right w:val="none" w:sz="0" w:space="0" w:color="auto"/>
      </w:divBdr>
    </w:div>
    <w:div w:id="1976329859">
      <w:bodyDiv w:val="1"/>
      <w:marLeft w:val="0"/>
      <w:marRight w:val="0"/>
      <w:marTop w:val="0"/>
      <w:marBottom w:val="0"/>
      <w:divBdr>
        <w:top w:val="none" w:sz="0" w:space="0" w:color="auto"/>
        <w:left w:val="none" w:sz="0" w:space="0" w:color="auto"/>
        <w:bottom w:val="none" w:sz="0" w:space="0" w:color="auto"/>
        <w:right w:val="none" w:sz="0" w:space="0" w:color="auto"/>
      </w:divBdr>
    </w:div>
    <w:div w:id="1996761416">
      <w:bodyDiv w:val="1"/>
      <w:marLeft w:val="0"/>
      <w:marRight w:val="0"/>
      <w:marTop w:val="0"/>
      <w:marBottom w:val="0"/>
      <w:divBdr>
        <w:top w:val="none" w:sz="0" w:space="0" w:color="auto"/>
        <w:left w:val="none" w:sz="0" w:space="0" w:color="auto"/>
        <w:bottom w:val="none" w:sz="0" w:space="0" w:color="auto"/>
        <w:right w:val="none" w:sz="0" w:space="0" w:color="auto"/>
      </w:divBdr>
    </w:div>
    <w:div w:id="2031250467">
      <w:bodyDiv w:val="1"/>
      <w:marLeft w:val="0"/>
      <w:marRight w:val="0"/>
      <w:marTop w:val="0"/>
      <w:marBottom w:val="0"/>
      <w:divBdr>
        <w:top w:val="none" w:sz="0" w:space="0" w:color="auto"/>
        <w:left w:val="none" w:sz="0" w:space="0" w:color="auto"/>
        <w:bottom w:val="none" w:sz="0" w:space="0" w:color="auto"/>
        <w:right w:val="none" w:sz="0" w:space="0" w:color="auto"/>
      </w:divBdr>
    </w:div>
    <w:div w:id="2062905110">
      <w:bodyDiv w:val="1"/>
      <w:marLeft w:val="0"/>
      <w:marRight w:val="0"/>
      <w:marTop w:val="0"/>
      <w:marBottom w:val="0"/>
      <w:divBdr>
        <w:top w:val="none" w:sz="0" w:space="0" w:color="auto"/>
        <w:left w:val="none" w:sz="0" w:space="0" w:color="auto"/>
        <w:bottom w:val="none" w:sz="0" w:space="0" w:color="auto"/>
        <w:right w:val="none" w:sz="0" w:space="0" w:color="auto"/>
      </w:divBdr>
    </w:div>
    <w:div w:id="2116897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0D4B7A-A8DB-41D9-8897-4E433A179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2137</Words>
  <Characters>12186</Characters>
  <Application>Microsoft Office Word</Application>
  <DocSecurity>0</DocSecurity>
  <PresentationFormat/>
  <Lines>101</Lines>
  <Paragraphs>28</Paragraphs>
  <Slides>0</Slides>
  <Notes>0</Notes>
  <HiddenSlides>0</HiddenSlides>
  <MMClips>0</MMClip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14295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11</dc:creator>
  <cp:keywords/>
  <dc:description/>
  <cp:lastModifiedBy>WINDOWS 11</cp:lastModifiedBy>
  <cp:revision>4</cp:revision>
  <cp:lastPrinted>1900-01-01T00:00:00Z</cp:lastPrinted>
  <dcterms:created xsi:type="dcterms:W3CDTF">2024-03-04T06:59:00Z</dcterms:created>
  <dcterms:modified xsi:type="dcterms:W3CDTF">2024-03-04T07:04:00Z</dcterms:modified>
  <cp:category/>
  <cp:contentStatus/>
  <dc:language/>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
  </property>
</Properties>
</file>