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333"/>
        <w:gridCol w:w="4333"/>
      </w:tblGrid>
      <w:tr w:rsidR="00306FCC" w14:paraId="3D9C3362" w14:textId="77777777" w:rsidTr="00306FCC">
        <w:trPr>
          <w:trHeight w:val="816"/>
        </w:trPr>
        <w:tc>
          <w:tcPr>
            <w:tcW w:w="4333" w:type="dxa"/>
          </w:tcPr>
          <w:p w14:paraId="6F68AAEC" w14:textId="6321FA38" w:rsidR="00306FCC" w:rsidRPr="00306FCC" w:rsidRDefault="00306FCC">
            <w:pPr>
              <w:rPr>
                <w:b/>
                <w:bCs/>
              </w:rPr>
            </w:pPr>
            <w:r>
              <w:rPr>
                <w:b/>
                <w:bCs/>
              </w:rPr>
              <w:t>Student name:</w:t>
            </w:r>
          </w:p>
        </w:tc>
        <w:tc>
          <w:tcPr>
            <w:tcW w:w="4333" w:type="dxa"/>
          </w:tcPr>
          <w:p w14:paraId="1D721BAB" w14:textId="0F27942A" w:rsidR="00306FCC" w:rsidRDefault="00306FCC">
            <w:r>
              <w:t>Iestyn Union</w:t>
            </w:r>
          </w:p>
        </w:tc>
      </w:tr>
      <w:tr w:rsidR="00306FCC" w14:paraId="18229E03" w14:textId="77777777" w:rsidTr="00306FCC">
        <w:trPr>
          <w:trHeight w:val="816"/>
        </w:trPr>
        <w:tc>
          <w:tcPr>
            <w:tcW w:w="4333" w:type="dxa"/>
          </w:tcPr>
          <w:p w14:paraId="2C6BFC49" w14:textId="737DF725" w:rsidR="00306FCC" w:rsidRPr="00306FCC" w:rsidRDefault="00306FCC">
            <w:pPr>
              <w:rPr>
                <w:b/>
                <w:bCs/>
              </w:rPr>
            </w:pPr>
            <w:r>
              <w:rPr>
                <w:b/>
                <w:bCs/>
              </w:rPr>
              <w:t>Student number:</w:t>
            </w:r>
          </w:p>
        </w:tc>
        <w:tc>
          <w:tcPr>
            <w:tcW w:w="4333" w:type="dxa"/>
          </w:tcPr>
          <w:p w14:paraId="45BA5383" w14:textId="2C5FAB42" w:rsidR="00306FCC" w:rsidRDefault="00306FCC">
            <w:r>
              <w:t>2</w:t>
            </w:r>
            <w:r w:rsidR="00681745">
              <w:t>1</w:t>
            </w:r>
            <w:r>
              <w:t>34304</w:t>
            </w:r>
          </w:p>
        </w:tc>
      </w:tr>
      <w:tr w:rsidR="00306FCC" w14:paraId="02A1BACE" w14:textId="77777777" w:rsidTr="00306FCC">
        <w:trPr>
          <w:trHeight w:val="854"/>
        </w:trPr>
        <w:tc>
          <w:tcPr>
            <w:tcW w:w="4333" w:type="dxa"/>
          </w:tcPr>
          <w:p w14:paraId="2B471772" w14:textId="57591DA5" w:rsidR="00306FCC" w:rsidRPr="00306FCC" w:rsidRDefault="00306FCC">
            <w:pPr>
              <w:rPr>
                <w:b/>
                <w:bCs/>
              </w:rPr>
            </w:pPr>
            <w:r>
              <w:rPr>
                <w:b/>
                <w:bCs/>
              </w:rPr>
              <w:t>Programme:</w:t>
            </w:r>
          </w:p>
        </w:tc>
        <w:tc>
          <w:tcPr>
            <w:tcW w:w="4333" w:type="dxa"/>
          </w:tcPr>
          <w:p w14:paraId="615B3233" w14:textId="0EDA9F4C" w:rsidR="00306FCC" w:rsidRDefault="00306FCC">
            <w:r>
              <w:t>Graduate Diploma in Policing</w:t>
            </w:r>
          </w:p>
        </w:tc>
      </w:tr>
      <w:tr w:rsidR="00306FCC" w14:paraId="23D3DBCA" w14:textId="77777777" w:rsidTr="00306FCC">
        <w:trPr>
          <w:trHeight w:val="816"/>
        </w:trPr>
        <w:tc>
          <w:tcPr>
            <w:tcW w:w="4333" w:type="dxa"/>
          </w:tcPr>
          <w:p w14:paraId="03148F44" w14:textId="5AAB6D6E" w:rsidR="00306FCC" w:rsidRPr="00306FCC" w:rsidRDefault="00306FCC">
            <w:pPr>
              <w:rPr>
                <w:b/>
                <w:bCs/>
              </w:rPr>
            </w:pPr>
            <w:r>
              <w:rPr>
                <w:b/>
                <w:bCs/>
              </w:rPr>
              <w:t>Module:</w:t>
            </w:r>
          </w:p>
        </w:tc>
        <w:tc>
          <w:tcPr>
            <w:tcW w:w="4333" w:type="dxa"/>
          </w:tcPr>
          <w:p w14:paraId="46C8E3B1" w14:textId="3B4B8264" w:rsidR="00306FCC" w:rsidRDefault="00306FCC">
            <w:r>
              <w:t>Operational Policing Practice 3</w:t>
            </w:r>
          </w:p>
        </w:tc>
      </w:tr>
      <w:tr w:rsidR="00306FCC" w14:paraId="16FCF850" w14:textId="77777777" w:rsidTr="00306FCC">
        <w:trPr>
          <w:trHeight w:val="816"/>
        </w:trPr>
        <w:tc>
          <w:tcPr>
            <w:tcW w:w="4333" w:type="dxa"/>
          </w:tcPr>
          <w:p w14:paraId="11A3A0BD" w14:textId="205E3F34" w:rsidR="00306FCC" w:rsidRPr="00306FCC" w:rsidRDefault="00306FCC">
            <w:pPr>
              <w:rPr>
                <w:b/>
                <w:bCs/>
              </w:rPr>
            </w:pPr>
            <w:r>
              <w:rPr>
                <w:b/>
                <w:bCs/>
              </w:rPr>
              <w:t>Module code:</w:t>
            </w:r>
          </w:p>
        </w:tc>
        <w:tc>
          <w:tcPr>
            <w:tcW w:w="4333" w:type="dxa"/>
          </w:tcPr>
          <w:p w14:paraId="4D5A29A8" w14:textId="0C6A023D" w:rsidR="00306FCC" w:rsidRDefault="00306FCC">
            <w:r>
              <w:t>BMP6005D</w:t>
            </w:r>
          </w:p>
        </w:tc>
      </w:tr>
      <w:tr w:rsidR="00306FCC" w14:paraId="61AD109E" w14:textId="77777777" w:rsidTr="00306FCC">
        <w:trPr>
          <w:trHeight w:val="816"/>
        </w:trPr>
        <w:tc>
          <w:tcPr>
            <w:tcW w:w="4333" w:type="dxa"/>
          </w:tcPr>
          <w:p w14:paraId="01CEC638" w14:textId="5FD818A0" w:rsidR="00306FCC" w:rsidRPr="00306FCC" w:rsidRDefault="00306FCC">
            <w:pPr>
              <w:rPr>
                <w:b/>
                <w:bCs/>
              </w:rPr>
            </w:pPr>
            <w:r>
              <w:rPr>
                <w:b/>
                <w:bCs/>
              </w:rPr>
              <w:t>Lecturer:</w:t>
            </w:r>
          </w:p>
        </w:tc>
        <w:tc>
          <w:tcPr>
            <w:tcW w:w="4333" w:type="dxa"/>
          </w:tcPr>
          <w:p w14:paraId="74970BD0" w14:textId="51395DEF" w:rsidR="00306FCC" w:rsidRDefault="00306FCC">
            <w:r>
              <w:t>Dr Rhiannon Sandy</w:t>
            </w:r>
          </w:p>
        </w:tc>
      </w:tr>
      <w:tr w:rsidR="00306FCC" w14:paraId="253240FD" w14:textId="77777777" w:rsidTr="00306FCC">
        <w:trPr>
          <w:trHeight w:val="854"/>
        </w:trPr>
        <w:tc>
          <w:tcPr>
            <w:tcW w:w="4333" w:type="dxa"/>
          </w:tcPr>
          <w:p w14:paraId="47635716" w14:textId="5BE39A29" w:rsidR="00306FCC" w:rsidRPr="00306FCC" w:rsidRDefault="00306FCC">
            <w:pPr>
              <w:rPr>
                <w:b/>
                <w:bCs/>
              </w:rPr>
            </w:pPr>
            <w:r>
              <w:rPr>
                <w:b/>
                <w:bCs/>
              </w:rPr>
              <w:t>Assignment Title:</w:t>
            </w:r>
          </w:p>
        </w:tc>
        <w:tc>
          <w:tcPr>
            <w:tcW w:w="4333" w:type="dxa"/>
          </w:tcPr>
          <w:p w14:paraId="4910D117" w14:textId="7D66D37E" w:rsidR="00306FCC" w:rsidRDefault="00306FCC">
            <w:r>
              <w:t>Academic Assignment</w:t>
            </w:r>
          </w:p>
        </w:tc>
      </w:tr>
      <w:tr w:rsidR="00306FCC" w14:paraId="200DFEAB" w14:textId="77777777" w:rsidTr="00306FCC">
        <w:trPr>
          <w:trHeight w:val="816"/>
        </w:trPr>
        <w:tc>
          <w:tcPr>
            <w:tcW w:w="4333" w:type="dxa"/>
          </w:tcPr>
          <w:p w14:paraId="13F3F764" w14:textId="68C54322" w:rsidR="00306FCC" w:rsidRPr="00306FCC" w:rsidRDefault="00306FCC">
            <w:pPr>
              <w:rPr>
                <w:b/>
                <w:bCs/>
              </w:rPr>
            </w:pPr>
            <w:r>
              <w:rPr>
                <w:b/>
                <w:bCs/>
              </w:rPr>
              <w:t>Word Count:</w:t>
            </w:r>
          </w:p>
        </w:tc>
        <w:tc>
          <w:tcPr>
            <w:tcW w:w="4333" w:type="dxa"/>
          </w:tcPr>
          <w:p w14:paraId="116663C4" w14:textId="6F0C7F30" w:rsidR="00306FCC" w:rsidRDefault="00306FCC">
            <w:r>
              <w:t>4029</w:t>
            </w:r>
          </w:p>
        </w:tc>
      </w:tr>
    </w:tbl>
    <w:p w14:paraId="4706ECBA" w14:textId="77777777" w:rsidR="00797073" w:rsidRDefault="00797073"/>
    <w:p w14:paraId="38F2E229" w14:textId="58DB20E6" w:rsidR="00306FCC" w:rsidRDefault="00306FCC">
      <w:r>
        <w:br w:type="page"/>
      </w:r>
    </w:p>
    <w:p w14:paraId="36009047" w14:textId="77777777" w:rsidR="00306FCC" w:rsidRDefault="00306FCC" w:rsidP="00306FCC">
      <w:pPr>
        <w:pStyle w:val="Default"/>
        <w:rPr>
          <w:sz w:val="22"/>
          <w:szCs w:val="22"/>
        </w:rPr>
      </w:pPr>
      <w:r>
        <w:rPr>
          <w:b/>
          <w:bCs/>
        </w:rPr>
        <w:lastRenderedPageBreak/>
        <w:t xml:space="preserve">Question: </w:t>
      </w:r>
      <w:r>
        <w:rPr>
          <w:sz w:val="22"/>
          <w:szCs w:val="22"/>
        </w:rPr>
        <w:t xml:space="preserve">How has the organisational culture in policing changed due to professionalisation, and how can organisational culture affect officers’ wellbeing and resilience? </w:t>
      </w:r>
    </w:p>
    <w:p w14:paraId="698A07DF" w14:textId="4EABBCC6" w:rsidR="00306FCC" w:rsidRPr="00306FCC" w:rsidRDefault="00306FCC" w:rsidP="00306FCC">
      <w:pPr>
        <w:rPr>
          <w:rFonts w:ascii="Arial" w:hAnsi="Arial" w:cs="Arial"/>
          <w:sz w:val="24"/>
          <w:szCs w:val="24"/>
        </w:rPr>
      </w:pPr>
      <w:r w:rsidRPr="00306FCC">
        <w:rPr>
          <w:rFonts w:ascii="Arial" w:hAnsi="Arial" w:cs="Arial"/>
          <w:sz w:val="24"/>
          <w:szCs w:val="24"/>
        </w:rPr>
        <w:t>Your answer must be based on academic research rather than personal experience.</w:t>
      </w:r>
    </w:p>
    <w:p w14:paraId="1B8489AC" w14:textId="376135D0" w:rsidR="00306FCC" w:rsidRDefault="00306FCC" w:rsidP="00306FCC">
      <w:pPr>
        <w:rPr>
          <w:rFonts w:ascii="Arial" w:hAnsi="Arial" w:cs="Arial"/>
          <w:b/>
          <w:bCs/>
          <w:sz w:val="24"/>
          <w:szCs w:val="24"/>
        </w:rPr>
      </w:pPr>
      <w:r w:rsidRPr="00306FCC">
        <w:rPr>
          <w:rFonts w:ascii="Arial" w:hAnsi="Arial" w:cs="Arial"/>
          <w:b/>
          <w:bCs/>
          <w:sz w:val="24"/>
          <w:szCs w:val="24"/>
        </w:rPr>
        <w:t>Answer:</w:t>
      </w:r>
    </w:p>
    <w:p w14:paraId="3B4A12A1" w14:textId="77777777" w:rsidR="00306FCC" w:rsidRPr="00306FCC" w:rsidRDefault="00306FCC" w:rsidP="00306FCC">
      <w:pPr>
        <w:rPr>
          <w:rFonts w:ascii="Arial" w:hAnsi="Arial" w:cs="Arial"/>
        </w:rPr>
      </w:pPr>
      <w:r w:rsidRPr="00306FCC">
        <w:rPr>
          <w:rFonts w:ascii="Arial" w:hAnsi="Arial" w:cs="Arial"/>
        </w:rPr>
        <w:t>In the following essay I shall be discussing the changes that have been made in the culture in policing and exploring how cultures previously held by older officers could have affected other officers’ wellbeing and resilience. Culture is to an organisation what personality is to an individual in that it defines that organisation and without it, that organisation would be devoid of any personality. In this comparison we are able to see that there will be both positive and negative aspects associated with the organisational culture within the police as we would be able to with an individual (Whelan, 2016). For a long period of policing there was a negative culture developing and an antisocial atmosphere amongst officers which could include racism, sexism, and other bigotries. This culture, often referred to as canteen culture, had drastic negative effects on persons who found themselves fitting into those categories which were discriminated against such as people from black and minority ethnic backgrounds and female officers. As such, those persons in those groups would find it difficult to feel at home or as if they were included as a part of the team, and often times , this culture would completely dissuade those persons from even attempt to join a policing organisation at all. Despite this negative view of the so called ‘Canteen Culture’, not all forces and not all officers did feel and share these negative views and there were some instances of positive impacts arising from organisational culture such as a sense of a tight knit team who would ensure that every member of the organisation would be looked after, and that there was often a good morale amongst the officers (Kingshott and Prinsloo, 2004).</w:t>
      </w:r>
    </w:p>
    <w:p w14:paraId="23B99005" w14:textId="77777777" w:rsidR="00306FCC" w:rsidRPr="00306FCC" w:rsidRDefault="00306FCC" w:rsidP="00306FCC">
      <w:pPr>
        <w:rPr>
          <w:rFonts w:ascii="Arial" w:hAnsi="Arial" w:cs="Arial"/>
        </w:rPr>
      </w:pPr>
    </w:p>
    <w:p w14:paraId="20D6DF05" w14:textId="77777777" w:rsidR="00306FCC" w:rsidRPr="00306FCC" w:rsidRDefault="00306FCC" w:rsidP="00306FCC">
      <w:pPr>
        <w:rPr>
          <w:rFonts w:ascii="Arial" w:hAnsi="Arial" w:cs="Arial"/>
        </w:rPr>
      </w:pPr>
      <w:r w:rsidRPr="00306FCC">
        <w:rPr>
          <w:rFonts w:ascii="Arial" w:hAnsi="Arial" w:cs="Arial"/>
        </w:rPr>
        <w:tab/>
        <w:t xml:space="preserve">This organisational culture was noted by many as a wholly negative aspect of policing and a barrier to entry to many potential applicants as I have previously stated. In recognising this, high ranking police officers noted a necessity for change in an attempt to rid the organisation of this culture and make it a more welcoming and open place where all those are respected fully. As such, new policies were introduced among forces putting a greater emphasis on things such as the ‘Peelian Principles’ which are set out to keep professionalism within police and keep officers accountable to actions they are taking, both in public facing roles, and in private where this so called ‘Canteen Culture’ is said to be thriving (Lentz and Chaires, 2007). In addition to emphasis on these principles, education and recruitment is used as a way to encourage those members of black and minority ethnic groups, who were typically the subject of ridicule in this old organisational culture, to become members of a police service which in itself reduces the likelihood of these discussions taking place (Lumsden, 2017). Furthermore, in an attempt to tackle the issues associated with the police culture of old, the College of Policing introduced something called the Code of Ethics in 2014. This code was issued under </w:t>
      </w:r>
      <w:r w:rsidRPr="00306FCC">
        <w:rPr>
          <w:rFonts w:ascii="Arial" w:hAnsi="Arial" w:cs="Arial"/>
          <w:i/>
          <w:iCs/>
        </w:rPr>
        <w:t xml:space="preserve">The Police Act 1996 </w:t>
      </w:r>
      <w:r w:rsidRPr="00306FCC">
        <w:rPr>
          <w:rFonts w:ascii="Arial" w:hAnsi="Arial" w:cs="Arial"/>
        </w:rPr>
        <w:t xml:space="preserve">and is at the centre in the change of professionalism within the police with it being a requirement for all police officers and staff to adhere to. The code is made up of standards of professionalism and behaviour that make up the backbone of policing organisational culture. In order to uphold these standards and to ensure that these ethics are adhered to, they are rigorously taught within officers initial training and the importance of such ethics are reinforced consistently. Additionally, any breach of the Code of Ethics is able to be dealt with in numerous ways such as peer challenges from colleagues who have heard or observed minor breaches of the ethics, all the way through to the breach being dealt with via police regulations and potential dismissal </w:t>
      </w:r>
      <w:r w:rsidRPr="00306FCC">
        <w:rPr>
          <w:rFonts w:ascii="Arial" w:hAnsi="Arial" w:cs="Arial"/>
        </w:rPr>
        <w:lastRenderedPageBreak/>
        <w:t>from the force in more severe instances of breaches (Wood et al., 2022). All of this goes to show that in recent years there has been a large drive by senior officers and other persons involved in the police service to change the organisational culture that exists to change it from a negative entity to a more open and inclusive aspect of policing, with the great emphasis on organisational culture being taught to young officers being filtered through to the older officers on shift who may still potentially have some of the old negative attitudes, allowing old, negative, organisational culture to die out.</w:t>
      </w:r>
    </w:p>
    <w:p w14:paraId="6E367611" w14:textId="77777777" w:rsidR="00306FCC" w:rsidRPr="00306FCC" w:rsidRDefault="00306FCC" w:rsidP="00306FCC">
      <w:pPr>
        <w:ind w:firstLine="720"/>
        <w:rPr>
          <w:rFonts w:ascii="Arial" w:hAnsi="Arial" w:cs="Arial"/>
        </w:rPr>
      </w:pPr>
      <w:r w:rsidRPr="00306FCC">
        <w:rPr>
          <w:rFonts w:ascii="Arial" w:hAnsi="Arial" w:cs="Arial"/>
        </w:rPr>
        <w:t>A negative organisational culture can have drastic effects on an officer’s wellbeing which can cause a greater impact such as professionalism, effectiveness, officer safety, and even public safety. Officer resilience will be depleted as they feel they are not supported by their organisation or are in unhealthy work environments and as such will feel overwhelmed by the work and types of jobs they are required to carry out. With the implementation of changes to that organisational culture, officers are able to work more effectively, will be less stressed in their role and, as such, they will be better able to safely carry out their duties in protecting the public. By introducing a more professional organisational culture, the wellbeing of officers will be greatly increased (Purba and Demou, 2019).</w:t>
      </w:r>
    </w:p>
    <w:p w14:paraId="3A5C4D4E" w14:textId="77777777" w:rsidR="00306FCC" w:rsidRPr="00306FCC" w:rsidRDefault="00306FCC" w:rsidP="00306FCC">
      <w:pPr>
        <w:rPr>
          <w:rFonts w:ascii="Arial" w:hAnsi="Arial" w:cs="Arial"/>
        </w:rPr>
      </w:pPr>
    </w:p>
    <w:p w14:paraId="020E8F2B" w14:textId="13EBC85F" w:rsidR="00306FCC" w:rsidRPr="00306FCC" w:rsidRDefault="00306FCC" w:rsidP="00306FCC">
      <w:pPr>
        <w:rPr>
          <w:rFonts w:ascii="Arial" w:hAnsi="Arial" w:cs="Arial"/>
        </w:rPr>
      </w:pPr>
      <w:r w:rsidRPr="00306FCC">
        <w:rPr>
          <w:rFonts w:ascii="Arial" w:hAnsi="Arial" w:cs="Arial"/>
        </w:rPr>
        <w:tab/>
        <w:t>In conclusion, changes in professionalism have greatly impacted the organisational culture of policing, providing it with a more professional attitude as, due to the Code of Ethics implemented by the College of Policing as I have previously stated, there is a commitment to use peer and self-regulation to assess the attitudes that were used by that individual officer in the incident that they have attended and for the officers to act in line with the new organisational culture, with those who do not act within are corrected in their attitudes or are disciplined by the organisation. This change in police culture to a more professional idea has had a positive impact on well-being and resilience of officers as there is a larger support network in place with them being able to discuss incidents with like</w:t>
      </w:r>
      <w:r w:rsidRPr="00306FCC">
        <w:rPr>
          <w:rFonts w:ascii="Arial" w:hAnsi="Arial" w:cs="Arial"/>
        </w:rPr>
        <w:t>-</w:t>
      </w:r>
      <w:r w:rsidRPr="00306FCC">
        <w:rPr>
          <w:rFonts w:ascii="Arial" w:hAnsi="Arial" w:cs="Arial"/>
        </w:rPr>
        <w:t>minded individuals who understand experiences they have dealt with, allowing officers to know that they are not alone in their experiences. This all goes to show that organisational culture in the police has undergone drastic change in recent times to one of increased officer well-being and overall organisational professionalism (Mithcell and Huey, 2018).</w:t>
      </w:r>
    </w:p>
    <w:p w14:paraId="029222B4" w14:textId="77777777" w:rsidR="00306FCC" w:rsidRDefault="00306FCC" w:rsidP="00306FCC">
      <w:pPr>
        <w:rPr>
          <w:rFonts w:ascii="Arial" w:hAnsi="Arial" w:cs="Arial"/>
          <w:sz w:val="24"/>
          <w:szCs w:val="24"/>
        </w:rPr>
      </w:pPr>
    </w:p>
    <w:p w14:paraId="55A6F2B7" w14:textId="77777777" w:rsidR="00306FCC" w:rsidRDefault="00306FCC" w:rsidP="00306FCC">
      <w:pPr>
        <w:rPr>
          <w:rFonts w:ascii="Arial" w:hAnsi="Arial" w:cs="Arial"/>
          <w:sz w:val="24"/>
          <w:szCs w:val="24"/>
        </w:rPr>
      </w:pPr>
    </w:p>
    <w:p w14:paraId="010D38C4" w14:textId="77777777" w:rsidR="00306FCC" w:rsidRPr="00306FCC" w:rsidRDefault="00306FCC" w:rsidP="00306FCC">
      <w:pPr>
        <w:rPr>
          <w:rFonts w:ascii="Arial" w:hAnsi="Arial" w:cs="Arial"/>
          <w:sz w:val="24"/>
          <w:szCs w:val="24"/>
        </w:rPr>
      </w:pPr>
    </w:p>
    <w:p w14:paraId="499FB961" w14:textId="4D7853E4" w:rsidR="00306FCC" w:rsidRDefault="00306FCC">
      <w:pPr>
        <w:rPr>
          <w:b/>
          <w:bCs/>
        </w:rPr>
      </w:pPr>
      <w:r>
        <w:rPr>
          <w:b/>
          <w:bCs/>
        </w:rPr>
        <w:br w:type="page"/>
      </w:r>
    </w:p>
    <w:p w14:paraId="2E56C8CB" w14:textId="2FCEDD48" w:rsidR="00306FCC" w:rsidRDefault="00306FCC" w:rsidP="00306FCC">
      <w:pPr>
        <w:pStyle w:val="Default"/>
        <w:rPr>
          <w:sz w:val="22"/>
          <w:szCs w:val="22"/>
        </w:rPr>
      </w:pPr>
      <w:r>
        <w:rPr>
          <w:b/>
          <w:bCs/>
        </w:rPr>
        <w:lastRenderedPageBreak/>
        <w:t xml:space="preserve">Question: </w:t>
      </w:r>
      <w:r>
        <w:rPr>
          <w:sz w:val="22"/>
          <w:szCs w:val="22"/>
        </w:rPr>
        <w:t xml:space="preserve">Why are partnership approaches the most effective means of improving community engagement? </w:t>
      </w:r>
    </w:p>
    <w:p w14:paraId="1B72DA18" w14:textId="77777777" w:rsidR="00306FCC" w:rsidRDefault="00306FCC" w:rsidP="00306FCC">
      <w:pPr>
        <w:pStyle w:val="Default"/>
        <w:rPr>
          <w:sz w:val="22"/>
          <w:szCs w:val="22"/>
        </w:rPr>
      </w:pPr>
    </w:p>
    <w:p w14:paraId="56A8E945" w14:textId="2E3217B3" w:rsidR="00306FCC" w:rsidRDefault="00306FCC" w:rsidP="00306FCC">
      <w:pPr>
        <w:pStyle w:val="Default"/>
        <w:rPr>
          <w:b/>
          <w:bCs/>
          <w:sz w:val="22"/>
          <w:szCs w:val="22"/>
        </w:rPr>
      </w:pPr>
      <w:r>
        <w:rPr>
          <w:b/>
          <w:bCs/>
          <w:sz w:val="22"/>
          <w:szCs w:val="22"/>
        </w:rPr>
        <w:t>Answer:</w:t>
      </w:r>
    </w:p>
    <w:p w14:paraId="4FDAEBFF" w14:textId="77777777" w:rsidR="00306FCC" w:rsidRPr="00306FCC" w:rsidRDefault="00306FCC" w:rsidP="00306FCC">
      <w:pPr>
        <w:pStyle w:val="Default"/>
        <w:rPr>
          <w:sz w:val="22"/>
          <w:szCs w:val="22"/>
        </w:rPr>
      </w:pPr>
      <w:r w:rsidRPr="00306FCC">
        <w:rPr>
          <w:sz w:val="22"/>
          <w:szCs w:val="22"/>
        </w:rPr>
        <w:t>In the following essay I shall be discussing partnership approaches in community policing, exploring how and why they improve community engagements and considering legal obligations and institutions that assist in partnership approaches in community policing. Partnership working and working closely with communities is a key aspect of community policing. By engaging partnership, or multi agency, approaches and work groups, the police are able to reach the cores of certain areas and truly understand the needs of a community by engaging with those communities and finding out from them directly what issues they perceive in their communities. These partnerships are shown to have key impact in certain areas such as in child welfare in working closely with organisations such as the child protective services, in domestic abuse instances where officers are able to make referrals to organisations such as ‘Women’s Aid’ who are able to more closely work with and assist victims in their needs relating to overcoming the incident that they have been a victim of. Furthermore, by local bodies working closely with police, issues surrounding local crime and disorder that may otherwise have gone unreported can be brought to the attention of police and as such can be dealt with effectively and efficiently so that it no longer remains as an issue for that community (Wood et al., 2022)</w:t>
      </w:r>
    </w:p>
    <w:p w14:paraId="1C9C886E" w14:textId="77777777" w:rsidR="00306FCC" w:rsidRPr="00306FCC" w:rsidRDefault="00306FCC" w:rsidP="00306FCC">
      <w:pPr>
        <w:pStyle w:val="Default"/>
        <w:rPr>
          <w:sz w:val="22"/>
          <w:szCs w:val="22"/>
        </w:rPr>
      </w:pPr>
    </w:p>
    <w:p w14:paraId="3C2AA1ED" w14:textId="77777777" w:rsidR="00306FCC" w:rsidRPr="00306FCC" w:rsidRDefault="00306FCC" w:rsidP="00306FCC">
      <w:pPr>
        <w:pStyle w:val="Default"/>
        <w:rPr>
          <w:sz w:val="22"/>
          <w:szCs w:val="22"/>
        </w:rPr>
      </w:pPr>
      <w:r w:rsidRPr="00306FCC">
        <w:rPr>
          <w:sz w:val="22"/>
          <w:szCs w:val="22"/>
        </w:rPr>
        <w:tab/>
        <w:t>When considering the community partnership idea, it is important to remember that there is a statutory obligation on emergency services, such as the police, and other bodies such as drug and alcohol teams to establish community safety partnerships. This legal obligation was established under the Crime and Disorder Act 1988 and was later amended by the Police Reform Act 2002. When tackling community safety through these community safety partnerships it is important to consider that community safety is a multi-faceted problem and as such, no one single organisation will be capable of understanding and tackling every issue that is raised, with each involved organisation being made up of members from the community, necessitating a requirement for community engagement. It is important that these partnerships have an unambiguous objective and sense of focus with each organisation in the partnership recognising their strengths and weaknesses and allowing organisations who are more equipped to deal with a certain topic or issue to do so (Cherney, 2004). This assumed responsibility, of each of the agencies in these partnerships, can help to reduce the levels of crime and disorder as each partnership can specialise in their own area whilst knowing and trusting that each other agency is doing the same. Despite this, there are some drawbacks to community policing and partnership approaches in that it is difficult to link a reduction in crime to the work carried out by agencies in these partnerships. On top of this a study was conducted in a London borough where there was a large focus on multi agency partnerships. Data from this study showed that certain crimes did in fact increase such as robbery having an increase in 2011/2012 of up to nineteen percent, whereas this figure in other areas of London only increased by approximately nine percent in the same time frame. Despite this there does seem to be a downward trend in crime as a whole with this same study showing that, with intervention from multi agency partnerships, crime fell consistently within a six-year period with data showing a two percent decrease in total crime in 2010/11 when compared with the previous year showing that these partnerships are improving community engagement allowing officers to work effectively to tackle crime as more information is being passed to them through a multitude of avenues (Thwaites, 2013). This goes to prove that community engagement is important for the reduction of crime and, as I have previously shown, the partnership approach is the most effective means of improving community engagement and, as such, reducing crime.</w:t>
      </w:r>
    </w:p>
    <w:p w14:paraId="4A92E341" w14:textId="77777777" w:rsidR="00306FCC" w:rsidRPr="00306FCC" w:rsidRDefault="00306FCC" w:rsidP="00306FCC">
      <w:pPr>
        <w:pStyle w:val="Default"/>
        <w:rPr>
          <w:sz w:val="22"/>
          <w:szCs w:val="22"/>
        </w:rPr>
      </w:pPr>
    </w:p>
    <w:p w14:paraId="00250C82" w14:textId="77777777" w:rsidR="00306FCC" w:rsidRPr="00306FCC" w:rsidRDefault="00306FCC" w:rsidP="00306FCC">
      <w:pPr>
        <w:pStyle w:val="Default"/>
        <w:rPr>
          <w:sz w:val="22"/>
          <w:szCs w:val="22"/>
        </w:rPr>
      </w:pPr>
      <w:r w:rsidRPr="00306FCC">
        <w:rPr>
          <w:sz w:val="22"/>
          <w:szCs w:val="22"/>
        </w:rPr>
        <w:tab/>
        <w:t xml:space="preserve">Furthermore, there are significant more benefits that can be derived from partnership and community working within the police such as the ability to develop creative and targeted interventions by combining the different approaches brought to the table by the different </w:t>
      </w:r>
      <w:r w:rsidRPr="00306FCC">
        <w:rPr>
          <w:sz w:val="22"/>
          <w:szCs w:val="22"/>
        </w:rPr>
        <w:lastRenderedPageBreak/>
        <w:t>agencies. Crime and disorder are brought on by different people for different reasons and as such there is no one blanket cure all that can be applied to each situation or instance of crime, disorder or anti-social behaviour in a community, necessitating a targeted approach (Crawford and Cunningham, 2015). Additionally partnership allows for engagement with different people from different areas within the community allowing for and almost forcing community engagement, again showing that partnership approaches are the most effective means of improving community engagement. It also encourages the community to become engaged as the work completed is made more transparent and representative of the community and its needs. It ensures that the right questions are being asked of the right people and the right communities are being engaged with for the correct issue, all of which points to partnership approaches being the most effective means on improving community engagement as police actively seek for input from those communities. Without their engagement, partnership approaches would fall through (Shakesprere et al., 2021).</w:t>
      </w:r>
    </w:p>
    <w:p w14:paraId="285D8D2D" w14:textId="77777777" w:rsidR="00306FCC" w:rsidRPr="00306FCC" w:rsidRDefault="00306FCC" w:rsidP="00306FCC">
      <w:pPr>
        <w:pStyle w:val="Default"/>
        <w:rPr>
          <w:sz w:val="22"/>
          <w:szCs w:val="22"/>
        </w:rPr>
      </w:pPr>
    </w:p>
    <w:p w14:paraId="43ED72A6" w14:textId="27FDC8CC" w:rsidR="00306FCC" w:rsidRPr="00306FCC" w:rsidRDefault="00306FCC" w:rsidP="00306FCC">
      <w:pPr>
        <w:pStyle w:val="Default"/>
        <w:rPr>
          <w:sz w:val="22"/>
          <w:szCs w:val="22"/>
        </w:rPr>
      </w:pPr>
      <w:r w:rsidRPr="00306FCC">
        <w:rPr>
          <w:sz w:val="22"/>
          <w:szCs w:val="22"/>
        </w:rPr>
        <w:tab/>
        <w:t>In conclusion, partnerships are the most effective means of improving community engagement as the multitude of agencies that work closely with the police are made up of members of those communities that they represent, having an understanding of the issues prevalent in the community as they live their lives day in day out in those communities. They understand what the issues are and will likely have the best ideas on how to tackle them. By working within the community, it also allows for increased satisfaction of the residents in the work that the police are carrying out and as such an improved likelihood of them to be willing to engage and interact with the officers attempting to work in their communities (Gill et al., 2014). This improved trust and engagement with officers is imperative as policing by consent is one of the key methods to tackle issues in a community. Without the consent of the members of the community, police will less likely to find out about these issues in the first place. As such, public engagement through these partnership approaches are the most effective means of improving engagement (Adam Michael Crawford and Anthea Hucklesby, 2013).</w:t>
      </w:r>
    </w:p>
    <w:p w14:paraId="5C49D499" w14:textId="77777777" w:rsidR="00306FCC" w:rsidRPr="00306FCC" w:rsidRDefault="00306FCC" w:rsidP="00306FCC">
      <w:pPr>
        <w:pStyle w:val="Default"/>
      </w:pPr>
    </w:p>
    <w:p w14:paraId="1C372A9F" w14:textId="4E0D0CFB" w:rsidR="00306FCC" w:rsidRDefault="00306FCC">
      <w:r>
        <w:br w:type="page"/>
      </w:r>
    </w:p>
    <w:p w14:paraId="7781C5DB" w14:textId="77777777" w:rsidR="00306FCC" w:rsidRDefault="00306FCC" w:rsidP="00306FCC">
      <w:pPr>
        <w:pStyle w:val="Default"/>
        <w:rPr>
          <w:sz w:val="22"/>
          <w:szCs w:val="22"/>
        </w:rPr>
      </w:pPr>
      <w:r w:rsidRPr="00306FCC">
        <w:rPr>
          <w:b/>
          <w:bCs/>
        </w:rPr>
        <w:lastRenderedPageBreak/>
        <w:t xml:space="preserve">Question: </w:t>
      </w:r>
      <w:r>
        <w:rPr>
          <w:sz w:val="22"/>
          <w:szCs w:val="22"/>
        </w:rPr>
        <w:t xml:space="preserve">Evaluate the effectiveness of cognitive interviews as a strategy for obtaining initial accounts from victims and witnesses. </w:t>
      </w:r>
    </w:p>
    <w:p w14:paraId="65B7CEF9" w14:textId="48906BFA" w:rsidR="00306FCC" w:rsidRDefault="00306FCC" w:rsidP="00306FCC">
      <w:pPr>
        <w:rPr>
          <w:rFonts w:ascii="Arial" w:hAnsi="Arial" w:cs="Arial"/>
        </w:rPr>
      </w:pPr>
      <w:r w:rsidRPr="00306FCC">
        <w:rPr>
          <w:rFonts w:ascii="Arial" w:hAnsi="Arial" w:cs="Arial"/>
        </w:rPr>
        <w:t>Your answer must be based on academic research.</w:t>
      </w:r>
    </w:p>
    <w:p w14:paraId="6985A0A9" w14:textId="77777777" w:rsidR="00306FCC" w:rsidRDefault="00306FCC" w:rsidP="00306FCC">
      <w:pPr>
        <w:rPr>
          <w:rFonts w:ascii="Arial" w:hAnsi="Arial" w:cs="Arial"/>
        </w:rPr>
      </w:pPr>
    </w:p>
    <w:p w14:paraId="0952A76C" w14:textId="50DA7B77" w:rsidR="00306FCC" w:rsidRDefault="00306FCC" w:rsidP="00306FCC">
      <w:pPr>
        <w:rPr>
          <w:rFonts w:ascii="Arial" w:hAnsi="Arial" w:cs="Arial"/>
          <w:b/>
          <w:bCs/>
        </w:rPr>
      </w:pPr>
      <w:r>
        <w:rPr>
          <w:rFonts w:ascii="Arial" w:hAnsi="Arial" w:cs="Arial"/>
          <w:b/>
          <w:bCs/>
        </w:rPr>
        <w:t>Answer:</w:t>
      </w:r>
    </w:p>
    <w:p w14:paraId="4497324B" w14:textId="77777777" w:rsidR="00306FCC" w:rsidRPr="00306FCC" w:rsidRDefault="00306FCC" w:rsidP="00306FCC">
      <w:pPr>
        <w:rPr>
          <w:rFonts w:ascii="Arial" w:hAnsi="Arial" w:cs="Arial"/>
        </w:rPr>
      </w:pPr>
      <w:r w:rsidRPr="00306FCC">
        <w:rPr>
          <w:rFonts w:ascii="Arial" w:hAnsi="Arial" w:cs="Arial"/>
        </w:rPr>
        <w:t>In the following essay I shall be discussing and evaluating the effectiveness of cognitive interviews as a strategy for obtaining initial accounts from victims and witnesses. I shall be exploring this method and comparing it to other methods used when obtaining accounts and discussing the advantages and disadvantages of these methods.</w:t>
      </w:r>
    </w:p>
    <w:p w14:paraId="77714714" w14:textId="77777777" w:rsidR="00306FCC" w:rsidRPr="00306FCC" w:rsidRDefault="00306FCC" w:rsidP="00306FCC">
      <w:pPr>
        <w:rPr>
          <w:rFonts w:ascii="Arial" w:hAnsi="Arial" w:cs="Arial"/>
        </w:rPr>
      </w:pPr>
    </w:p>
    <w:p w14:paraId="4FC0B051" w14:textId="77777777" w:rsidR="00306FCC" w:rsidRPr="00306FCC" w:rsidRDefault="00306FCC" w:rsidP="00306FCC">
      <w:pPr>
        <w:rPr>
          <w:rFonts w:ascii="Arial" w:hAnsi="Arial" w:cs="Arial"/>
        </w:rPr>
      </w:pPr>
      <w:r w:rsidRPr="00306FCC">
        <w:rPr>
          <w:rFonts w:ascii="Arial" w:hAnsi="Arial" w:cs="Arial"/>
        </w:rPr>
        <w:tab/>
        <w:t>The cognitive interview technique is a method of questioning which aims at improving the quality of recollection and information provided by victims and witnesses (Mcleod, 2023). This method has four stages which are designed and intended to assist people in their recollection of events, these are to reinstate the context of the incident, which provides the individual with a proper understanding of the situation. Secondly is to recall the even in reverse order. This step is efficient as studies show that the brain naturally remembers and recalls events in reverse order. As such it would put less stress on the individual who is trying to relay information about an events to provide that information in reverse order, as this is what comes naturally to a person, therefore a better account of events will be able to be obtained (Linde-Domingo et al., 2019). The third step in this process is to ensure that a person reports everything they can remember about the event. Firstly this is important as any details can assist the police in an investigation no matter how small or insignificant the person providing an account thinks they may be. Secondly this step is important because as a person is discussing the incident, by mentioning a small detail this may allow them to recall a detail they may have otherwise forgotten. The final stage in the cognitive interview technique is to have the person provide the account to give it from another person’s point of view. This stage in the process is important as it gives the person who is giving the account to think about it from an outside perspective and potentially assist in the recollection of the event if they talk about it as if it were happening to another person.</w:t>
      </w:r>
    </w:p>
    <w:p w14:paraId="2E38FC8D" w14:textId="77777777" w:rsidR="00306FCC" w:rsidRPr="00306FCC" w:rsidRDefault="00306FCC" w:rsidP="00306FCC">
      <w:pPr>
        <w:rPr>
          <w:rFonts w:ascii="Arial" w:hAnsi="Arial" w:cs="Arial"/>
        </w:rPr>
      </w:pPr>
    </w:p>
    <w:p w14:paraId="5B3D80FE" w14:textId="77777777" w:rsidR="00306FCC" w:rsidRPr="00306FCC" w:rsidRDefault="00306FCC" w:rsidP="00306FCC">
      <w:pPr>
        <w:rPr>
          <w:rFonts w:ascii="Arial" w:hAnsi="Arial" w:cs="Arial"/>
        </w:rPr>
      </w:pPr>
      <w:r w:rsidRPr="00306FCC">
        <w:rPr>
          <w:rFonts w:ascii="Arial" w:hAnsi="Arial" w:cs="Arial"/>
        </w:rPr>
        <w:t xml:space="preserve">This method of interview was developed in 1985 during research which showed a number of participants a police training film of simulated crimes and incidents taken place. The participants were then interviewed using differing techniques, one of those being the cognitive interview and one being a standard police interview, getting the details from a person in chronological order. A third method used was the hypnosis method. The study conducted showed that when the participants were interviewed using the cognitive interview technique, the number of correct items of information recollected by participants was significantly larger than by those interviewed using the standard police interview method (Geiselman et al., 1985). In general, the cognitive interview technique is seen as incredibly effective by officers and as a good way to get an accurate and detailed description of events, it is also a useful tool as certain steps of the stage as I have previously discussed can be played upon and enforced with differing levels of emphasis based on how the person being interviewed is taking to them. However, this method does have its drawbacks and negatives. Firstly officers will need to be specifically trained in using this technique, which, in itself, is time consuming and expensive. Secondly, due to the spontaneity of incidents it may not always be practicable to conduct these interviews as they are incredibly time consuming, requiring extra care and attention from the officer conducting the interview. Finally officers </w:t>
      </w:r>
      <w:r w:rsidRPr="00306FCC">
        <w:rPr>
          <w:rFonts w:ascii="Arial" w:hAnsi="Arial" w:cs="Arial"/>
        </w:rPr>
        <w:lastRenderedPageBreak/>
        <w:t>have complained that this sort of interview requires good rapport to be built with the individual being interviewed which again is not always possible nor practicable in every incident (Kebbell, Milne and Wagstaff, 1999).</w:t>
      </w:r>
    </w:p>
    <w:p w14:paraId="618A6CF5" w14:textId="77777777" w:rsidR="00306FCC" w:rsidRPr="00306FCC" w:rsidRDefault="00306FCC" w:rsidP="00306FCC">
      <w:pPr>
        <w:rPr>
          <w:rFonts w:ascii="Arial" w:hAnsi="Arial" w:cs="Arial"/>
        </w:rPr>
      </w:pPr>
    </w:p>
    <w:p w14:paraId="1682E74C" w14:textId="77777777" w:rsidR="00306FCC" w:rsidRPr="00306FCC" w:rsidRDefault="00306FCC" w:rsidP="00306FCC">
      <w:pPr>
        <w:rPr>
          <w:rFonts w:ascii="Arial" w:hAnsi="Arial" w:cs="Arial"/>
        </w:rPr>
      </w:pPr>
      <w:r w:rsidRPr="00306FCC">
        <w:rPr>
          <w:rFonts w:ascii="Arial" w:hAnsi="Arial" w:cs="Arial"/>
        </w:rPr>
        <w:t>In addition to these aforementioned drawbacks, further studies have been conducted into the accuracy and usefulness of cognitive interview techniques and date shows that that difference in accuracy between standard interview types and the cognitive interview was in favour of the cognitive interview, however, was small enough to be almost classed as identical. On top of this the difference in inaccurate details remembered was greater in when the cognitive interview technique was used. This suggests that it may be more beneficial to conduct a standard police interview as it yields fewer negative results and the number of correct details remembered was only slightly less during standard interviews than during the cognitive interview.</w:t>
      </w:r>
    </w:p>
    <w:p w14:paraId="36EFFE7D" w14:textId="77777777" w:rsidR="00306FCC" w:rsidRPr="00306FCC" w:rsidRDefault="00306FCC" w:rsidP="00306FCC">
      <w:pPr>
        <w:rPr>
          <w:rFonts w:ascii="Arial" w:hAnsi="Arial" w:cs="Arial"/>
        </w:rPr>
      </w:pPr>
    </w:p>
    <w:p w14:paraId="3002DDDF" w14:textId="77777777" w:rsidR="00306FCC" w:rsidRPr="00306FCC" w:rsidRDefault="00306FCC" w:rsidP="00306FCC">
      <w:pPr>
        <w:rPr>
          <w:rFonts w:ascii="Arial" w:hAnsi="Arial" w:cs="Arial"/>
        </w:rPr>
      </w:pPr>
      <w:r w:rsidRPr="00306FCC">
        <w:rPr>
          <w:rFonts w:ascii="Arial" w:hAnsi="Arial" w:cs="Arial"/>
        </w:rPr>
        <w:t>Contrastingly, studies undertaken in America around the use of cognitive interview techniques showed that when detectives were interviewing witnesses using the cognitive interview technique, they were able to obtain a great deal more information from the persons they were interviewing when compared to their colleagues after they received their training. This number increased drastically when compared to officers who had no training relating to cognitive interview techniques. When comparing these two groups of interviewers, those who had the cognitive interview training were able to gain even more information from their interviewees when compared to officers who received no training in this field (Fisher, Geiselman and Amador, 1989).</w:t>
      </w:r>
    </w:p>
    <w:p w14:paraId="79069364" w14:textId="77777777" w:rsidR="00306FCC" w:rsidRPr="00306FCC" w:rsidRDefault="00306FCC" w:rsidP="00306FCC">
      <w:pPr>
        <w:rPr>
          <w:rFonts w:ascii="Arial" w:hAnsi="Arial" w:cs="Arial"/>
        </w:rPr>
      </w:pPr>
    </w:p>
    <w:p w14:paraId="12EFCE8A" w14:textId="147F14FC" w:rsidR="00306FCC" w:rsidRDefault="00306FCC" w:rsidP="00306FCC">
      <w:pPr>
        <w:rPr>
          <w:rFonts w:ascii="Arial" w:hAnsi="Arial" w:cs="Arial"/>
        </w:rPr>
      </w:pPr>
      <w:r w:rsidRPr="00306FCC">
        <w:rPr>
          <w:rFonts w:ascii="Arial" w:hAnsi="Arial" w:cs="Arial"/>
        </w:rPr>
        <w:t>In conclusion, the use of cognitive interview techniques does seem to be more effective in obtaining accurate and detailed accounts from those who have witnessed crimes. However, some consideration does need to be made for the drawbacks I have mentioned during this essay such as the requirement for good rapport needed to be built between the interviewing officer and the interviewee. Despite these drawbacks, cognitive interview techniques continue to show that the positive impact of these interviews outweigh the drawbacks with a large and significant increase in correct details and a small increase in incorrect details being displayed even 25 years later, suggesting that this method is a far more accurate way of getting a detailed account from an interviewee (Memon, Meissner and Fraser, 2010).</w:t>
      </w:r>
    </w:p>
    <w:p w14:paraId="6A54B6E6" w14:textId="77777777" w:rsidR="00306FCC" w:rsidRDefault="00306FCC">
      <w:pPr>
        <w:rPr>
          <w:rFonts w:ascii="Arial" w:hAnsi="Arial" w:cs="Arial"/>
        </w:rPr>
      </w:pPr>
      <w:r>
        <w:rPr>
          <w:rFonts w:ascii="Arial" w:hAnsi="Arial" w:cs="Arial"/>
        </w:rPr>
        <w:br w:type="page"/>
      </w:r>
    </w:p>
    <w:p w14:paraId="3DC021D4" w14:textId="77777777" w:rsidR="0040705F" w:rsidRPr="0040705F" w:rsidRDefault="00306FCC" w:rsidP="0040705F">
      <w:pPr>
        <w:rPr>
          <w:rFonts w:ascii="Arial" w:hAnsi="Arial" w:cs="Arial"/>
        </w:rPr>
      </w:pPr>
      <w:r>
        <w:rPr>
          <w:rFonts w:ascii="Arial" w:hAnsi="Arial" w:cs="Arial"/>
          <w:b/>
          <w:bCs/>
        </w:rPr>
        <w:lastRenderedPageBreak/>
        <w:t xml:space="preserve">Question: </w:t>
      </w:r>
      <w:r w:rsidR="0040705F" w:rsidRPr="0040705F">
        <w:rPr>
          <w:rFonts w:ascii="Arial" w:hAnsi="Arial" w:cs="Arial"/>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w:t>
      </w:r>
    </w:p>
    <w:p w14:paraId="064EB6A4" w14:textId="0EDE8A1A" w:rsidR="00306FCC" w:rsidRDefault="0040705F" w:rsidP="0040705F">
      <w:pPr>
        <w:rPr>
          <w:rFonts w:ascii="Arial" w:hAnsi="Arial" w:cs="Arial"/>
        </w:rPr>
      </w:pPr>
      <w:r w:rsidRPr="0040705F">
        <w:rPr>
          <w:rFonts w:ascii="Arial" w:hAnsi="Arial" w:cs="Arial"/>
        </w:rPr>
        <w:t>Your answer must be based on academic research, but you may make reference to relevant case studies.</w:t>
      </w:r>
    </w:p>
    <w:p w14:paraId="36241ED3" w14:textId="77777777" w:rsidR="0040705F" w:rsidRDefault="0040705F" w:rsidP="0040705F">
      <w:pPr>
        <w:rPr>
          <w:rFonts w:ascii="Arial" w:hAnsi="Arial" w:cs="Arial"/>
        </w:rPr>
      </w:pPr>
    </w:p>
    <w:p w14:paraId="1F1521ED" w14:textId="12588AF3" w:rsidR="0040705F" w:rsidRDefault="0040705F" w:rsidP="0040705F">
      <w:pPr>
        <w:rPr>
          <w:rFonts w:ascii="Arial" w:hAnsi="Arial" w:cs="Arial"/>
          <w:b/>
          <w:bCs/>
        </w:rPr>
      </w:pPr>
      <w:r>
        <w:rPr>
          <w:rFonts w:ascii="Arial" w:hAnsi="Arial" w:cs="Arial"/>
          <w:b/>
          <w:bCs/>
        </w:rPr>
        <w:t>Answer:</w:t>
      </w:r>
    </w:p>
    <w:p w14:paraId="3DFDE313" w14:textId="77777777" w:rsidR="0040705F" w:rsidRPr="0040705F" w:rsidRDefault="0040705F" w:rsidP="0040705F">
      <w:pPr>
        <w:rPr>
          <w:rFonts w:ascii="Arial" w:hAnsi="Arial" w:cs="Arial"/>
        </w:rPr>
      </w:pPr>
      <w:r w:rsidRPr="0040705F">
        <w:rPr>
          <w:rFonts w:ascii="Arial" w:hAnsi="Arial" w:cs="Arial"/>
        </w:rPr>
        <w:t>In the following essay I shall be examining the effectiveness of rehabilitation and restorative justice as a means of reducing re-offending amongst young offenders. Rehabilitation is an idea based on the belief that those individuals who commit crimes should be afforded the opportunity to change their behaviour and to be allowed to re-integrate in society and become productive members of society. This can be achieved through various means each of which can be tailored to the individual’s needs, thus providing the best chance of success with the rehabilitation. These methods can be anything such as cognitive behavioural therapy, community services or even educational courses (Woodland 2024). Similarly to rehabilitation, restorative justice is a method of problem-solving policing whereby the parties themselves become involved in the resolution of offences. Restorative justice is seen as criminal justice embedded in a social context. It allows the parties involved to collectively decide how to deal with the aftermath of an offence and how to deal with it in the future. Restorative justice is an effective means of providing resolution for a number of reasons, for example it provides a positive outcome for victims without the need for a deep delve into the expensive and time-consuming criminal justice system. On top of this it is also a positive for the offender as it allows them to stay out of the criminal justice system and a chance to better themselves going forward (Marshall 1999).</w:t>
      </w:r>
    </w:p>
    <w:p w14:paraId="4FFD161C" w14:textId="77777777" w:rsidR="0040705F" w:rsidRPr="0040705F" w:rsidRDefault="0040705F" w:rsidP="0040705F">
      <w:pPr>
        <w:rPr>
          <w:rFonts w:ascii="Arial" w:hAnsi="Arial" w:cs="Arial"/>
        </w:rPr>
      </w:pPr>
    </w:p>
    <w:p w14:paraId="3B461194" w14:textId="77777777" w:rsidR="0040705F" w:rsidRPr="0040705F" w:rsidRDefault="0040705F" w:rsidP="0040705F">
      <w:pPr>
        <w:rPr>
          <w:rFonts w:ascii="Arial" w:hAnsi="Arial" w:cs="Arial"/>
        </w:rPr>
      </w:pPr>
      <w:r w:rsidRPr="0040705F">
        <w:rPr>
          <w:rFonts w:ascii="Arial" w:hAnsi="Arial" w:cs="Arial"/>
        </w:rPr>
        <w:tab/>
        <w:t xml:space="preserve">Attempting to implement a policy of restorative justice to combat youth offending does present some challenges, mainly for the youth offending teams and other bodies who deal with young offenders as it is important for these young offenders to understand the gravity of whatever offences they may have committed and as such, there needs to be a large emphasis on capacity of those offenders. If the young offender does not understand the impact of the offence they have committed then they will not feel as though there is a need for them to reform and change their actions. This puts an onus on those bodies to help the young offender to understand all the aspects of the offence. Similarly to this studies have shown that there can be a difficulty in understanding of how an offence can impact a person as the impact of an offence can be seen a subjective thing, so whilst the young offender may have capacity, they lack the subjective feeling about the offence that the victim holds. Despite this, studies show that there is a large impact on victim satisfaction and offender accountability when the restorative justice process is used, which results in less chance of the offender committing future offences (Suzuki and Wood, 2017). When considering the use and aims of restorative justice in the context of reducing reoffending, it is important to remember that the aim of restorative justice is not to reduce the likelihood of reoffending, the goals of such are to hold the subject accountable and to provide victim satisfaction, despite this, restorative justice is likely to have a reduction in the chance of an individual reoffending (Johnstone and Van Ness, 2013). The type of offence that is being investigated is also impactful on whether restorative justice approach is likely to reduce youth offending with restorative justice having a more positive impact on reoffending for violent crimes, in </w:t>
      </w:r>
      <w:r w:rsidRPr="0040705F">
        <w:rPr>
          <w:rFonts w:ascii="Arial" w:hAnsi="Arial" w:cs="Arial"/>
        </w:rPr>
        <w:lastRenderedPageBreak/>
        <w:t>contrast, there is minimal to no change in chance of reoffending for property offences when compared with investigations that go to court (Hayes, 2005).</w:t>
      </w:r>
    </w:p>
    <w:p w14:paraId="0A1D39B4" w14:textId="77777777" w:rsidR="0040705F" w:rsidRPr="0040705F" w:rsidRDefault="0040705F" w:rsidP="0040705F">
      <w:pPr>
        <w:rPr>
          <w:rFonts w:ascii="Arial" w:hAnsi="Arial" w:cs="Arial"/>
        </w:rPr>
      </w:pPr>
    </w:p>
    <w:p w14:paraId="1E3B6730" w14:textId="77777777" w:rsidR="0040705F" w:rsidRPr="0040705F" w:rsidRDefault="0040705F" w:rsidP="0040705F">
      <w:pPr>
        <w:rPr>
          <w:rFonts w:ascii="Arial" w:hAnsi="Arial" w:cs="Arial"/>
        </w:rPr>
      </w:pPr>
      <w:r w:rsidRPr="0040705F">
        <w:rPr>
          <w:rFonts w:ascii="Arial" w:hAnsi="Arial" w:cs="Arial"/>
        </w:rPr>
        <w:tab/>
        <w:t>Similarly to the restorative justice approach, further rehabilitation amongst youth offenders has been shown to have a positive impact on the likelihood of the offender to reoffend. This is achieved however, only if the risk of the the individual is matched by the services that the individual is provided. There is a lot of time and focus needed to be afforded to rehabilitation by those overseeing the process as it is a very subjective process with the characteristics of the subject being accounted for in order to produce the best possible chance of them not reoffending after completing rehabilitation. These risks, however, are shown to be mitigated and managed effectively as the chance of a youth reoffending after being subject to a rehabilitative course is substantially reduced (Finseth et al., 2021). In addition to this studies and research into the root causes of youth offending have shown that young people who come to the attention of criminal justice services have multiple problems and are in need of high levels of assistance in many areas of functioning. As such, in efforts to meet these needs and tackle the issues that are causing those youths to offend in the first place, agencies have adopted rehabilitative measures to better tackle these root causes of offence and to prevent reoffending in the future by those individuals (Day, Howells and Rickwood, 2004).</w:t>
      </w:r>
    </w:p>
    <w:p w14:paraId="67F26A23" w14:textId="77777777" w:rsidR="0040705F" w:rsidRPr="0040705F" w:rsidRDefault="0040705F" w:rsidP="0040705F">
      <w:pPr>
        <w:rPr>
          <w:rFonts w:ascii="Arial" w:hAnsi="Arial" w:cs="Arial"/>
        </w:rPr>
      </w:pPr>
    </w:p>
    <w:p w14:paraId="02DAD399" w14:textId="59DEA86A" w:rsidR="0040705F" w:rsidRDefault="0040705F" w:rsidP="0040705F">
      <w:pPr>
        <w:rPr>
          <w:rFonts w:ascii="Arial" w:hAnsi="Arial" w:cs="Arial"/>
        </w:rPr>
      </w:pPr>
      <w:r w:rsidRPr="0040705F">
        <w:rPr>
          <w:rFonts w:ascii="Arial" w:hAnsi="Arial" w:cs="Arial"/>
        </w:rPr>
        <w:tab/>
        <w:t>In conclusion, the use of rehabilitative processes and restorative justice appear to have an overwhelmingly positive impact on the victim first and foremost as studies show that the level of victim satisfaction is greatly increased when restorative justice is applied to a situation. In addition to this, there is a positive effect on youth offenders as studies show that, amongst young offenders who are genuinely remorseful for their actions and show a good and genuine understanding of the impact that their actions, in committing the offence, have had on the victim, the likelihood of reoffence is drastically reduced (Hayes and Daly, 2003). On top of this, rehabilitation appears to be one of the most effective methods of preventing reoffending among youth offenders as it aims to tackle the root causes of the offence, rather than just focusing on the punishment for the offence, which itself leaves little to no scope for preventing the issue in the future (Joy Tong and Farrington, 2006).</w:t>
      </w:r>
    </w:p>
    <w:p w14:paraId="048B4225" w14:textId="77777777" w:rsidR="0040705F" w:rsidRDefault="0040705F" w:rsidP="0040705F">
      <w:pPr>
        <w:rPr>
          <w:rFonts w:ascii="Arial" w:hAnsi="Arial" w:cs="Arial"/>
        </w:rPr>
      </w:pPr>
    </w:p>
    <w:p w14:paraId="423B41E4" w14:textId="77777777" w:rsidR="0040705F" w:rsidRDefault="0040705F" w:rsidP="0040705F">
      <w:pPr>
        <w:rPr>
          <w:rFonts w:ascii="Arial" w:hAnsi="Arial" w:cs="Arial"/>
        </w:rPr>
      </w:pPr>
    </w:p>
    <w:p w14:paraId="35E85CB0" w14:textId="2E38A3FB" w:rsidR="0040705F" w:rsidRDefault="0040705F">
      <w:pPr>
        <w:rPr>
          <w:rFonts w:ascii="Arial" w:hAnsi="Arial" w:cs="Arial"/>
        </w:rPr>
      </w:pPr>
      <w:r>
        <w:rPr>
          <w:rFonts w:ascii="Arial" w:hAnsi="Arial" w:cs="Arial"/>
        </w:rPr>
        <w:br w:type="page"/>
      </w:r>
    </w:p>
    <w:p w14:paraId="4DF79811" w14:textId="14CBEF7D" w:rsidR="0040705F" w:rsidRDefault="0040705F" w:rsidP="0040705F">
      <w:pPr>
        <w:rPr>
          <w:rFonts w:ascii="Arial" w:hAnsi="Arial" w:cs="Arial"/>
          <w:b/>
          <w:bCs/>
        </w:rPr>
      </w:pPr>
      <w:r>
        <w:rPr>
          <w:rFonts w:ascii="Arial" w:hAnsi="Arial" w:cs="Arial"/>
          <w:b/>
          <w:bCs/>
        </w:rPr>
        <w:lastRenderedPageBreak/>
        <w:t>Bibliography:</w:t>
      </w:r>
    </w:p>
    <w:p w14:paraId="6E2BF6F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Adam Michael Crawford and Anthea Hucklesby (2013). </w:t>
      </w:r>
      <w:r w:rsidRPr="00CC61D5">
        <w:rPr>
          <w:rFonts w:ascii="Arial" w:hAnsi="Arial" w:cs="Arial"/>
          <w:i/>
          <w:iCs/>
          <w:color w:val="000000"/>
          <w:sz w:val="22"/>
          <w:szCs w:val="22"/>
        </w:rPr>
        <w:t>Legitimacy and compliance in criminal justice</w:t>
      </w:r>
      <w:r w:rsidRPr="00CC61D5">
        <w:rPr>
          <w:rFonts w:ascii="Arial" w:hAnsi="Arial" w:cs="Arial"/>
          <w:color w:val="000000"/>
          <w:sz w:val="22"/>
          <w:szCs w:val="22"/>
        </w:rPr>
        <w:t>. Abingdon, Oxon ; New York: Routledge, Cop.</w:t>
      </w:r>
    </w:p>
    <w:p w14:paraId="1EA9491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1A4B4D07"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Cherney, A. (2004). Crime Prevention/Community Safety Partnerships in Action: Victorian Experience. </w:t>
      </w:r>
      <w:r w:rsidRPr="00CC61D5">
        <w:rPr>
          <w:rFonts w:ascii="Arial" w:hAnsi="Arial" w:cs="Arial"/>
          <w:i/>
          <w:iCs/>
          <w:color w:val="000000"/>
          <w:sz w:val="22"/>
          <w:szCs w:val="22"/>
        </w:rPr>
        <w:t>Current Issues in Criminal Justice</w:t>
      </w:r>
      <w:r w:rsidRPr="00CC61D5">
        <w:rPr>
          <w:rFonts w:ascii="Arial" w:hAnsi="Arial" w:cs="Arial"/>
          <w:color w:val="000000"/>
          <w:sz w:val="22"/>
          <w:szCs w:val="22"/>
        </w:rPr>
        <w:t>, 15(3), pp.237–252. doi:https://doi.org/10.1080/10345329.2004.12036296.</w:t>
      </w:r>
    </w:p>
    <w:p w14:paraId="54F54DD5" w14:textId="77777777" w:rsidR="0040705F" w:rsidRPr="00CC61D5" w:rsidRDefault="0040705F" w:rsidP="0040705F">
      <w:pPr>
        <w:rPr>
          <w:rFonts w:ascii="Arial" w:hAnsi="Arial" w:cs="Arial"/>
        </w:rPr>
      </w:pPr>
    </w:p>
    <w:p w14:paraId="1BA612A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Crawford, A. and Cunningham, M. (2015). Working in Partnership. </w:t>
      </w:r>
      <w:r w:rsidRPr="00CC61D5">
        <w:rPr>
          <w:rFonts w:ascii="Arial" w:hAnsi="Arial" w:cs="Arial"/>
          <w:i/>
          <w:iCs/>
          <w:color w:val="000000"/>
          <w:sz w:val="22"/>
          <w:szCs w:val="22"/>
        </w:rPr>
        <w:t>The Challenges of Working across Organizational Boundaries, Cultures, and Practices</w:t>
      </w:r>
      <w:r w:rsidRPr="00CC61D5">
        <w:rPr>
          <w:rFonts w:ascii="Arial" w:hAnsi="Arial" w:cs="Arial"/>
          <w:color w:val="000000"/>
          <w:sz w:val="22"/>
          <w:szCs w:val="22"/>
        </w:rPr>
        <w:t>. [online] Available at: https://www.researchgate.net/profile/Adam-Crawford-9/publication/288488191_Working_in_Partnership_The_challenges_of_working_across_organisational_boundaries_cultures_and_practices/links/56814e6c08aebccc4e0bcc9f/Working-in-Partnership-The-challenges-of-working-across-organisational-boundaries-cultures-and-practices.pdf.</w:t>
      </w:r>
    </w:p>
    <w:p w14:paraId="439A907E" w14:textId="77777777" w:rsidR="0040705F" w:rsidRPr="00CC61D5" w:rsidRDefault="0040705F" w:rsidP="0040705F">
      <w:pPr>
        <w:rPr>
          <w:rFonts w:ascii="Arial" w:hAnsi="Arial" w:cs="Arial"/>
        </w:rPr>
      </w:pPr>
    </w:p>
    <w:p w14:paraId="44F08D29"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Crime and disorder Act 1988, Section 6</w:t>
      </w:r>
    </w:p>
    <w:p w14:paraId="1C0448F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‌Day, A., Howells, K. and Rickwood, D. (2004). Current trends in the rehabilitation of juvenile offenders. </w:t>
      </w:r>
      <w:r w:rsidRPr="00CC61D5">
        <w:rPr>
          <w:rFonts w:ascii="Arial" w:hAnsi="Arial" w:cs="Arial"/>
          <w:i/>
          <w:iCs/>
          <w:color w:val="000000"/>
          <w:sz w:val="22"/>
          <w:szCs w:val="22"/>
        </w:rPr>
        <w:t>dro.deakin.edu.au</w:t>
      </w:r>
      <w:r w:rsidRPr="00CC61D5">
        <w:rPr>
          <w:rFonts w:ascii="Arial" w:hAnsi="Arial" w:cs="Arial"/>
          <w:color w:val="000000"/>
          <w:sz w:val="22"/>
          <w:szCs w:val="22"/>
        </w:rPr>
        <w:t>. [online] Available at: https://hdl.handle.net/10536/DRO/DU:30020615 [Accessed 6 Feb. 2024].</w:t>
      </w:r>
    </w:p>
    <w:p w14:paraId="4B2B9700"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4D31667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Finseth, S., Peterson-Badali, M., Brown, S.L. and Skilling, T.A. (2021). Promoting Rehabilitation Among Youth on Probation: An Examination of Strengths as Specific Responsivity Factors. </w:t>
      </w:r>
      <w:r w:rsidRPr="00CC61D5">
        <w:rPr>
          <w:rFonts w:ascii="Arial" w:hAnsi="Arial" w:cs="Arial"/>
          <w:i/>
          <w:iCs/>
          <w:color w:val="000000"/>
          <w:sz w:val="22"/>
          <w:szCs w:val="22"/>
        </w:rPr>
        <w:t>Criminal Justice and Behavior</w:t>
      </w:r>
      <w:r w:rsidRPr="00CC61D5">
        <w:rPr>
          <w:rFonts w:ascii="Arial" w:hAnsi="Arial" w:cs="Arial"/>
          <w:color w:val="000000"/>
          <w:sz w:val="22"/>
          <w:szCs w:val="22"/>
        </w:rPr>
        <w:t>, 49(5), pp.745–760. doi:https://doi.org/10.1177/00938548211039881.</w:t>
      </w:r>
    </w:p>
    <w:p w14:paraId="6EAB83EA" w14:textId="77777777" w:rsidR="0040705F" w:rsidRPr="00CC61D5" w:rsidRDefault="0040705F" w:rsidP="0040705F">
      <w:pPr>
        <w:rPr>
          <w:rFonts w:ascii="Arial" w:hAnsi="Arial" w:cs="Arial"/>
        </w:rPr>
      </w:pPr>
    </w:p>
    <w:p w14:paraId="13FB4121"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Fisher, R.P., Geiselman, R.E. and Amador, M. (1989). Field test of the cognitive interview: Enhancing the recollection of actual victims and witnesses of crime. </w:t>
      </w:r>
      <w:r w:rsidRPr="00CC61D5">
        <w:rPr>
          <w:rFonts w:ascii="Arial" w:hAnsi="Arial" w:cs="Arial"/>
          <w:i/>
          <w:iCs/>
          <w:color w:val="000000"/>
          <w:sz w:val="22"/>
          <w:szCs w:val="22"/>
        </w:rPr>
        <w:t>Journal of Applied Psychology</w:t>
      </w:r>
      <w:r w:rsidRPr="00CC61D5">
        <w:rPr>
          <w:rFonts w:ascii="Arial" w:hAnsi="Arial" w:cs="Arial"/>
          <w:color w:val="000000"/>
          <w:sz w:val="22"/>
          <w:szCs w:val="22"/>
        </w:rPr>
        <w:t>, 74(5), pp.722–727. doi:https://doi.org/10.1037/0021-9010.74.5.722.</w:t>
      </w:r>
    </w:p>
    <w:p w14:paraId="3B00ECB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8E43C8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Geiselman, R.E., Fisher, R.P., MacKinnon, D.P. and Holland, H.L. (1985). Eyewitness memory enhancement in the police interview: Cognitive retrieval mnemonics versus hypnosis. </w:t>
      </w:r>
      <w:r w:rsidRPr="00CC61D5">
        <w:rPr>
          <w:rFonts w:ascii="Arial" w:hAnsi="Arial" w:cs="Arial"/>
          <w:i/>
          <w:iCs/>
          <w:color w:val="000000"/>
          <w:sz w:val="22"/>
          <w:szCs w:val="22"/>
        </w:rPr>
        <w:t>Journal of Applied Psychology</w:t>
      </w:r>
      <w:r w:rsidRPr="00CC61D5">
        <w:rPr>
          <w:rFonts w:ascii="Arial" w:hAnsi="Arial" w:cs="Arial"/>
          <w:color w:val="000000"/>
          <w:sz w:val="22"/>
          <w:szCs w:val="22"/>
        </w:rPr>
        <w:t>, 70(2), pp.401–412. doi:https://doi.org/10.1037/0021-9010.70.2.401.</w:t>
      </w:r>
    </w:p>
    <w:p w14:paraId="0E58348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7E823B8"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lastRenderedPageBreak/>
        <w:t>‌Gill, C., Weisburd, D., Telep, C.W., Vitter, Z. and Bennett, T. (2014). Community-oriented policing to reduce crime, disorder and fear and increase satisfaction and legitimacy among citizens: a systematic review. </w:t>
      </w:r>
      <w:r w:rsidRPr="00CC61D5">
        <w:rPr>
          <w:rFonts w:ascii="Arial" w:hAnsi="Arial" w:cs="Arial"/>
          <w:i/>
          <w:iCs/>
          <w:color w:val="000000"/>
          <w:sz w:val="22"/>
          <w:szCs w:val="22"/>
        </w:rPr>
        <w:t>Journal of Experimental Criminology</w:t>
      </w:r>
      <w:r w:rsidRPr="00CC61D5">
        <w:rPr>
          <w:rFonts w:ascii="Arial" w:hAnsi="Arial" w:cs="Arial"/>
          <w:color w:val="000000"/>
          <w:sz w:val="22"/>
          <w:szCs w:val="22"/>
        </w:rPr>
        <w:t>, [online] 10(4), pp.399–428. doi:https://doi.org/10.1007/s11292-014-9210-y.</w:t>
      </w:r>
    </w:p>
    <w:p w14:paraId="3DA9CB5D"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‌Hayes, H. and Daly, K. (2003). Youth justice conferencing and reoffending. </w:t>
      </w:r>
      <w:r w:rsidRPr="00CC61D5">
        <w:rPr>
          <w:rFonts w:ascii="Arial" w:hAnsi="Arial" w:cs="Arial"/>
          <w:i/>
          <w:iCs/>
          <w:color w:val="000000"/>
          <w:sz w:val="22"/>
          <w:szCs w:val="22"/>
        </w:rPr>
        <w:t>Justice Quarterly</w:t>
      </w:r>
      <w:r w:rsidRPr="00CC61D5">
        <w:rPr>
          <w:rFonts w:ascii="Arial" w:hAnsi="Arial" w:cs="Arial"/>
          <w:color w:val="000000"/>
          <w:sz w:val="22"/>
          <w:szCs w:val="22"/>
        </w:rPr>
        <w:t>, 20(4), pp.725–764. doi:https://doi.org/10.1080/07418820300095681.</w:t>
      </w:r>
    </w:p>
    <w:p w14:paraId="14C21F77"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Hayes, H. (2005). Assessing Reoffending in Restorative Justice Conferences. </w:t>
      </w:r>
      <w:r w:rsidRPr="00CC61D5">
        <w:rPr>
          <w:rFonts w:ascii="Arial" w:hAnsi="Arial" w:cs="Arial"/>
          <w:i/>
          <w:iCs/>
          <w:color w:val="000000"/>
          <w:sz w:val="22"/>
          <w:szCs w:val="22"/>
        </w:rPr>
        <w:t>Australian &amp; New Zealand Journal of Criminology</w:t>
      </w:r>
      <w:r w:rsidRPr="00CC61D5">
        <w:rPr>
          <w:rFonts w:ascii="Arial" w:hAnsi="Arial" w:cs="Arial"/>
          <w:color w:val="000000"/>
          <w:sz w:val="22"/>
          <w:szCs w:val="22"/>
        </w:rPr>
        <w:t>, 38(1), pp.77–101. doi:https://doi.org/10.1375/acri.38.1.77.</w:t>
      </w:r>
    </w:p>
    <w:p w14:paraId="7F080781"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6FA4135"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Johnstone, G. and Van Ness, D. (2013). </w:t>
      </w:r>
      <w:r w:rsidRPr="00CC61D5">
        <w:rPr>
          <w:rFonts w:ascii="Arial" w:hAnsi="Arial" w:cs="Arial"/>
          <w:i/>
          <w:iCs/>
          <w:color w:val="000000"/>
          <w:sz w:val="22"/>
          <w:szCs w:val="22"/>
        </w:rPr>
        <w:t>Handbook of Restorative Justice</w:t>
      </w:r>
      <w:r w:rsidRPr="00CC61D5">
        <w:rPr>
          <w:rFonts w:ascii="Arial" w:hAnsi="Arial" w:cs="Arial"/>
          <w:color w:val="000000"/>
          <w:sz w:val="22"/>
          <w:szCs w:val="22"/>
        </w:rPr>
        <w:t>. London New York Routledge London New York Routledge.</w:t>
      </w:r>
    </w:p>
    <w:p w14:paraId="717EC566"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2767C13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Joy Tong, L.S. and Farrington, D.P. (2006). How effective is the ‘Reasoning and Rehabilitation’ programme in reducing reoffending? A meta-analysis of evaluations in four countries. </w:t>
      </w:r>
      <w:r w:rsidRPr="00CC61D5">
        <w:rPr>
          <w:rFonts w:ascii="Arial" w:hAnsi="Arial" w:cs="Arial"/>
          <w:i/>
          <w:iCs/>
          <w:color w:val="000000"/>
          <w:sz w:val="22"/>
          <w:szCs w:val="22"/>
        </w:rPr>
        <w:t>Psychology, Crime &amp; Law</w:t>
      </w:r>
      <w:r w:rsidRPr="00CC61D5">
        <w:rPr>
          <w:rFonts w:ascii="Arial" w:hAnsi="Arial" w:cs="Arial"/>
          <w:color w:val="000000"/>
          <w:sz w:val="22"/>
          <w:szCs w:val="22"/>
        </w:rPr>
        <w:t>, [online] 12(1), pp.3–24. doi:https://doi.org/10.1080/10683160512331316253.</w:t>
      </w:r>
    </w:p>
    <w:p w14:paraId="295935E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7DF4A72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Kebbell, M.R., Milne, R. and Wagstaff, G.F. (1999). The cognitive interview: A survey of its forensic effectiveness. </w:t>
      </w:r>
      <w:r w:rsidRPr="00CC61D5">
        <w:rPr>
          <w:rFonts w:ascii="Arial" w:hAnsi="Arial" w:cs="Arial"/>
          <w:i/>
          <w:iCs/>
          <w:color w:val="000000"/>
          <w:sz w:val="22"/>
          <w:szCs w:val="22"/>
        </w:rPr>
        <w:t>Psychology, Crime &amp; Law</w:t>
      </w:r>
      <w:r w:rsidRPr="00CC61D5">
        <w:rPr>
          <w:rFonts w:ascii="Arial" w:hAnsi="Arial" w:cs="Arial"/>
          <w:color w:val="000000"/>
          <w:sz w:val="22"/>
          <w:szCs w:val="22"/>
        </w:rPr>
        <w:t>, 5(1-2), pp.101–115. doi:https://doi.org/10.1080/10683169908414996.</w:t>
      </w:r>
    </w:p>
    <w:p w14:paraId="2FE9C1CB" w14:textId="15EA8803"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‌Kingshott, B. and Prinsloo, J. (2004). </w:t>
      </w:r>
      <w:r w:rsidRPr="00CC61D5">
        <w:rPr>
          <w:rFonts w:ascii="Arial" w:hAnsi="Arial" w:cs="Arial"/>
          <w:i/>
          <w:iCs/>
          <w:color w:val="000000"/>
          <w:sz w:val="22"/>
          <w:szCs w:val="22"/>
        </w:rPr>
        <w:t>Universality of the ‘Police Canteen Culture’ | Office of Justice Programs</w:t>
      </w:r>
      <w:r w:rsidRPr="00CC61D5">
        <w:rPr>
          <w:rFonts w:ascii="Arial" w:hAnsi="Arial" w:cs="Arial"/>
          <w:color w:val="000000"/>
          <w:sz w:val="22"/>
          <w:szCs w:val="22"/>
        </w:rPr>
        <w:t xml:space="preserve">. [online] www.ojp.gov. Available at: </w:t>
      </w:r>
      <w:hyperlink r:id="rId4" w:history="1">
        <w:r w:rsidRPr="00CC61D5">
          <w:rPr>
            <w:rStyle w:val="Hyperlink"/>
            <w:rFonts w:ascii="Arial" w:hAnsi="Arial" w:cs="Arial"/>
            <w:sz w:val="22"/>
            <w:szCs w:val="22"/>
          </w:rPr>
          <w:t>https://www.ojp.gov/ncjrs/virtual-library/abstracts/universality-police-canteen-culture</w:t>
        </w:r>
      </w:hyperlink>
      <w:r w:rsidRPr="00CC61D5">
        <w:rPr>
          <w:rFonts w:ascii="Arial" w:hAnsi="Arial" w:cs="Arial"/>
          <w:color w:val="000000"/>
          <w:sz w:val="22"/>
          <w:szCs w:val="22"/>
        </w:rPr>
        <w:t>.</w:t>
      </w:r>
    </w:p>
    <w:p w14:paraId="024E571F"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Köhnken, G., Milne, R., Memon, A. and Bull, R. (1999). The Cognitive interview: a meta-analysis. </w:t>
      </w:r>
      <w:r w:rsidRPr="00CC61D5">
        <w:rPr>
          <w:rFonts w:ascii="Arial" w:hAnsi="Arial" w:cs="Arial"/>
          <w:i/>
          <w:iCs/>
          <w:color w:val="000000"/>
          <w:sz w:val="22"/>
          <w:szCs w:val="22"/>
        </w:rPr>
        <w:t>Psychology, Crime &amp; Law</w:t>
      </w:r>
      <w:r w:rsidRPr="00CC61D5">
        <w:rPr>
          <w:rFonts w:ascii="Arial" w:hAnsi="Arial" w:cs="Arial"/>
          <w:color w:val="000000"/>
          <w:sz w:val="22"/>
          <w:szCs w:val="22"/>
        </w:rPr>
        <w:t>, [online] 5(1-2), pp.3–27. doi:https://doi.org/10.1080/10683169908414991.</w:t>
      </w:r>
    </w:p>
    <w:p w14:paraId="4F8156BF"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1DBE75B"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Lentz, S.A. and Chaires, R.H. (2007). The invention of Peel’s principles: A study of policing ‘textbook’ history. </w:t>
      </w:r>
      <w:r w:rsidRPr="00CC61D5">
        <w:rPr>
          <w:rFonts w:ascii="Arial" w:hAnsi="Arial" w:cs="Arial"/>
          <w:i/>
          <w:iCs/>
          <w:color w:val="000000"/>
          <w:sz w:val="22"/>
          <w:szCs w:val="22"/>
        </w:rPr>
        <w:t>Journal of Criminal Justice</w:t>
      </w:r>
      <w:r w:rsidRPr="00CC61D5">
        <w:rPr>
          <w:rFonts w:ascii="Arial" w:hAnsi="Arial" w:cs="Arial"/>
          <w:color w:val="000000"/>
          <w:sz w:val="22"/>
          <w:szCs w:val="22"/>
        </w:rPr>
        <w:t>, 35(1). doi:https://doi.org/10.1016/j.jcrimjus.2006.11.016.</w:t>
      </w:r>
    </w:p>
    <w:p w14:paraId="3968DE1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0C905A88" w14:textId="370E448E"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Linde-Domingo, J., Treder, M., Kerren, C. and Wimber, M. (2019). Evidence that neural information flow is reversed between object perception and object reconstruction from memory. </w:t>
      </w:r>
      <w:r w:rsidRPr="00CC61D5">
        <w:rPr>
          <w:rFonts w:ascii="Arial" w:hAnsi="Arial" w:cs="Arial"/>
          <w:i/>
          <w:iCs/>
          <w:color w:val="000000"/>
          <w:sz w:val="22"/>
          <w:szCs w:val="22"/>
        </w:rPr>
        <w:t>nature communications</w:t>
      </w:r>
      <w:r w:rsidRPr="00CC61D5">
        <w:rPr>
          <w:rFonts w:ascii="Arial" w:hAnsi="Arial" w:cs="Arial"/>
          <w:color w:val="000000"/>
          <w:sz w:val="22"/>
          <w:szCs w:val="22"/>
        </w:rPr>
        <w:t>, 10(179).</w:t>
      </w:r>
    </w:p>
    <w:p w14:paraId="23F093C6"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‌Lumsden, K. (2017). ‘It’s a Profession, it Isn’t a Job’: Police Officers’ Views on the Professionalisation of Policing in England. </w:t>
      </w:r>
      <w:r w:rsidRPr="00CC61D5">
        <w:rPr>
          <w:rFonts w:ascii="Arial" w:hAnsi="Arial" w:cs="Arial"/>
          <w:i/>
          <w:iCs/>
          <w:color w:val="000000"/>
          <w:sz w:val="22"/>
          <w:szCs w:val="22"/>
        </w:rPr>
        <w:t>Sociological Research Online</w:t>
      </w:r>
      <w:r w:rsidRPr="00CC61D5">
        <w:rPr>
          <w:rFonts w:ascii="Arial" w:hAnsi="Arial" w:cs="Arial"/>
          <w:color w:val="000000"/>
          <w:sz w:val="22"/>
          <w:szCs w:val="22"/>
        </w:rPr>
        <w:t>, 22(3), pp.4–20. doi:https://doi.org/10.1177/1360780417724062.</w:t>
      </w:r>
    </w:p>
    <w:p w14:paraId="3357F918" w14:textId="77B5F486"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lastRenderedPageBreak/>
        <w:t>Marshall, T.F. (1999). </w:t>
      </w:r>
      <w:r w:rsidRPr="00CC61D5">
        <w:rPr>
          <w:rFonts w:ascii="Arial" w:hAnsi="Arial" w:cs="Arial"/>
          <w:i/>
          <w:iCs/>
          <w:color w:val="000000"/>
          <w:sz w:val="22"/>
          <w:szCs w:val="22"/>
        </w:rPr>
        <w:t>RESTORATIVE JUSTICE AN OVERVIEW</w:t>
      </w:r>
      <w:r w:rsidRPr="00CC61D5">
        <w:rPr>
          <w:rFonts w:ascii="Arial" w:hAnsi="Arial" w:cs="Arial"/>
          <w:color w:val="000000"/>
          <w:sz w:val="22"/>
          <w:szCs w:val="22"/>
        </w:rPr>
        <w:t>. [online] Available at: http://www.antoniocasella.eu/restorative/Marshall_1999-b.pdf.</w:t>
      </w:r>
    </w:p>
    <w:p w14:paraId="6F117A5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4FE3AAC9" w14:textId="1F451B3F"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Mcleod, S. (2023). Cognitive Interview Technique. SimplyPsychology</w:t>
      </w:r>
      <w:r w:rsidRPr="00CC61D5">
        <w:rPr>
          <w:rFonts w:ascii="Arial" w:hAnsi="Arial" w:cs="Arial"/>
          <w:color w:val="000000"/>
          <w:sz w:val="22"/>
          <w:szCs w:val="22"/>
        </w:rPr>
        <w:t>.</w:t>
      </w:r>
    </w:p>
    <w:p w14:paraId="332833D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1860109A" w14:textId="778081CE"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Memon, A., Meissner, C.A. and Fraser, J. (2010). The Cognitive Interview: A meta-analytic review and study space analysis of the past 25 years. </w:t>
      </w:r>
      <w:r w:rsidRPr="00CC61D5">
        <w:rPr>
          <w:rFonts w:ascii="Arial" w:hAnsi="Arial" w:cs="Arial"/>
          <w:i/>
          <w:iCs/>
          <w:color w:val="000000"/>
          <w:sz w:val="22"/>
          <w:szCs w:val="22"/>
        </w:rPr>
        <w:t>Psychology, Public Policy, and Law</w:t>
      </w:r>
      <w:r w:rsidRPr="00CC61D5">
        <w:rPr>
          <w:rFonts w:ascii="Arial" w:hAnsi="Arial" w:cs="Arial"/>
          <w:color w:val="000000"/>
          <w:sz w:val="22"/>
          <w:szCs w:val="22"/>
        </w:rPr>
        <w:t>, 16(4), pp.340–372. doi:https://doi.org/10.1037/a0020518.</w:t>
      </w:r>
    </w:p>
    <w:p w14:paraId="6D0A1685"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E578BA6"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Mitchell, R.J. and Huey, L. (2018). </w:t>
      </w:r>
      <w:r w:rsidRPr="00CC61D5">
        <w:rPr>
          <w:rFonts w:ascii="Arial" w:hAnsi="Arial" w:cs="Arial"/>
          <w:i/>
          <w:iCs/>
          <w:color w:val="000000"/>
          <w:sz w:val="22"/>
          <w:szCs w:val="22"/>
        </w:rPr>
        <w:t>Evidence based policing : An introduction</w:t>
      </w:r>
      <w:r w:rsidRPr="00CC61D5">
        <w:rPr>
          <w:rFonts w:ascii="Arial" w:hAnsi="Arial" w:cs="Arial"/>
          <w:color w:val="000000"/>
          <w:sz w:val="22"/>
          <w:szCs w:val="22"/>
        </w:rPr>
        <w:t>. Bristol Policy Press.</w:t>
      </w:r>
    </w:p>
    <w:p w14:paraId="407A16D4"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Police Reform Act 2002</w:t>
      </w:r>
    </w:p>
    <w:p w14:paraId="6488204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Purba, A. and Demou, E. (2019). The relationship between organisational stressors and mental wellbeing within police officers: A systematic review. </w:t>
      </w:r>
      <w:r w:rsidRPr="00CC61D5">
        <w:rPr>
          <w:rFonts w:ascii="Arial" w:hAnsi="Arial" w:cs="Arial"/>
          <w:i/>
          <w:iCs/>
          <w:color w:val="000000"/>
          <w:sz w:val="22"/>
          <w:szCs w:val="22"/>
        </w:rPr>
        <w:t>BMC Public Health</w:t>
      </w:r>
      <w:r w:rsidRPr="00CC61D5">
        <w:rPr>
          <w:rFonts w:ascii="Arial" w:hAnsi="Arial" w:cs="Arial"/>
          <w:color w:val="000000"/>
          <w:sz w:val="22"/>
          <w:szCs w:val="22"/>
        </w:rPr>
        <w:t>, [online] 19(1). doi:https://doi.org/10.1186/s12889-019-7609-0.</w:t>
      </w:r>
    </w:p>
    <w:p w14:paraId="1AAED6FB"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5123CC5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Shakesprere, J., Mizota, M., Martinez, R., Daly, H. and Falkenburger, E. (2021). </w:t>
      </w:r>
      <w:r w:rsidRPr="00CC61D5">
        <w:rPr>
          <w:rFonts w:ascii="Arial" w:hAnsi="Arial" w:cs="Arial"/>
          <w:i/>
          <w:iCs/>
          <w:color w:val="000000"/>
          <w:sz w:val="22"/>
          <w:szCs w:val="22"/>
        </w:rPr>
        <w:t>Fostering Partnerships for Community Engagement Community Voice and Power Sharing Guidebook</w:t>
      </w:r>
      <w:r w:rsidRPr="00CC61D5">
        <w:rPr>
          <w:rFonts w:ascii="Arial" w:hAnsi="Arial" w:cs="Arial"/>
          <w:color w:val="000000"/>
          <w:sz w:val="22"/>
          <w:szCs w:val="22"/>
        </w:rPr>
        <w:t>. [online] Available at: https://www.urban.org/sites/default/files/publication/104935/fostering-partnerships-for-community-engagement_0.pdf.</w:t>
      </w:r>
    </w:p>
    <w:p w14:paraId="5ED29ED2"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20A5CECD" w14:textId="631BF340"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Suzuki, M. and Wood, W.R. (2017). Is restorative justice conferencing appropriate for youth offenders? </w:t>
      </w:r>
      <w:r w:rsidRPr="00CC61D5">
        <w:rPr>
          <w:rFonts w:ascii="Arial" w:hAnsi="Arial" w:cs="Arial"/>
          <w:i/>
          <w:iCs/>
          <w:color w:val="000000"/>
          <w:sz w:val="22"/>
          <w:szCs w:val="22"/>
        </w:rPr>
        <w:t>Criminology &amp; Criminal Justice</w:t>
      </w:r>
      <w:r w:rsidRPr="00CC61D5">
        <w:rPr>
          <w:rFonts w:ascii="Arial" w:hAnsi="Arial" w:cs="Arial"/>
          <w:color w:val="000000"/>
          <w:sz w:val="22"/>
          <w:szCs w:val="22"/>
        </w:rPr>
        <w:t>, 18(4), pp.450–467. doi:https://doi.org/10.1177/1748895817722188.</w:t>
      </w:r>
    </w:p>
    <w:p w14:paraId="794566CD"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C7AC9A9"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The Police Act 1996, Section 39A(5)</w:t>
      </w:r>
    </w:p>
    <w:p w14:paraId="1DDDD57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Thwaites, C. (2013). </w:t>
      </w:r>
      <w:r w:rsidRPr="00CC61D5">
        <w:rPr>
          <w:rFonts w:ascii="Arial" w:hAnsi="Arial" w:cs="Arial"/>
          <w:i/>
          <w:iCs/>
          <w:color w:val="000000"/>
          <w:sz w:val="22"/>
          <w:szCs w:val="22"/>
        </w:rPr>
        <w:t>Increasing the effectiveness and impact of Community Safety Partnerships in two London boroughs: Practitioners’ Perspectives</w:t>
      </w:r>
      <w:r w:rsidRPr="00CC61D5">
        <w:rPr>
          <w:rFonts w:ascii="Arial" w:hAnsi="Arial" w:cs="Arial"/>
          <w:color w:val="000000"/>
          <w:sz w:val="22"/>
          <w:szCs w:val="22"/>
        </w:rPr>
        <w:t xml:space="preserve">. [online] Available at: </w:t>
      </w:r>
      <w:hyperlink r:id="rId5" w:history="1">
        <w:r w:rsidRPr="00CC61D5">
          <w:rPr>
            <w:rStyle w:val="Hyperlink"/>
            <w:rFonts w:ascii="Arial" w:hAnsi="Arial" w:cs="Arial"/>
            <w:sz w:val="22"/>
            <w:szCs w:val="22"/>
          </w:rPr>
          <w:t>https://pure.port.ac.uk/ws/portalfiles/portal/6083843/finalsubmissionbind3.pdf</w:t>
        </w:r>
      </w:hyperlink>
      <w:r w:rsidRPr="00CC61D5">
        <w:rPr>
          <w:rFonts w:ascii="Arial" w:hAnsi="Arial" w:cs="Arial"/>
          <w:color w:val="000000"/>
          <w:sz w:val="22"/>
          <w:szCs w:val="22"/>
        </w:rPr>
        <w:t>.</w:t>
      </w:r>
    </w:p>
    <w:p w14:paraId="0246AD80" w14:textId="77777777" w:rsidR="0040705F" w:rsidRPr="00CC61D5" w:rsidRDefault="0040705F" w:rsidP="0040705F">
      <w:pPr>
        <w:pStyle w:val="NormalWeb"/>
        <w:spacing w:before="0" w:beforeAutospacing="0" w:after="0" w:afterAutospacing="0" w:line="360" w:lineRule="atLeast"/>
        <w:rPr>
          <w:rFonts w:ascii="Arial" w:hAnsi="Arial" w:cs="Arial"/>
          <w:sz w:val="22"/>
          <w:szCs w:val="22"/>
        </w:rPr>
      </w:pPr>
    </w:p>
    <w:p w14:paraId="67F9E84F" w14:textId="1DC1BA90"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Whelan, C. (2016). Organisational culture and cultural change: A network perspective. </w:t>
      </w:r>
      <w:r w:rsidRPr="00CC61D5">
        <w:rPr>
          <w:rFonts w:ascii="Arial" w:hAnsi="Arial" w:cs="Arial"/>
          <w:i/>
          <w:iCs/>
          <w:color w:val="000000"/>
          <w:sz w:val="22"/>
          <w:szCs w:val="22"/>
        </w:rPr>
        <w:t>Australian &amp; New Zealand Journal of Criminology</w:t>
      </w:r>
      <w:r w:rsidRPr="00CC61D5">
        <w:rPr>
          <w:rFonts w:ascii="Arial" w:hAnsi="Arial" w:cs="Arial"/>
          <w:color w:val="000000"/>
          <w:sz w:val="22"/>
          <w:szCs w:val="22"/>
        </w:rPr>
        <w:t>, [online] 49(4), pp.583–599. doi:https://doi.org/10.1177/0004865815604196.</w:t>
      </w:r>
    </w:p>
    <w:p w14:paraId="66870085"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15DAF796"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 D., Bradshaw, S., Dickens, T., Parker-Mcleod, J., Simpson, F. and Weaver, G. (2022). </w:t>
      </w:r>
      <w:r w:rsidRPr="00CC61D5">
        <w:rPr>
          <w:rFonts w:ascii="Arial" w:hAnsi="Arial" w:cs="Arial"/>
          <w:i/>
          <w:iCs/>
          <w:color w:val="000000"/>
          <w:sz w:val="22"/>
          <w:szCs w:val="22"/>
        </w:rPr>
        <w:t>Blackstone’s Handbook For Policing Students 2022.</w:t>
      </w:r>
      <w:r w:rsidRPr="00CC61D5">
        <w:rPr>
          <w:rFonts w:ascii="Arial" w:hAnsi="Arial" w:cs="Arial"/>
          <w:color w:val="000000"/>
          <w:sz w:val="22"/>
          <w:szCs w:val="22"/>
        </w:rPr>
        <w:t> S.L.: Oxford Univ Press. P172</w:t>
      </w:r>
    </w:p>
    <w:p w14:paraId="00960218"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42FF3D18"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 D., Bradshaw, S., Dickens, T., Parker-Mcleod, J., Simpson, F. and Weaver, G. (2022). </w:t>
      </w:r>
      <w:r w:rsidRPr="00CC61D5">
        <w:rPr>
          <w:rFonts w:ascii="Arial" w:hAnsi="Arial" w:cs="Arial"/>
          <w:i/>
          <w:iCs/>
          <w:color w:val="000000"/>
          <w:sz w:val="22"/>
          <w:szCs w:val="22"/>
        </w:rPr>
        <w:t>Blackstone’s Handbook For Policing Students 2022.</w:t>
      </w:r>
      <w:r w:rsidRPr="00CC61D5">
        <w:rPr>
          <w:rFonts w:ascii="Arial" w:hAnsi="Arial" w:cs="Arial"/>
          <w:color w:val="000000"/>
          <w:sz w:val="22"/>
          <w:szCs w:val="22"/>
        </w:rPr>
        <w:t> S.L.: Oxford Univ Press. P77.</w:t>
      </w:r>
    </w:p>
    <w:p w14:paraId="6E07F998"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4DF4DA13"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Woodland, E. (2024). 4 Effective Strategies for Criminal Rehabilitation in the Justice System. </w:t>
      </w:r>
      <w:r w:rsidRPr="00CC61D5">
        <w:rPr>
          <w:rFonts w:ascii="Arial" w:hAnsi="Arial" w:cs="Arial"/>
          <w:i/>
          <w:iCs/>
          <w:color w:val="000000"/>
          <w:sz w:val="22"/>
          <w:szCs w:val="22"/>
        </w:rPr>
        <w:t>GovNet justice</w:t>
      </w:r>
      <w:r w:rsidRPr="00CC61D5">
        <w:rPr>
          <w:rFonts w:ascii="Arial" w:hAnsi="Arial" w:cs="Arial"/>
          <w:color w:val="000000"/>
          <w:sz w:val="22"/>
          <w:szCs w:val="22"/>
        </w:rPr>
        <w:t>. Available at: https://blog.govnet.co.uk/justice/what-is-rehabilitation-in-criminal-justice#:~:text=It%27s%20based%20on%20the%20belief,tailored%20to%20the%20individual%27s%20needs. [Accessed 6 Feb. 2024].</w:t>
      </w:r>
    </w:p>
    <w:p w14:paraId="5D096F04"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sectPr w:rsidR="00CC61D5" w:rsidRPr="00CC6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CC"/>
    <w:rsid w:val="00035A7D"/>
    <w:rsid w:val="00306FCC"/>
    <w:rsid w:val="0040705F"/>
    <w:rsid w:val="00681745"/>
    <w:rsid w:val="0069611F"/>
    <w:rsid w:val="00797073"/>
    <w:rsid w:val="00CC61D5"/>
    <w:rsid w:val="00FB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84D7"/>
  <w15:chartTrackingRefBased/>
  <w15:docId w15:val="{6F470DB1-8ED6-445C-B83A-1AAA911A6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6F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06FCC"/>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4070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070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ure.port.ac.uk/ws/portalfiles/portal/6083843/finalsubmissionbind3.pdf" TargetMode="External"/><Relationship Id="rId4" Type="http://schemas.openxmlformats.org/officeDocument/2006/relationships/hyperlink" Target="https://www.ojp.gov/ncjrs/virtual-library/abstracts/universality-police-canteen-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4980</Words>
  <Characters>28387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Union,Iestyn swp8346</dc:creator>
  <cp:keywords/>
  <dc:description/>
  <cp:lastModifiedBy>Union,Iestyn swp8346</cp:lastModifiedBy>
  <cp:revision>2</cp:revision>
  <dcterms:created xsi:type="dcterms:W3CDTF">2024-02-08T15:21:00Z</dcterms:created>
  <dcterms:modified xsi:type="dcterms:W3CDTF">2024-02-08T15:46:00Z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2024-02-08T15:46:36Z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6af029f4-5358-4f3e-a79f-add9962b90bf</vt:lpwstr>
  </property>
  <property fmtid="{D5CDD505-2E9C-101B-9397-08002B2CF9AE}" pid="8" name="MSIP_Label_66cf8fe5-b7b7-4df7-b38d-1c61ac2f6639_ContentBits">
    <vt:lpwstr>0</vt:lpwstr>
  </property>
</Properties>
</file>