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5DC5" w14:textId="77777777" w:rsidR="00927984" w:rsidRPr="00BA63F6" w:rsidRDefault="00927984" w:rsidP="00927984">
      <w:pPr>
        <w:spacing w:line="360" w:lineRule="auto"/>
        <w:jc w:val="both"/>
        <w:rPr>
          <w:rFonts w:ascii="Arial" w:hAnsi="Arial" w:cs="Arial"/>
          <w:kern w:val="0"/>
          <w14:ligatures w14:val="none"/>
        </w:rPr>
      </w:pPr>
      <w:r w:rsidRPr="00BA63F6">
        <w:rPr>
          <w:rFonts w:ascii="Arial" w:hAnsi="Arial" w:cs="Arial"/>
          <w:noProof/>
          <w:kern w:val="0"/>
          <w14:ligatures w14:val="none"/>
        </w:rPr>
        <w:drawing>
          <wp:inline distT="0" distB="0" distL="0" distR="0" wp14:anchorId="72E7A3A2" wp14:editId="3B7D8553">
            <wp:extent cx="571500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inline>
        </w:drawing>
      </w:r>
    </w:p>
    <w:p w14:paraId="4D633285" w14:textId="77777777" w:rsidR="00927984" w:rsidRPr="00BA63F6" w:rsidRDefault="00927984" w:rsidP="00927984">
      <w:pPr>
        <w:spacing w:line="360" w:lineRule="auto"/>
        <w:jc w:val="both"/>
        <w:rPr>
          <w:rFonts w:ascii="Arial" w:hAnsi="Arial" w:cs="Arial"/>
          <w:kern w:val="0"/>
          <w14:ligatures w14:val="none"/>
        </w:rPr>
      </w:pPr>
    </w:p>
    <w:p w14:paraId="7195FDFE" w14:textId="79372059" w:rsidR="00927984" w:rsidRPr="00927984" w:rsidRDefault="00927984" w:rsidP="00927984">
      <w:pPr>
        <w:spacing w:before="120" w:after="120" w:line="360" w:lineRule="auto"/>
        <w:jc w:val="both"/>
        <w:rPr>
          <w:rFonts w:ascii="Arial" w:hAnsi="Arial" w:cs="Arial"/>
          <w:b/>
          <w:bCs/>
        </w:rPr>
      </w:pPr>
      <w:r w:rsidRPr="00927984">
        <w:rPr>
          <w:rFonts w:ascii="Arial" w:hAnsi="Arial" w:cs="Arial"/>
          <w:b/>
          <w:bCs/>
        </w:rPr>
        <w:t xml:space="preserve">Component 1: Coursework - </w:t>
      </w:r>
      <w:r w:rsidRPr="00927984">
        <w:rPr>
          <w:rFonts w:ascii="Arial" w:hAnsi="Arial" w:cs="Arial"/>
          <w:b/>
        </w:rPr>
        <w:t xml:space="preserve">Written Report  </w:t>
      </w:r>
    </w:p>
    <w:p w14:paraId="223DE5C6" w14:textId="77777777" w:rsidR="00927984" w:rsidRPr="00927984" w:rsidRDefault="00927984" w:rsidP="00927984">
      <w:pPr>
        <w:spacing w:line="360" w:lineRule="auto"/>
        <w:jc w:val="both"/>
        <w:rPr>
          <w:rFonts w:ascii="Arial" w:eastAsia="Arial" w:hAnsi="Arial" w:cs="Arial"/>
          <w:b/>
          <w:bCs/>
          <w:kern w:val="0"/>
          <w14:ligatures w14:val="none"/>
        </w:rPr>
      </w:pPr>
      <w:r w:rsidRPr="00927984">
        <w:rPr>
          <w:rFonts w:ascii="Arial" w:eastAsia="Arial" w:hAnsi="Arial" w:cs="Arial"/>
          <w:b/>
          <w:bCs/>
          <w:kern w:val="0"/>
          <w14:ligatures w14:val="none"/>
        </w:rPr>
        <w:t>Student Name: Georgiana Madalina Usurelu</w:t>
      </w:r>
    </w:p>
    <w:p w14:paraId="3BA49101" w14:textId="77777777" w:rsidR="00927984" w:rsidRPr="00927984" w:rsidRDefault="00927984" w:rsidP="00927984">
      <w:pPr>
        <w:spacing w:line="360" w:lineRule="auto"/>
        <w:jc w:val="both"/>
        <w:rPr>
          <w:rFonts w:ascii="Arial" w:eastAsia="Arial" w:hAnsi="Arial" w:cs="Arial"/>
          <w:b/>
          <w:bCs/>
          <w:kern w:val="0"/>
          <w14:ligatures w14:val="none"/>
        </w:rPr>
      </w:pPr>
      <w:r w:rsidRPr="00927984">
        <w:rPr>
          <w:rFonts w:ascii="Arial" w:eastAsia="Arial" w:hAnsi="Arial" w:cs="Arial"/>
          <w:b/>
          <w:bCs/>
          <w:kern w:val="0"/>
          <w14:ligatures w14:val="none"/>
        </w:rPr>
        <w:t>Student Number: 2226304</w:t>
      </w:r>
    </w:p>
    <w:p w14:paraId="335BB66B" w14:textId="28006744" w:rsidR="00927984" w:rsidRPr="00927984" w:rsidRDefault="00927984" w:rsidP="00927984">
      <w:pPr>
        <w:spacing w:before="120" w:after="120" w:line="360" w:lineRule="auto"/>
        <w:jc w:val="both"/>
        <w:rPr>
          <w:rFonts w:ascii="Arial" w:hAnsi="Arial" w:cs="Arial"/>
          <w:b/>
          <w:bCs/>
        </w:rPr>
      </w:pPr>
      <w:r w:rsidRPr="00927984">
        <w:rPr>
          <w:rFonts w:ascii="Arial" w:eastAsia="Arial" w:hAnsi="Arial" w:cs="Arial"/>
          <w:b/>
          <w:bCs/>
          <w:kern w:val="0"/>
          <w14:ligatures w14:val="none"/>
        </w:rPr>
        <w:t xml:space="preserve">Lecturer Name: </w:t>
      </w:r>
      <w:r w:rsidRPr="00927984">
        <w:rPr>
          <w:rFonts w:ascii="Arial" w:hAnsi="Arial" w:cs="Arial"/>
          <w:b/>
          <w:bCs/>
        </w:rPr>
        <w:t>Dr Liyanage Sampath Rodrigo</w:t>
      </w:r>
    </w:p>
    <w:p w14:paraId="446CA491" w14:textId="77777777" w:rsidR="00927984" w:rsidRPr="00927984" w:rsidRDefault="00927984" w:rsidP="00927984">
      <w:pPr>
        <w:spacing w:line="360" w:lineRule="auto"/>
        <w:jc w:val="both"/>
        <w:rPr>
          <w:rFonts w:ascii="Arial" w:eastAsia="Arial" w:hAnsi="Arial" w:cs="Arial"/>
          <w:b/>
          <w:bCs/>
          <w:kern w:val="0"/>
          <w14:ligatures w14:val="none"/>
        </w:rPr>
      </w:pPr>
      <w:r w:rsidRPr="00927984">
        <w:rPr>
          <w:rFonts w:ascii="Arial" w:hAnsi="Arial" w:cs="Arial"/>
          <w:b/>
        </w:rPr>
        <w:t>LCBB6002</w:t>
      </w:r>
      <w:r w:rsidRPr="00927984">
        <w:rPr>
          <w:rFonts w:ascii="Arial" w:eastAsia="Arial" w:hAnsi="Arial" w:cs="Arial"/>
          <w:b/>
          <w:bCs/>
          <w:kern w:val="0"/>
          <w14:ligatures w14:val="none"/>
        </w:rPr>
        <w:t>_BIRM</w:t>
      </w:r>
    </w:p>
    <w:p w14:paraId="3DCEC68E" w14:textId="16F22D77" w:rsidR="00927984" w:rsidRPr="00927984" w:rsidRDefault="00927984" w:rsidP="00927984">
      <w:pPr>
        <w:spacing w:line="360" w:lineRule="auto"/>
        <w:jc w:val="both"/>
        <w:rPr>
          <w:rFonts w:ascii="Arial" w:hAnsi="Arial" w:cs="Arial"/>
          <w:b/>
        </w:rPr>
      </w:pPr>
      <w:r w:rsidRPr="00927984">
        <w:rPr>
          <w:rFonts w:ascii="Arial" w:hAnsi="Arial" w:cs="Arial"/>
          <w:b/>
        </w:rPr>
        <w:t>International Financial Management</w:t>
      </w:r>
    </w:p>
    <w:p w14:paraId="5E831D4C" w14:textId="77777777" w:rsidR="00927984" w:rsidRDefault="00927984" w:rsidP="00927984">
      <w:pPr>
        <w:spacing w:line="360" w:lineRule="auto"/>
        <w:jc w:val="both"/>
        <w:rPr>
          <w:rFonts w:ascii="Arial" w:hAnsi="Arial" w:cs="Arial"/>
          <w:b/>
        </w:rPr>
      </w:pPr>
    </w:p>
    <w:p w14:paraId="324C04D1" w14:textId="77777777" w:rsidR="00927984" w:rsidRDefault="00927984" w:rsidP="00927984">
      <w:pPr>
        <w:spacing w:line="360" w:lineRule="auto"/>
        <w:jc w:val="both"/>
        <w:rPr>
          <w:rFonts w:ascii="Arial" w:hAnsi="Arial" w:cs="Arial"/>
          <w:b/>
        </w:rPr>
      </w:pPr>
    </w:p>
    <w:p w14:paraId="2251C755" w14:textId="77777777" w:rsidR="00927984" w:rsidRDefault="00927984" w:rsidP="00927984">
      <w:pPr>
        <w:spacing w:line="360" w:lineRule="auto"/>
        <w:jc w:val="both"/>
        <w:rPr>
          <w:rFonts w:ascii="Arial" w:hAnsi="Arial" w:cs="Arial"/>
          <w:b/>
        </w:rPr>
      </w:pPr>
    </w:p>
    <w:p w14:paraId="085CDE1A" w14:textId="77777777" w:rsidR="00927984" w:rsidRDefault="00927984" w:rsidP="00927984">
      <w:pPr>
        <w:spacing w:line="360" w:lineRule="auto"/>
        <w:jc w:val="both"/>
        <w:rPr>
          <w:rFonts w:ascii="Arial" w:hAnsi="Arial" w:cs="Arial"/>
          <w:b/>
        </w:rPr>
      </w:pPr>
    </w:p>
    <w:p w14:paraId="28082762" w14:textId="77777777" w:rsidR="00927984" w:rsidRDefault="00927984" w:rsidP="00927984">
      <w:pPr>
        <w:spacing w:line="360" w:lineRule="auto"/>
        <w:jc w:val="both"/>
        <w:rPr>
          <w:rFonts w:ascii="Arial" w:hAnsi="Arial" w:cs="Arial"/>
          <w:b/>
        </w:rPr>
      </w:pPr>
    </w:p>
    <w:p w14:paraId="163329E6" w14:textId="77777777" w:rsidR="00927984" w:rsidRDefault="00927984" w:rsidP="00927984">
      <w:pPr>
        <w:spacing w:line="360" w:lineRule="auto"/>
        <w:jc w:val="both"/>
        <w:rPr>
          <w:rFonts w:ascii="Arial" w:hAnsi="Arial" w:cs="Arial"/>
          <w:b/>
        </w:rPr>
      </w:pPr>
    </w:p>
    <w:p w14:paraId="47A681B2" w14:textId="77777777" w:rsidR="00927984" w:rsidRDefault="00927984" w:rsidP="00927984">
      <w:pPr>
        <w:spacing w:line="360" w:lineRule="auto"/>
        <w:jc w:val="both"/>
        <w:rPr>
          <w:rFonts w:ascii="Arial" w:hAnsi="Arial" w:cs="Arial"/>
          <w:b/>
        </w:rPr>
      </w:pPr>
    </w:p>
    <w:p w14:paraId="4618895C" w14:textId="77777777" w:rsidR="00927984" w:rsidRDefault="00927984" w:rsidP="00927984">
      <w:pPr>
        <w:spacing w:line="360" w:lineRule="auto"/>
        <w:jc w:val="both"/>
        <w:rPr>
          <w:rFonts w:ascii="Arial" w:hAnsi="Arial" w:cs="Arial"/>
          <w:b/>
        </w:rPr>
      </w:pPr>
    </w:p>
    <w:p w14:paraId="46B1D4C0" w14:textId="77777777" w:rsidR="00927984" w:rsidRDefault="00927984" w:rsidP="00927984">
      <w:pPr>
        <w:spacing w:line="360" w:lineRule="auto"/>
        <w:jc w:val="both"/>
        <w:rPr>
          <w:rFonts w:ascii="Arial" w:hAnsi="Arial" w:cs="Arial"/>
          <w:b/>
        </w:rPr>
      </w:pPr>
    </w:p>
    <w:p w14:paraId="1FCB94D6" w14:textId="77777777" w:rsidR="00927984" w:rsidRDefault="00927984" w:rsidP="00927984">
      <w:pPr>
        <w:spacing w:line="360" w:lineRule="auto"/>
        <w:jc w:val="both"/>
        <w:rPr>
          <w:rFonts w:ascii="Arial" w:hAnsi="Arial" w:cs="Arial"/>
          <w:b/>
        </w:rPr>
      </w:pPr>
    </w:p>
    <w:p w14:paraId="534C85FE" w14:textId="77777777" w:rsidR="00927984" w:rsidRDefault="00927984" w:rsidP="00927984">
      <w:pPr>
        <w:spacing w:line="360" w:lineRule="auto"/>
        <w:jc w:val="both"/>
        <w:rPr>
          <w:rFonts w:ascii="Arial" w:hAnsi="Arial" w:cs="Arial"/>
          <w:b/>
        </w:rPr>
      </w:pPr>
    </w:p>
    <w:p w14:paraId="2B411CD4" w14:textId="77777777" w:rsidR="00927984" w:rsidRDefault="00927984" w:rsidP="00927984">
      <w:pPr>
        <w:spacing w:line="360" w:lineRule="auto"/>
        <w:jc w:val="both"/>
        <w:rPr>
          <w:rFonts w:ascii="Arial" w:hAnsi="Arial" w:cs="Arial"/>
          <w:b/>
        </w:rPr>
      </w:pPr>
    </w:p>
    <w:p w14:paraId="059C457E" w14:textId="77777777" w:rsidR="00927984" w:rsidRDefault="00927984" w:rsidP="00927984">
      <w:pPr>
        <w:spacing w:line="360" w:lineRule="auto"/>
        <w:jc w:val="both"/>
        <w:rPr>
          <w:rFonts w:ascii="Arial" w:hAnsi="Arial" w:cs="Arial"/>
          <w:b/>
        </w:rPr>
      </w:pPr>
    </w:p>
    <w:sdt>
      <w:sdtPr>
        <w:rPr>
          <w:rFonts w:ascii="Arial" w:hAnsi="Arial" w:cs="Arial"/>
          <w:sz w:val="22"/>
          <w:szCs w:val="22"/>
        </w:rPr>
        <w:id w:val="-428889879"/>
        <w:docPartObj>
          <w:docPartGallery w:val="Table of Contents"/>
          <w:docPartUnique/>
        </w:docPartObj>
      </w:sdtPr>
      <w:sdtEndPr>
        <w:rPr>
          <w:rFonts w:eastAsiaTheme="minorEastAsia"/>
          <w:color w:val="auto"/>
        </w:rPr>
      </w:sdtEndPr>
      <w:sdtContent>
        <w:p w14:paraId="3AA56E19" w14:textId="104D91F2" w:rsidR="00927984" w:rsidRPr="00975482" w:rsidRDefault="00927984" w:rsidP="00975482">
          <w:pPr>
            <w:pStyle w:val="TOCHeading"/>
            <w:spacing w:line="360" w:lineRule="auto"/>
            <w:jc w:val="both"/>
            <w:rPr>
              <w:rFonts w:ascii="Arial" w:hAnsi="Arial" w:cs="Arial"/>
            </w:rPr>
          </w:pPr>
          <w:r w:rsidRPr="00975482">
            <w:rPr>
              <w:rFonts w:ascii="Arial" w:hAnsi="Arial" w:cs="Arial"/>
            </w:rPr>
            <w:t>Table of Contents</w:t>
          </w:r>
        </w:p>
        <w:p w14:paraId="777D82DB" w14:textId="177065D5" w:rsidR="00927984" w:rsidRPr="00975482" w:rsidRDefault="00A97139" w:rsidP="00975482">
          <w:pPr>
            <w:pStyle w:val="TOC1"/>
            <w:spacing w:line="360" w:lineRule="auto"/>
            <w:jc w:val="both"/>
            <w:rPr>
              <w:rFonts w:ascii="Arial" w:hAnsi="Arial" w:cs="Arial"/>
            </w:rPr>
          </w:pPr>
          <w:r w:rsidRPr="00975482">
            <w:rPr>
              <w:rFonts w:ascii="Arial" w:hAnsi="Arial" w:cs="Arial"/>
              <w:b/>
              <w:bCs/>
            </w:rPr>
            <w:t>1.</w:t>
          </w:r>
          <w:r w:rsidRPr="00975482">
            <w:rPr>
              <w:rFonts w:ascii="Arial" w:hAnsi="Arial" w:cs="Arial"/>
              <w:b/>
              <w:bCs/>
            </w:rPr>
            <w:t>Executive Summary</w:t>
          </w:r>
          <w:r w:rsidRPr="00975482">
            <w:rPr>
              <w:rFonts w:ascii="Arial" w:hAnsi="Arial" w:cs="Arial"/>
            </w:rPr>
            <w:t xml:space="preserve"> </w:t>
          </w:r>
          <w:r w:rsidRPr="00975482">
            <w:rPr>
              <w:rFonts w:ascii="Arial" w:hAnsi="Arial" w:cs="Arial"/>
            </w:rPr>
            <w:t xml:space="preserve"> </w:t>
          </w:r>
          <w:r w:rsidR="00927984" w:rsidRPr="00975482">
            <w:rPr>
              <w:rFonts w:ascii="Arial" w:hAnsi="Arial" w:cs="Arial"/>
            </w:rPr>
            <w:ptab w:relativeTo="margin" w:alignment="right" w:leader="dot"/>
          </w:r>
          <w:r w:rsidRPr="00975482">
            <w:rPr>
              <w:rFonts w:ascii="Arial" w:hAnsi="Arial" w:cs="Arial"/>
              <w:b/>
              <w:bCs/>
            </w:rPr>
            <w:t>3</w:t>
          </w:r>
        </w:p>
        <w:p w14:paraId="0CD1D570" w14:textId="508DF67B" w:rsidR="00927984" w:rsidRPr="00975482" w:rsidRDefault="00A97139" w:rsidP="00975482">
          <w:pPr>
            <w:pStyle w:val="TOC1"/>
            <w:spacing w:line="360" w:lineRule="auto"/>
            <w:jc w:val="both"/>
            <w:rPr>
              <w:rFonts w:ascii="Arial" w:hAnsi="Arial" w:cs="Arial"/>
            </w:rPr>
          </w:pPr>
          <w:r w:rsidRPr="00975482">
            <w:rPr>
              <w:rFonts w:ascii="Arial" w:hAnsi="Arial" w:cs="Arial"/>
              <w:b/>
              <w:bCs/>
            </w:rPr>
            <w:t>2.Introduction</w:t>
          </w:r>
          <w:r w:rsidR="00927984" w:rsidRPr="00975482">
            <w:rPr>
              <w:rFonts w:ascii="Arial" w:hAnsi="Arial" w:cs="Arial"/>
            </w:rPr>
            <w:ptab w:relativeTo="margin" w:alignment="right" w:leader="dot"/>
          </w:r>
          <w:r w:rsidRPr="00975482">
            <w:rPr>
              <w:rFonts w:ascii="Arial" w:hAnsi="Arial" w:cs="Arial"/>
              <w:b/>
              <w:bCs/>
            </w:rPr>
            <w:t>3</w:t>
          </w:r>
        </w:p>
        <w:p w14:paraId="17B22E32" w14:textId="0548683F" w:rsidR="00A97139" w:rsidRPr="00975482" w:rsidRDefault="00A97139" w:rsidP="00975482">
          <w:pPr>
            <w:spacing w:line="360" w:lineRule="auto"/>
            <w:jc w:val="both"/>
            <w:rPr>
              <w:rFonts w:ascii="Arial" w:hAnsi="Arial" w:cs="Arial"/>
            </w:rPr>
          </w:pPr>
          <w:r w:rsidRPr="00975482">
            <w:rPr>
              <w:rFonts w:ascii="Arial" w:hAnsi="Arial" w:cs="Arial"/>
              <w:b/>
              <w:bCs/>
            </w:rPr>
            <w:t>3.</w:t>
          </w:r>
          <w:r w:rsidRPr="00927984">
            <w:rPr>
              <w:rFonts w:ascii="Arial" w:hAnsi="Arial" w:cs="Arial"/>
              <w:b/>
              <w:bCs/>
            </w:rPr>
            <w:t>Discussion of Findings</w:t>
          </w:r>
          <w:r w:rsidRPr="00975482">
            <w:rPr>
              <w:rFonts w:ascii="Arial" w:hAnsi="Arial" w:cs="Arial"/>
            </w:rPr>
            <w:ptab w:relativeTo="margin" w:alignment="right" w:leader="dot"/>
          </w:r>
          <w:r w:rsidRPr="00975482">
            <w:rPr>
              <w:rFonts w:ascii="Arial" w:hAnsi="Arial" w:cs="Arial"/>
              <w:b/>
              <w:bCs/>
            </w:rPr>
            <w:t>3</w:t>
          </w:r>
        </w:p>
        <w:p w14:paraId="29A2F5F4" w14:textId="3E0DA1AE" w:rsidR="00A97139" w:rsidRPr="00975482" w:rsidRDefault="00A97139" w:rsidP="00975482">
          <w:pPr>
            <w:pStyle w:val="TOC1"/>
            <w:spacing w:line="360" w:lineRule="auto"/>
            <w:jc w:val="both"/>
            <w:rPr>
              <w:rFonts w:ascii="Arial" w:hAnsi="Arial" w:cs="Arial"/>
            </w:rPr>
          </w:pPr>
          <w:r w:rsidRPr="00975482">
            <w:rPr>
              <w:rFonts w:ascii="Arial" w:hAnsi="Arial" w:cs="Arial"/>
              <w:b/>
              <w:bCs/>
            </w:rPr>
            <w:t>4.Conclusion</w:t>
          </w:r>
          <w:r w:rsidRPr="00975482">
            <w:rPr>
              <w:rFonts w:ascii="Arial" w:hAnsi="Arial" w:cs="Arial"/>
            </w:rPr>
            <w:ptab w:relativeTo="margin" w:alignment="right" w:leader="dot"/>
          </w:r>
          <w:r w:rsidRPr="00975482">
            <w:rPr>
              <w:rFonts w:ascii="Arial" w:hAnsi="Arial" w:cs="Arial"/>
              <w:b/>
              <w:bCs/>
            </w:rPr>
            <w:t>7</w:t>
          </w:r>
        </w:p>
        <w:p w14:paraId="6BC2578C" w14:textId="778F7321" w:rsidR="00A97139" w:rsidRPr="00975482" w:rsidRDefault="00A97139" w:rsidP="00975482">
          <w:pPr>
            <w:pStyle w:val="TOC1"/>
            <w:spacing w:line="360" w:lineRule="auto"/>
            <w:jc w:val="both"/>
            <w:rPr>
              <w:rFonts w:ascii="Arial" w:hAnsi="Arial" w:cs="Arial"/>
            </w:rPr>
          </w:pPr>
          <w:r w:rsidRPr="00975482">
            <w:rPr>
              <w:rFonts w:ascii="Arial" w:hAnsi="Arial" w:cs="Arial"/>
              <w:b/>
              <w:bCs/>
            </w:rPr>
            <w:t>5.Recomm</w:t>
          </w:r>
          <w:r w:rsidR="006E5784" w:rsidRPr="00975482">
            <w:rPr>
              <w:rFonts w:ascii="Arial" w:hAnsi="Arial" w:cs="Arial"/>
              <w:b/>
              <w:bCs/>
            </w:rPr>
            <w:t>e</w:t>
          </w:r>
          <w:r w:rsidRPr="00975482">
            <w:rPr>
              <w:rFonts w:ascii="Arial" w:hAnsi="Arial" w:cs="Arial"/>
              <w:b/>
              <w:bCs/>
            </w:rPr>
            <w:t>nd</w:t>
          </w:r>
          <w:r w:rsidR="006E5784" w:rsidRPr="00975482">
            <w:rPr>
              <w:rFonts w:ascii="Arial" w:hAnsi="Arial" w:cs="Arial"/>
              <w:b/>
              <w:bCs/>
            </w:rPr>
            <w:t>at</w:t>
          </w:r>
          <w:r w:rsidRPr="00975482">
            <w:rPr>
              <w:rFonts w:ascii="Arial" w:hAnsi="Arial" w:cs="Arial"/>
              <w:b/>
              <w:bCs/>
            </w:rPr>
            <w:t>ion</w:t>
          </w:r>
          <w:r w:rsidRPr="00975482">
            <w:rPr>
              <w:rFonts w:ascii="Arial" w:hAnsi="Arial" w:cs="Arial"/>
            </w:rPr>
            <w:ptab w:relativeTo="margin" w:alignment="right" w:leader="dot"/>
          </w:r>
          <w:r w:rsidRPr="00975482">
            <w:rPr>
              <w:rFonts w:ascii="Arial" w:hAnsi="Arial" w:cs="Arial"/>
              <w:b/>
              <w:bCs/>
            </w:rPr>
            <w:t>7</w:t>
          </w:r>
        </w:p>
        <w:p w14:paraId="19A581C2" w14:textId="39576742" w:rsidR="00A97139" w:rsidRPr="00927984" w:rsidRDefault="00975482" w:rsidP="00975482">
          <w:pPr>
            <w:pStyle w:val="TOC1"/>
            <w:spacing w:line="360" w:lineRule="auto"/>
            <w:jc w:val="both"/>
            <w:rPr>
              <w:rFonts w:ascii="Arial" w:hAnsi="Arial" w:cs="Arial"/>
            </w:rPr>
          </w:pPr>
          <w:r w:rsidRPr="00975482">
            <w:rPr>
              <w:rFonts w:ascii="Arial" w:hAnsi="Arial" w:cs="Arial"/>
              <w:b/>
              <w:bCs/>
            </w:rPr>
            <w:t>6.References</w:t>
          </w:r>
          <w:r w:rsidR="00A97139" w:rsidRPr="00975482">
            <w:rPr>
              <w:rFonts w:ascii="Arial" w:hAnsi="Arial" w:cs="Arial"/>
            </w:rPr>
            <w:ptab w:relativeTo="margin" w:alignment="right" w:leader="dot"/>
          </w:r>
          <w:r w:rsidRPr="00975482">
            <w:rPr>
              <w:rFonts w:ascii="Arial" w:hAnsi="Arial" w:cs="Arial"/>
              <w:b/>
              <w:bCs/>
            </w:rPr>
            <w:t>8</w:t>
          </w:r>
        </w:p>
        <w:p w14:paraId="3CF2D1C1" w14:textId="00C1DC75" w:rsidR="00927984" w:rsidRPr="00927984" w:rsidRDefault="00927984" w:rsidP="00927984">
          <w:pPr>
            <w:pStyle w:val="TOC3"/>
            <w:spacing w:line="360" w:lineRule="auto"/>
            <w:ind w:left="446"/>
            <w:rPr>
              <w:rFonts w:ascii="Arial" w:hAnsi="Arial" w:cs="Arial"/>
            </w:rPr>
          </w:pPr>
        </w:p>
      </w:sdtContent>
    </w:sdt>
    <w:p w14:paraId="687BA978" w14:textId="77777777" w:rsidR="00927984" w:rsidRPr="00927984" w:rsidRDefault="00927984" w:rsidP="00927984">
      <w:pPr>
        <w:spacing w:line="360" w:lineRule="auto"/>
        <w:jc w:val="both"/>
        <w:rPr>
          <w:rFonts w:ascii="Arial" w:eastAsia="Arial" w:hAnsi="Arial" w:cs="Arial"/>
          <w:b/>
          <w:bCs/>
          <w:kern w:val="0"/>
          <w14:ligatures w14:val="none"/>
        </w:rPr>
      </w:pPr>
    </w:p>
    <w:p w14:paraId="40A41C8A" w14:textId="77777777" w:rsidR="00927984" w:rsidRDefault="00927984" w:rsidP="00927984">
      <w:pPr>
        <w:rPr>
          <w:rFonts w:ascii="Arial" w:hAnsi="Arial" w:cs="Arial"/>
          <w:b/>
          <w:bCs/>
        </w:rPr>
      </w:pPr>
    </w:p>
    <w:p w14:paraId="0E531228" w14:textId="77777777" w:rsidR="00E33B30" w:rsidRDefault="00E33B30"/>
    <w:p w14:paraId="074AE057" w14:textId="77777777" w:rsidR="00927984" w:rsidRPr="00927984" w:rsidRDefault="00927984" w:rsidP="00927984"/>
    <w:p w14:paraId="697E7F52" w14:textId="77777777" w:rsidR="00927984" w:rsidRPr="00927984" w:rsidRDefault="00927984" w:rsidP="00927984"/>
    <w:p w14:paraId="2AFA18B8" w14:textId="77777777" w:rsidR="00927984" w:rsidRPr="00927984" w:rsidRDefault="00927984" w:rsidP="00927984"/>
    <w:p w14:paraId="3E7DF297" w14:textId="77777777" w:rsidR="00927984" w:rsidRPr="00927984" w:rsidRDefault="00927984" w:rsidP="00927984"/>
    <w:p w14:paraId="539A4A85" w14:textId="77777777" w:rsidR="00927984" w:rsidRPr="00927984" w:rsidRDefault="00927984" w:rsidP="00927984"/>
    <w:p w14:paraId="16E1B8A0" w14:textId="77777777" w:rsidR="00927984" w:rsidRPr="00927984" w:rsidRDefault="00927984" w:rsidP="00927984"/>
    <w:p w14:paraId="509A4F8F" w14:textId="77777777" w:rsidR="00927984" w:rsidRPr="00927984" w:rsidRDefault="00927984" w:rsidP="00927984"/>
    <w:p w14:paraId="36C8C4D8" w14:textId="77777777" w:rsidR="00927984" w:rsidRPr="00927984" w:rsidRDefault="00927984" w:rsidP="00927984"/>
    <w:p w14:paraId="28A7AA52" w14:textId="77777777" w:rsidR="00927984" w:rsidRPr="00927984" w:rsidRDefault="00927984" w:rsidP="00927984"/>
    <w:p w14:paraId="3837A7D1" w14:textId="77777777" w:rsidR="00927984" w:rsidRDefault="00927984" w:rsidP="00927984"/>
    <w:p w14:paraId="5AC03872" w14:textId="77777777" w:rsidR="00927984" w:rsidRDefault="00927984" w:rsidP="00927984"/>
    <w:p w14:paraId="58585E6C" w14:textId="77777777" w:rsidR="00927984" w:rsidRDefault="00927984" w:rsidP="00927984"/>
    <w:p w14:paraId="032C6163" w14:textId="77777777" w:rsidR="00927984" w:rsidRDefault="00927984" w:rsidP="00927984"/>
    <w:p w14:paraId="28714B2E" w14:textId="77777777" w:rsidR="00927984" w:rsidRDefault="00927984" w:rsidP="00927984"/>
    <w:p w14:paraId="3559EF7F" w14:textId="77777777" w:rsidR="00927984" w:rsidRDefault="00927984" w:rsidP="00927984"/>
    <w:p w14:paraId="4A5F5673" w14:textId="77777777" w:rsidR="00927984" w:rsidRDefault="00927984" w:rsidP="00927984"/>
    <w:p w14:paraId="14C08203" w14:textId="77777777" w:rsidR="00927984" w:rsidRDefault="00927984" w:rsidP="00927984"/>
    <w:p w14:paraId="7EF1CF69" w14:textId="77777777" w:rsidR="00A97139" w:rsidRDefault="00A97139" w:rsidP="00927984"/>
    <w:p w14:paraId="79A45400" w14:textId="77777777" w:rsidR="00A97139" w:rsidRDefault="00A97139" w:rsidP="00927984"/>
    <w:p w14:paraId="07E2B471" w14:textId="0FCC848A" w:rsidR="00927984" w:rsidRPr="009A512A" w:rsidRDefault="00927984" w:rsidP="009A512A">
      <w:pPr>
        <w:pStyle w:val="ListParagraph"/>
        <w:numPr>
          <w:ilvl w:val="0"/>
          <w:numId w:val="11"/>
        </w:numPr>
        <w:spacing w:line="360" w:lineRule="auto"/>
        <w:jc w:val="both"/>
        <w:rPr>
          <w:rFonts w:ascii="Arial" w:hAnsi="Arial" w:cs="Arial"/>
          <w:sz w:val="28"/>
          <w:szCs w:val="28"/>
        </w:rPr>
      </w:pPr>
      <w:r w:rsidRPr="009A512A">
        <w:rPr>
          <w:rFonts w:ascii="Arial" w:hAnsi="Arial" w:cs="Arial"/>
          <w:b/>
          <w:bCs/>
          <w:sz w:val="28"/>
          <w:szCs w:val="28"/>
        </w:rPr>
        <w:lastRenderedPageBreak/>
        <w:t>Executive Summary</w:t>
      </w:r>
      <w:r w:rsidRPr="009A512A">
        <w:rPr>
          <w:rFonts w:ascii="Arial" w:hAnsi="Arial" w:cs="Arial"/>
          <w:sz w:val="28"/>
          <w:szCs w:val="28"/>
        </w:rPr>
        <w:t xml:space="preserve"> </w:t>
      </w:r>
    </w:p>
    <w:p w14:paraId="061BF8DE" w14:textId="58CE92CD" w:rsidR="00927984" w:rsidRPr="009A512A" w:rsidRDefault="00927984" w:rsidP="009A512A">
      <w:pPr>
        <w:spacing w:line="360" w:lineRule="auto"/>
        <w:jc w:val="both"/>
        <w:rPr>
          <w:rFonts w:ascii="Arial" w:hAnsi="Arial" w:cs="Arial"/>
        </w:rPr>
      </w:pPr>
      <w:r w:rsidRPr="00927984">
        <w:rPr>
          <w:rFonts w:ascii="Arial" w:hAnsi="Arial" w:cs="Arial"/>
        </w:rPr>
        <w:t>This report provides a comprehensive analysis of corporate governance and agency theory in the context of a family-owned service company preparing for listing on the Alternative Investment Market (AIM) in the UK. The report examines the implications of reduced shareholding, strategies for retaining control, director remuneration structures, and institutional differences in listing in Shanghai or the Netherlands. The findings offer recommendations to ensure effective governance, fair compensation, and strategic decision-making while maintaining shareholder confidence.</w:t>
      </w:r>
    </w:p>
    <w:p w14:paraId="4DF69EE3" w14:textId="6994FA3B" w:rsidR="00927984" w:rsidRPr="009A512A" w:rsidRDefault="00927984" w:rsidP="009A512A">
      <w:pPr>
        <w:pStyle w:val="ListParagraph"/>
        <w:numPr>
          <w:ilvl w:val="0"/>
          <w:numId w:val="11"/>
        </w:numPr>
        <w:spacing w:line="360" w:lineRule="auto"/>
        <w:jc w:val="both"/>
        <w:rPr>
          <w:rFonts w:ascii="Arial" w:hAnsi="Arial" w:cs="Arial"/>
          <w:sz w:val="28"/>
          <w:szCs w:val="28"/>
        </w:rPr>
      </w:pPr>
      <w:r w:rsidRPr="009A512A">
        <w:rPr>
          <w:rFonts w:ascii="Arial" w:hAnsi="Arial" w:cs="Arial"/>
          <w:b/>
          <w:bCs/>
          <w:sz w:val="28"/>
          <w:szCs w:val="28"/>
        </w:rPr>
        <w:t>Introduction</w:t>
      </w:r>
    </w:p>
    <w:p w14:paraId="592FF6AE" w14:textId="77777777" w:rsidR="000B0330" w:rsidRPr="000B0330" w:rsidRDefault="000B0330" w:rsidP="009A512A">
      <w:pPr>
        <w:spacing w:line="360" w:lineRule="auto"/>
        <w:jc w:val="both"/>
        <w:rPr>
          <w:rFonts w:ascii="Arial" w:hAnsi="Arial" w:cs="Arial"/>
        </w:rPr>
      </w:pPr>
      <w:r w:rsidRPr="000B0330">
        <w:rPr>
          <w:rFonts w:ascii="Arial" w:hAnsi="Arial" w:cs="Arial"/>
        </w:rPr>
        <w:t>Corporate governance and agency theory are crucial for companies transitioning to public ownership. The decision to list on AIM represents a significant milestone for the family-owned business, as it requires adherence to enhanced regulatory and governance standards while balancing the interests of new external shareholders. Good corporate governance fosters transparency, accountability, and investor confidence, which are essential for long-term success in a public market.</w:t>
      </w:r>
    </w:p>
    <w:p w14:paraId="201744C2" w14:textId="77777777" w:rsidR="000B0330" w:rsidRPr="000B0330" w:rsidRDefault="000B0330" w:rsidP="009A512A">
      <w:pPr>
        <w:spacing w:line="360" w:lineRule="auto"/>
        <w:jc w:val="both"/>
        <w:rPr>
          <w:rFonts w:ascii="Arial" w:hAnsi="Arial" w:cs="Arial"/>
        </w:rPr>
      </w:pPr>
      <w:r w:rsidRPr="000B0330">
        <w:rPr>
          <w:rFonts w:ascii="Arial" w:hAnsi="Arial" w:cs="Arial"/>
        </w:rPr>
        <w:t>Agency theory plays a key role in understanding the potential conflicts between owners (principals) and managers (agents), particularly in the new context of external ownership. Since the current shareholders will see their ownership reduced to 30%, ensuring strategic control while fostering trust among new investors will be a priority. Furthermore, the company must establish an appropriate director remuneration structure to align incentives and comply with international best practices.</w:t>
      </w:r>
    </w:p>
    <w:p w14:paraId="20C2D0ED" w14:textId="77777777" w:rsidR="006F43F6" w:rsidRPr="009A512A" w:rsidRDefault="000B0330" w:rsidP="009A512A">
      <w:pPr>
        <w:spacing w:line="360" w:lineRule="auto"/>
        <w:jc w:val="both"/>
        <w:rPr>
          <w:rFonts w:ascii="Arial" w:hAnsi="Arial" w:cs="Arial"/>
        </w:rPr>
      </w:pPr>
      <w:r w:rsidRPr="000B0330">
        <w:rPr>
          <w:rFonts w:ascii="Arial" w:hAnsi="Arial" w:cs="Arial"/>
        </w:rPr>
        <w:t>This report explores corporate governance requirements, methods for retaining control with minority shareholding, best practices for director compensation, and institutional differences in listing in Shanghai or the Netherlands. Recommendations are provided to help the family board navigate these changes while safeguarding the company's long-term vision and growth.</w:t>
      </w:r>
    </w:p>
    <w:p w14:paraId="59CECD63" w14:textId="2513702F" w:rsidR="00927984" w:rsidRPr="00927984" w:rsidRDefault="006F43F6" w:rsidP="009A512A">
      <w:pPr>
        <w:spacing w:line="360" w:lineRule="auto"/>
        <w:jc w:val="both"/>
        <w:rPr>
          <w:rFonts w:ascii="Arial" w:hAnsi="Arial" w:cs="Arial"/>
        </w:rPr>
      </w:pPr>
      <w:r w:rsidRPr="00A97139">
        <w:rPr>
          <w:rFonts w:ascii="Arial" w:hAnsi="Arial" w:cs="Arial"/>
          <w:b/>
          <w:bCs/>
          <w:sz w:val="28"/>
          <w:szCs w:val="28"/>
        </w:rPr>
        <w:t>3.</w:t>
      </w:r>
      <w:r w:rsidRPr="009A512A">
        <w:rPr>
          <w:rFonts w:ascii="Arial" w:hAnsi="Arial" w:cs="Arial"/>
        </w:rPr>
        <w:t xml:space="preserve"> </w:t>
      </w:r>
      <w:r w:rsidR="00CA39EB" w:rsidRPr="009A512A">
        <w:rPr>
          <w:rFonts w:ascii="Arial" w:hAnsi="Arial" w:cs="Arial"/>
        </w:rPr>
        <w:t xml:space="preserve"> </w:t>
      </w:r>
      <w:r w:rsidR="00927984" w:rsidRPr="00927984">
        <w:rPr>
          <w:rFonts w:ascii="Arial" w:hAnsi="Arial" w:cs="Arial"/>
          <w:b/>
          <w:bCs/>
          <w:sz w:val="28"/>
          <w:szCs w:val="28"/>
        </w:rPr>
        <w:t>Discussion of Findings</w:t>
      </w:r>
    </w:p>
    <w:p w14:paraId="01DE7EB2" w14:textId="77777777" w:rsidR="00927984" w:rsidRPr="00927984" w:rsidRDefault="00927984" w:rsidP="009A512A">
      <w:pPr>
        <w:spacing w:line="360" w:lineRule="auto"/>
        <w:jc w:val="both"/>
        <w:rPr>
          <w:rFonts w:ascii="Arial" w:hAnsi="Arial" w:cs="Arial"/>
        </w:rPr>
      </w:pPr>
      <w:r w:rsidRPr="00927984">
        <w:rPr>
          <w:rFonts w:ascii="Arial" w:hAnsi="Arial" w:cs="Arial"/>
          <w:b/>
          <w:bCs/>
        </w:rPr>
        <w:t>A.</w:t>
      </w:r>
      <w:r w:rsidRPr="00927984">
        <w:rPr>
          <w:rFonts w:ascii="Arial" w:hAnsi="Arial" w:cs="Arial"/>
        </w:rPr>
        <w:t xml:space="preserve"> </w:t>
      </w:r>
      <w:r w:rsidRPr="00927984">
        <w:rPr>
          <w:rFonts w:ascii="Arial" w:hAnsi="Arial" w:cs="Arial"/>
          <w:b/>
          <w:bCs/>
          <w:u w:val="single"/>
        </w:rPr>
        <w:t>Corporate Governance and Agency Theory</w:t>
      </w:r>
    </w:p>
    <w:p w14:paraId="683A04CA" w14:textId="77777777" w:rsidR="00927984" w:rsidRPr="00927984" w:rsidRDefault="00927984" w:rsidP="009A512A">
      <w:pPr>
        <w:spacing w:line="360" w:lineRule="auto"/>
        <w:jc w:val="both"/>
        <w:rPr>
          <w:rFonts w:ascii="Arial" w:hAnsi="Arial" w:cs="Arial"/>
        </w:rPr>
      </w:pPr>
      <w:r w:rsidRPr="00927984">
        <w:rPr>
          <w:rFonts w:ascii="Arial" w:hAnsi="Arial" w:cs="Arial"/>
        </w:rPr>
        <w:t xml:space="preserve">Corporate governance refers to the system by which companies are directed and controlled (Cadbury Report, 1992). It establishes guidelines that balance the interests of various stakeholders, including shareholders, management, customers, suppliers, financiers, and the community. The UK Corporate Governance Code (Financial Reporting Council, 2018) requires companies to ensure transparency, accountability, and fair treatment of shareholders. These </w:t>
      </w:r>
      <w:r w:rsidRPr="00927984">
        <w:rPr>
          <w:rFonts w:ascii="Arial" w:hAnsi="Arial" w:cs="Arial"/>
        </w:rPr>
        <w:lastRenderedPageBreak/>
        <w:t>principles are essential for companies preparing to list on AIM, as investor confidence depends on adherence to strong governance practices.</w:t>
      </w:r>
    </w:p>
    <w:p w14:paraId="029B0C88" w14:textId="7EE6CAD5" w:rsidR="00927984" w:rsidRPr="009A512A" w:rsidRDefault="00927984" w:rsidP="009A512A">
      <w:pPr>
        <w:spacing w:line="360" w:lineRule="auto"/>
        <w:jc w:val="both"/>
        <w:rPr>
          <w:rFonts w:ascii="Arial" w:hAnsi="Arial" w:cs="Arial"/>
        </w:rPr>
      </w:pPr>
      <w:r w:rsidRPr="00927984">
        <w:rPr>
          <w:rFonts w:ascii="Arial" w:hAnsi="Arial" w:cs="Arial"/>
        </w:rPr>
        <w:t xml:space="preserve">Agency theory explores conflicts that arise in </w:t>
      </w:r>
      <w:r w:rsidRPr="009A512A">
        <w:rPr>
          <w:rFonts w:ascii="Arial" w:hAnsi="Arial" w:cs="Arial"/>
        </w:rPr>
        <w:t>principle</w:t>
      </w:r>
      <w:r w:rsidRPr="00927984">
        <w:rPr>
          <w:rFonts w:ascii="Arial" w:hAnsi="Arial" w:cs="Arial"/>
        </w:rPr>
        <w:t>-agent relationships, particularly between shareholders (principals) and managers (agents). Jensen and Meckling (1976) argue that agency costs occur when management pursues self-interest rather than shareholder value. Effective governance mechanisms, such as board oversight and performance-based incentives, mitigate agency conflicts and align managerial actions with shareholder goals.</w:t>
      </w:r>
    </w:p>
    <w:p w14:paraId="7BA32E8F" w14:textId="77777777" w:rsidR="00927984" w:rsidRPr="00927984" w:rsidRDefault="00927984" w:rsidP="009A512A">
      <w:pPr>
        <w:spacing w:line="360" w:lineRule="auto"/>
        <w:jc w:val="both"/>
        <w:rPr>
          <w:rFonts w:ascii="Arial" w:hAnsi="Arial" w:cs="Arial"/>
        </w:rPr>
      </w:pPr>
      <w:r w:rsidRPr="00927984">
        <w:rPr>
          <w:rFonts w:ascii="Arial" w:hAnsi="Arial" w:cs="Arial"/>
        </w:rPr>
        <w:t>Key AIM Corporate Governance Requirements:</w:t>
      </w:r>
    </w:p>
    <w:p w14:paraId="3E3E3037" w14:textId="77777777" w:rsidR="00927984" w:rsidRPr="00927984" w:rsidRDefault="00927984" w:rsidP="009A512A">
      <w:pPr>
        <w:numPr>
          <w:ilvl w:val="0"/>
          <w:numId w:val="1"/>
        </w:numPr>
        <w:spacing w:line="360" w:lineRule="auto"/>
        <w:jc w:val="both"/>
        <w:rPr>
          <w:rFonts w:ascii="Arial" w:hAnsi="Arial" w:cs="Arial"/>
        </w:rPr>
      </w:pPr>
      <w:r w:rsidRPr="00927984">
        <w:rPr>
          <w:rFonts w:ascii="Arial" w:hAnsi="Arial" w:cs="Arial"/>
        </w:rPr>
        <w:t>Board Structure: Companies must have a balanced board with executive and non-executive directors, including independent non-executive directors (NEDs) to enhance oversight (FRC, 2018).</w:t>
      </w:r>
    </w:p>
    <w:p w14:paraId="72CC8904" w14:textId="77777777" w:rsidR="00927984" w:rsidRPr="00927984" w:rsidRDefault="00927984" w:rsidP="009A512A">
      <w:pPr>
        <w:numPr>
          <w:ilvl w:val="0"/>
          <w:numId w:val="1"/>
        </w:numPr>
        <w:spacing w:line="360" w:lineRule="auto"/>
        <w:jc w:val="both"/>
        <w:rPr>
          <w:rFonts w:ascii="Arial" w:hAnsi="Arial" w:cs="Arial"/>
        </w:rPr>
      </w:pPr>
      <w:r w:rsidRPr="00927984">
        <w:rPr>
          <w:rFonts w:ascii="Arial" w:hAnsi="Arial" w:cs="Arial"/>
        </w:rPr>
        <w:t>Board Committees: Establishment of audit, remuneration, and nomination committees ensures financial transparency and accountability (OECD, 2015).</w:t>
      </w:r>
    </w:p>
    <w:p w14:paraId="2BB152E5" w14:textId="68FFC1CE" w:rsidR="00927984" w:rsidRPr="00927984" w:rsidRDefault="00927984" w:rsidP="009A512A">
      <w:pPr>
        <w:numPr>
          <w:ilvl w:val="0"/>
          <w:numId w:val="1"/>
        </w:numPr>
        <w:spacing w:line="360" w:lineRule="auto"/>
        <w:jc w:val="both"/>
        <w:rPr>
          <w:rFonts w:ascii="Arial" w:hAnsi="Arial" w:cs="Arial"/>
        </w:rPr>
      </w:pPr>
      <w:r w:rsidRPr="00927984">
        <w:rPr>
          <w:rFonts w:ascii="Arial" w:hAnsi="Arial" w:cs="Arial"/>
        </w:rPr>
        <w:t xml:space="preserve">Disclosure </w:t>
      </w:r>
      <w:r w:rsidR="009A512A">
        <w:rPr>
          <w:rFonts w:ascii="Arial" w:hAnsi="Arial" w:cs="Arial"/>
        </w:rPr>
        <w:t>and</w:t>
      </w:r>
      <w:r w:rsidRPr="00927984">
        <w:rPr>
          <w:rFonts w:ascii="Arial" w:hAnsi="Arial" w:cs="Arial"/>
        </w:rPr>
        <w:t xml:space="preserve"> Transparency: Regular financial reporting to shareholders and stakeholders fosters trust and credibility (Mallin, 2019).</w:t>
      </w:r>
    </w:p>
    <w:p w14:paraId="4CC5D928" w14:textId="77777777" w:rsidR="00927984" w:rsidRPr="00927984" w:rsidRDefault="00927984" w:rsidP="009A512A">
      <w:pPr>
        <w:numPr>
          <w:ilvl w:val="0"/>
          <w:numId w:val="1"/>
        </w:numPr>
        <w:spacing w:line="360" w:lineRule="auto"/>
        <w:jc w:val="both"/>
        <w:rPr>
          <w:rFonts w:ascii="Arial" w:hAnsi="Arial" w:cs="Arial"/>
        </w:rPr>
      </w:pPr>
      <w:r w:rsidRPr="00927984">
        <w:rPr>
          <w:rFonts w:ascii="Arial" w:hAnsi="Arial" w:cs="Arial"/>
        </w:rPr>
        <w:t>Shareholder Rights: Protection of minority shareholders ensures fair treatment and equitable voting rights (Solomon, 2020).</w:t>
      </w:r>
    </w:p>
    <w:p w14:paraId="5D28B5B0" w14:textId="182E5752" w:rsidR="00927984" w:rsidRPr="00927984" w:rsidRDefault="00927984" w:rsidP="009A512A">
      <w:pPr>
        <w:numPr>
          <w:ilvl w:val="0"/>
          <w:numId w:val="1"/>
        </w:numPr>
        <w:spacing w:line="360" w:lineRule="auto"/>
        <w:jc w:val="both"/>
        <w:rPr>
          <w:rFonts w:ascii="Arial" w:hAnsi="Arial" w:cs="Arial"/>
        </w:rPr>
      </w:pPr>
      <w:r w:rsidRPr="00927984">
        <w:rPr>
          <w:rFonts w:ascii="Arial" w:hAnsi="Arial" w:cs="Arial"/>
        </w:rPr>
        <w:t xml:space="preserve">Risk Management </w:t>
      </w:r>
      <w:r w:rsidR="009A512A">
        <w:rPr>
          <w:rFonts w:ascii="Arial" w:hAnsi="Arial" w:cs="Arial"/>
        </w:rPr>
        <w:t>and</w:t>
      </w:r>
      <w:r w:rsidRPr="00927984">
        <w:rPr>
          <w:rFonts w:ascii="Arial" w:hAnsi="Arial" w:cs="Arial"/>
        </w:rPr>
        <w:t xml:space="preserve"> Internal Controls: Implementation of policies to identify, assess, and mitigate business risks (Tricker, 2019).</w:t>
      </w:r>
    </w:p>
    <w:p w14:paraId="06B2021E" w14:textId="6C9522AD" w:rsidR="00F86D0F" w:rsidRPr="009A512A" w:rsidRDefault="00927984" w:rsidP="009A512A">
      <w:pPr>
        <w:numPr>
          <w:ilvl w:val="0"/>
          <w:numId w:val="1"/>
        </w:numPr>
        <w:spacing w:line="360" w:lineRule="auto"/>
        <w:ind w:left="360"/>
        <w:jc w:val="both"/>
        <w:rPr>
          <w:rFonts w:ascii="Arial" w:hAnsi="Arial" w:cs="Arial"/>
        </w:rPr>
      </w:pPr>
      <w:r w:rsidRPr="00927984">
        <w:rPr>
          <w:rFonts w:ascii="Arial" w:eastAsiaTheme="majorEastAsia" w:hAnsi="Arial" w:cs="Arial"/>
        </w:rPr>
        <w:t xml:space="preserve">Ethical Conduct </w:t>
      </w:r>
      <w:r w:rsidR="009A512A">
        <w:rPr>
          <w:rFonts w:ascii="Arial" w:eastAsiaTheme="majorEastAsia" w:hAnsi="Arial" w:cs="Arial"/>
        </w:rPr>
        <w:t>and</w:t>
      </w:r>
      <w:r w:rsidRPr="00927984">
        <w:rPr>
          <w:rFonts w:ascii="Arial" w:eastAsiaTheme="majorEastAsia" w:hAnsi="Arial" w:cs="Arial"/>
        </w:rPr>
        <w:t xml:space="preserve"> Social Responsibility</w:t>
      </w:r>
      <w:r w:rsidRPr="00927984">
        <w:rPr>
          <w:rFonts w:ascii="Arial" w:hAnsi="Arial" w:cs="Arial"/>
        </w:rPr>
        <w:t>: Emphasis on corporate social responsibility (CSR) and ethical decision-making to enhance reputation and compliance (</w:t>
      </w:r>
      <w:r w:rsidR="0045084D" w:rsidRPr="009A512A">
        <w:rPr>
          <w:rFonts w:ascii="Arial" w:hAnsi="Arial" w:cs="Arial"/>
        </w:rPr>
        <w:t>Freeman,</w:t>
      </w:r>
      <w:r w:rsidR="00F86D0F" w:rsidRPr="009A512A">
        <w:rPr>
          <w:rFonts w:ascii="Arial" w:hAnsi="Arial" w:cs="Arial"/>
        </w:rPr>
        <w:t xml:space="preserve"> </w:t>
      </w:r>
      <w:r w:rsidR="0045084D" w:rsidRPr="009A512A">
        <w:rPr>
          <w:rFonts w:ascii="Arial" w:hAnsi="Arial" w:cs="Arial"/>
        </w:rPr>
        <w:t xml:space="preserve">Harrison, and </w:t>
      </w:r>
      <w:proofErr w:type="spellStart"/>
      <w:r w:rsidR="0045084D" w:rsidRPr="009A512A">
        <w:rPr>
          <w:rFonts w:ascii="Arial" w:hAnsi="Arial" w:cs="Arial"/>
        </w:rPr>
        <w:t>Zyglidopoulos</w:t>
      </w:r>
      <w:proofErr w:type="spellEnd"/>
      <w:r w:rsidR="0045084D" w:rsidRPr="009A512A">
        <w:rPr>
          <w:rFonts w:ascii="Arial" w:hAnsi="Arial" w:cs="Arial"/>
        </w:rPr>
        <w:t>, 2020)</w:t>
      </w:r>
    </w:p>
    <w:p w14:paraId="5773CFD7" w14:textId="20CD7FF1" w:rsidR="00927984" w:rsidRPr="00372C8A" w:rsidRDefault="00927984" w:rsidP="009A512A">
      <w:pPr>
        <w:spacing w:line="360" w:lineRule="auto"/>
        <w:jc w:val="both"/>
        <w:rPr>
          <w:rFonts w:ascii="Arial" w:hAnsi="Arial" w:cs="Arial"/>
          <w:u w:val="single"/>
        </w:rPr>
      </w:pPr>
      <w:r w:rsidRPr="00372C8A">
        <w:rPr>
          <w:rStyle w:val="Strong"/>
          <w:rFonts w:ascii="Arial" w:eastAsiaTheme="majorEastAsia" w:hAnsi="Arial" w:cs="Arial"/>
          <w:u w:val="single"/>
        </w:rPr>
        <w:t>B</w:t>
      </w:r>
      <w:r w:rsidRPr="00372C8A">
        <w:rPr>
          <w:rStyle w:val="Strong"/>
          <w:rFonts w:ascii="Arial" w:eastAsiaTheme="majorEastAsia" w:hAnsi="Arial" w:cs="Arial"/>
          <w:u w:val="single"/>
        </w:rPr>
        <w:t>. Retaining Control with 30% Shareholding</w:t>
      </w:r>
      <w:r w:rsidRPr="00372C8A">
        <w:rPr>
          <w:rFonts w:ascii="Arial" w:hAnsi="Arial" w:cs="Arial"/>
          <w:u w:val="single"/>
        </w:rPr>
        <w:t xml:space="preserve"> </w:t>
      </w:r>
    </w:p>
    <w:p w14:paraId="1C4E7861" w14:textId="77777777" w:rsidR="00927984" w:rsidRPr="00927984" w:rsidRDefault="00927984" w:rsidP="009A512A">
      <w:pPr>
        <w:pStyle w:val="NormalWeb"/>
        <w:spacing w:line="360" w:lineRule="auto"/>
        <w:ind w:left="360"/>
        <w:jc w:val="both"/>
        <w:rPr>
          <w:rFonts w:ascii="Arial" w:hAnsi="Arial" w:cs="Arial"/>
          <w:sz w:val="22"/>
          <w:szCs w:val="22"/>
        </w:rPr>
      </w:pPr>
      <w:r w:rsidRPr="00927984">
        <w:rPr>
          <w:rFonts w:ascii="Arial" w:hAnsi="Arial" w:cs="Arial"/>
          <w:sz w:val="22"/>
          <w:szCs w:val="22"/>
        </w:rPr>
        <w:t>With external investors acquiring 70% of shares post-listing, the family board must implement strategies to retain control over strategic decisions and company direction.</w:t>
      </w:r>
    </w:p>
    <w:p w14:paraId="096CD9D0" w14:textId="77777777" w:rsidR="00927984" w:rsidRPr="00927984" w:rsidRDefault="00927984" w:rsidP="009A512A">
      <w:pPr>
        <w:pStyle w:val="NormalWeb"/>
        <w:numPr>
          <w:ilvl w:val="0"/>
          <w:numId w:val="2"/>
        </w:numPr>
        <w:spacing w:line="360" w:lineRule="auto"/>
        <w:jc w:val="both"/>
        <w:rPr>
          <w:rFonts w:ascii="Arial" w:hAnsi="Arial" w:cs="Arial"/>
          <w:sz w:val="22"/>
          <w:szCs w:val="22"/>
        </w:rPr>
      </w:pPr>
      <w:r w:rsidRPr="00927984">
        <w:rPr>
          <w:rFonts w:ascii="Arial" w:hAnsi="Arial" w:cs="Arial"/>
          <w:b/>
          <w:bCs/>
          <w:sz w:val="22"/>
          <w:szCs w:val="22"/>
        </w:rPr>
        <w:t>Dual-Class Share Structure</w:t>
      </w:r>
    </w:p>
    <w:p w14:paraId="2FECB95C" w14:textId="645EBB98" w:rsidR="00927984" w:rsidRPr="00927984" w:rsidRDefault="00927984" w:rsidP="009A512A">
      <w:pPr>
        <w:pStyle w:val="NormalWeb"/>
        <w:numPr>
          <w:ilvl w:val="1"/>
          <w:numId w:val="2"/>
        </w:numPr>
        <w:spacing w:line="360" w:lineRule="auto"/>
        <w:jc w:val="both"/>
        <w:rPr>
          <w:rFonts w:ascii="Arial" w:hAnsi="Arial" w:cs="Arial"/>
          <w:sz w:val="22"/>
          <w:szCs w:val="22"/>
        </w:rPr>
      </w:pPr>
      <w:r w:rsidRPr="00927984">
        <w:rPr>
          <w:rFonts w:ascii="Arial" w:hAnsi="Arial" w:cs="Arial"/>
          <w:sz w:val="22"/>
          <w:szCs w:val="22"/>
        </w:rPr>
        <w:t xml:space="preserve">Issuing </w:t>
      </w:r>
      <w:r w:rsidRPr="009A512A">
        <w:rPr>
          <w:rFonts w:ascii="Arial" w:hAnsi="Arial" w:cs="Arial"/>
          <w:sz w:val="22"/>
          <w:szCs w:val="22"/>
        </w:rPr>
        <w:t>dual class</w:t>
      </w:r>
      <w:r w:rsidRPr="00927984">
        <w:rPr>
          <w:rFonts w:ascii="Arial" w:hAnsi="Arial" w:cs="Arial"/>
          <w:sz w:val="22"/>
          <w:szCs w:val="22"/>
        </w:rPr>
        <w:t xml:space="preserve"> shares with different voting rights allows family shareholders to retain greater voting power despite lower ownership percentages (Bebchuk </w:t>
      </w:r>
      <w:r w:rsidR="00F86D0F" w:rsidRPr="009A512A">
        <w:rPr>
          <w:rFonts w:ascii="Arial" w:hAnsi="Arial" w:cs="Arial"/>
          <w:sz w:val="22"/>
          <w:szCs w:val="22"/>
        </w:rPr>
        <w:t xml:space="preserve">and </w:t>
      </w:r>
      <w:r w:rsidRPr="00927984">
        <w:rPr>
          <w:rFonts w:ascii="Arial" w:hAnsi="Arial" w:cs="Arial"/>
          <w:sz w:val="22"/>
          <w:szCs w:val="22"/>
        </w:rPr>
        <w:t>Kastiel, 2017).</w:t>
      </w:r>
    </w:p>
    <w:p w14:paraId="278FCC20" w14:textId="3798353B" w:rsidR="00927984" w:rsidRPr="00927984" w:rsidRDefault="00927984" w:rsidP="009A512A">
      <w:pPr>
        <w:pStyle w:val="NormalWeb"/>
        <w:numPr>
          <w:ilvl w:val="1"/>
          <w:numId w:val="2"/>
        </w:numPr>
        <w:spacing w:line="360" w:lineRule="auto"/>
        <w:jc w:val="both"/>
        <w:rPr>
          <w:rFonts w:ascii="Arial" w:hAnsi="Arial" w:cs="Arial"/>
          <w:sz w:val="22"/>
          <w:szCs w:val="22"/>
        </w:rPr>
      </w:pPr>
      <w:r w:rsidRPr="00927984">
        <w:rPr>
          <w:rFonts w:ascii="Arial" w:hAnsi="Arial" w:cs="Arial"/>
          <w:sz w:val="22"/>
          <w:szCs w:val="22"/>
        </w:rPr>
        <w:t>This model is used by companies such as Meta (formerly Facebook) and Alibaba to maintain founder control</w:t>
      </w:r>
      <w:r w:rsidR="007E281D" w:rsidRPr="009A512A">
        <w:rPr>
          <w:rFonts w:ascii="Arial" w:hAnsi="Arial" w:cs="Arial"/>
          <w:sz w:val="22"/>
          <w:szCs w:val="22"/>
        </w:rPr>
        <w:t>. (</w:t>
      </w:r>
      <w:r w:rsidR="007E281D" w:rsidRPr="009A512A">
        <w:rPr>
          <w:rFonts w:ascii="Arial" w:hAnsi="Arial" w:cs="Arial"/>
          <w:sz w:val="22"/>
          <w:szCs w:val="22"/>
        </w:rPr>
        <w:t>Gompers, Ishii</w:t>
      </w:r>
      <w:r w:rsidR="00D56D08" w:rsidRPr="009A512A">
        <w:rPr>
          <w:rFonts w:ascii="Arial" w:hAnsi="Arial" w:cs="Arial"/>
          <w:sz w:val="22"/>
          <w:szCs w:val="22"/>
        </w:rPr>
        <w:t xml:space="preserve"> </w:t>
      </w:r>
      <w:r w:rsidR="007E281D" w:rsidRPr="009A512A">
        <w:rPr>
          <w:rFonts w:ascii="Arial" w:hAnsi="Arial" w:cs="Arial"/>
          <w:sz w:val="22"/>
          <w:szCs w:val="22"/>
        </w:rPr>
        <w:t>and Metrick,</w:t>
      </w:r>
      <w:r w:rsidR="007E281D" w:rsidRPr="009A512A">
        <w:rPr>
          <w:rFonts w:ascii="Arial" w:hAnsi="Arial" w:cs="Arial"/>
          <w:sz w:val="22"/>
          <w:szCs w:val="22"/>
        </w:rPr>
        <w:t xml:space="preserve"> </w:t>
      </w:r>
      <w:r w:rsidR="007E281D" w:rsidRPr="009A512A">
        <w:rPr>
          <w:rFonts w:ascii="Arial" w:hAnsi="Arial" w:cs="Arial"/>
          <w:sz w:val="22"/>
          <w:szCs w:val="22"/>
        </w:rPr>
        <w:t>2010)</w:t>
      </w:r>
    </w:p>
    <w:p w14:paraId="5296A8F6" w14:textId="77777777" w:rsidR="00927984" w:rsidRPr="00927984" w:rsidRDefault="00927984" w:rsidP="009A512A">
      <w:pPr>
        <w:pStyle w:val="NormalWeb"/>
        <w:numPr>
          <w:ilvl w:val="0"/>
          <w:numId w:val="2"/>
        </w:numPr>
        <w:spacing w:line="360" w:lineRule="auto"/>
        <w:jc w:val="both"/>
        <w:rPr>
          <w:rFonts w:ascii="Arial" w:hAnsi="Arial" w:cs="Arial"/>
          <w:sz w:val="22"/>
          <w:szCs w:val="22"/>
        </w:rPr>
      </w:pPr>
      <w:r w:rsidRPr="00927984">
        <w:rPr>
          <w:rFonts w:ascii="Arial" w:hAnsi="Arial" w:cs="Arial"/>
          <w:b/>
          <w:bCs/>
          <w:sz w:val="22"/>
          <w:szCs w:val="22"/>
        </w:rPr>
        <w:lastRenderedPageBreak/>
        <w:t>Shareholder Agreements</w:t>
      </w:r>
    </w:p>
    <w:p w14:paraId="78DCCE30" w14:textId="77777777" w:rsidR="00927984" w:rsidRPr="00927984" w:rsidRDefault="00927984" w:rsidP="009A512A">
      <w:pPr>
        <w:pStyle w:val="NormalWeb"/>
        <w:numPr>
          <w:ilvl w:val="1"/>
          <w:numId w:val="2"/>
        </w:numPr>
        <w:spacing w:line="360" w:lineRule="auto"/>
        <w:jc w:val="both"/>
        <w:rPr>
          <w:rFonts w:ascii="Arial" w:hAnsi="Arial" w:cs="Arial"/>
          <w:sz w:val="22"/>
          <w:szCs w:val="22"/>
        </w:rPr>
      </w:pPr>
      <w:r w:rsidRPr="00927984">
        <w:rPr>
          <w:rFonts w:ascii="Arial" w:hAnsi="Arial" w:cs="Arial"/>
          <w:sz w:val="22"/>
          <w:szCs w:val="22"/>
        </w:rPr>
        <w:t>Legal agreements can be drafted to grant the family specific rights over strategic decisions, such as mergers, acquisitions, or major capital expenditures (Cheffins, 2018).</w:t>
      </w:r>
    </w:p>
    <w:p w14:paraId="49DF0C0F" w14:textId="1095B66B" w:rsidR="00927984" w:rsidRPr="00927984" w:rsidRDefault="00927984" w:rsidP="009A512A">
      <w:pPr>
        <w:pStyle w:val="NormalWeb"/>
        <w:numPr>
          <w:ilvl w:val="0"/>
          <w:numId w:val="2"/>
        </w:numPr>
        <w:spacing w:line="360" w:lineRule="auto"/>
        <w:jc w:val="both"/>
        <w:rPr>
          <w:rFonts w:ascii="Arial" w:hAnsi="Arial" w:cs="Arial"/>
          <w:sz w:val="22"/>
          <w:szCs w:val="22"/>
        </w:rPr>
      </w:pPr>
      <w:r w:rsidRPr="00927984">
        <w:rPr>
          <w:rFonts w:ascii="Arial" w:hAnsi="Arial" w:cs="Arial"/>
          <w:b/>
          <w:bCs/>
          <w:sz w:val="22"/>
          <w:szCs w:val="22"/>
        </w:rPr>
        <w:t xml:space="preserve">Poison Pills </w:t>
      </w:r>
      <w:r w:rsidR="00372C8A">
        <w:rPr>
          <w:rFonts w:ascii="Arial" w:hAnsi="Arial" w:cs="Arial"/>
          <w:b/>
          <w:bCs/>
          <w:sz w:val="22"/>
          <w:szCs w:val="22"/>
        </w:rPr>
        <w:t>and</w:t>
      </w:r>
      <w:r w:rsidRPr="00927984">
        <w:rPr>
          <w:rFonts w:ascii="Arial" w:hAnsi="Arial" w:cs="Arial"/>
          <w:b/>
          <w:bCs/>
          <w:sz w:val="22"/>
          <w:szCs w:val="22"/>
        </w:rPr>
        <w:t xml:space="preserve"> Golden Shares</w:t>
      </w:r>
    </w:p>
    <w:p w14:paraId="0CDE88C6" w14:textId="77777777" w:rsidR="00927984" w:rsidRPr="00927984" w:rsidRDefault="00927984" w:rsidP="009A512A">
      <w:pPr>
        <w:pStyle w:val="NormalWeb"/>
        <w:numPr>
          <w:ilvl w:val="1"/>
          <w:numId w:val="2"/>
        </w:numPr>
        <w:spacing w:line="360" w:lineRule="auto"/>
        <w:jc w:val="both"/>
        <w:rPr>
          <w:rFonts w:ascii="Arial" w:hAnsi="Arial" w:cs="Arial"/>
          <w:sz w:val="22"/>
          <w:szCs w:val="22"/>
        </w:rPr>
      </w:pPr>
      <w:r w:rsidRPr="00927984">
        <w:rPr>
          <w:rFonts w:ascii="Arial" w:hAnsi="Arial" w:cs="Arial"/>
          <w:sz w:val="22"/>
          <w:szCs w:val="22"/>
        </w:rPr>
        <w:t>Introducing anti-takeover measures such as issuing golden shares with exclusive veto rights can prevent hostile takeovers (Mason, 2019).</w:t>
      </w:r>
    </w:p>
    <w:p w14:paraId="5031C7EE" w14:textId="48151851" w:rsidR="00927984" w:rsidRPr="00927984" w:rsidRDefault="00927984" w:rsidP="009A512A">
      <w:pPr>
        <w:pStyle w:val="NormalWeb"/>
        <w:numPr>
          <w:ilvl w:val="0"/>
          <w:numId w:val="2"/>
        </w:numPr>
        <w:spacing w:line="360" w:lineRule="auto"/>
        <w:jc w:val="both"/>
        <w:rPr>
          <w:rFonts w:ascii="Arial" w:hAnsi="Arial" w:cs="Arial"/>
          <w:sz w:val="22"/>
          <w:szCs w:val="22"/>
        </w:rPr>
      </w:pPr>
      <w:r w:rsidRPr="00927984">
        <w:rPr>
          <w:rFonts w:ascii="Arial" w:hAnsi="Arial" w:cs="Arial"/>
          <w:b/>
          <w:bCs/>
          <w:sz w:val="22"/>
          <w:szCs w:val="22"/>
        </w:rPr>
        <w:t xml:space="preserve">Board Composition </w:t>
      </w:r>
      <w:r w:rsidR="00372C8A">
        <w:rPr>
          <w:rFonts w:ascii="Arial" w:hAnsi="Arial" w:cs="Arial"/>
          <w:b/>
          <w:bCs/>
          <w:sz w:val="22"/>
          <w:szCs w:val="22"/>
        </w:rPr>
        <w:t>and</w:t>
      </w:r>
      <w:r w:rsidRPr="00927984">
        <w:rPr>
          <w:rFonts w:ascii="Arial" w:hAnsi="Arial" w:cs="Arial"/>
          <w:b/>
          <w:bCs/>
          <w:sz w:val="22"/>
          <w:szCs w:val="22"/>
        </w:rPr>
        <w:t xml:space="preserve"> Staggered Terms</w:t>
      </w:r>
    </w:p>
    <w:p w14:paraId="20CFD18D" w14:textId="77777777" w:rsidR="00927984" w:rsidRPr="00927984" w:rsidRDefault="00927984" w:rsidP="009A512A">
      <w:pPr>
        <w:pStyle w:val="NormalWeb"/>
        <w:numPr>
          <w:ilvl w:val="1"/>
          <w:numId w:val="2"/>
        </w:numPr>
        <w:spacing w:line="360" w:lineRule="auto"/>
        <w:jc w:val="both"/>
        <w:rPr>
          <w:rFonts w:ascii="Arial" w:hAnsi="Arial" w:cs="Arial"/>
          <w:sz w:val="22"/>
          <w:szCs w:val="22"/>
        </w:rPr>
      </w:pPr>
      <w:r w:rsidRPr="00927984">
        <w:rPr>
          <w:rFonts w:ascii="Arial" w:hAnsi="Arial" w:cs="Arial"/>
          <w:sz w:val="22"/>
          <w:szCs w:val="22"/>
        </w:rPr>
        <w:t>Maintaining a family-dominated board ensures control over company policy (Clarke, 2021).</w:t>
      </w:r>
    </w:p>
    <w:p w14:paraId="5FA6CAC3" w14:textId="0B96446B" w:rsidR="00927984" w:rsidRPr="00927984" w:rsidRDefault="00927984" w:rsidP="009A512A">
      <w:pPr>
        <w:pStyle w:val="NormalWeb"/>
        <w:numPr>
          <w:ilvl w:val="0"/>
          <w:numId w:val="2"/>
        </w:numPr>
        <w:spacing w:line="360" w:lineRule="auto"/>
        <w:jc w:val="both"/>
        <w:rPr>
          <w:rFonts w:ascii="Arial" w:hAnsi="Arial" w:cs="Arial"/>
          <w:sz w:val="22"/>
          <w:szCs w:val="22"/>
        </w:rPr>
      </w:pPr>
      <w:r w:rsidRPr="00927984">
        <w:rPr>
          <w:rFonts w:ascii="Arial" w:hAnsi="Arial" w:cs="Arial"/>
          <w:b/>
          <w:bCs/>
          <w:sz w:val="22"/>
          <w:szCs w:val="22"/>
        </w:rPr>
        <w:t xml:space="preserve">Strategic Partnerships </w:t>
      </w:r>
      <w:r w:rsidR="00372C8A">
        <w:rPr>
          <w:rFonts w:ascii="Arial" w:hAnsi="Arial" w:cs="Arial"/>
          <w:b/>
          <w:bCs/>
          <w:sz w:val="22"/>
          <w:szCs w:val="22"/>
        </w:rPr>
        <w:t>and</w:t>
      </w:r>
      <w:r w:rsidRPr="00927984">
        <w:rPr>
          <w:rFonts w:ascii="Arial" w:hAnsi="Arial" w:cs="Arial"/>
          <w:b/>
          <w:bCs/>
          <w:sz w:val="22"/>
          <w:szCs w:val="22"/>
        </w:rPr>
        <w:t xml:space="preserve"> Institutional Investors</w:t>
      </w:r>
    </w:p>
    <w:p w14:paraId="1CBD920E" w14:textId="5C9EAC73" w:rsidR="00927984" w:rsidRPr="00927984" w:rsidRDefault="00927984" w:rsidP="009A512A">
      <w:pPr>
        <w:pStyle w:val="NormalWeb"/>
        <w:numPr>
          <w:ilvl w:val="1"/>
          <w:numId w:val="2"/>
        </w:numPr>
        <w:spacing w:line="360" w:lineRule="auto"/>
        <w:jc w:val="both"/>
        <w:rPr>
          <w:rFonts w:ascii="Arial" w:hAnsi="Arial" w:cs="Arial"/>
          <w:sz w:val="22"/>
          <w:szCs w:val="22"/>
        </w:rPr>
      </w:pPr>
      <w:r w:rsidRPr="00927984">
        <w:rPr>
          <w:rFonts w:ascii="Arial" w:hAnsi="Arial" w:cs="Arial"/>
          <w:sz w:val="22"/>
          <w:szCs w:val="22"/>
        </w:rPr>
        <w:t>Forming alliances with institutional investors who support the family’s vision ensures continuity</w:t>
      </w:r>
      <w:r w:rsidR="00B92C55" w:rsidRPr="009A512A">
        <w:rPr>
          <w:rFonts w:ascii="Arial" w:hAnsi="Arial" w:cs="Arial"/>
          <w:sz w:val="22"/>
          <w:szCs w:val="22"/>
        </w:rPr>
        <w:t xml:space="preserve">. </w:t>
      </w:r>
    </w:p>
    <w:p w14:paraId="2F98D630" w14:textId="77777777" w:rsidR="00927984" w:rsidRPr="00927984" w:rsidRDefault="00927984" w:rsidP="009A512A">
      <w:pPr>
        <w:pStyle w:val="NormalWeb"/>
        <w:numPr>
          <w:ilvl w:val="0"/>
          <w:numId w:val="2"/>
        </w:numPr>
        <w:spacing w:line="360" w:lineRule="auto"/>
        <w:jc w:val="both"/>
        <w:rPr>
          <w:rFonts w:ascii="Arial" w:hAnsi="Arial" w:cs="Arial"/>
          <w:sz w:val="22"/>
          <w:szCs w:val="22"/>
        </w:rPr>
      </w:pPr>
      <w:r w:rsidRPr="00927984">
        <w:rPr>
          <w:rFonts w:ascii="Arial" w:hAnsi="Arial" w:cs="Arial"/>
          <w:b/>
          <w:bCs/>
          <w:sz w:val="22"/>
          <w:szCs w:val="22"/>
        </w:rPr>
        <w:t>Foundations or Trusts</w:t>
      </w:r>
    </w:p>
    <w:p w14:paraId="155DC4A2" w14:textId="30306645" w:rsidR="00927984" w:rsidRPr="00927984" w:rsidRDefault="00927984" w:rsidP="009A512A">
      <w:pPr>
        <w:pStyle w:val="NormalWeb"/>
        <w:numPr>
          <w:ilvl w:val="1"/>
          <w:numId w:val="2"/>
        </w:numPr>
        <w:spacing w:line="360" w:lineRule="auto"/>
        <w:jc w:val="both"/>
        <w:rPr>
          <w:rFonts w:ascii="Arial" w:hAnsi="Arial" w:cs="Arial"/>
          <w:sz w:val="22"/>
          <w:szCs w:val="22"/>
        </w:rPr>
      </w:pPr>
      <w:r w:rsidRPr="00927984">
        <w:rPr>
          <w:rFonts w:ascii="Arial" w:hAnsi="Arial" w:cs="Arial"/>
          <w:sz w:val="22"/>
          <w:szCs w:val="22"/>
        </w:rPr>
        <w:t xml:space="preserve">Establishing a family-controlled trust to hold shares can safeguard decision-making power (Hansmann </w:t>
      </w:r>
      <w:r w:rsidR="00964134" w:rsidRPr="009A512A">
        <w:rPr>
          <w:rFonts w:ascii="Arial" w:hAnsi="Arial" w:cs="Arial"/>
          <w:sz w:val="22"/>
          <w:szCs w:val="22"/>
        </w:rPr>
        <w:t>and</w:t>
      </w:r>
      <w:r w:rsidRPr="00927984">
        <w:rPr>
          <w:rFonts w:ascii="Arial" w:hAnsi="Arial" w:cs="Arial"/>
          <w:sz w:val="22"/>
          <w:szCs w:val="22"/>
        </w:rPr>
        <w:t xml:space="preserve"> </w:t>
      </w:r>
      <w:proofErr w:type="spellStart"/>
      <w:r w:rsidRPr="00927984">
        <w:rPr>
          <w:rFonts w:ascii="Arial" w:hAnsi="Arial" w:cs="Arial"/>
          <w:sz w:val="22"/>
          <w:szCs w:val="22"/>
        </w:rPr>
        <w:t>Kraakman</w:t>
      </w:r>
      <w:proofErr w:type="spellEnd"/>
      <w:r w:rsidRPr="00927984">
        <w:rPr>
          <w:rFonts w:ascii="Arial" w:hAnsi="Arial" w:cs="Arial"/>
          <w:sz w:val="22"/>
          <w:szCs w:val="22"/>
        </w:rPr>
        <w:t>, 2004).</w:t>
      </w:r>
    </w:p>
    <w:p w14:paraId="005978B6" w14:textId="77777777" w:rsidR="00372C8A" w:rsidRPr="00372C8A" w:rsidRDefault="00927984" w:rsidP="00372C8A">
      <w:pPr>
        <w:pStyle w:val="NormalWeb"/>
        <w:spacing w:line="360" w:lineRule="auto"/>
        <w:ind w:left="360"/>
        <w:jc w:val="both"/>
        <w:rPr>
          <w:rFonts w:ascii="Arial" w:hAnsi="Arial" w:cs="Arial"/>
          <w:b/>
          <w:bCs/>
          <w:sz w:val="22"/>
          <w:szCs w:val="22"/>
          <w:u w:val="single"/>
        </w:rPr>
      </w:pPr>
      <w:r w:rsidRPr="00927984">
        <w:rPr>
          <w:rFonts w:ascii="Arial" w:hAnsi="Arial" w:cs="Arial"/>
          <w:b/>
          <w:bCs/>
          <w:sz w:val="22"/>
          <w:szCs w:val="22"/>
          <w:u w:val="single"/>
        </w:rPr>
        <w:t>C. Director Remuneration Structures</w:t>
      </w:r>
    </w:p>
    <w:p w14:paraId="0727BC57" w14:textId="0378914C" w:rsidR="00DE2283" w:rsidRPr="00372C8A" w:rsidRDefault="00927984" w:rsidP="00372C8A">
      <w:pPr>
        <w:pStyle w:val="NormalWeb"/>
        <w:spacing w:line="360" w:lineRule="auto"/>
        <w:ind w:left="360"/>
        <w:jc w:val="both"/>
        <w:rPr>
          <w:rFonts w:ascii="Arial" w:hAnsi="Arial" w:cs="Arial"/>
          <w:sz w:val="22"/>
          <w:szCs w:val="22"/>
        </w:rPr>
      </w:pPr>
      <w:r w:rsidRPr="00927984">
        <w:rPr>
          <w:rFonts w:ascii="Arial" w:hAnsi="Arial" w:cs="Arial"/>
          <w:sz w:val="22"/>
          <w:szCs w:val="22"/>
        </w:rPr>
        <w:t xml:space="preserve"> </w:t>
      </w:r>
      <w:r w:rsidR="00DE2283" w:rsidRPr="00372C8A">
        <w:rPr>
          <w:rFonts w:ascii="Arial" w:hAnsi="Arial" w:cs="Arial"/>
          <w:sz w:val="22"/>
          <w:szCs w:val="22"/>
        </w:rPr>
        <w:t>Executive compensation must be structured to balance the need for competitive salaries, incentives that align with performance, and mechanisms that prevent excessive risk-taking. An effective remuneration strategy enhances executive accountability and supports long-term business sustainability.</w:t>
      </w:r>
    </w:p>
    <w:p w14:paraId="1A710018" w14:textId="77777777" w:rsidR="00DE2283" w:rsidRPr="00DE2283" w:rsidRDefault="00DE2283" w:rsidP="00372C8A">
      <w:pPr>
        <w:pStyle w:val="NormalWeb"/>
        <w:numPr>
          <w:ilvl w:val="0"/>
          <w:numId w:val="10"/>
        </w:numPr>
        <w:spacing w:line="360" w:lineRule="auto"/>
        <w:jc w:val="both"/>
        <w:rPr>
          <w:rFonts w:ascii="Arial" w:hAnsi="Arial" w:cs="Arial"/>
          <w:sz w:val="22"/>
          <w:szCs w:val="22"/>
        </w:rPr>
      </w:pPr>
      <w:r w:rsidRPr="00DE2283">
        <w:rPr>
          <w:rFonts w:ascii="Arial" w:hAnsi="Arial" w:cs="Arial"/>
          <w:b/>
          <w:bCs/>
          <w:sz w:val="22"/>
          <w:szCs w:val="22"/>
        </w:rPr>
        <w:t>Remuneration Committees</w:t>
      </w:r>
    </w:p>
    <w:p w14:paraId="7C1D4BD1" w14:textId="77777777"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Establishing an independent remuneration committee ensures that director compensation is fair, competitive, and performance-linked (FRC, 2018).</w:t>
      </w:r>
    </w:p>
    <w:p w14:paraId="0AF28C7C" w14:textId="77777777"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This committee should be composed primarily of independent non-executive directors to prevent conflicts of interest.</w:t>
      </w:r>
    </w:p>
    <w:p w14:paraId="160438C2" w14:textId="77777777" w:rsidR="00DE2283" w:rsidRPr="00DE2283" w:rsidRDefault="00DE2283" w:rsidP="00372C8A">
      <w:pPr>
        <w:pStyle w:val="NormalWeb"/>
        <w:numPr>
          <w:ilvl w:val="0"/>
          <w:numId w:val="10"/>
        </w:numPr>
        <w:spacing w:line="360" w:lineRule="auto"/>
        <w:jc w:val="both"/>
        <w:rPr>
          <w:rFonts w:ascii="Arial" w:hAnsi="Arial" w:cs="Arial"/>
          <w:sz w:val="22"/>
          <w:szCs w:val="22"/>
        </w:rPr>
      </w:pPr>
      <w:r w:rsidRPr="00DE2283">
        <w:rPr>
          <w:rFonts w:ascii="Arial" w:hAnsi="Arial" w:cs="Arial"/>
          <w:b/>
          <w:bCs/>
          <w:sz w:val="22"/>
          <w:szCs w:val="22"/>
        </w:rPr>
        <w:t>Fixed and Performance-Based Pay</w:t>
      </w:r>
    </w:p>
    <w:p w14:paraId="3B02176F" w14:textId="77777777"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Directors should receive a combination of fixed salaries and performance-related bonuses to balance financial security with performance-driven incentives (Murphy, 2013).</w:t>
      </w:r>
    </w:p>
    <w:p w14:paraId="5A49D690" w14:textId="38FA059A"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 xml:space="preserve">Key performance indicators (KPIs) linked to financial, strategic, and operational targets should guide bonus allocations (Kaplan </w:t>
      </w:r>
      <w:r w:rsidR="00964134" w:rsidRPr="00372C8A">
        <w:rPr>
          <w:rFonts w:ascii="Arial" w:hAnsi="Arial" w:cs="Arial"/>
          <w:sz w:val="22"/>
          <w:szCs w:val="22"/>
        </w:rPr>
        <w:t>and</w:t>
      </w:r>
      <w:r w:rsidRPr="00DE2283">
        <w:rPr>
          <w:rFonts w:ascii="Arial" w:hAnsi="Arial" w:cs="Arial"/>
          <w:sz w:val="22"/>
          <w:szCs w:val="22"/>
        </w:rPr>
        <w:t xml:space="preserve"> Norton, 2004).</w:t>
      </w:r>
    </w:p>
    <w:p w14:paraId="5DB938F6" w14:textId="5531AF60" w:rsidR="00DE2283" w:rsidRPr="00DE2283" w:rsidRDefault="00DE2283" w:rsidP="00372C8A">
      <w:pPr>
        <w:pStyle w:val="NormalWeb"/>
        <w:numPr>
          <w:ilvl w:val="0"/>
          <w:numId w:val="10"/>
        </w:numPr>
        <w:spacing w:line="360" w:lineRule="auto"/>
        <w:jc w:val="both"/>
        <w:rPr>
          <w:rFonts w:ascii="Arial" w:hAnsi="Arial" w:cs="Arial"/>
          <w:sz w:val="22"/>
          <w:szCs w:val="22"/>
        </w:rPr>
      </w:pPr>
      <w:r w:rsidRPr="00DE2283">
        <w:rPr>
          <w:rFonts w:ascii="Arial" w:hAnsi="Arial" w:cs="Arial"/>
          <w:b/>
          <w:bCs/>
          <w:sz w:val="22"/>
          <w:szCs w:val="22"/>
        </w:rPr>
        <w:t xml:space="preserve">Equity Compensation (Stock Options </w:t>
      </w:r>
      <w:r w:rsidR="00372C8A">
        <w:rPr>
          <w:rFonts w:ascii="Arial" w:hAnsi="Arial" w:cs="Arial"/>
          <w:b/>
          <w:bCs/>
          <w:sz w:val="22"/>
          <w:szCs w:val="22"/>
        </w:rPr>
        <w:t>and</w:t>
      </w:r>
      <w:r w:rsidRPr="00DE2283">
        <w:rPr>
          <w:rFonts w:ascii="Arial" w:hAnsi="Arial" w:cs="Arial"/>
          <w:b/>
          <w:bCs/>
          <w:sz w:val="22"/>
          <w:szCs w:val="22"/>
        </w:rPr>
        <w:t xml:space="preserve"> RSUs)</w:t>
      </w:r>
    </w:p>
    <w:p w14:paraId="25CB2FBA" w14:textId="2318BC78"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lastRenderedPageBreak/>
        <w:t xml:space="preserve">Granting stock options or Restricted Stock Units (RSUs) ensures that directors have a vested interest in long-term company growth (Jensen </w:t>
      </w:r>
      <w:r w:rsidR="00FC4F14" w:rsidRPr="00372C8A">
        <w:rPr>
          <w:rFonts w:ascii="Arial" w:hAnsi="Arial" w:cs="Arial"/>
          <w:sz w:val="22"/>
          <w:szCs w:val="22"/>
        </w:rPr>
        <w:t>and</w:t>
      </w:r>
      <w:r w:rsidRPr="00DE2283">
        <w:rPr>
          <w:rFonts w:ascii="Arial" w:hAnsi="Arial" w:cs="Arial"/>
          <w:sz w:val="22"/>
          <w:szCs w:val="22"/>
        </w:rPr>
        <w:t xml:space="preserve"> Murphy, 1990).</w:t>
      </w:r>
    </w:p>
    <w:p w14:paraId="7EF2BDCB" w14:textId="77777777"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Equity-based incentives encourage long-term value creation and align the interests of executives with shareholders.</w:t>
      </w:r>
    </w:p>
    <w:p w14:paraId="41682309" w14:textId="77777777" w:rsidR="00DE2283" w:rsidRPr="00DE2283" w:rsidRDefault="00DE2283" w:rsidP="00372C8A">
      <w:pPr>
        <w:pStyle w:val="NormalWeb"/>
        <w:numPr>
          <w:ilvl w:val="0"/>
          <w:numId w:val="10"/>
        </w:numPr>
        <w:spacing w:line="360" w:lineRule="auto"/>
        <w:jc w:val="both"/>
        <w:rPr>
          <w:rFonts w:ascii="Arial" w:hAnsi="Arial" w:cs="Arial"/>
          <w:sz w:val="22"/>
          <w:szCs w:val="22"/>
        </w:rPr>
      </w:pPr>
      <w:r w:rsidRPr="00DE2283">
        <w:rPr>
          <w:rFonts w:ascii="Arial" w:hAnsi="Arial" w:cs="Arial"/>
          <w:b/>
          <w:bCs/>
          <w:sz w:val="22"/>
          <w:szCs w:val="22"/>
        </w:rPr>
        <w:t>Clawback Provisions</w:t>
      </w:r>
    </w:p>
    <w:p w14:paraId="5314E7B6" w14:textId="743D10EC"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 xml:space="preserve">Policies allowing the company to reclaim bonuses in cases of financial restatements, misconduct, or underperformance ensure accountability (Edmans </w:t>
      </w:r>
      <w:r w:rsidR="00FC4F14" w:rsidRPr="00372C8A">
        <w:rPr>
          <w:rFonts w:ascii="Arial" w:hAnsi="Arial" w:cs="Arial"/>
          <w:sz w:val="22"/>
          <w:szCs w:val="22"/>
        </w:rPr>
        <w:t>and</w:t>
      </w:r>
      <w:r w:rsidRPr="00DE2283">
        <w:rPr>
          <w:rFonts w:ascii="Arial" w:hAnsi="Arial" w:cs="Arial"/>
          <w:sz w:val="22"/>
          <w:szCs w:val="22"/>
        </w:rPr>
        <w:t xml:space="preserve"> </w:t>
      </w:r>
      <w:proofErr w:type="spellStart"/>
      <w:r w:rsidRPr="00DE2283">
        <w:rPr>
          <w:rFonts w:ascii="Arial" w:hAnsi="Arial" w:cs="Arial"/>
          <w:sz w:val="22"/>
          <w:szCs w:val="22"/>
        </w:rPr>
        <w:t>Gabaix</w:t>
      </w:r>
      <w:proofErr w:type="spellEnd"/>
      <w:r w:rsidRPr="00DE2283">
        <w:rPr>
          <w:rFonts w:ascii="Arial" w:hAnsi="Arial" w:cs="Arial"/>
          <w:sz w:val="22"/>
          <w:szCs w:val="22"/>
        </w:rPr>
        <w:t>, 2016).</w:t>
      </w:r>
    </w:p>
    <w:p w14:paraId="640A09FB" w14:textId="77777777"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Clawback provisions protect shareholders from excessive risk-taking by executives, ensuring that compensation reflects genuine corporate success.</w:t>
      </w:r>
    </w:p>
    <w:p w14:paraId="702DCC5B" w14:textId="77777777" w:rsidR="00DE2283" w:rsidRPr="00DE2283" w:rsidRDefault="00DE2283" w:rsidP="00372C8A">
      <w:pPr>
        <w:pStyle w:val="NormalWeb"/>
        <w:numPr>
          <w:ilvl w:val="0"/>
          <w:numId w:val="10"/>
        </w:numPr>
        <w:spacing w:line="360" w:lineRule="auto"/>
        <w:jc w:val="both"/>
        <w:rPr>
          <w:rFonts w:ascii="Arial" w:hAnsi="Arial" w:cs="Arial"/>
          <w:sz w:val="22"/>
          <w:szCs w:val="22"/>
        </w:rPr>
      </w:pPr>
      <w:r w:rsidRPr="00DE2283">
        <w:rPr>
          <w:rFonts w:ascii="Arial" w:hAnsi="Arial" w:cs="Arial"/>
          <w:b/>
          <w:bCs/>
          <w:sz w:val="22"/>
          <w:szCs w:val="22"/>
        </w:rPr>
        <w:t>Long-Term Incentive Plans (LTIPs)</w:t>
      </w:r>
    </w:p>
    <w:p w14:paraId="2805A7A9" w14:textId="3B92F229"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LTIPs link executive rewards to sustained company performance over multiple years, discouraging short-term decision-making (</w:t>
      </w:r>
      <w:proofErr w:type="spellStart"/>
      <w:r w:rsidRPr="00DE2283">
        <w:rPr>
          <w:rFonts w:ascii="Arial" w:hAnsi="Arial" w:cs="Arial"/>
          <w:sz w:val="22"/>
          <w:szCs w:val="22"/>
        </w:rPr>
        <w:t>Gabaix</w:t>
      </w:r>
      <w:proofErr w:type="spellEnd"/>
      <w:r w:rsidRPr="00DE2283">
        <w:rPr>
          <w:rFonts w:ascii="Arial" w:hAnsi="Arial" w:cs="Arial"/>
          <w:sz w:val="22"/>
          <w:szCs w:val="22"/>
        </w:rPr>
        <w:t xml:space="preserve"> </w:t>
      </w:r>
      <w:r w:rsidR="00CB0D8F" w:rsidRPr="00372C8A">
        <w:rPr>
          <w:rFonts w:ascii="Arial" w:hAnsi="Arial" w:cs="Arial"/>
          <w:sz w:val="22"/>
          <w:szCs w:val="22"/>
        </w:rPr>
        <w:t>and</w:t>
      </w:r>
      <w:r w:rsidRPr="00DE2283">
        <w:rPr>
          <w:rFonts w:ascii="Arial" w:hAnsi="Arial" w:cs="Arial"/>
          <w:sz w:val="22"/>
          <w:szCs w:val="22"/>
        </w:rPr>
        <w:t xml:space="preserve"> </w:t>
      </w:r>
      <w:proofErr w:type="spellStart"/>
      <w:r w:rsidRPr="00DE2283">
        <w:rPr>
          <w:rFonts w:ascii="Arial" w:hAnsi="Arial" w:cs="Arial"/>
          <w:sz w:val="22"/>
          <w:szCs w:val="22"/>
        </w:rPr>
        <w:t>Landier</w:t>
      </w:r>
      <w:proofErr w:type="spellEnd"/>
      <w:r w:rsidRPr="00DE2283">
        <w:rPr>
          <w:rFonts w:ascii="Arial" w:hAnsi="Arial" w:cs="Arial"/>
          <w:sz w:val="22"/>
          <w:szCs w:val="22"/>
        </w:rPr>
        <w:t>, 2008).</w:t>
      </w:r>
    </w:p>
    <w:p w14:paraId="7BFDC7BF" w14:textId="77777777"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Performance metrics for LTIPs should include return on equity, earnings growth, and market share expansion.</w:t>
      </w:r>
    </w:p>
    <w:p w14:paraId="51E4E3EB" w14:textId="77777777" w:rsidR="00DE2283" w:rsidRPr="00DE2283" w:rsidRDefault="00DE2283" w:rsidP="00372C8A">
      <w:pPr>
        <w:pStyle w:val="NormalWeb"/>
        <w:numPr>
          <w:ilvl w:val="0"/>
          <w:numId w:val="10"/>
        </w:numPr>
        <w:spacing w:line="360" w:lineRule="auto"/>
        <w:jc w:val="both"/>
        <w:rPr>
          <w:rFonts w:ascii="Arial" w:hAnsi="Arial" w:cs="Arial"/>
          <w:sz w:val="22"/>
          <w:szCs w:val="22"/>
        </w:rPr>
      </w:pPr>
      <w:r w:rsidRPr="00DE2283">
        <w:rPr>
          <w:rFonts w:ascii="Arial" w:hAnsi="Arial" w:cs="Arial"/>
          <w:b/>
          <w:bCs/>
          <w:sz w:val="22"/>
          <w:szCs w:val="22"/>
        </w:rPr>
        <w:t>Benchmarking Against Industry Standards</w:t>
      </w:r>
    </w:p>
    <w:p w14:paraId="586EE04E" w14:textId="3274453D" w:rsidR="003F7E85"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Regular benchmarking of director salaries against industry peers ensures that compensation remains competitive and fair</w:t>
      </w:r>
      <w:r w:rsidR="003F7E85" w:rsidRPr="00372C8A">
        <w:rPr>
          <w:rFonts w:ascii="Arial" w:hAnsi="Arial" w:cs="Arial"/>
          <w:sz w:val="22"/>
          <w:szCs w:val="22"/>
        </w:rPr>
        <w:t>. (</w:t>
      </w:r>
      <w:r w:rsidR="003F7E85" w:rsidRPr="00372C8A">
        <w:rPr>
          <w:rFonts w:ascii="Arial" w:hAnsi="Arial" w:cs="Arial"/>
          <w:sz w:val="22"/>
          <w:szCs w:val="22"/>
        </w:rPr>
        <w:t>Ferrarini, Moloney</w:t>
      </w:r>
      <w:r w:rsidR="003F7E85" w:rsidRPr="00372C8A">
        <w:rPr>
          <w:rFonts w:ascii="Arial" w:hAnsi="Arial" w:cs="Arial"/>
          <w:sz w:val="22"/>
          <w:szCs w:val="22"/>
        </w:rPr>
        <w:t xml:space="preserve"> </w:t>
      </w:r>
      <w:r w:rsidR="003F7E85" w:rsidRPr="00372C8A">
        <w:rPr>
          <w:rFonts w:ascii="Arial" w:hAnsi="Arial" w:cs="Arial"/>
          <w:sz w:val="22"/>
          <w:szCs w:val="22"/>
        </w:rPr>
        <w:t xml:space="preserve">and </w:t>
      </w:r>
      <w:proofErr w:type="spellStart"/>
      <w:r w:rsidR="003F7E85" w:rsidRPr="00372C8A">
        <w:rPr>
          <w:rFonts w:ascii="Arial" w:hAnsi="Arial" w:cs="Arial"/>
          <w:sz w:val="22"/>
          <w:szCs w:val="22"/>
        </w:rPr>
        <w:t>Vespro</w:t>
      </w:r>
      <w:proofErr w:type="spellEnd"/>
      <w:r w:rsidR="003F7E85" w:rsidRPr="00372C8A">
        <w:rPr>
          <w:rFonts w:ascii="Arial" w:hAnsi="Arial" w:cs="Arial"/>
          <w:sz w:val="22"/>
          <w:szCs w:val="22"/>
        </w:rPr>
        <w:t>,</w:t>
      </w:r>
      <w:r w:rsidR="003F7E85" w:rsidRPr="00372C8A">
        <w:rPr>
          <w:rFonts w:ascii="Arial" w:hAnsi="Arial" w:cs="Arial"/>
          <w:sz w:val="22"/>
          <w:szCs w:val="22"/>
        </w:rPr>
        <w:t xml:space="preserve"> </w:t>
      </w:r>
      <w:r w:rsidR="003F7E85" w:rsidRPr="00372C8A">
        <w:rPr>
          <w:rFonts w:ascii="Arial" w:hAnsi="Arial" w:cs="Arial"/>
          <w:sz w:val="22"/>
          <w:szCs w:val="22"/>
        </w:rPr>
        <w:t>2010)</w:t>
      </w:r>
    </w:p>
    <w:p w14:paraId="46F627E8" w14:textId="77777777" w:rsidR="00DE2283" w:rsidRPr="00DE2283" w:rsidRDefault="00DE2283" w:rsidP="00372C8A">
      <w:pPr>
        <w:pStyle w:val="NormalWeb"/>
        <w:numPr>
          <w:ilvl w:val="1"/>
          <w:numId w:val="10"/>
        </w:numPr>
        <w:spacing w:line="360" w:lineRule="auto"/>
        <w:jc w:val="both"/>
        <w:rPr>
          <w:rFonts w:ascii="Arial" w:hAnsi="Arial" w:cs="Arial"/>
          <w:sz w:val="22"/>
          <w:szCs w:val="22"/>
        </w:rPr>
      </w:pPr>
      <w:r w:rsidRPr="00DE2283">
        <w:rPr>
          <w:rFonts w:ascii="Arial" w:hAnsi="Arial" w:cs="Arial"/>
          <w:sz w:val="22"/>
          <w:szCs w:val="22"/>
        </w:rPr>
        <w:t>Benchmarking also prevents excessive pay disparities that may erode shareholder trust.</w:t>
      </w:r>
    </w:p>
    <w:p w14:paraId="2515CF88" w14:textId="77777777" w:rsidR="00372C8A" w:rsidRPr="00372C8A" w:rsidRDefault="00927984" w:rsidP="00372C8A">
      <w:pPr>
        <w:pStyle w:val="NormalWeb"/>
        <w:spacing w:line="360" w:lineRule="auto"/>
        <w:ind w:left="360"/>
        <w:jc w:val="both"/>
        <w:rPr>
          <w:rFonts w:ascii="Arial" w:hAnsi="Arial" w:cs="Arial"/>
          <w:sz w:val="22"/>
          <w:szCs w:val="22"/>
        </w:rPr>
      </w:pPr>
      <w:r w:rsidRPr="00927984">
        <w:rPr>
          <w:rFonts w:ascii="Arial" w:hAnsi="Arial" w:cs="Arial"/>
          <w:b/>
          <w:bCs/>
          <w:sz w:val="22"/>
          <w:szCs w:val="22"/>
          <w:u w:val="single"/>
        </w:rPr>
        <w:t>D. Institutional Differences Between UK, Shanghai, and Netherlands</w:t>
      </w:r>
      <w:r w:rsidRPr="00927984">
        <w:rPr>
          <w:rFonts w:ascii="Arial" w:hAnsi="Arial" w:cs="Arial"/>
          <w:sz w:val="22"/>
          <w:szCs w:val="22"/>
        </w:rPr>
        <w:t xml:space="preserve"> </w:t>
      </w:r>
    </w:p>
    <w:p w14:paraId="3347F27C" w14:textId="6E21E331" w:rsidR="00927984" w:rsidRPr="00927984" w:rsidRDefault="00927984" w:rsidP="00372C8A">
      <w:pPr>
        <w:pStyle w:val="NormalWeb"/>
        <w:spacing w:line="360" w:lineRule="auto"/>
        <w:ind w:left="360"/>
        <w:jc w:val="both"/>
        <w:rPr>
          <w:rFonts w:ascii="Arial" w:hAnsi="Arial" w:cs="Arial"/>
          <w:sz w:val="22"/>
          <w:szCs w:val="22"/>
        </w:rPr>
      </w:pPr>
      <w:r w:rsidRPr="00927984">
        <w:rPr>
          <w:rFonts w:ascii="Arial" w:hAnsi="Arial" w:cs="Arial"/>
          <w:sz w:val="22"/>
          <w:szCs w:val="22"/>
        </w:rPr>
        <w:t>Companies considering international listing must understand the regulatory, governance, and investor environment of each market.</w:t>
      </w:r>
    </w:p>
    <w:p w14:paraId="6A2E4E18" w14:textId="77777777" w:rsidR="00927984" w:rsidRPr="00927984" w:rsidRDefault="00927984" w:rsidP="00372C8A">
      <w:pPr>
        <w:pStyle w:val="NormalWeb"/>
        <w:numPr>
          <w:ilvl w:val="0"/>
          <w:numId w:val="4"/>
        </w:numPr>
        <w:spacing w:line="360" w:lineRule="auto"/>
        <w:jc w:val="both"/>
        <w:rPr>
          <w:rFonts w:ascii="Arial" w:hAnsi="Arial" w:cs="Arial"/>
          <w:sz w:val="22"/>
          <w:szCs w:val="22"/>
        </w:rPr>
      </w:pPr>
      <w:r w:rsidRPr="00927984">
        <w:rPr>
          <w:rFonts w:ascii="Arial" w:hAnsi="Arial" w:cs="Arial"/>
          <w:b/>
          <w:bCs/>
          <w:sz w:val="22"/>
          <w:szCs w:val="22"/>
        </w:rPr>
        <w:t>Shanghai (China)</w:t>
      </w:r>
    </w:p>
    <w:p w14:paraId="0D76E0C3" w14:textId="7523319A" w:rsidR="00927984" w:rsidRPr="00927984" w:rsidRDefault="00927984" w:rsidP="00372C8A">
      <w:pPr>
        <w:pStyle w:val="NormalWeb"/>
        <w:numPr>
          <w:ilvl w:val="1"/>
          <w:numId w:val="4"/>
        </w:numPr>
        <w:spacing w:line="360" w:lineRule="auto"/>
        <w:jc w:val="both"/>
        <w:rPr>
          <w:rFonts w:ascii="Arial" w:hAnsi="Arial" w:cs="Arial"/>
          <w:sz w:val="22"/>
          <w:szCs w:val="22"/>
        </w:rPr>
      </w:pPr>
      <w:r w:rsidRPr="00927984">
        <w:rPr>
          <w:rFonts w:ascii="Arial" w:hAnsi="Arial" w:cs="Arial"/>
          <w:b/>
          <w:bCs/>
          <w:sz w:val="22"/>
          <w:szCs w:val="22"/>
        </w:rPr>
        <w:t>Government Influence</w:t>
      </w:r>
      <w:r w:rsidRPr="00927984">
        <w:rPr>
          <w:rFonts w:ascii="Arial" w:hAnsi="Arial" w:cs="Arial"/>
          <w:sz w:val="22"/>
          <w:szCs w:val="22"/>
        </w:rPr>
        <w:t>: Many publicly listed companies have significant state ownership</w:t>
      </w:r>
      <w:r w:rsidR="002B17E1" w:rsidRPr="00372C8A">
        <w:rPr>
          <w:rFonts w:ascii="Arial" w:hAnsi="Arial" w:cs="Arial"/>
          <w:sz w:val="22"/>
          <w:szCs w:val="22"/>
        </w:rPr>
        <w:t>.</w:t>
      </w:r>
    </w:p>
    <w:p w14:paraId="24995DDA" w14:textId="77777777" w:rsidR="00927984" w:rsidRPr="00927984" w:rsidRDefault="00927984" w:rsidP="00372C8A">
      <w:pPr>
        <w:pStyle w:val="NormalWeb"/>
        <w:numPr>
          <w:ilvl w:val="1"/>
          <w:numId w:val="4"/>
        </w:numPr>
        <w:spacing w:line="360" w:lineRule="auto"/>
        <w:jc w:val="both"/>
        <w:rPr>
          <w:rFonts w:ascii="Arial" w:hAnsi="Arial" w:cs="Arial"/>
          <w:sz w:val="22"/>
          <w:szCs w:val="22"/>
        </w:rPr>
      </w:pPr>
      <w:r w:rsidRPr="00927984">
        <w:rPr>
          <w:rFonts w:ascii="Arial" w:hAnsi="Arial" w:cs="Arial"/>
          <w:b/>
          <w:bCs/>
          <w:sz w:val="22"/>
          <w:szCs w:val="22"/>
        </w:rPr>
        <w:t>Foreign Investment Restrictions</w:t>
      </w:r>
      <w:r w:rsidRPr="00927984">
        <w:rPr>
          <w:rFonts w:ascii="Arial" w:hAnsi="Arial" w:cs="Arial"/>
          <w:sz w:val="22"/>
          <w:szCs w:val="22"/>
        </w:rPr>
        <w:t>: The Chinese government imposes strict controls on foreign ownership (OECD, 2018).</w:t>
      </w:r>
    </w:p>
    <w:p w14:paraId="2AB232D6" w14:textId="77777777" w:rsidR="00927984" w:rsidRPr="00927984" w:rsidRDefault="00927984" w:rsidP="00372C8A">
      <w:pPr>
        <w:pStyle w:val="NormalWeb"/>
        <w:numPr>
          <w:ilvl w:val="0"/>
          <w:numId w:val="4"/>
        </w:numPr>
        <w:spacing w:line="360" w:lineRule="auto"/>
        <w:jc w:val="both"/>
        <w:rPr>
          <w:rFonts w:ascii="Arial" w:hAnsi="Arial" w:cs="Arial"/>
          <w:sz w:val="22"/>
          <w:szCs w:val="22"/>
        </w:rPr>
      </w:pPr>
      <w:r w:rsidRPr="00927984">
        <w:rPr>
          <w:rFonts w:ascii="Arial" w:hAnsi="Arial" w:cs="Arial"/>
          <w:b/>
          <w:bCs/>
          <w:sz w:val="22"/>
          <w:szCs w:val="22"/>
        </w:rPr>
        <w:t>Netherlands</w:t>
      </w:r>
    </w:p>
    <w:p w14:paraId="11550FE4" w14:textId="09BF0956" w:rsidR="00927984" w:rsidRPr="00927984" w:rsidRDefault="00927984" w:rsidP="00372C8A">
      <w:pPr>
        <w:pStyle w:val="NormalWeb"/>
        <w:numPr>
          <w:ilvl w:val="1"/>
          <w:numId w:val="4"/>
        </w:numPr>
        <w:spacing w:line="360" w:lineRule="auto"/>
        <w:jc w:val="both"/>
        <w:rPr>
          <w:rFonts w:ascii="Arial" w:hAnsi="Arial" w:cs="Arial"/>
          <w:sz w:val="22"/>
          <w:szCs w:val="22"/>
        </w:rPr>
      </w:pPr>
      <w:r w:rsidRPr="00927984">
        <w:rPr>
          <w:rFonts w:ascii="Arial" w:hAnsi="Arial" w:cs="Arial"/>
          <w:b/>
          <w:bCs/>
          <w:sz w:val="22"/>
          <w:szCs w:val="22"/>
        </w:rPr>
        <w:t xml:space="preserve">Corporate Governance Alignment with UK </w:t>
      </w:r>
      <w:r w:rsidR="00B10A35">
        <w:rPr>
          <w:rFonts w:ascii="Arial" w:hAnsi="Arial" w:cs="Arial"/>
          <w:b/>
          <w:bCs/>
          <w:sz w:val="22"/>
          <w:szCs w:val="22"/>
        </w:rPr>
        <w:t>and</w:t>
      </w:r>
      <w:r w:rsidRPr="00927984">
        <w:rPr>
          <w:rFonts w:ascii="Arial" w:hAnsi="Arial" w:cs="Arial"/>
          <w:b/>
          <w:bCs/>
          <w:sz w:val="22"/>
          <w:szCs w:val="22"/>
        </w:rPr>
        <w:t xml:space="preserve"> EU</w:t>
      </w:r>
      <w:r w:rsidRPr="00927984">
        <w:rPr>
          <w:rFonts w:ascii="Arial" w:hAnsi="Arial" w:cs="Arial"/>
          <w:sz w:val="22"/>
          <w:szCs w:val="22"/>
        </w:rPr>
        <w:t>: Similar governance practices make it easier for UK firms to transitio</w:t>
      </w:r>
      <w:r w:rsidR="002B17E1" w:rsidRPr="00372C8A">
        <w:rPr>
          <w:rFonts w:ascii="Arial" w:hAnsi="Arial" w:cs="Arial"/>
          <w:sz w:val="22"/>
          <w:szCs w:val="22"/>
        </w:rPr>
        <w:t xml:space="preserve">n. </w:t>
      </w:r>
    </w:p>
    <w:p w14:paraId="074F50A2" w14:textId="04DCB25D" w:rsidR="00927984" w:rsidRPr="00927984" w:rsidRDefault="00927984" w:rsidP="00372C8A">
      <w:pPr>
        <w:pStyle w:val="NormalWeb"/>
        <w:numPr>
          <w:ilvl w:val="1"/>
          <w:numId w:val="4"/>
        </w:numPr>
        <w:spacing w:line="360" w:lineRule="auto"/>
        <w:jc w:val="both"/>
        <w:rPr>
          <w:rFonts w:ascii="Arial" w:hAnsi="Arial" w:cs="Arial"/>
          <w:sz w:val="22"/>
          <w:szCs w:val="22"/>
        </w:rPr>
      </w:pPr>
      <w:r w:rsidRPr="00927984">
        <w:rPr>
          <w:rFonts w:ascii="Arial" w:hAnsi="Arial" w:cs="Arial"/>
          <w:b/>
          <w:bCs/>
          <w:sz w:val="22"/>
          <w:szCs w:val="22"/>
        </w:rPr>
        <w:lastRenderedPageBreak/>
        <w:t>Tax Efficiency</w:t>
      </w:r>
      <w:r w:rsidRPr="00927984">
        <w:rPr>
          <w:rFonts w:ascii="Arial" w:hAnsi="Arial" w:cs="Arial"/>
          <w:sz w:val="22"/>
          <w:szCs w:val="22"/>
        </w:rPr>
        <w:t>: The Netherlands offers attractive tax policies for multinational corporations</w:t>
      </w:r>
      <w:r w:rsidR="00CB05FE" w:rsidRPr="00372C8A">
        <w:rPr>
          <w:rFonts w:ascii="Arial" w:hAnsi="Arial" w:cs="Arial"/>
          <w:sz w:val="22"/>
          <w:szCs w:val="22"/>
        </w:rPr>
        <w:t>.</w:t>
      </w:r>
    </w:p>
    <w:p w14:paraId="6BE88132" w14:textId="33B8355C" w:rsidR="000B0330" w:rsidRPr="00B10A35" w:rsidRDefault="00CA39EB" w:rsidP="00B10A35">
      <w:pPr>
        <w:pStyle w:val="NormalWeb"/>
        <w:spacing w:line="360" w:lineRule="auto"/>
        <w:jc w:val="both"/>
        <w:rPr>
          <w:rFonts w:ascii="Arial" w:hAnsi="Arial" w:cs="Arial"/>
          <w:sz w:val="28"/>
          <w:szCs w:val="28"/>
        </w:rPr>
      </w:pPr>
      <w:r w:rsidRPr="00B10A35">
        <w:rPr>
          <w:rFonts w:ascii="Arial" w:hAnsi="Arial" w:cs="Arial"/>
          <w:b/>
          <w:bCs/>
          <w:sz w:val="28"/>
          <w:szCs w:val="28"/>
        </w:rPr>
        <w:t>4.</w:t>
      </w:r>
      <w:r w:rsidR="00927984" w:rsidRPr="00927984">
        <w:rPr>
          <w:rFonts w:ascii="Arial" w:hAnsi="Arial" w:cs="Arial"/>
          <w:b/>
          <w:bCs/>
          <w:sz w:val="28"/>
          <w:szCs w:val="28"/>
        </w:rPr>
        <w:t>Conclusion</w:t>
      </w:r>
      <w:r w:rsidR="00927984" w:rsidRPr="00927984">
        <w:rPr>
          <w:rFonts w:ascii="Arial" w:hAnsi="Arial" w:cs="Arial"/>
          <w:sz w:val="28"/>
          <w:szCs w:val="28"/>
        </w:rPr>
        <w:t xml:space="preserve"> </w:t>
      </w:r>
    </w:p>
    <w:p w14:paraId="1849C723" w14:textId="2187A598" w:rsidR="000B0330" w:rsidRPr="00B10A35" w:rsidRDefault="000B0330" w:rsidP="00B10A35">
      <w:pPr>
        <w:pStyle w:val="NormalWeb"/>
        <w:spacing w:line="360" w:lineRule="auto"/>
        <w:ind w:left="360"/>
        <w:jc w:val="both"/>
        <w:rPr>
          <w:rFonts w:ascii="Arial" w:hAnsi="Arial" w:cs="Arial"/>
          <w:sz w:val="22"/>
          <w:szCs w:val="22"/>
        </w:rPr>
      </w:pPr>
      <w:r w:rsidRPr="00B10A35">
        <w:rPr>
          <w:rFonts w:ascii="Arial" w:hAnsi="Arial" w:cs="Arial"/>
          <w:sz w:val="22"/>
          <w:szCs w:val="22"/>
        </w:rPr>
        <w:t>As the company transitions to a public entity through AIM listing, it must adapt to enhanced corporate governance standards and manage relationships with external investors. Implementing a robust governance framework will help mitigate agency conflicts and ensure long-term sustainability. While the family’s ownership will be diluted, strategic mechanisms such as dual-class shares, shareholder agreements, and maintaining board influence will enable them to retain control over key decisions. Understanding institutional differences between the UK, Shanghai, and the Netherlands will also help in making informed listing decisions. Proper director remuneration structures will further align management goals with shareholder interests, reinforcing corporate stability and investor trust.</w:t>
      </w:r>
    </w:p>
    <w:p w14:paraId="70DA4019" w14:textId="6C1B358F" w:rsidR="00927984" w:rsidRPr="00927984" w:rsidRDefault="00CA39EB" w:rsidP="00B10A35">
      <w:pPr>
        <w:pStyle w:val="NormalWeb"/>
        <w:spacing w:line="360" w:lineRule="auto"/>
        <w:ind w:left="360"/>
        <w:jc w:val="both"/>
        <w:rPr>
          <w:rFonts w:ascii="Arial" w:hAnsi="Arial" w:cs="Arial"/>
          <w:sz w:val="28"/>
          <w:szCs w:val="28"/>
        </w:rPr>
      </w:pPr>
      <w:r w:rsidRPr="00B10A35">
        <w:rPr>
          <w:rFonts w:ascii="Arial" w:hAnsi="Arial" w:cs="Arial"/>
          <w:b/>
          <w:bCs/>
          <w:sz w:val="28"/>
          <w:szCs w:val="28"/>
        </w:rPr>
        <w:t xml:space="preserve">5. </w:t>
      </w:r>
      <w:r w:rsidR="00927984" w:rsidRPr="00927984">
        <w:rPr>
          <w:rFonts w:ascii="Arial" w:hAnsi="Arial" w:cs="Arial"/>
          <w:b/>
          <w:bCs/>
          <w:sz w:val="28"/>
          <w:szCs w:val="28"/>
        </w:rPr>
        <w:t>Recommendations</w:t>
      </w:r>
    </w:p>
    <w:p w14:paraId="58E02A32" w14:textId="73DEF515" w:rsidR="000B0330" w:rsidRPr="000B0330" w:rsidRDefault="000B0330" w:rsidP="00B10A35">
      <w:pPr>
        <w:pStyle w:val="NormalWeb"/>
        <w:numPr>
          <w:ilvl w:val="0"/>
          <w:numId w:val="8"/>
        </w:numPr>
        <w:spacing w:line="360" w:lineRule="auto"/>
        <w:jc w:val="both"/>
        <w:rPr>
          <w:rFonts w:ascii="Arial" w:hAnsi="Arial" w:cs="Arial"/>
          <w:sz w:val="22"/>
          <w:szCs w:val="22"/>
        </w:rPr>
      </w:pPr>
      <w:r w:rsidRPr="000B0330">
        <w:rPr>
          <w:rFonts w:ascii="Arial" w:hAnsi="Arial" w:cs="Arial"/>
          <w:sz w:val="22"/>
          <w:szCs w:val="22"/>
        </w:rPr>
        <w:t xml:space="preserve">It is recommended that the company adopt a </w:t>
      </w:r>
      <w:r w:rsidR="00CB05FE" w:rsidRPr="00B10A35">
        <w:rPr>
          <w:rFonts w:ascii="Arial" w:hAnsi="Arial" w:cs="Arial"/>
          <w:sz w:val="22"/>
          <w:szCs w:val="22"/>
        </w:rPr>
        <w:t>dual class</w:t>
      </w:r>
      <w:r w:rsidRPr="000B0330">
        <w:rPr>
          <w:rFonts w:ascii="Arial" w:hAnsi="Arial" w:cs="Arial"/>
          <w:sz w:val="22"/>
          <w:szCs w:val="22"/>
        </w:rPr>
        <w:t xml:space="preserve"> share structure to ensure that the family shareholders retain strategic control while still attracting external investors.</w:t>
      </w:r>
    </w:p>
    <w:p w14:paraId="2ABF9CA1" w14:textId="77777777" w:rsidR="000B0330" w:rsidRPr="000B0330" w:rsidRDefault="000B0330" w:rsidP="00B10A35">
      <w:pPr>
        <w:pStyle w:val="NormalWeb"/>
        <w:numPr>
          <w:ilvl w:val="0"/>
          <w:numId w:val="8"/>
        </w:numPr>
        <w:spacing w:line="360" w:lineRule="auto"/>
        <w:jc w:val="both"/>
        <w:rPr>
          <w:rFonts w:ascii="Arial" w:hAnsi="Arial" w:cs="Arial"/>
          <w:sz w:val="22"/>
          <w:szCs w:val="22"/>
        </w:rPr>
      </w:pPr>
      <w:r w:rsidRPr="000B0330">
        <w:rPr>
          <w:rFonts w:ascii="Arial" w:hAnsi="Arial" w:cs="Arial"/>
          <w:sz w:val="22"/>
          <w:szCs w:val="22"/>
        </w:rPr>
        <w:t>The company should strengthen its corporate governance framework by appointing independent non-executive directors and establishing dedicated board committees to enhance oversight and transparency.</w:t>
      </w:r>
    </w:p>
    <w:p w14:paraId="13E893E6" w14:textId="77777777" w:rsidR="000B0330" w:rsidRPr="000B0330" w:rsidRDefault="000B0330" w:rsidP="00B10A35">
      <w:pPr>
        <w:pStyle w:val="NormalWeb"/>
        <w:numPr>
          <w:ilvl w:val="0"/>
          <w:numId w:val="8"/>
        </w:numPr>
        <w:spacing w:line="360" w:lineRule="auto"/>
        <w:jc w:val="both"/>
        <w:rPr>
          <w:rFonts w:ascii="Arial" w:hAnsi="Arial" w:cs="Arial"/>
          <w:sz w:val="22"/>
          <w:szCs w:val="22"/>
        </w:rPr>
      </w:pPr>
      <w:r w:rsidRPr="000B0330">
        <w:rPr>
          <w:rFonts w:ascii="Arial" w:hAnsi="Arial" w:cs="Arial"/>
          <w:sz w:val="22"/>
          <w:szCs w:val="22"/>
        </w:rPr>
        <w:t>The implementation of shareholder agreements is necessary to grant the family board veto power over major strategic decisions, ensuring alignment with their long-term vision.</w:t>
      </w:r>
    </w:p>
    <w:p w14:paraId="5C7E9600" w14:textId="77777777" w:rsidR="000B0330" w:rsidRPr="000B0330" w:rsidRDefault="000B0330" w:rsidP="00B10A35">
      <w:pPr>
        <w:pStyle w:val="NormalWeb"/>
        <w:numPr>
          <w:ilvl w:val="0"/>
          <w:numId w:val="8"/>
        </w:numPr>
        <w:spacing w:line="360" w:lineRule="auto"/>
        <w:jc w:val="both"/>
        <w:rPr>
          <w:rFonts w:ascii="Arial" w:hAnsi="Arial" w:cs="Arial"/>
          <w:sz w:val="22"/>
          <w:szCs w:val="22"/>
        </w:rPr>
      </w:pPr>
      <w:r w:rsidRPr="000B0330">
        <w:rPr>
          <w:rFonts w:ascii="Arial" w:hAnsi="Arial" w:cs="Arial"/>
          <w:sz w:val="22"/>
          <w:szCs w:val="22"/>
        </w:rPr>
        <w:t>Given the regulatory, governance, and tax advantages, the Netherlands should be considered as an alternative listing destination, as it offers governance flexibility and regulatory alignment with UK standards.</w:t>
      </w:r>
    </w:p>
    <w:p w14:paraId="7F4D67B8" w14:textId="77777777" w:rsidR="000B0330" w:rsidRPr="000B0330" w:rsidRDefault="000B0330" w:rsidP="00B10A35">
      <w:pPr>
        <w:pStyle w:val="NormalWeb"/>
        <w:numPr>
          <w:ilvl w:val="0"/>
          <w:numId w:val="8"/>
        </w:numPr>
        <w:spacing w:line="360" w:lineRule="auto"/>
        <w:jc w:val="both"/>
        <w:rPr>
          <w:rFonts w:ascii="Arial" w:hAnsi="Arial" w:cs="Arial"/>
          <w:sz w:val="22"/>
          <w:szCs w:val="22"/>
        </w:rPr>
      </w:pPr>
      <w:r w:rsidRPr="000B0330">
        <w:rPr>
          <w:rFonts w:ascii="Arial" w:hAnsi="Arial" w:cs="Arial"/>
          <w:sz w:val="22"/>
          <w:szCs w:val="22"/>
        </w:rPr>
        <w:t>The company should establish a performance-based remuneration plan that includes equity-based compensation to align the interests of the directors with long-term company performance and shareholder value.</w:t>
      </w:r>
    </w:p>
    <w:p w14:paraId="5791095C" w14:textId="77777777" w:rsidR="000B0330" w:rsidRDefault="000B0330" w:rsidP="00B10A35">
      <w:pPr>
        <w:pStyle w:val="NormalWeb"/>
        <w:numPr>
          <w:ilvl w:val="0"/>
          <w:numId w:val="8"/>
        </w:numPr>
        <w:spacing w:line="360" w:lineRule="auto"/>
        <w:jc w:val="both"/>
        <w:rPr>
          <w:rFonts w:ascii="Arial" w:hAnsi="Arial" w:cs="Arial"/>
          <w:sz w:val="22"/>
          <w:szCs w:val="22"/>
        </w:rPr>
      </w:pPr>
      <w:r w:rsidRPr="000B0330">
        <w:rPr>
          <w:rFonts w:ascii="Arial" w:hAnsi="Arial" w:cs="Arial"/>
          <w:sz w:val="22"/>
          <w:szCs w:val="22"/>
        </w:rPr>
        <w:t>A comprehensive risk management framework should be developed to enhance compliance, internal controls, and corporate social responsibility initiatives to maintain investor confidence and the company’s reputation.</w:t>
      </w:r>
    </w:p>
    <w:p w14:paraId="0C07F906" w14:textId="77777777" w:rsidR="00B10A35" w:rsidRPr="000B0330" w:rsidRDefault="00B10A35" w:rsidP="00B10A35">
      <w:pPr>
        <w:pStyle w:val="NormalWeb"/>
        <w:spacing w:line="360" w:lineRule="auto"/>
        <w:ind w:left="360"/>
        <w:jc w:val="both"/>
        <w:rPr>
          <w:rFonts w:ascii="Arial" w:hAnsi="Arial" w:cs="Arial"/>
          <w:sz w:val="22"/>
          <w:szCs w:val="22"/>
        </w:rPr>
      </w:pPr>
    </w:p>
    <w:p w14:paraId="39651AE5" w14:textId="352EE561" w:rsidR="00927984" w:rsidRPr="00927984" w:rsidRDefault="009A512A" w:rsidP="009A512A">
      <w:pPr>
        <w:pStyle w:val="NormalWeb"/>
        <w:ind w:left="360"/>
        <w:rPr>
          <w:rFonts w:ascii="Arial" w:hAnsi="Arial" w:cs="Arial"/>
          <w:sz w:val="28"/>
          <w:szCs w:val="28"/>
        </w:rPr>
      </w:pPr>
      <w:r w:rsidRPr="00B10A35">
        <w:rPr>
          <w:rFonts w:ascii="Arial" w:hAnsi="Arial" w:cs="Arial"/>
          <w:b/>
          <w:bCs/>
          <w:sz w:val="28"/>
          <w:szCs w:val="28"/>
        </w:rPr>
        <w:lastRenderedPageBreak/>
        <w:t>6.</w:t>
      </w:r>
      <w:r w:rsidR="00927984" w:rsidRPr="00927984">
        <w:rPr>
          <w:rFonts w:ascii="Arial" w:hAnsi="Arial" w:cs="Arial"/>
          <w:b/>
          <w:bCs/>
          <w:sz w:val="28"/>
          <w:szCs w:val="28"/>
        </w:rPr>
        <w:t>References</w:t>
      </w:r>
    </w:p>
    <w:p w14:paraId="1B87844E"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Bebchuk, L.A. and Kastiel, K. (2017) ‘The Untenable Case for Perpetual Dual-Class Stock’, </w:t>
      </w:r>
      <w:r w:rsidRPr="00F760F6">
        <w:rPr>
          <w:rFonts w:ascii="Arial" w:hAnsi="Arial" w:cs="Arial"/>
          <w:i/>
          <w:iCs/>
          <w:sz w:val="22"/>
          <w:szCs w:val="22"/>
        </w:rPr>
        <w:t>Virginia Law Review</w:t>
      </w:r>
      <w:r w:rsidRPr="00F760F6">
        <w:rPr>
          <w:rFonts w:ascii="Arial" w:hAnsi="Arial" w:cs="Arial"/>
          <w:sz w:val="22"/>
          <w:szCs w:val="22"/>
        </w:rPr>
        <w:t>, 103(4), pp. 585-631.</w:t>
      </w:r>
    </w:p>
    <w:p w14:paraId="38EB586A"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Cadbury, A. (1992) </w:t>
      </w:r>
      <w:r w:rsidRPr="00F760F6">
        <w:rPr>
          <w:rFonts w:ascii="Arial" w:hAnsi="Arial" w:cs="Arial"/>
          <w:i/>
          <w:iCs/>
          <w:sz w:val="22"/>
          <w:szCs w:val="22"/>
        </w:rPr>
        <w:t>Report of the Committee on the Financial Aspects of Corporate Governance</w:t>
      </w:r>
      <w:r w:rsidRPr="00F760F6">
        <w:rPr>
          <w:rFonts w:ascii="Arial" w:hAnsi="Arial" w:cs="Arial"/>
          <w:sz w:val="22"/>
          <w:szCs w:val="22"/>
        </w:rPr>
        <w:t>. London: Gee.</w:t>
      </w:r>
    </w:p>
    <w:p w14:paraId="37ABA2B4"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Cheffins, B.R. (2018) </w:t>
      </w:r>
      <w:r w:rsidRPr="00F760F6">
        <w:rPr>
          <w:rFonts w:ascii="Arial" w:hAnsi="Arial" w:cs="Arial"/>
          <w:i/>
          <w:iCs/>
          <w:sz w:val="22"/>
          <w:szCs w:val="22"/>
        </w:rPr>
        <w:t>The Public Company Transformed</w:t>
      </w:r>
      <w:r w:rsidRPr="00F760F6">
        <w:rPr>
          <w:rFonts w:ascii="Arial" w:hAnsi="Arial" w:cs="Arial"/>
          <w:sz w:val="22"/>
          <w:szCs w:val="22"/>
        </w:rPr>
        <w:t>. Oxford: Oxford University Press.</w:t>
      </w:r>
    </w:p>
    <w:p w14:paraId="4E8D9A6C"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Clarke, T. (2021) </w:t>
      </w:r>
      <w:r w:rsidRPr="00F760F6">
        <w:rPr>
          <w:rFonts w:ascii="Arial" w:hAnsi="Arial" w:cs="Arial"/>
          <w:i/>
          <w:iCs/>
          <w:sz w:val="22"/>
          <w:szCs w:val="22"/>
        </w:rPr>
        <w:t>International Corporate Governance: A Comparative Approach</w:t>
      </w:r>
      <w:r w:rsidRPr="00F760F6">
        <w:rPr>
          <w:rFonts w:ascii="Arial" w:hAnsi="Arial" w:cs="Arial"/>
          <w:sz w:val="22"/>
          <w:szCs w:val="22"/>
        </w:rPr>
        <w:t xml:space="preserve">. 3rd </w:t>
      </w:r>
      <w:proofErr w:type="spellStart"/>
      <w:r w:rsidRPr="00F760F6">
        <w:rPr>
          <w:rFonts w:ascii="Arial" w:hAnsi="Arial" w:cs="Arial"/>
          <w:sz w:val="22"/>
          <w:szCs w:val="22"/>
        </w:rPr>
        <w:t>edn</w:t>
      </w:r>
      <w:proofErr w:type="spellEnd"/>
      <w:r w:rsidRPr="00F760F6">
        <w:rPr>
          <w:rFonts w:ascii="Arial" w:hAnsi="Arial" w:cs="Arial"/>
          <w:sz w:val="22"/>
          <w:szCs w:val="22"/>
        </w:rPr>
        <w:t>. London: Routledge.</w:t>
      </w:r>
    </w:p>
    <w:p w14:paraId="296A0291"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Edmans, A. and </w:t>
      </w:r>
      <w:proofErr w:type="spellStart"/>
      <w:r w:rsidRPr="00F760F6">
        <w:rPr>
          <w:rFonts w:ascii="Arial" w:hAnsi="Arial" w:cs="Arial"/>
          <w:sz w:val="22"/>
          <w:szCs w:val="22"/>
        </w:rPr>
        <w:t>Gabaix</w:t>
      </w:r>
      <w:proofErr w:type="spellEnd"/>
      <w:r w:rsidRPr="00F760F6">
        <w:rPr>
          <w:rFonts w:ascii="Arial" w:hAnsi="Arial" w:cs="Arial"/>
          <w:sz w:val="22"/>
          <w:szCs w:val="22"/>
        </w:rPr>
        <w:t xml:space="preserve">, X. (2016) ‘Executive Compensation: A Modern Primer’, </w:t>
      </w:r>
      <w:r w:rsidRPr="00F760F6">
        <w:rPr>
          <w:rFonts w:ascii="Arial" w:hAnsi="Arial" w:cs="Arial"/>
          <w:i/>
          <w:iCs/>
          <w:sz w:val="22"/>
          <w:szCs w:val="22"/>
        </w:rPr>
        <w:t>Journal of Economic Literature</w:t>
      </w:r>
      <w:r w:rsidRPr="00F760F6">
        <w:rPr>
          <w:rFonts w:ascii="Arial" w:hAnsi="Arial" w:cs="Arial"/>
          <w:sz w:val="22"/>
          <w:szCs w:val="22"/>
        </w:rPr>
        <w:t>, 54(4), pp. 1232-1287.</w:t>
      </w:r>
    </w:p>
    <w:p w14:paraId="62F14CA4"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Ferrarini, G., Moloney, N. and </w:t>
      </w:r>
      <w:proofErr w:type="spellStart"/>
      <w:r w:rsidRPr="00F760F6">
        <w:rPr>
          <w:rFonts w:ascii="Arial" w:hAnsi="Arial" w:cs="Arial"/>
          <w:sz w:val="22"/>
          <w:szCs w:val="22"/>
        </w:rPr>
        <w:t>Vespro</w:t>
      </w:r>
      <w:proofErr w:type="spellEnd"/>
      <w:r w:rsidRPr="00F760F6">
        <w:rPr>
          <w:rFonts w:ascii="Arial" w:hAnsi="Arial" w:cs="Arial"/>
          <w:sz w:val="22"/>
          <w:szCs w:val="22"/>
        </w:rPr>
        <w:t xml:space="preserve">, C. (2010) ‘Executive Remuneration in the EU: The Context for Reform’, </w:t>
      </w:r>
      <w:r w:rsidRPr="00F760F6">
        <w:rPr>
          <w:rFonts w:ascii="Arial" w:hAnsi="Arial" w:cs="Arial"/>
          <w:i/>
          <w:iCs/>
          <w:sz w:val="22"/>
          <w:szCs w:val="22"/>
        </w:rPr>
        <w:t>Oxford Review of Economic Policy</w:t>
      </w:r>
      <w:r w:rsidRPr="00F760F6">
        <w:rPr>
          <w:rFonts w:ascii="Arial" w:hAnsi="Arial" w:cs="Arial"/>
          <w:sz w:val="22"/>
          <w:szCs w:val="22"/>
        </w:rPr>
        <w:t>, 26(2), pp. 344-364.</w:t>
      </w:r>
    </w:p>
    <w:p w14:paraId="5E1612DB"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Financial Reporting Council (FRC) (2018) </w:t>
      </w:r>
      <w:r w:rsidRPr="00F760F6">
        <w:rPr>
          <w:rFonts w:ascii="Arial" w:hAnsi="Arial" w:cs="Arial"/>
          <w:i/>
          <w:iCs/>
          <w:sz w:val="22"/>
          <w:szCs w:val="22"/>
        </w:rPr>
        <w:t>UK Corporate Governance Code</w:t>
      </w:r>
      <w:r w:rsidRPr="00F760F6">
        <w:rPr>
          <w:rFonts w:ascii="Arial" w:hAnsi="Arial" w:cs="Arial"/>
          <w:sz w:val="22"/>
          <w:szCs w:val="22"/>
        </w:rPr>
        <w:t xml:space="preserve">. Available at: </w:t>
      </w:r>
      <w:hyperlink r:id="rId9" w:tgtFrame="_new" w:history="1">
        <w:r w:rsidRPr="00F760F6">
          <w:rPr>
            <w:rStyle w:val="Hyperlink"/>
            <w:rFonts w:ascii="Arial" w:hAnsi="Arial" w:cs="Arial"/>
            <w:sz w:val="22"/>
            <w:szCs w:val="22"/>
            <w:u w:val="none"/>
          </w:rPr>
          <w:t>https://www.frc.org.uk</w:t>
        </w:r>
      </w:hyperlink>
      <w:r w:rsidRPr="00F760F6">
        <w:rPr>
          <w:rFonts w:ascii="Arial" w:hAnsi="Arial" w:cs="Arial"/>
          <w:sz w:val="22"/>
          <w:szCs w:val="22"/>
        </w:rPr>
        <w:t xml:space="preserve"> (Accessed: 20 February 2025).</w:t>
      </w:r>
    </w:p>
    <w:p w14:paraId="0FDE4F40"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Freeman, R.E., Harrison, J.S. and </w:t>
      </w:r>
      <w:proofErr w:type="spellStart"/>
      <w:r w:rsidRPr="00F760F6">
        <w:rPr>
          <w:rFonts w:ascii="Arial" w:hAnsi="Arial" w:cs="Arial"/>
          <w:sz w:val="22"/>
          <w:szCs w:val="22"/>
        </w:rPr>
        <w:t>Zyglidopoulos</w:t>
      </w:r>
      <w:proofErr w:type="spellEnd"/>
      <w:r w:rsidRPr="00F760F6">
        <w:rPr>
          <w:rFonts w:ascii="Arial" w:hAnsi="Arial" w:cs="Arial"/>
          <w:sz w:val="22"/>
          <w:szCs w:val="22"/>
        </w:rPr>
        <w:t xml:space="preserve">, S.C. (2020) </w:t>
      </w:r>
      <w:r w:rsidRPr="00F760F6">
        <w:rPr>
          <w:rFonts w:ascii="Arial" w:hAnsi="Arial" w:cs="Arial"/>
          <w:i/>
          <w:iCs/>
          <w:sz w:val="22"/>
          <w:szCs w:val="22"/>
        </w:rPr>
        <w:t>Stakeholder Theory: Concepts and Strategies</w:t>
      </w:r>
      <w:r w:rsidRPr="00F760F6">
        <w:rPr>
          <w:rFonts w:ascii="Arial" w:hAnsi="Arial" w:cs="Arial"/>
          <w:sz w:val="22"/>
          <w:szCs w:val="22"/>
        </w:rPr>
        <w:t>. Cambridge: Cambridge University Press.</w:t>
      </w:r>
    </w:p>
    <w:p w14:paraId="5E930F1C" w14:textId="77777777" w:rsidR="00F760F6" w:rsidRPr="00F760F6" w:rsidRDefault="00F760F6" w:rsidP="00A97139">
      <w:pPr>
        <w:pStyle w:val="NormalWeb"/>
        <w:spacing w:line="360" w:lineRule="auto"/>
        <w:ind w:left="360"/>
        <w:jc w:val="both"/>
        <w:rPr>
          <w:rFonts w:ascii="Arial" w:hAnsi="Arial" w:cs="Arial"/>
          <w:sz w:val="22"/>
          <w:szCs w:val="22"/>
        </w:rPr>
      </w:pPr>
      <w:proofErr w:type="spellStart"/>
      <w:r w:rsidRPr="00F760F6">
        <w:rPr>
          <w:rFonts w:ascii="Arial" w:hAnsi="Arial" w:cs="Arial"/>
          <w:sz w:val="22"/>
          <w:szCs w:val="22"/>
        </w:rPr>
        <w:t>Gabaix</w:t>
      </w:r>
      <w:proofErr w:type="spellEnd"/>
      <w:r w:rsidRPr="00F760F6">
        <w:rPr>
          <w:rFonts w:ascii="Arial" w:hAnsi="Arial" w:cs="Arial"/>
          <w:sz w:val="22"/>
          <w:szCs w:val="22"/>
        </w:rPr>
        <w:t xml:space="preserve">, X. and </w:t>
      </w:r>
      <w:proofErr w:type="spellStart"/>
      <w:r w:rsidRPr="00F760F6">
        <w:rPr>
          <w:rFonts w:ascii="Arial" w:hAnsi="Arial" w:cs="Arial"/>
          <w:sz w:val="22"/>
          <w:szCs w:val="22"/>
        </w:rPr>
        <w:t>Landier</w:t>
      </w:r>
      <w:proofErr w:type="spellEnd"/>
      <w:r w:rsidRPr="00F760F6">
        <w:rPr>
          <w:rFonts w:ascii="Arial" w:hAnsi="Arial" w:cs="Arial"/>
          <w:sz w:val="22"/>
          <w:szCs w:val="22"/>
        </w:rPr>
        <w:t xml:space="preserve">, A. (2008) ‘Why Has CEO Pay Increased So Much?’, </w:t>
      </w:r>
      <w:r w:rsidRPr="00F760F6">
        <w:rPr>
          <w:rFonts w:ascii="Arial" w:hAnsi="Arial" w:cs="Arial"/>
          <w:i/>
          <w:iCs/>
          <w:sz w:val="22"/>
          <w:szCs w:val="22"/>
        </w:rPr>
        <w:t>Quarterly Journal of Economics</w:t>
      </w:r>
      <w:r w:rsidRPr="00F760F6">
        <w:rPr>
          <w:rFonts w:ascii="Arial" w:hAnsi="Arial" w:cs="Arial"/>
          <w:sz w:val="22"/>
          <w:szCs w:val="22"/>
        </w:rPr>
        <w:t>, 123(1), pp. 49-100.</w:t>
      </w:r>
    </w:p>
    <w:p w14:paraId="4AB77C3D"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Gompers, P.A., Ishii, J.L. and Metrick, A. (2010) ‘Extreme Governance: An Analysis of Dual-Class Firms in the United States’, </w:t>
      </w:r>
      <w:r w:rsidRPr="00F760F6">
        <w:rPr>
          <w:rFonts w:ascii="Arial" w:hAnsi="Arial" w:cs="Arial"/>
          <w:i/>
          <w:iCs/>
          <w:sz w:val="22"/>
          <w:szCs w:val="22"/>
        </w:rPr>
        <w:t>Review of Financial Studies</w:t>
      </w:r>
      <w:r w:rsidRPr="00F760F6">
        <w:rPr>
          <w:rFonts w:ascii="Arial" w:hAnsi="Arial" w:cs="Arial"/>
          <w:sz w:val="22"/>
          <w:szCs w:val="22"/>
        </w:rPr>
        <w:t>, 23(3), pp. 1051-1088.</w:t>
      </w:r>
    </w:p>
    <w:p w14:paraId="7C260C8B"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Hansmann, H. and </w:t>
      </w:r>
      <w:proofErr w:type="spellStart"/>
      <w:r w:rsidRPr="00F760F6">
        <w:rPr>
          <w:rFonts w:ascii="Arial" w:hAnsi="Arial" w:cs="Arial"/>
          <w:sz w:val="22"/>
          <w:szCs w:val="22"/>
        </w:rPr>
        <w:t>Kraakman</w:t>
      </w:r>
      <w:proofErr w:type="spellEnd"/>
      <w:r w:rsidRPr="00F760F6">
        <w:rPr>
          <w:rFonts w:ascii="Arial" w:hAnsi="Arial" w:cs="Arial"/>
          <w:sz w:val="22"/>
          <w:szCs w:val="22"/>
        </w:rPr>
        <w:t xml:space="preserve">, R. (2004) ‘The End of History for Corporate Law’, </w:t>
      </w:r>
      <w:r w:rsidRPr="00F760F6">
        <w:rPr>
          <w:rFonts w:ascii="Arial" w:hAnsi="Arial" w:cs="Arial"/>
          <w:i/>
          <w:iCs/>
          <w:sz w:val="22"/>
          <w:szCs w:val="22"/>
        </w:rPr>
        <w:t>Georgetown Law Journal</w:t>
      </w:r>
      <w:r w:rsidRPr="00F760F6">
        <w:rPr>
          <w:rFonts w:ascii="Arial" w:hAnsi="Arial" w:cs="Arial"/>
          <w:sz w:val="22"/>
          <w:szCs w:val="22"/>
        </w:rPr>
        <w:t>, 89(2), pp. 439-468.</w:t>
      </w:r>
    </w:p>
    <w:p w14:paraId="5ABC2F46"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Jensen, M.C. and Meckling, W.H. (1976) ‘Theory of the Firm: Managerial </w:t>
      </w:r>
      <w:proofErr w:type="spellStart"/>
      <w:r w:rsidRPr="00F760F6">
        <w:rPr>
          <w:rFonts w:ascii="Arial" w:hAnsi="Arial" w:cs="Arial"/>
          <w:sz w:val="22"/>
          <w:szCs w:val="22"/>
        </w:rPr>
        <w:t>Behavior</w:t>
      </w:r>
      <w:proofErr w:type="spellEnd"/>
      <w:r w:rsidRPr="00F760F6">
        <w:rPr>
          <w:rFonts w:ascii="Arial" w:hAnsi="Arial" w:cs="Arial"/>
          <w:sz w:val="22"/>
          <w:szCs w:val="22"/>
        </w:rPr>
        <w:t xml:space="preserve">, Agency Costs and Ownership Structure’, </w:t>
      </w:r>
      <w:r w:rsidRPr="00F760F6">
        <w:rPr>
          <w:rFonts w:ascii="Arial" w:hAnsi="Arial" w:cs="Arial"/>
          <w:i/>
          <w:iCs/>
          <w:sz w:val="22"/>
          <w:szCs w:val="22"/>
        </w:rPr>
        <w:t>Journal of Financial Economics</w:t>
      </w:r>
      <w:r w:rsidRPr="00F760F6">
        <w:rPr>
          <w:rFonts w:ascii="Arial" w:hAnsi="Arial" w:cs="Arial"/>
          <w:sz w:val="22"/>
          <w:szCs w:val="22"/>
        </w:rPr>
        <w:t>, 3(4), pp. 305-360.</w:t>
      </w:r>
    </w:p>
    <w:p w14:paraId="006E7729"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Jensen, M.C. and Murphy, K.J. (1990) ‘Performance Pay and Top-Management Incentives’, </w:t>
      </w:r>
      <w:r w:rsidRPr="00F760F6">
        <w:rPr>
          <w:rFonts w:ascii="Arial" w:hAnsi="Arial" w:cs="Arial"/>
          <w:i/>
          <w:iCs/>
          <w:sz w:val="22"/>
          <w:szCs w:val="22"/>
        </w:rPr>
        <w:t>Journal of Political Economy</w:t>
      </w:r>
      <w:r w:rsidRPr="00F760F6">
        <w:rPr>
          <w:rFonts w:ascii="Arial" w:hAnsi="Arial" w:cs="Arial"/>
          <w:sz w:val="22"/>
          <w:szCs w:val="22"/>
        </w:rPr>
        <w:t>, 98(2), pp. 225-264.</w:t>
      </w:r>
    </w:p>
    <w:p w14:paraId="28DE147F"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lastRenderedPageBreak/>
        <w:t xml:space="preserve">Kaplan, R.S. and Norton, D.P. (2004) </w:t>
      </w:r>
      <w:r w:rsidRPr="00F760F6">
        <w:rPr>
          <w:rFonts w:ascii="Arial" w:hAnsi="Arial" w:cs="Arial"/>
          <w:i/>
          <w:iCs/>
          <w:sz w:val="22"/>
          <w:szCs w:val="22"/>
        </w:rPr>
        <w:t>Strategy Maps: Converting Intangible Assets into Tangible Outcomes</w:t>
      </w:r>
      <w:r w:rsidRPr="00F760F6">
        <w:rPr>
          <w:rFonts w:ascii="Arial" w:hAnsi="Arial" w:cs="Arial"/>
          <w:sz w:val="22"/>
          <w:szCs w:val="22"/>
        </w:rPr>
        <w:t>. Boston: Harvard Business School Press.</w:t>
      </w:r>
    </w:p>
    <w:p w14:paraId="6AC5133E"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La Porta, R., Lopez-de-Silanes, F. and Shleifer, A. (1999) ‘Corporate Ownership Around the World’, </w:t>
      </w:r>
      <w:r w:rsidRPr="00F760F6">
        <w:rPr>
          <w:rFonts w:ascii="Arial" w:hAnsi="Arial" w:cs="Arial"/>
          <w:i/>
          <w:iCs/>
          <w:sz w:val="22"/>
          <w:szCs w:val="22"/>
        </w:rPr>
        <w:t>Journal of Finance</w:t>
      </w:r>
      <w:r w:rsidRPr="00F760F6">
        <w:rPr>
          <w:rFonts w:ascii="Arial" w:hAnsi="Arial" w:cs="Arial"/>
          <w:sz w:val="22"/>
          <w:szCs w:val="22"/>
        </w:rPr>
        <w:t>, 54(2), pp. 471-517.</w:t>
      </w:r>
    </w:p>
    <w:p w14:paraId="25802554"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Mallin, C.A. (2019) </w:t>
      </w:r>
      <w:r w:rsidRPr="00F760F6">
        <w:rPr>
          <w:rFonts w:ascii="Arial" w:hAnsi="Arial" w:cs="Arial"/>
          <w:i/>
          <w:iCs/>
          <w:sz w:val="22"/>
          <w:szCs w:val="22"/>
        </w:rPr>
        <w:t>Corporate Governance</w:t>
      </w:r>
      <w:r w:rsidRPr="00F760F6">
        <w:rPr>
          <w:rFonts w:ascii="Arial" w:hAnsi="Arial" w:cs="Arial"/>
          <w:sz w:val="22"/>
          <w:szCs w:val="22"/>
        </w:rPr>
        <w:t xml:space="preserve">. 6th </w:t>
      </w:r>
      <w:proofErr w:type="spellStart"/>
      <w:r w:rsidRPr="00F760F6">
        <w:rPr>
          <w:rFonts w:ascii="Arial" w:hAnsi="Arial" w:cs="Arial"/>
          <w:sz w:val="22"/>
          <w:szCs w:val="22"/>
        </w:rPr>
        <w:t>edn</w:t>
      </w:r>
      <w:proofErr w:type="spellEnd"/>
      <w:r w:rsidRPr="00F760F6">
        <w:rPr>
          <w:rFonts w:ascii="Arial" w:hAnsi="Arial" w:cs="Arial"/>
          <w:sz w:val="22"/>
          <w:szCs w:val="22"/>
        </w:rPr>
        <w:t>. Oxford: Oxford University Press.</w:t>
      </w:r>
    </w:p>
    <w:p w14:paraId="4024C3AF"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Mason, J. (2019) </w:t>
      </w:r>
      <w:r w:rsidRPr="00F760F6">
        <w:rPr>
          <w:rFonts w:ascii="Arial" w:hAnsi="Arial" w:cs="Arial"/>
          <w:i/>
          <w:iCs/>
          <w:sz w:val="22"/>
          <w:szCs w:val="22"/>
        </w:rPr>
        <w:t>Corporate Governance and Takeovers: Defensive Strategies in Mergers and Acquisitions</w:t>
      </w:r>
      <w:r w:rsidRPr="00F760F6">
        <w:rPr>
          <w:rFonts w:ascii="Arial" w:hAnsi="Arial" w:cs="Arial"/>
          <w:sz w:val="22"/>
          <w:szCs w:val="22"/>
        </w:rPr>
        <w:t>. London: Palgrave Macmillan.</w:t>
      </w:r>
    </w:p>
    <w:p w14:paraId="5D73E4F1"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Murphy, K.J. (2013) ‘Executive Compensation: Where We Are, and How We Got There’, in Constantinides, G.M., Harris, M. and Stulz, R.M. (eds.) </w:t>
      </w:r>
      <w:r w:rsidRPr="00F760F6">
        <w:rPr>
          <w:rFonts w:ascii="Arial" w:hAnsi="Arial" w:cs="Arial"/>
          <w:i/>
          <w:iCs/>
          <w:sz w:val="22"/>
          <w:szCs w:val="22"/>
        </w:rPr>
        <w:t>Handbook of the Economics of Finance</w:t>
      </w:r>
      <w:r w:rsidRPr="00F760F6">
        <w:rPr>
          <w:rFonts w:ascii="Arial" w:hAnsi="Arial" w:cs="Arial"/>
          <w:sz w:val="22"/>
          <w:szCs w:val="22"/>
        </w:rPr>
        <w:t>. Amsterdam: Elsevier, pp. 211-356.</w:t>
      </w:r>
    </w:p>
    <w:p w14:paraId="4222DF9F"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OECD (2015) </w:t>
      </w:r>
      <w:r w:rsidRPr="00F760F6">
        <w:rPr>
          <w:rFonts w:ascii="Arial" w:hAnsi="Arial" w:cs="Arial"/>
          <w:i/>
          <w:iCs/>
          <w:sz w:val="22"/>
          <w:szCs w:val="22"/>
        </w:rPr>
        <w:t>G20/OECD Principles of Corporate Governance</w:t>
      </w:r>
      <w:r w:rsidRPr="00F760F6">
        <w:rPr>
          <w:rFonts w:ascii="Arial" w:hAnsi="Arial" w:cs="Arial"/>
          <w:sz w:val="22"/>
          <w:szCs w:val="22"/>
        </w:rPr>
        <w:t>. Paris: OECD Publishing.</w:t>
      </w:r>
    </w:p>
    <w:p w14:paraId="4EE9AA15"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Solomon, J. (2020) </w:t>
      </w:r>
      <w:r w:rsidRPr="00F760F6">
        <w:rPr>
          <w:rFonts w:ascii="Arial" w:hAnsi="Arial" w:cs="Arial"/>
          <w:i/>
          <w:iCs/>
          <w:sz w:val="22"/>
          <w:szCs w:val="22"/>
        </w:rPr>
        <w:t>Corporate Governance and Accountability</w:t>
      </w:r>
      <w:r w:rsidRPr="00F760F6">
        <w:rPr>
          <w:rFonts w:ascii="Arial" w:hAnsi="Arial" w:cs="Arial"/>
          <w:sz w:val="22"/>
          <w:szCs w:val="22"/>
        </w:rPr>
        <w:t xml:space="preserve">. 5th </w:t>
      </w:r>
      <w:proofErr w:type="spellStart"/>
      <w:r w:rsidRPr="00F760F6">
        <w:rPr>
          <w:rFonts w:ascii="Arial" w:hAnsi="Arial" w:cs="Arial"/>
          <w:sz w:val="22"/>
          <w:szCs w:val="22"/>
        </w:rPr>
        <w:t>edn</w:t>
      </w:r>
      <w:proofErr w:type="spellEnd"/>
      <w:r w:rsidRPr="00F760F6">
        <w:rPr>
          <w:rFonts w:ascii="Arial" w:hAnsi="Arial" w:cs="Arial"/>
          <w:sz w:val="22"/>
          <w:szCs w:val="22"/>
        </w:rPr>
        <w:t>. London: Wiley.</w:t>
      </w:r>
    </w:p>
    <w:p w14:paraId="752EC0DE" w14:textId="77777777" w:rsidR="00F760F6" w:rsidRPr="00F760F6" w:rsidRDefault="00F760F6" w:rsidP="00A97139">
      <w:pPr>
        <w:pStyle w:val="NormalWeb"/>
        <w:spacing w:line="360" w:lineRule="auto"/>
        <w:ind w:left="360"/>
        <w:jc w:val="both"/>
        <w:rPr>
          <w:rFonts w:ascii="Arial" w:hAnsi="Arial" w:cs="Arial"/>
          <w:sz w:val="22"/>
          <w:szCs w:val="22"/>
        </w:rPr>
      </w:pPr>
      <w:r w:rsidRPr="00F760F6">
        <w:rPr>
          <w:rFonts w:ascii="Arial" w:hAnsi="Arial" w:cs="Arial"/>
          <w:sz w:val="22"/>
          <w:szCs w:val="22"/>
        </w:rPr>
        <w:t xml:space="preserve">Tricker, B. (2019) </w:t>
      </w:r>
      <w:r w:rsidRPr="00F760F6">
        <w:rPr>
          <w:rFonts w:ascii="Arial" w:hAnsi="Arial" w:cs="Arial"/>
          <w:i/>
          <w:iCs/>
          <w:sz w:val="22"/>
          <w:szCs w:val="22"/>
        </w:rPr>
        <w:t>Corporate Governance: Principles, Policies, and Practices</w:t>
      </w:r>
      <w:r w:rsidRPr="00F760F6">
        <w:rPr>
          <w:rFonts w:ascii="Arial" w:hAnsi="Arial" w:cs="Arial"/>
          <w:sz w:val="22"/>
          <w:szCs w:val="22"/>
        </w:rPr>
        <w:t xml:space="preserve">. 4th </w:t>
      </w:r>
      <w:proofErr w:type="spellStart"/>
      <w:r w:rsidRPr="00F760F6">
        <w:rPr>
          <w:rFonts w:ascii="Arial" w:hAnsi="Arial" w:cs="Arial"/>
          <w:sz w:val="22"/>
          <w:szCs w:val="22"/>
        </w:rPr>
        <w:t>edn</w:t>
      </w:r>
      <w:proofErr w:type="spellEnd"/>
      <w:r w:rsidRPr="00F760F6">
        <w:rPr>
          <w:rFonts w:ascii="Arial" w:hAnsi="Arial" w:cs="Arial"/>
          <w:sz w:val="22"/>
          <w:szCs w:val="22"/>
        </w:rPr>
        <w:t>. Oxford: Oxford University Press.</w:t>
      </w:r>
    </w:p>
    <w:p w14:paraId="7532634D" w14:textId="77777777" w:rsidR="00927984" w:rsidRDefault="00927984" w:rsidP="00927984">
      <w:pPr>
        <w:pStyle w:val="NormalWeb"/>
        <w:ind w:left="360"/>
      </w:pPr>
    </w:p>
    <w:p w14:paraId="6156E2C1" w14:textId="77777777" w:rsidR="00927984" w:rsidRPr="00927984" w:rsidRDefault="00927984" w:rsidP="00927984"/>
    <w:p w14:paraId="3869887B" w14:textId="77777777" w:rsidR="00927984" w:rsidRPr="00927984" w:rsidRDefault="00927984" w:rsidP="00927984"/>
    <w:p w14:paraId="3EAADC3D" w14:textId="77777777" w:rsidR="00927984" w:rsidRPr="00927984" w:rsidRDefault="00927984" w:rsidP="00927984"/>
    <w:sectPr w:rsidR="00927984" w:rsidRPr="0092798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AA04D" w14:textId="77777777" w:rsidR="00A97139" w:rsidRDefault="00A97139" w:rsidP="00A97139">
      <w:pPr>
        <w:spacing w:after="0" w:line="240" w:lineRule="auto"/>
      </w:pPr>
      <w:r>
        <w:separator/>
      </w:r>
    </w:p>
  </w:endnote>
  <w:endnote w:type="continuationSeparator" w:id="0">
    <w:p w14:paraId="1AF4A1EC" w14:textId="77777777" w:rsidR="00A97139" w:rsidRDefault="00A97139" w:rsidP="00A97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8021492"/>
      <w:docPartObj>
        <w:docPartGallery w:val="Page Numbers (Bottom of Page)"/>
        <w:docPartUnique/>
      </w:docPartObj>
    </w:sdtPr>
    <w:sdtContent>
      <w:p w14:paraId="3B03CF5D" w14:textId="48D527CF" w:rsidR="00A97139" w:rsidRDefault="00A97139">
        <w:pPr>
          <w:pStyle w:val="Footer"/>
          <w:jc w:val="center"/>
        </w:pPr>
        <w:r>
          <w:fldChar w:fldCharType="begin"/>
        </w:r>
        <w:r>
          <w:instrText>PAGE   \* MERGEFORMAT</w:instrText>
        </w:r>
        <w:r>
          <w:fldChar w:fldCharType="separate"/>
        </w:r>
        <w:r>
          <w:t>2</w:t>
        </w:r>
        <w:r>
          <w:fldChar w:fldCharType="end"/>
        </w:r>
      </w:p>
    </w:sdtContent>
  </w:sdt>
  <w:p w14:paraId="5CDC652A" w14:textId="77777777" w:rsidR="00A97139" w:rsidRDefault="00A97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2760F" w14:textId="77777777" w:rsidR="00A97139" w:rsidRDefault="00A97139" w:rsidP="00A97139">
      <w:pPr>
        <w:spacing w:after="0" w:line="240" w:lineRule="auto"/>
      </w:pPr>
      <w:r>
        <w:separator/>
      </w:r>
    </w:p>
  </w:footnote>
  <w:footnote w:type="continuationSeparator" w:id="0">
    <w:p w14:paraId="5809DC01" w14:textId="77777777" w:rsidR="00A97139" w:rsidRDefault="00A97139" w:rsidP="00A971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41889"/>
    <w:multiLevelType w:val="multilevel"/>
    <w:tmpl w:val="F11AF4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960E14"/>
    <w:multiLevelType w:val="multilevel"/>
    <w:tmpl w:val="972CE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427CDF"/>
    <w:multiLevelType w:val="multilevel"/>
    <w:tmpl w:val="8D2447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500ED0"/>
    <w:multiLevelType w:val="multilevel"/>
    <w:tmpl w:val="0E1A51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E22D1F"/>
    <w:multiLevelType w:val="multilevel"/>
    <w:tmpl w:val="54325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5642DB"/>
    <w:multiLevelType w:val="hybridMultilevel"/>
    <w:tmpl w:val="61520040"/>
    <w:lvl w:ilvl="0" w:tplc="034CEB5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8C2381"/>
    <w:multiLevelType w:val="multilevel"/>
    <w:tmpl w:val="9A10D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3D6277"/>
    <w:multiLevelType w:val="multilevel"/>
    <w:tmpl w:val="7B980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5D530E"/>
    <w:multiLevelType w:val="multilevel"/>
    <w:tmpl w:val="18CE1F3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2F166DF"/>
    <w:multiLevelType w:val="multilevel"/>
    <w:tmpl w:val="79EA8C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85E138F"/>
    <w:multiLevelType w:val="multilevel"/>
    <w:tmpl w:val="1FB81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9379902">
    <w:abstractNumId w:val="4"/>
  </w:num>
  <w:num w:numId="2" w16cid:durableId="80376185">
    <w:abstractNumId w:val="2"/>
  </w:num>
  <w:num w:numId="3" w16cid:durableId="1135948899">
    <w:abstractNumId w:val="0"/>
  </w:num>
  <w:num w:numId="4" w16cid:durableId="1380280039">
    <w:abstractNumId w:val="9"/>
  </w:num>
  <w:num w:numId="5" w16cid:durableId="1138261655">
    <w:abstractNumId w:val="10"/>
  </w:num>
  <w:num w:numId="6" w16cid:durableId="642150989">
    <w:abstractNumId w:val="6"/>
  </w:num>
  <w:num w:numId="7" w16cid:durableId="1788502654">
    <w:abstractNumId w:val="7"/>
  </w:num>
  <w:num w:numId="8" w16cid:durableId="2102607100">
    <w:abstractNumId w:val="1"/>
  </w:num>
  <w:num w:numId="9" w16cid:durableId="904610325">
    <w:abstractNumId w:val="3"/>
  </w:num>
  <w:num w:numId="10" w16cid:durableId="2104646981">
    <w:abstractNumId w:val="8"/>
  </w:num>
  <w:num w:numId="11" w16cid:durableId="3991353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984"/>
    <w:rsid w:val="000B0330"/>
    <w:rsid w:val="002B17E1"/>
    <w:rsid w:val="00372C8A"/>
    <w:rsid w:val="003F7E85"/>
    <w:rsid w:val="0045084D"/>
    <w:rsid w:val="005B2643"/>
    <w:rsid w:val="006E5784"/>
    <w:rsid w:val="006F43F6"/>
    <w:rsid w:val="007C5FB1"/>
    <w:rsid w:val="007E281D"/>
    <w:rsid w:val="00927984"/>
    <w:rsid w:val="00957602"/>
    <w:rsid w:val="00964134"/>
    <w:rsid w:val="00975482"/>
    <w:rsid w:val="009A512A"/>
    <w:rsid w:val="00A97139"/>
    <w:rsid w:val="00B10A35"/>
    <w:rsid w:val="00B92C55"/>
    <w:rsid w:val="00CA39EB"/>
    <w:rsid w:val="00CB05FE"/>
    <w:rsid w:val="00CB0D8F"/>
    <w:rsid w:val="00D56D08"/>
    <w:rsid w:val="00DE2283"/>
    <w:rsid w:val="00E33B30"/>
    <w:rsid w:val="00F760F6"/>
    <w:rsid w:val="00F86D0F"/>
    <w:rsid w:val="00FC4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82510"/>
  <w15:chartTrackingRefBased/>
  <w15:docId w15:val="{B5EC5788-212C-46ED-9010-36D8F19F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984"/>
  </w:style>
  <w:style w:type="paragraph" w:styleId="Heading1">
    <w:name w:val="heading 1"/>
    <w:basedOn w:val="Normal"/>
    <w:next w:val="Normal"/>
    <w:link w:val="Heading1Char"/>
    <w:uiPriority w:val="9"/>
    <w:qFormat/>
    <w:rsid w:val="009279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79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79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9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9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9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9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9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9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9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79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79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9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9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9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9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9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984"/>
    <w:rPr>
      <w:rFonts w:eastAsiaTheme="majorEastAsia" w:cstheme="majorBidi"/>
      <w:color w:val="272727" w:themeColor="text1" w:themeTint="D8"/>
    </w:rPr>
  </w:style>
  <w:style w:type="paragraph" w:styleId="Title">
    <w:name w:val="Title"/>
    <w:basedOn w:val="Normal"/>
    <w:next w:val="Normal"/>
    <w:link w:val="TitleChar"/>
    <w:uiPriority w:val="10"/>
    <w:qFormat/>
    <w:rsid w:val="00927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9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9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9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984"/>
    <w:pPr>
      <w:spacing w:before="160"/>
      <w:jc w:val="center"/>
    </w:pPr>
    <w:rPr>
      <w:i/>
      <w:iCs/>
      <w:color w:val="404040" w:themeColor="text1" w:themeTint="BF"/>
    </w:rPr>
  </w:style>
  <w:style w:type="character" w:customStyle="1" w:styleId="QuoteChar">
    <w:name w:val="Quote Char"/>
    <w:basedOn w:val="DefaultParagraphFont"/>
    <w:link w:val="Quote"/>
    <w:uiPriority w:val="29"/>
    <w:rsid w:val="00927984"/>
    <w:rPr>
      <w:i/>
      <w:iCs/>
      <w:color w:val="404040" w:themeColor="text1" w:themeTint="BF"/>
    </w:rPr>
  </w:style>
  <w:style w:type="paragraph" w:styleId="ListParagraph">
    <w:name w:val="List Paragraph"/>
    <w:basedOn w:val="Normal"/>
    <w:uiPriority w:val="34"/>
    <w:qFormat/>
    <w:rsid w:val="00927984"/>
    <w:pPr>
      <w:ind w:left="720"/>
      <w:contextualSpacing/>
    </w:pPr>
  </w:style>
  <w:style w:type="character" w:styleId="IntenseEmphasis">
    <w:name w:val="Intense Emphasis"/>
    <w:basedOn w:val="DefaultParagraphFont"/>
    <w:uiPriority w:val="21"/>
    <w:qFormat/>
    <w:rsid w:val="00927984"/>
    <w:rPr>
      <w:i/>
      <w:iCs/>
      <w:color w:val="0F4761" w:themeColor="accent1" w:themeShade="BF"/>
    </w:rPr>
  </w:style>
  <w:style w:type="paragraph" w:styleId="IntenseQuote">
    <w:name w:val="Intense Quote"/>
    <w:basedOn w:val="Normal"/>
    <w:next w:val="Normal"/>
    <w:link w:val="IntenseQuoteChar"/>
    <w:uiPriority w:val="30"/>
    <w:qFormat/>
    <w:rsid w:val="009279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984"/>
    <w:rPr>
      <w:i/>
      <w:iCs/>
      <w:color w:val="0F4761" w:themeColor="accent1" w:themeShade="BF"/>
    </w:rPr>
  </w:style>
  <w:style w:type="character" w:styleId="IntenseReference">
    <w:name w:val="Intense Reference"/>
    <w:basedOn w:val="DefaultParagraphFont"/>
    <w:uiPriority w:val="32"/>
    <w:qFormat/>
    <w:rsid w:val="00927984"/>
    <w:rPr>
      <w:b/>
      <w:bCs/>
      <w:smallCaps/>
      <w:color w:val="0F4761" w:themeColor="accent1" w:themeShade="BF"/>
      <w:spacing w:val="5"/>
    </w:rPr>
  </w:style>
  <w:style w:type="paragraph" w:styleId="TOCHeading">
    <w:name w:val="TOC Heading"/>
    <w:basedOn w:val="Heading1"/>
    <w:next w:val="Normal"/>
    <w:uiPriority w:val="39"/>
    <w:unhideWhenUsed/>
    <w:qFormat/>
    <w:rsid w:val="00927984"/>
    <w:pPr>
      <w:spacing w:before="240" w:after="0"/>
      <w:outlineLvl w:val="9"/>
    </w:pPr>
    <w:rPr>
      <w:kern w:val="0"/>
      <w:sz w:val="32"/>
      <w:szCs w:val="32"/>
      <w:lang w:eastAsia="en-GB"/>
      <w14:ligatures w14:val="none"/>
    </w:rPr>
  </w:style>
  <w:style w:type="paragraph" w:styleId="TOC2">
    <w:name w:val="toc 2"/>
    <w:basedOn w:val="Normal"/>
    <w:next w:val="Normal"/>
    <w:autoRedefine/>
    <w:uiPriority w:val="39"/>
    <w:unhideWhenUsed/>
    <w:rsid w:val="00927984"/>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927984"/>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927984"/>
    <w:pPr>
      <w:spacing w:after="100"/>
      <w:ind w:left="440"/>
    </w:pPr>
    <w:rPr>
      <w:rFonts w:eastAsiaTheme="minorEastAsia" w:cs="Times New Roman"/>
      <w:kern w:val="0"/>
      <w:lang w:eastAsia="en-GB"/>
      <w14:ligatures w14:val="none"/>
    </w:rPr>
  </w:style>
  <w:style w:type="paragraph" w:styleId="NormalWeb">
    <w:name w:val="Normal (Web)"/>
    <w:basedOn w:val="Normal"/>
    <w:uiPriority w:val="99"/>
    <w:unhideWhenUsed/>
    <w:rsid w:val="009279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27984"/>
    <w:rPr>
      <w:b/>
      <w:bCs/>
    </w:rPr>
  </w:style>
  <w:style w:type="character" w:styleId="Hyperlink">
    <w:name w:val="Hyperlink"/>
    <w:basedOn w:val="DefaultParagraphFont"/>
    <w:uiPriority w:val="99"/>
    <w:unhideWhenUsed/>
    <w:rsid w:val="00F760F6"/>
    <w:rPr>
      <w:color w:val="467886" w:themeColor="hyperlink"/>
      <w:u w:val="single"/>
    </w:rPr>
  </w:style>
  <w:style w:type="character" w:styleId="UnresolvedMention">
    <w:name w:val="Unresolved Mention"/>
    <w:basedOn w:val="DefaultParagraphFont"/>
    <w:uiPriority w:val="99"/>
    <w:semiHidden/>
    <w:unhideWhenUsed/>
    <w:rsid w:val="00F760F6"/>
    <w:rPr>
      <w:color w:val="605E5C"/>
      <w:shd w:val="clear" w:color="auto" w:fill="E1DFDD"/>
    </w:rPr>
  </w:style>
  <w:style w:type="paragraph" w:styleId="Header">
    <w:name w:val="header"/>
    <w:basedOn w:val="Normal"/>
    <w:link w:val="HeaderChar"/>
    <w:uiPriority w:val="99"/>
    <w:unhideWhenUsed/>
    <w:rsid w:val="00A97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139"/>
  </w:style>
  <w:style w:type="paragraph" w:styleId="Footer">
    <w:name w:val="footer"/>
    <w:basedOn w:val="Normal"/>
    <w:link w:val="FooterChar"/>
    <w:uiPriority w:val="99"/>
    <w:unhideWhenUsed/>
    <w:rsid w:val="00A97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1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8261">
      <w:bodyDiv w:val="1"/>
      <w:marLeft w:val="0"/>
      <w:marRight w:val="0"/>
      <w:marTop w:val="0"/>
      <w:marBottom w:val="0"/>
      <w:divBdr>
        <w:top w:val="none" w:sz="0" w:space="0" w:color="auto"/>
        <w:left w:val="none" w:sz="0" w:space="0" w:color="auto"/>
        <w:bottom w:val="none" w:sz="0" w:space="0" w:color="auto"/>
        <w:right w:val="none" w:sz="0" w:space="0" w:color="auto"/>
      </w:divBdr>
    </w:div>
    <w:div w:id="6375212">
      <w:bodyDiv w:val="1"/>
      <w:marLeft w:val="0"/>
      <w:marRight w:val="0"/>
      <w:marTop w:val="0"/>
      <w:marBottom w:val="0"/>
      <w:divBdr>
        <w:top w:val="none" w:sz="0" w:space="0" w:color="auto"/>
        <w:left w:val="none" w:sz="0" w:space="0" w:color="auto"/>
        <w:bottom w:val="none" w:sz="0" w:space="0" w:color="auto"/>
        <w:right w:val="none" w:sz="0" w:space="0" w:color="auto"/>
      </w:divBdr>
    </w:div>
    <w:div w:id="30349346">
      <w:bodyDiv w:val="1"/>
      <w:marLeft w:val="0"/>
      <w:marRight w:val="0"/>
      <w:marTop w:val="0"/>
      <w:marBottom w:val="0"/>
      <w:divBdr>
        <w:top w:val="none" w:sz="0" w:space="0" w:color="auto"/>
        <w:left w:val="none" w:sz="0" w:space="0" w:color="auto"/>
        <w:bottom w:val="none" w:sz="0" w:space="0" w:color="auto"/>
        <w:right w:val="none" w:sz="0" w:space="0" w:color="auto"/>
      </w:divBdr>
    </w:div>
    <w:div w:id="157888768">
      <w:bodyDiv w:val="1"/>
      <w:marLeft w:val="0"/>
      <w:marRight w:val="0"/>
      <w:marTop w:val="0"/>
      <w:marBottom w:val="0"/>
      <w:divBdr>
        <w:top w:val="none" w:sz="0" w:space="0" w:color="auto"/>
        <w:left w:val="none" w:sz="0" w:space="0" w:color="auto"/>
        <w:bottom w:val="none" w:sz="0" w:space="0" w:color="auto"/>
        <w:right w:val="none" w:sz="0" w:space="0" w:color="auto"/>
      </w:divBdr>
    </w:div>
    <w:div w:id="178586175">
      <w:bodyDiv w:val="1"/>
      <w:marLeft w:val="0"/>
      <w:marRight w:val="0"/>
      <w:marTop w:val="0"/>
      <w:marBottom w:val="0"/>
      <w:divBdr>
        <w:top w:val="none" w:sz="0" w:space="0" w:color="auto"/>
        <w:left w:val="none" w:sz="0" w:space="0" w:color="auto"/>
        <w:bottom w:val="none" w:sz="0" w:space="0" w:color="auto"/>
        <w:right w:val="none" w:sz="0" w:space="0" w:color="auto"/>
      </w:divBdr>
    </w:div>
    <w:div w:id="226188621">
      <w:bodyDiv w:val="1"/>
      <w:marLeft w:val="0"/>
      <w:marRight w:val="0"/>
      <w:marTop w:val="0"/>
      <w:marBottom w:val="0"/>
      <w:divBdr>
        <w:top w:val="none" w:sz="0" w:space="0" w:color="auto"/>
        <w:left w:val="none" w:sz="0" w:space="0" w:color="auto"/>
        <w:bottom w:val="none" w:sz="0" w:space="0" w:color="auto"/>
        <w:right w:val="none" w:sz="0" w:space="0" w:color="auto"/>
      </w:divBdr>
    </w:div>
    <w:div w:id="275871788">
      <w:bodyDiv w:val="1"/>
      <w:marLeft w:val="0"/>
      <w:marRight w:val="0"/>
      <w:marTop w:val="0"/>
      <w:marBottom w:val="0"/>
      <w:divBdr>
        <w:top w:val="none" w:sz="0" w:space="0" w:color="auto"/>
        <w:left w:val="none" w:sz="0" w:space="0" w:color="auto"/>
        <w:bottom w:val="none" w:sz="0" w:space="0" w:color="auto"/>
        <w:right w:val="none" w:sz="0" w:space="0" w:color="auto"/>
      </w:divBdr>
    </w:div>
    <w:div w:id="368069333">
      <w:bodyDiv w:val="1"/>
      <w:marLeft w:val="0"/>
      <w:marRight w:val="0"/>
      <w:marTop w:val="0"/>
      <w:marBottom w:val="0"/>
      <w:divBdr>
        <w:top w:val="none" w:sz="0" w:space="0" w:color="auto"/>
        <w:left w:val="none" w:sz="0" w:space="0" w:color="auto"/>
        <w:bottom w:val="none" w:sz="0" w:space="0" w:color="auto"/>
        <w:right w:val="none" w:sz="0" w:space="0" w:color="auto"/>
      </w:divBdr>
    </w:div>
    <w:div w:id="557284002">
      <w:bodyDiv w:val="1"/>
      <w:marLeft w:val="0"/>
      <w:marRight w:val="0"/>
      <w:marTop w:val="0"/>
      <w:marBottom w:val="0"/>
      <w:divBdr>
        <w:top w:val="none" w:sz="0" w:space="0" w:color="auto"/>
        <w:left w:val="none" w:sz="0" w:space="0" w:color="auto"/>
        <w:bottom w:val="none" w:sz="0" w:space="0" w:color="auto"/>
        <w:right w:val="none" w:sz="0" w:space="0" w:color="auto"/>
      </w:divBdr>
    </w:div>
    <w:div w:id="633604148">
      <w:bodyDiv w:val="1"/>
      <w:marLeft w:val="0"/>
      <w:marRight w:val="0"/>
      <w:marTop w:val="0"/>
      <w:marBottom w:val="0"/>
      <w:divBdr>
        <w:top w:val="none" w:sz="0" w:space="0" w:color="auto"/>
        <w:left w:val="none" w:sz="0" w:space="0" w:color="auto"/>
        <w:bottom w:val="none" w:sz="0" w:space="0" w:color="auto"/>
        <w:right w:val="none" w:sz="0" w:space="0" w:color="auto"/>
      </w:divBdr>
    </w:div>
    <w:div w:id="736897978">
      <w:bodyDiv w:val="1"/>
      <w:marLeft w:val="0"/>
      <w:marRight w:val="0"/>
      <w:marTop w:val="0"/>
      <w:marBottom w:val="0"/>
      <w:divBdr>
        <w:top w:val="none" w:sz="0" w:space="0" w:color="auto"/>
        <w:left w:val="none" w:sz="0" w:space="0" w:color="auto"/>
        <w:bottom w:val="none" w:sz="0" w:space="0" w:color="auto"/>
        <w:right w:val="none" w:sz="0" w:space="0" w:color="auto"/>
      </w:divBdr>
    </w:div>
    <w:div w:id="756247590">
      <w:bodyDiv w:val="1"/>
      <w:marLeft w:val="0"/>
      <w:marRight w:val="0"/>
      <w:marTop w:val="0"/>
      <w:marBottom w:val="0"/>
      <w:divBdr>
        <w:top w:val="none" w:sz="0" w:space="0" w:color="auto"/>
        <w:left w:val="none" w:sz="0" w:space="0" w:color="auto"/>
        <w:bottom w:val="none" w:sz="0" w:space="0" w:color="auto"/>
        <w:right w:val="none" w:sz="0" w:space="0" w:color="auto"/>
      </w:divBdr>
    </w:div>
    <w:div w:id="871454111">
      <w:bodyDiv w:val="1"/>
      <w:marLeft w:val="0"/>
      <w:marRight w:val="0"/>
      <w:marTop w:val="0"/>
      <w:marBottom w:val="0"/>
      <w:divBdr>
        <w:top w:val="none" w:sz="0" w:space="0" w:color="auto"/>
        <w:left w:val="none" w:sz="0" w:space="0" w:color="auto"/>
        <w:bottom w:val="none" w:sz="0" w:space="0" w:color="auto"/>
        <w:right w:val="none" w:sz="0" w:space="0" w:color="auto"/>
      </w:divBdr>
    </w:div>
    <w:div w:id="897712843">
      <w:bodyDiv w:val="1"/>
      <w:marLeft w:val="0"/>
      <w:marRight w:val="0"/>
      <w:marTop w:val="0"/>
      <w:marBottom w:val="0"/>
      <w:divBdr>
        <w:top w:val="none" w:sz="0" w:space="0" w:color="auto"/>
        <w:left w:val="none" w:sz="0" w:space="0" w:color="auto"/>
        <w:bottom w:val="none" w:sz="0" w:space="0" w:color="auto"/>
        <w:right w:val="none" w:sz="0" w:space="0" w:color="auto"/>
      </w:divBdr>
    </w:div>
    <w:div w:id="903832926">
      <w:bodyDiv w:val="1"/>
      <w:marLeft w:val="0"/>
      <w:marRight w:val="0"/>
      <w:marTop w:val="0"/>
      <w:marBottom w:val="0"/>
      <w:divBdr>
        <w:top w:val="none" w:sz="0" w:space="0" w:color="auto"/>
        <w:left w:val="none" w:sz="0" w:space="0" w:color="auto"/>
        <w:bottom w:val="none" w:sz="0" w:space="0" w:color="auto"/>
        <w:right w:val="none" w:sz="0" w:space="0" w:color="auto"/>
      </w:divBdr>
    </w:div>
    <w:div w:id="915283360">
      <w:bodyDiv w:val="1"/>
      <w:marLeft w:val="0"/>
      <w:marRight w:val="0"/>
      <w:marTop w:val="0"/>
      <w:marBottom w:val="0"/>
      <w:divBdr>
        <w:top w:val="none" w:sz="0" w:space="0" w:color="auto"/>
        <w:left w:val="none" w:sz="0" w:space="0" w:color="auto"/>
        <w:bottom w:val="none" w:sz="0" w:space="0" w:color="auto"/>
        <w:right w:val="none" w:sz="0" w:space="0" w:color="auto"/>
      </w:divBdr>
    </w:div>
    <w:div w:id="979385378">
      <w:bodyDiv w:val="1"/>
      <w:marLeft w:val="0"/>
      <w:marRight w:val="0"/>
      <w:marTop w:val="0"/>
      <w:marBottom w:val="0"/>
      <w:divBdr>
        <w:top w:val="none" w:sz="0" w:space="0" w:color="auto"/>
        <w:left w:val="none" w:sz="0" w:space="0" w:color="auto"/>
        <w:bottom w:val="none" w:sz="0" w:space="0" w:color="auto"/>
        <w:right w:val="none" w:sz="0" w:space="0" w:color="auto"/>
      </w:divBdr>
    </w:div>
    <w:div w:id="1213275489">
      <w:bodyDiv w:val="1"/>
      <w:marLeft w:val="0"/>
      <w:marRight w:val="0"/>
      <w:marTop w:val="0"/>
      <w:marBottom w:val="0"/>
      <w:divBdr>
        <w:top w:val="none" w:sz="0" w:space="0" w:color="auto"/>
        <w:left w:val="none" w:sz="0" w:space="0" w:color="auto"/>
        <w:bottom w:val="none" w:sz="0" w:space="0" w:color="auto"/>
        <w:right w:val="none" w:sz="0" w:space="0" w:color="auto"/>
      </w:divBdr>
    </w:div>
    <w:div w:id="1256593334">
      <w:bodyDiv w:val="1"/>
      <w:marLeft w:val="0"/>
      <w:marRight w:val="0"/>
      <w:marTop w:val="0"/>
      <w:marBottom w:val="0"/>
      <w:divBdr>
        <w:top w:val="none" w:sz="0" w:space="0" w:color="auto"/>
        <w:left w:val="none" w:sz="0" w:space="0" w:color="auto"/>
        <w:bottom w:val="none" w:sz="0" w:space="0" w:color="auto"/>
        <w:right w:val="none" w:sz="0" w:space="0" w:color="auto"/>
      </w:divBdr>
    </w:div>
    <w:div w:id="1311060639">
      <w:bodyDiv w:val="1"/>
      <w:marLeft w:val="0"/>
      <w:marRight w:val="0"/>
      <w:marTop w:val="0"/>
      <w:marBottom w:val="0"/>
      <w:divBdr>
        <w:top w:val="none" w:sz="0" w:space="0" w:color="auto"/>
        <w:left w:val="none" w:sz="0" w:space="0" w:color="auto"/>
        <w:bottom w:val="none" w:sz="0" w:space="0" w:color="auto"/>
        <w:right w:val="none" w:sz="0" w:space="0" w:color="auto"/>
      </w:divBdr>
    </w:div>
    <w:div w:id="1403674773">
      <w:bodyDiv w:val="1"/>
      <w:marLeft w:val="0"/>
      <w:marRight w:val="0"/>
      <w:marTop w:val="0"/>
      <w:marBottom w:val="0"/>
      <w:divBdr>
        <w:top w:val="none" w:sz="0" w:space="0" w:color="auto"/>
        <w:left w:val="none" w:sz="0" w:space="0" w:color="auto"/>
        <w:bottom w:val="none" w:sz="0" w:space="0" w:color="auto"/>
        <w:right w:val="none" w:sz="0" w:space="0" w:color="auto"/>
      </w:divBdr>
    </w:div>
    <w:div w:id="1421835365">
      <w:bodyDiv w:val="1"/>
      <w:marLeft w:val="0"/>
      <w:marRight w:val="0"/>
      <w:marTop w:val="0"/>
      <w:marBottom w:val="0"/>
      <w:divBdr>
        <w:top w:val="none" w:sz="0" w:space="0" w:color="auto"/>
        <w:left w:val="none" w:sz="0" w:space="0" w:color="auto"/>
        <w:bottom w:val="none" w:sz="0" w:space="0" w:color="auto"/>
        <w:right w:val="none" w:sz="0" w:space="0" w:color="auto"/>
      </w:divBdr>
    </w:div>
    <w:div w:id="1520511066">
      <w:bodyDiv w:val="1"/>
      <w:marLeft w:val="0"/>
      <w:marRight w:val="0"/>
      <w:marTop w:val="0"/>
      <w:marBottom w:val="0"/>
      <w:divBdr>
        <w:top w:val="none" w:sz="0" w:space="0" w:color="auto"/>
        <w:left w:val="none" w:sz="0" w:space="0" w:color="auto"/>
        <w:bottom w:val="none" w:sz="0" w:space="0" w:color="auto"/>
        <w:right w:val="none" w:sz="0" w:space="0" w:color="auto"/>
      </w:divBdr>
    </w:div>
    <w:div w:id="1578008354">
      <w:bodyDiv w:val="1"/>
      <w:marLeft w:val="0"/>
      <w:marRight w:val="0"/>
      <w:marTop w:val="0"/>
      <w:marBottom w:val="0"/>
      <w:divBdr>
        <w:top w:val="none" w:sz="0" w:space="0" w:color="auto"/>
        <w:left w:val="none" w:sz="0" w:space="0" w:color="auto"/>
        <w:bottom w:val="none" w:sz="0" w:space="0" w:color="auto"/>
        <w:right w:val="none" w:sz="0" w:space="0" w:color="auto"/>
      </w:divBdr>
    </w:div>
    <w:div w:id="1620795480">
      <w:bodyDiv w:val="1"/>
      <w:marLeft w:val="0"/>
      <w:marRight w:val="0"/>
      <w:marTop w:val="0"/>
      <w:marBottom w:val="0"/>
      <w:divBdr>
        <w:top w:val="none" w:sz="0" w:space="0" w:color="auto"/>
        <w:left w:val="none" w:sz="0" w:space="0" w:color="auto"/>
        <w:bottom w:val="none" w:sz="0" w:space="0" w:color="auto"/>
        <w:right w:val="none" w:sz="0" w:space="0" w:color="auto"/>
      </w:divBdr>
    </w:div>
    <w:div w:id="1631396289">
      <w:bodyDiv w:val="1"/>
      <w:marLeft w:val="0"/>
      <w:marRight w:val="0"/>
      <w:marTop w:val="0"/>
      <w:marBottom w:val="0"/>
      <w:divBdr>
        <w:top w:val="none" w:sz="0" w:space="0" w:color="auto"/>
        <w:left w:val="none" w:sz="0" w:space="0" w:color="auto"/>
        <w:bottom w:val="none" w:sz="0" w:space="0" w:color="auto"/>
        <w:right w:val="none" w:sz="0" w:space="0" w:color="auto"/>
      </w:divBdr>
    </w:div>
    <w:div w:id="1666083256">
      <w:bodyDiv w:val="1"/>
      <w:marLeft w:val="0"/>
      <w:marRight w:val="0"/>
      <w:marTop w:val="0"/>
      <w:marBottom w:val="0"/>
      <w:divBdr>
        <w:top w:val="none" w:sz="0" w:space="0" w:color="auto"/>
        <w:left w:val="none" w:sz="0" w:space="0" w:color="auto"/>
        <w:bottom w:val="none" w:sz="0" w:space="0" w:color="auto"/>
        <w:right w:val="none" w:sz="0" w:space="0" w:color="auto"/>
      </w:divBdr>
    </w:div>
    <w:div w:id="1669670698">
      <w:bodyDiv w:val="1"/>
      <w:marLeft w:val="0"/>
      <w:marRight w:val="0"/>
      <w:marTop w:val="0"/>
      <w:marBottom w:val="0"/>
      <w:divBdr>
        <w:top w:val="none" w:sz="0" w:space="0" w:color="auto"/>
        <w:left w:val="none" w:sz="0" w:space="0" w:color="auto"/>
        <w:bottom w:val="none" w:sz="0" w:space="0" w:color="auto"/>
        <w:right w:val="none" w:sz="0" w:space="0" w:color="auto"/>
      </w:divBdr>
    </w:div>
    <w:div w:id="1697347535">
      <w:bodyDiv w:val="1"/>
      <w:marLeft w:val="0"/>
      <w:marRight w:val="0"/>
      <w:marTop w:val="0"/>
      <w:marBottom w:val="0"/>
      <w:divBdr>
        <w:top w:val="none" w:sz="0" w:space="0" w:color="auto"/>
        <w:left w:val="none" w:sz="0" w:space="0" w:color="auto"/>
        <w:bottom w:val="none" w:sz="0" w:space="0" w:color="auto"/>
        <w:right w:val="none" w:sz="0" w:space="0" w:color="auto"/>
      </w:divBdr>
    </w:div>
    <w:div w:id="1734236624">
      <w:bodyDiv w:val="1"/>
      <w:marLeft w:val="0"/>
      <w:marRight w:val="0"/>
      <w:marTop w:val="0"/>
      <w:marBottom w:val="0"/>
      <w:divBdr>
        <w:top w:val="none" w:sz="0" w:space="0" w:color="auto"/>
        <w:left w:val="none" w:sz="0" w:space="0" w:color="auto"/>
        <w:bottom w:val="none" w:sz="0" w:space="0" w:color="auto"/>
        <w:right w:val="none" w:sz="0" w:space="0" w:color="auto"/>
      </w:divBdr>
    </w:div>
    <w:div w:id="1794054979">
      <w:bodyDiv w:val="1"/>
      <w:marLeft w:val="0"/>
      <w:marRight w:val="0"/>
      <w:marTop w:val="0"/>
      <w:marBottom w:val="0"/>
      <w:divBdr>
        <w:top w:val="none" w:sz="0" w:space="0" w:color="auto"/>
        <w:left w:val="none" w:sz="0" w:space="0" w:color="auto"/>
        <w:bottom w:val="none" w:sz="0" w:space="0" w:color="auto"/>
        <w:right w:val="none" w:sz="0" w:space="0" w:color="auto"/>
      </w:divBdr>
    </w:div>
    <w:div w:id="1860121036">
      <w:bodyDiv w:val="1"/>
      <w:marLeft w:val="0"/>
      <w:marRight w:val="0"/>
      <w:marTop w:val="0"/>
      <w:marBottom w:val="0"/>
      <w:divBdr>
        <w:top w:val="none" w:sz="0" w:space="0" w:color="auto"/>
        <w:left w:val="none" w:sz="0" w:space="0" w:color="auto"/>
        <w:bottom w:val="none" w:sz="0" w:space="0" w:color="auto"/>
        <w:right w:val="none" w:sz="0" w:space="0" w:color="auto"/>
      </w:divBdr>
    </w:div>
    <w:div w:id="1973778789">
      <w:bodyDiv w:val="1"/>
      <w:marLeft w:val="0"/>
      <w:marRight w:val="0"/>
      <w:marTop w:val="0"/>
      <w:marBottom w:val="0"/>
      <w:divBdr>
        <w:top w:val="none" w:sz="0" w:space="0" w:color="auto"/>
        <w:left w:val="none" w:sz="0" w:space="0" w:color="auto"/>
        <w:bottom w:val="none" w:sz="0" w:space="0" w:color="auto"/>
        <w:right w:val="none" w:sz="0" w:space="0" w:color="auto"/>
      </w:divBdr>
    </w:div>
    <w:div w:id="2042708765">
      <w:bodyDiv w:val="1"/>
      <w:marLeft w:val="0"/>
      <w:marRight w:val="0"/>
      <w:marTop w:val="0"/>
      <w:marBottom w:val="0"/>
      <w:divBdr>
        <w:top w:val="none" w:sz="0" w:space="0" w:color="auto"/>
        <w:left w:val="none" w:sz="0" w:space="0" w:color="auto"/>
        <w:bottom w:val="none" w:sz="0" w:space="0" w:color="auto"/>
        <w:right w:val="none" w:sz="0" w:space="0" w:color="auto"/>
      </w:divBdr>
    </w:div>
    <w:div w:id="2108574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r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5F8EB5-D689-4990-8ABB-4A6194FF2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TotalTime>
  <Pages>9</Pages>
  <Words>1996</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Georgiana Madalina Usurelu</dc:creator>
  <cp:keywords/>
  <dc:description/>
  <cp:lastModifiedBy>Georgiana Madalina Usurelu</cp:lastModifiedBy>
  <cp:revision>22</cp:revision>
  <dcterms:created xsi:type="dcterms:W3CDTF">2025-02-21T12:53:00Z</dcterms:created>
  <dcterms:modified xsi:type="dcterms:W3CDTF">2025-02-22T06:47:00Z</dcterms:modified>
</cp:coreProperties>
</file>