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E33" w:rsidRPr="000B40CF" w:rsidRDefault="00CA4879" w:rsidP="00577D1F">
      <w:pPr>
        <w:jc w:val="both"/>
        <w:rPr>
          <w:rFonts w:ascii="Arial" w:eastAsia="Times New Roman" w:hAnsi="Arial" w:cs="Arial"/>
          <w:sz w:val="24"/>
          <w:szCs w:val="24"/>
          <w:u w:val="single"/>
          <w:lang w:eastAsia="en-GB"/>
        </w:rPr>
      </w:pPr>
      <w:r>
        <w:rPr>
          <w:rFonts w:ascii="Arial" w:eastAsia="Times New Roman" w:hAnsi="Arial" w:cs="Arial"/>
          <w:sz w:val="24"/>
          <w:szCs w:val="24"/>
          <w:u w:val="single"/>
          <w:lang w:eastAsia="en-GB"/>
        </w:rPr>
        <w:t>Assignment 1</w:t>
      </w:r>
      <w:r w:rsidR="000B40CF" w:rsidRPr="000B40CF">
        <w:rPr>
          <w:rFonts w:ascii="Arial" w:eastAsia="Times New Roman" w:hAnsi="Arial" w:cs="Arial"/>
          <w:sz w:val="24"/>
          <w:szCs w:val="24"/>
          <w:u w:val="single"/>
          <w:lang w:eastAsia="en-GB"/>
        </w:rPr>
        <w:t xml:space="preserve"> – Charlotte Goodway-Sims – 1922404</w:t>
      </w:r>
    </w:p>
    <w:p w:rsidR="000B40CF" w:rsidRDefault="000B40CF" w:rsidP="00577D1F">
      <w:pPr>
        <w:jc w:val="both"/>
        <w:rPr>
          <w:rFonts w:ascii="Arial" w:eastAsia="Times New Roman" w:hAnsi="Arial" w:cs="Arial"/>
          <w:sz w:val="24"/>
          <w:szCs w:val="24"/>
          <w:lang w:eastAsia="en-GB"/>
        </w:rPr>
      </w:pPr>
    </w:p>
    <w:p w:rsidR="000B40CF" w:rsidRPr="00577D1F" w:rsidRDefault="000B40CF" w:rsidP="00577D1F">
      <w:pPr>
        <w:jc w:val="both"/>
        <w:rPr>
          <w:rFonts w:ascii="Arial" w:eastAsia="Times New Roman" w:hAnsi="Arial" w:cs="Arial"/>
          <w:u w:val="single"/>
          <w:lang w:eastAsia="en-GB"/>
        </w:rPr>
      </w:pPr>
      <w:r w:rsidRPr="00577D1F">
        <w:rPr>
          <w:rFonts w:ascii="Arial" w:eastAsia="Times New Roman" w:hAnsi="Arial" w:cs="Arial"/>
          <w:u w:val="single"/>
          <w:lang w:eastAsia="en-GB"/>
        </w:rPr>
        <w:t>Analyse the role of independent bodies (i.e., IOPC/HMICFRS) in holding the police accountable to those they serve. (1000 words)</w:t>
      </w:r>
    </w:p>
    <w:p w:rsidR="006820A0" w:rsidRDefault="006820A0" w:rsidP="00577D1F">
      <w:pPr>
        <w:jc w:val="both"/>
        <w:rPr>
          <w:rFonts w:ascii="Arial" w:eastAsia="Times New Roman" w:hAnsi="Arial" w:cs="Arial"/>
          <w:lang w:eastAsia="en-GB"/>
        </w:rPr>
      </w:pPr>
      <w:r w:rsidRPr="006820A0">
        <w:rPr>
          <w:rFonts w:ascii="Arial" w:eastAsia="Times New Roman" w:hAnsi="Arial" w:cs="Arial"/>
          <w:lang w:eastAsia="en-GB"/>
        </w:rPr>
        <w:t xml:space="preserve">To answer this question I </w:t>
      </w:r>
      <w:r>
        <w:rPr>
          <w:rFonts w:ascii="Arial" w:eastAsia="Times New Roman" w:hAnsi="Arial" w:cs="Arial"/>
          <w:lang w:eastAsia="en-GB"/>
        </w:rPr>
        <w:t>am going to study the fundamental parts of two independent bodies, the Independent Office for Police Conduct (IOPC) and Her Majesty’s Inspectorate of Constabulary Fire and Rescue Services (HMICFRS) and use evidence based arguments to examine to detail what the evidence suggests.</w:t>
      </w:r>
      <w:r w:rsidR="006B132C">
        <w:rPr>
          <w:rFonts w:ascii="Arial" w:eastAsia="Times New Roman" w:hAnsi="Arial" w:cs="Arial"/>
          <w:lang w:eastAsia="en-GB"/>
        </w:rPr>
        <w:t xml:space="preserve"> </w:t>
      </w:r>
      <w:r>
        <w:rPr>
          <w:rFonts w:ascii="Arial" w:eastAsia="Times New Roman" w:hAnsi="Arial" w:cs="Arial"/>
          <w:lang w:eastAsia="en-GB"/>
        </w:rPr>
        <w:t xml:space="preserve">Within policing, there are professional bodies, acts and guidelines to set standards, rights and expectations. These include </w:t>
      </w:r>
      <w:r w:rsidR="00B06E01">
        <w:rPr>
          <w:rFonts w:ascii="Arial" w:eastAsia="Times New Roman" w:hAnsi="Arial" w:cs="Arial"/>
          <w:lang w:eastAsia="en-GB"/>
        </w:rPr>
        <w:t xml:space="preserve">Acts such as, The </w:t>
      </w:r>
      <w:r w:rsidR="00AA182C">
        <w:rPr>
          <w:rFonts w:ascii="Arial" w:eastAsia="Times New Roman" w:hAnsi="Arial" w:cs="Arial"/>
          <w:lang w:eastAsia="en-GB"/>
        </w:rPr>
        <w:t xml:space="preserve">Human Rights Act and the Equality Act as well as, The Police and Criminal Evidence Act which provides codes and guidelines for policing procedures as well as the treatment of all individuals </w:t>
      </w:r>
      <w:sdt>
        <w:sdtPr>
          <w:rPr>
            <w:rFonts w:ascii="Arial" w:eastAsia="Times New Roman" w:hAnsi="Arial" w:cs="Arial"/>
            <w:lang w:eastAsia="en-GB"/>
          </w:rPr>
          <w:id w:val="282855250"/>
          <w:citation/>
        </w:sdtPr>
        <w:sdtEndPr/>
        <w:sdtContent>
          <w:r w:rsidR="00AA182C">
            <w:rPr>
              <w:rFonts w:ascii="Arial" w:eastAsia="Times New Roman" w:hAnsi="Arial" w:cs="Arial"/>
              <w:lang w:eastAsia="en-GB"/>
            </w:rPr>
            <w:fldChar w:fldCharType="begin"/>
          </w:r>
          <w:r w:rsidR="00AA182C">
            <w:rPr>
              <w:rFonts w:ascii="Arial" w:eastAsia="Times New Roman" w:hAnsi="Arial" w:cs="Arial"/>
              <w:lang w:eastAsia="en-GB"/>
            </w:rPr>
            <w:instrText xml:space="preserve"> CITATION Bla202 \l 2057 </w:instrText>
          </w:r>
          <w:r w:rsidR="00AA182C">
            <w:rPr>
              <w:rFonts w:ascii="Arial" w:eastAsia="Times New Roman" w:hAnsi="Arial" w:cs="Arial"/>
              <w:lang w:eastAsia="en-GB"/>
            </w:rPr>
            <w:fldChar w:fldCharType="separate"/>
          </w:r>
          <w:r w:rsidR="00AA182C" w:rsidRPr="00AA182C">
            <w:rPr>
              <w:rFonts w:ascii="Arial" w:eastAsia="Times New Roman" w:hAnsi="Arial" w:cs="Arial"/>
              <w:noProof/>
              <w:lang w:eastAsia="en-GB"/>
            </w:rPr>
            <w:t>(Blackburn et al, Chapter 4:The Criminal Justice System, 2020)</w:t>
          </w:r>
          <w:r w:rsidR="00AA182C">
            <w:rPr>
              <w:rFonts w:ascii="Arial" w:eastAsia="Times New Roman" w:hAnsi="Arial" w:cs="Arial"/>
              <w:lang w:eastAsia="en-GB"/>
            </w:rPr>
            <w:fldChar w:fldCharType="end"/>
          </w:r>
        </w:sdtContent>
      </w:sdt>
      <w:r w:rsidR="00AA182C">
        <w:rPr>
          <w:rFonts w:ascii="Arial" w:eastAsia="Times New Roman" w:hAnsi="Arial" w:cs="Arial"/>
          <w:lang w:eastAsia="en-GB"/>
        </w:rPr>
        <w:t xml:space="preserve">. </w:t>
      </w:r>
      <w:r w:rsidR="00485F5F">
        <w:rPr>
          <w:rFonts w:ascii="Arial" w:eastAsia="Times New Roman" w:hAnsi="Arial" w:cs="Arial"/>
          <w:lang w:eastAsia="en-GB"/>
        </w:rPr>
        <w:t>The College of Policing,</w:t>
      </w:r>
      <w:r w:rsidR="006E3BDB">
        <w:rPr>
          <w:rFonts w:ascii="Arial" w:eastAsia="Times New Roman" w:hAnsi="Arial" w:cs="Arial"/>
          <w:lang w:eastAsia="en-GB"/>
        </w:rPr>
        <w:t xml:space="preserve"> is the professional body for policing which incorporates these acts, codes, standards and training responsibilities</w:t>
      </w:r>
      <w:r w:rsidR="00485F5F">
        <w:rPr>
          <w:rFonts w:ascii="Arial" w:eastAsia="Times New Roman" w:hAnsi="Arial" w:cs="Arial"/>
          <w:lang w:eastAsia="en-GB"/>
        </w:rPr>
        <w:t xml:space="preserve"> </w:t>
      </w:r>
      <w:sdt>
        <w:sdtPr>
          <w:rPr>
            <w:rFonts w:ascii="Arial" w:eastAsia="Times New Roman" w:hAnsi="Arial" w:cs="Arial"/>
            <w:lang w:eastAsia="en-GB"/>
          </w:rPr>
          <w:id w:val="-1620837733"/>
          <w:citation/>
        </w:sdtPr>
        <w:sdtEndPr/>
        <w:sdtContent>
          <w:r w:rsidR="006E3BDB">
            <w:rPr>
              <w:rFonts w:ascii="Arial" w:eastAsia="Times New Roman" w:hAnsi="Arial" w:cs="Arial"/>
              <w:lang w:eastAsia="en-GB"/>
            </w:rPr>
            <w:fldChar w:fldCharType="begin"/>
          </w:r>
          <w:r w:rsidR="006E3BDB">
            <w:rPr>
              <w:rFonts w:ascii="Arial" w:eastAsia="Times New Roman" w:hAnsi="Arial" w:cs="Arial"/>
              <w:lang w:eastAsia="en-GB"/>
            </w:rPr>
            <w:instrText xml:space="preserve">CITATION Bla201 \l 2057 </w:instrText>
          </w:r>
          <w:r w:rsidR="006E3BDB">
            <w:rPr>
              <w:rFonts w:ascii="Arial" w:eastAsia="Times New Roman" w:hAnsi="Arial" w:cs="Arial"/>
              <w:lang w:eastAsia="en-GB"/>
            </w:rPr>
            <w:fldChar w:fldCharType="separate"/>
          </w:r>
          <w:r w:rsidR="006E3BDB" w:rsidRPr="006820A0">
            <w:rPr>
              <w:rFonts w:ascii="Arial" w:eastAsia="Times New Roman" w:hAnsi="Arial" w:cs="Arial"/>
              <w:noProof/>
              <w:lang w:eastAsia="en-GB"/>
            </w:rPr>
            <w:t>(Blackburn et al, Chapter 2 Policing, 2020)</w:t>
          </w:r>
          <w:r w:rsidR="006E3BDB">
            <w:rPr>
              <w:rFonts w:ascii="Arial" w:eastAsia="Times New Roman" w:hAnsi="Arial" w:cs="Arial"/>
              <w:lang w:eastAsia="en-GB"/>
            </w:rPr>
            <w:fldChar w:fldCharType="end"/>
          </w:r>
        </w:sdtContent>
      </w:sdt>
      <w:r w:rsidR="006E3BDB">
        <w:rPr>
          <w:rFonts w:ascii="Arial" w:eastAsia="Times New Roman" w:hAnsi="Arial" w:cs="Arial"/>
          <w:lang w:eastAsia="en-GB"/>
        </w:rPr>
        <w:t>. The college of policing</w:t>
      </w:r>
      <w:r w:rsidR="00485F5F">
        <w:rPr>
          <w:rFonts w:ascii="Arial" w:eastAsia="Times New Roman" w:hAnsi="Arial" w:cs="Arial"/>
          <w:lang w:eastAsia="en-GB"/>
        </w:rPr>
        <w:t xml:space="preserve"> sets the standards for policing and HMICFRS and IOPC are the two independent statutory bodies that are responsible for overseeing the police, fire and rescue services. These organisations work together with a similar purpose, detailed by an official agreement to work together to achieve improvement and specific goals, the main one being to hold</w:t>
      </w:r>
      <w:r w:rsidR="00AA182C">
        <w:rPr>
          <w:rFonts w:ascii="Arial" w:eastAsia="Times New Roman" w:hAnsi="Arial" w:cs="Arial"/>
          <w:lang w:eastAsia="en-GB"/>
        </w:rPr>
        <w:t xml:space="preserve"> the police accountable to those they serve. </w:t>
      </w:r>
      <w:sdt>
        <w:sdtPr>
          <w:rPr>
            <w:rFonts w:ascii="Arial" w:eastAsia="Times New Roman" w:hAnsi="Arial" w:cs="Arial"/>
            <w:lang w:eastAsia="en-GB"/>
          </w:rPr>
          <w:id w:val="635603911"/>
          <w:citation/>
        </w:sdtPr>
        <w:sdtEndPr/>
        <w:sdtContent>
          <w:r w:rsidR="00485F5F">
            <w:rPr>
              <w:rFonts w:ascii="Arial" w:eastAsia="Times New Roman" w:hAnsi="Arial" w:cs="Arial"/>
              <w:lang w:eastAsia="en-GB"/>
            </w:rPr>
            <w:fldChar w:fldCharType="begin"/>
          </w:r>
          <w:r w:rsidR="00485F5F">
            <w:rPr>
              <w:rFonts w:ascii="Arial" w:eastAsia="Times New Roman" w:hAnsi="Arial" w:cs="Arial"/>
              <w:lang w:eastAsia="en-GB"/>
            </w:rPr>
            <w:instrText xml:space="preserve"> CITATION HMI18 \l 2057 </w:instrText>
          </w:r>
          <w:r w:rsidR="00485F5F">
            <w:rPr>
              <w:rFonts w:ascii="Arial" w:eastAsia="Times New Roman" w:hAnsi="Arial" w:cs="Arial"/>
              <w:lang w:eastAsia="en-GB"/>
            </w:rPr>
            <w:fldChar w:fldCharType="separate"/>
          </w:r>
          <w:r w:rsidR="00485F5F" w:rsidRPr="00485F5F">
            <w:rPr>
              <w:rFonts w:ascii="Arial" w:eastAsia="Times New Roman" w:hAnsi="Arial" w:cs="Arial"/>
              <w:noProof/>
              <w:lang w:eastAsia="en-GB"/>
            </w:rPr>
            <w:t>(HMICFRS, 2018)</w:t>
          </w:r>
          <w:r w:rsidR="00485F5F">
            <w:rPr>
              <w:rFonts w:ascii="Arial" w:eastAsia="Times New Roman" w:hAnsi="Arial" w:cs="Arial"/>
              <w:lang w:eastAsia="en-GB"/>
            </w:rPr>
            <w:fldChar w:fldCharType="end"/>
          </w:r>
        </w:sdtContent>
      </w:sdt>
      <w:r w:rsidR="002B727E">
        <w:rPr>
          <w:rFonts w:ascii="Arial" w:eastAsia="Times New Roman" w:hAnsi="Arial" w:cs="Arial"/>
          <w:lang w:eastAsia="en-GB"/>
        </w:rPr>
        <w:t>.</w:t>
      </w:r>
    </w:p>
    <w:p w:rsidR="00AA182C" w:rsidRDefault="00B151B5" w:rsidP="00577D1F">
      <w:pPr>
        <w:jc w:val="both"/>
        <w:rPr>
          <w:rFonts w:ascii="Arial" w:eastAsia="Times New Roman" w:hAnsi="Arial" w:cs="Arial"/>
          <w:lang w:eastAsia="en-GB"/>
        </w:rPr>
      </w:pPr>
      <w:r>
        <w:rPr>
          <w:rFonts w:ascii="Arial" w:eastAsia="Times New Roman" w:hAnsi="Arial" w:cs="Arial"/>
          <w:lang w:eastAsia="en-GB"/>
        </w:rPr>
        <w:t>The police in Britain ‘Police by consent’ that, requires the communities and individuals they serve to passively support the police.</w:t>
      </w:r>
      <w:r w:rsidR="006B132C">
        <w:rPr>
          <w:rFonts w:ascii="Arial" w:eastAsia="Times New Roman" w:hAnsi="Arial" w:cs="Arial"/>
          <w:lang w:eastAsia="en-GB"/>
        </w:rPr>
        <w:t xml:space="preserve"> </w:t>
      </w:r>
      <w:r>
        <w:rPr>
          <w:rFonts w:ascii="Arial" w:eastAsia="Times New Roman" w:hAnsi="Arial" w:cs="Arial"/>
          <w:lang w:eastAsia="en-GB"/>
        </w:rPr>
        <w:t xml:space="preserve">Embedded within ‘Policing by Consent’ is the requirement for the police to be ethical and accountable to those they serve. While there are acts and standards in place within policing, HMICFRS are an independent body that </w:t>
      </w:r>
      <w:r w:rsidR="006B132C">
        <w:rPr>
          <w:rFonts w:ascii="Arial" w:eastAsia="Times New Roman" w:hAnsi="Arial" w:cs="Arial"/>
          <w:lang w:eastAsia="en-GB"/>
        </w:rPr>
        <w:t xml:space="preserve">impartially </w:t>
      </w:r>
      <w:r>
        <w:rPr>
          <w:rFonts w:ascii="Arial" w:eastAsia="Times New Roman" w:hAnsi="Arial" w:cs="Arial"/>
          <w:lang w:eastAsia="en-GB"/>
        </w:rPr>
        <w:t>inspects policing to ensure they are ethical and accountable in the public’s interest. Further, t</w:t>
      </w:r>
      <w:r w:rsidR="002B727E">
        <w:rPr>
          <w:rFonts w:ascii="Arial" w:eastAsia="Times New Roman" w:hAnsi="Arial" w:cs="Arial"/>
          <w:lang w:eastAsia="en-GB"/>
        </w:rPr>
        <w:t>he HMICFRS independently inspect, assess and create</w:t>
      </w:r>
      <w:r w:rsidR="00E13326">
        <w:rPr>
          <w:rFonts w:ascii="Arial" w:eastAsia="Times New Roman" w:hAnsi="Arial" w:cs="Arial"/>
          <w:lang w:eastAsia="en-GB"/>
        </w:rPr>
        <w:t>s</w:t>
      </w:r>
      <w:r w:rsidR="002B727E">
        <w:rPr>
          <w:rFonts w:ascii="Arial" w:eastAsia="Times New Roman" w:hAnsi="Arial" w:cs="Arial"/>
          <w:lang w:eastAsia="en-GB"/>
        </w:rPr>
        <w:t xml:space="preserve"> reports for the public to assess policing and </w:t>
      </w:r>
      <w:r w:rsidR="006B132C">
        <w:rPr>
          <w:rFonts w:ascii="Arial" w:eastAsia="Times New Roman" w:hAnsi="Arial" w:cs="Arial"/>
          <w:lang w:eastAsia="en-GB"/>
        </w:rPr>
        <w:t>en</w:t>
      </w:r>
      <w:r w:rsidR="002B727E">
        <w:rPr>
          <w:rFonts w:ascii="Arial" w:eastAsia="Times New Roman" w:hAnsi="Arial" w:cs="Arial"/>
          <w:lang w:eastAsia="en-GB"/>
        </w:rPr>
        <w:t xml:space="preserve">forces efficiency and effectiveness in order to recommend evidence based improvements </w:t>
      </w:r>
      <w:sdt>
        <w:sdtPr>
          <w:rPr>
            <w:rFonts w:ascii="Arial" w:eastAsia="Times New Roman" w:hAnsi="Arial" w:cs="Arial"/>
            <w:lang w:eastAsia="en-GB"/>
          </w:rPr>
          <w:id w:val="663206603"/>
          <w:citation/>
        </w:sdtPr>
        <w:sdtEndPr/>
        <w:sdtContent>
          <w:r w:rsidR="002B727E">
            <w:rPr>
              <w:rFonts w:ascii="Arial" w:eastAsia="Times New Roman" w:hAnsi="Arial" w:cs="Arial"/>
              <w:lang w:eastAsia="en-GB"/>
            </w:rPr>
            <w:fldChar w:fldCharType="begin"/>
          </w:r>
          <w:r w:rsidR="002B727E">
            <w:rPr>
              <w:rFonts w:ascii="Arial" w:eastAsia="Times New Roman" w:hAnsi="Arial" w:cs="Arial"/>
              <w:lang w:eastAsia="en-GB"/>
            </w:rPr>
            <w:instrText xml:space="preserve"> CITATION HMI18 \l 2057 </w:instrText>
          </w:r>
          <w:r w:rsidR="002B727E">
            <w:rPr>
              <w:rFonts w:ascii="Arial" w:eastAsia="Times New Roman" w:hAnsi="Arial" w:cs="Arial"/>
              <w:lang w:eastAsia="en-GB"/>
            </w:rPr>
            <w:fldChar w:fldCharType="separate"/>
          </w:r>
          <w:r w:rsidR="002B727E" w:rsidRPr="002B727E">
            <w:rPr>
              <w:rFonts w:ascii="Arial" w:eastAsia="Times New Roman" w:hAnsi="Arial" w:cs="Arial"/>
              <w:noProof/>
              <w:lang w:eastAsia="en-GB"/>
            </w:rPr>
            <w:t>(HMICFRS, 2018)</w:t>
          </w:r>
          <w:r w:rsidR="002B727E">
            <w:rPr>
              <w:rFonts w:ascii="Arial" w:eastAsia="Times New Roman" w:hAnsi="Arial" w:cs="Arial"/>
              <w:lang w:eastAsia="en-GB"/>
            </w:rPr>
            <w:fldChar w:fldCharType="end"/>
          </w:r>
        </w:sdtContent>
      </w:sdt>
    </w:p>
    <w:p w:rsidR="00286986" w:rsidRDefault="00286986" w:rsidP="00577D1F">
      <w:pPr>
        <w:jc w:val="both"/>
        <w:rPr>
          <w:rFonts w:ascii="Arial" w:eastAsia="Times New Roman" w:hAnsi="Arial" w:cs="Arial"/>
          <w:lang w:eastAsia="en-GB"/>
        </w:rPr>
      </w:pPr>
      <w:r>
        <w:rPr>
          <w:rFonts w:ascii="Arial" w:eastAsia="Times New Roman" w:hAnsi="Arial" w:cs="Arial"/>
          <w:lang w:eastAsia="en-GB"/>
        </w:rPr>
        <w:t xml:space="preserve">The IOPC was created in January 2018, replacing the Independent Police Complaints Commission (IPCC) in the hope a change that allows investigations to be initiated independently without police referrals or record, keeping these separate and external would provide and ensure greater accountability to the public </w:t>
      </w:r>
      <w:sdt>
        <w:sdtPr>
          <w:rPr>
            <w:rFonts w:ascii="Arial" w:eastAsia="Times New Roman" w:hAnsi="Arial" w:cs="Arial"/>
            <w:lang w:eastAsia="en-GB"/>
          </w:rPr>
          <w:id w:val="741453244"/>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Liz18 \l 2057 </w:instrText>
          </w:r>
          <w:r>
            <w:rPr>
              <w:rFonts w:ascii="Arial" w:eastAsia="Times New Roman" w:hAnsi="Arial" w:cs="Arial"/>
              <w:lang w:eastAsia="en-GB"/>
            </w:rPr>
            <w:fldChar w:fldCharType="separate"/>
          </w:r>
          <w:r w:rsidRPr="00286986">
            <w:rPr>
              <w:rFonts w:ascii="Arial" w:eastAsia="Times New Roman" w:hAnsi="Arial" w:cs="Arial"/>
              <w:noProof/>
              <w:lang w:eastAsia="en-GB"/>
            </w:rPr>
            <w:t>(Dearden, 2018)</w:t>
          </w:r>
          <w:r>
            <w:rPr>
              <w:rFonts w:ascii="Arial" w:eastAsia="Times New Roman" w:hAnsi="Arial" w:cs="Arial"/>
              <w:lang w:eastAsia="en-GB"/>
            </w:rPr>
            <w:fldChar w:fldCharType="end"/>
          </w:r>
        </w:sdtContent>
      </w:sdt>
      <w:r>
        <w:rPr>
          <w:rFonts w:ascii="Arial" w:eastAsia="Times New Roman" w:hAnsi="Arial" w:cs="Arial"/>
          <w:lang w:eastAsia="en-GB"/>
        </w:rPr>
        <w:t>.</w:t>
      </w:r>
    </w:p>
    <w:p w:rsidR="00286986" w:rsidRDefault="00286986" w:rsidP="00577D1F">
      <w:pPr>
        <w:jc w:val="both"/>
        <w:rPr>
          <w:rFonts w:ascii="Arial" w:eastAsia="Times New Roman" w:hAnsi="Arial" w:cs="Arial"/>
          <w:lang w:eastAsia="en-GB"/>
        </w:rPr>
      </w:pPr>
      <w:r>
        <w:rPr>
          <w:rFonts w:ascii="Arial" w:eastAsia="Times New Roman" w:hAnsi="Arial" w:cs="Arial"/>
          <w:lang w:eastAsia="en-GB"/>
        </w:rPr>
        <w:t xml:space="preserve">The IOPC investigates allegations involving the police as well as matters of misconduct and serious complaints </w:t>
      </w:r>
      <w:sdt>
        <w:sdtPr>
          <w:rPr>
            <w:rFonts w:ascii="Arial" w:eastAsia="Times New Roman" w:hAnsi="Arial" w:cs="Arial"/>
            <w:lang w:eastAsia="en-GB"/>
          </w:rPr>
          <w:id w:val="1038556755"/>
          <w:citation/>
        </w:sdtPr>
        <w:sdtEndPr/>
        <w:sdtContent>
          <w:r w:rsidR="00465B91">
            <w:rPr>
              <w:rFonts w:ascii="Arial" w:eastAsia="Times New Roman" w:hAnsi="Arial" w:cs="Arial"/>
              <w:lang w:eastAsia="en-GB"/>
            </w:rPr>
            <w:fldChar w:fldCharType="begin"/>
          </w:r>
          <w:r w:rsidR="00465B91">
            <w:rPr>
              <w:rFonts w:ascii="Arial" w:eastAsia="Times New Roman" w:hAnsi="Arial" w:cs="Arial"/>
              <w:lang w:eastAsia="en-GB"/>
            </w:rPr>
            <w:instrText xml:space="preserve"> CITATION Bla203 \l 2057 </w:instrText>
          </w:r>
          <w:r w:rsidR="00465B91">
            <w:rPr>
              <w:rFonts w:ascii="Arial" w:eastAsia="Times New Roman" w:hAnsi="Arial" w:cs="Arial"/>
              <w:lang w:eastAsia="en-GB"/>
            </w:rPr>
            <w:fldChar w:fldCharType="separate"/>
          </w:r>
          <w:r w:rsidR="00465B91" w:rsidRPr="00465B91">
            <w:rPr>
              <w:rFonts w:ascii="Arial" w:eastAsia="Times New Roman" w:hAnsi="Arial" w:cs="Arial"/>
              <w:noProof/>
              <w:lang w:eastAsia="en-GB"/>
            </w:rPr>
            <w:t>(Blackburn et al, Chapter 5:Roles, Responsibilities and Support, 2020)</w:t>
          </w:r>
          <w:r w:rsidR="00465B91">
            <w:rPr>
              <w:rFonts w:ascii="Arial" w:eastAsia="Times New Roman" w:hAnsi="Arial" w:cs="Arial"/>
              <w:lang w:eastAsia="en-GB"/>
            </w:rPr>
            <w:fldChar w:fldCharType="end"/>
          </w:r>
        </w:sdtContent>
      </w:sdt>
      <w:r w:rsidR="00465B91">
        <w:rPr>
          <w:rFonts w:ascii="Arial" w:eastAsia="Times New Roman" w:hAnsi="Arial" w:cs="Arial"/>
          <w:lang w:eastAsia="en-GB"/>
        </w:rPr>
        <w:t xml:space="preserve">. The IOPC’s mission is to ‘improve public confidence in policing’ through ensuring that the police learn from past mistakes and are accountable for their actions as well as improving the complaints system to ensure all outcomes are timely, impartial and those with little confidence in policing can access this system with understanding their </w:t>
      </w:r>
      <w:r w:rsidR="00AA269E">
        <w:rPr>
          <w:rFonts w:ascii="Arial" w:eastAsia="Times New Roman" w:hAnsi="Arial" w:cs="Arial"/>
          <w:lang w:eastAsia="en-GB"/>
        </w:rPr>
        <w:t xml:space="preserve">rights and without consequences </w:t>
      </w:r>
      <w:sdt>
        <w:sdtPr>
          <w:rPr>
            <w:rFonts w:ascii="Arial" w:eastAsia="Times New Roman" w:hAnsi="Arial" w:cs="Arial"/>
            <w:lang w:eastAsia="en-GB"/>
          </w:rPr>
          <w:id w:val="1604611081"/>
          <w:citation/>
        </w:sdtPr>
        <w:sdtEndPr/>
        <w:sdtContent>
          <w:r w:rsidR="00AA269E">
            <w:rPr>
              <w:rFonts w:ascii="Arial" w:eastAsia="Times New Roman" w:hAnsi="Arial" w:cs="Arial"/>
              <w:lang w:eastAsia="en-GB"/>
            </w:rPr>
            <w:fldChar w:fldCharType="begin"/>
          </w:r>
          <w:r w:rsidR="00AA269E">
            <w:rPr>
              <w:rFonts w:ascii="Arial" w:eastAsia="Times New Roman" w:hAnsi="Arial" w:cs="Arial"/>
              <w:lang w:eastAsia="en-GB"/>
            </w:rPr>
            <w:instrText xml:space="preserve">CITATION Ind19 \l 2057 </w:instrText>
          </w:r>
          <w:r w:rsidR="00AA269E">
            <w:rPr>
              <w:rFonts w:ascii="Arial" w:eastAsia="Times New Roman" w:hAnsi="Arial" w:cs="Arial"/>
              <w:lang w:eastAsia="en-GB"/>
            </w:rPr>
            <w:fldChar w:fldCharType="separate"/>
          </w:r>
          <w:r w:rsidR="00AA269E" w:rsidRPr="00AA269E">
            <w:rPr>
              <w:rFonts w:ascii="Arial" w:eastAsia="Times New Roman" w:hAnsi="Arial" w:cs="Arial"/>
              <w:noProof/>
              <w:lang w:eastAsia="en-GB"/>
            </w:rPr>
            <w:t>(Independent Office for Police Conduct, 2019)</w:t>
          </w:r>
          <w:r w:rsidR="00AA269E">
            <w:rPr>
              <w:rFonts w:ascii="Arial" w:eastAsia="Times New Roman" w:hAnsi="Arial" w:cs="Arial"/>
              <w:lang w:eastAsia="en-GB"/>
            </w:rPr>
            <w:fldChar w:fldCharType="end"/>
          </w:r>
        </w:sdtContent>
      </w:sdt>
    </w:p>
    <w:p w:rsidR="00AA182C" w:rsidRDefault="003C198E" w:rsidP="00577D1F">
      <w:pPr>
        <w:jc w:val="both"/>
        <w:rPr>
          <w:rFonts w:ascii="Arial" w:eastAsia="Times New Roman" w:hAnsi="Arial" w:cs="Arial"/>
          <w:lang w:eastAsia="en-GB"/>
        </w:rPr>
      </w:pPr>
      <w:r>
        <w:rPr>
          <w:rFonts w:ascii="Arial" w:eastAsia="Times New Roman" w:hAnsi="Arial" w:cs="Arial"/>
          <w:lang w:eastAsia="en-GB"/>
        </w:rPr>
        <w:t>The IOPC intend to do this by identifying four priorities. The first</w:t>
      </w:r>
      <w:r w:rsidR="00AA269E">
        <w:rPr>
          <w:rFonts w:ascii="Arial" w:eastAsia="Times New Roman" w:hAnsi="Arial" w:cs="Arial"/>
          <w:lang w:eastAsia="en-GB"/>
        </w:rPr>
        <w:t xml:space="preserve"> is to work with others and use feedback to improve the complaint system. The second is to improve policing by working with others including HMICFRS and College of Policing to identify and share learning. The third is to improve confidence in police accountability by improving confidence in the complaints system and improving access to those with the least confidence. The fourth is to be an efficient and effective organisation that encourages a culture of openness and engagement </w:t>
      </w:r>
      <w:sdt>
        <w:sdtPr>
          <w:rPr>
            <w:rFonts w:ascii="Arial" w:eastAsia="Times New Roman" w:hAnsi="Arial" w:cs="Arial"/>
            <w:lang w:eastAsia="en-GB"/>
          </w:rPr>
          <w:id w:val="1466928807"/>
          <w:citation/>
        </w:sdtPr>
        <w:sdtEndPr/>
        <w:sdtContent>
          <w:r w:rsidR="00AA269E">
            <w:rPr>
              <w:rFonts w:ascii="Arial" w:eastAsia="Times New Roman" w:hAnsi="Arial" w:cs="Arial"/>
              <w:lang w:eastAsia="en-GB"/>
            </w:rPr>
            <w:fldChar w:fldCharType="begin"/>
          </w:r>
          <w:r w:rsidR="00AA269E">
            <w:rPr>
              <w:rFonts w:ascii="Arial" w:eastAsia="Times New Roman" w:hAnsi="Arial" w:cs="Arial"/>
              <w:lang w:eastAsia="en-GB"/>
            </w:rPr>
            <w:instrText xml:space="preserve"> CITATION Ind191 \l 2057 </w:instrText>
          </w:r>
          <w:r w:rsidR="00AA269E">
            <w:rPr>
              <w:rFonts w:ascii="Arial" w:eastAsia="Times New Roman" w:hAnsi="Arial" w:cs="Arial"/>
              <w:lang w:eastAsia="en-GB"/>
            </w:rPr>
            <w:fldChar w:fldCharType="separate"/>
          </w:r>
          <w:r w:rsidR="00AA269E" w:rsidRPr="00AA269E">
            <w:rPr>
              <w:rFonts w:ascii="Arial" w:eastAsia="Times New Roman" w:hAnsi="Arial" w:cs="Arial"/>
              <w:noProof/>
              <w:lang w:eastAsia="en-GB"/>
            </w:rPr>
            <w:t>(Independent Office for Police Conduct, Independent Office for Police Conduct Stakeholder Engagement Strategy 2019-2022, 2019)</w:t>
          </w:r>
          <w:r w:rsidR="00AA269E">
            <w:rPr>
              <w:rFonts w:ascii="Arial" w:eastAsia="Times New Roman" w:hAnsi="Arial" w:cs="Arial"/>
              <w:lang w:eastAsia="en-GB"/>
            </w:rPr>
            <w:fldChar w:fldCharType="end"/>
          </w:r>
        </w:sdtContent>
      </w:sdt>
      <w:r w:rsidR="00AA269E">
        <w:rPr>
          <w:rFonts w:ascii="Arial" w:eastAsia="Times New Roman" w:hAnsi="Arial" w:cs="Arial"/>
          <w:lang w:eastAsia="en-GB"/>
        </w:rPr>
        <w:t>.</w:t>
      </w:r>
    </w:p>
    <w:p w:rsidR="00CE3A6D" w:rsidRDefault="00CE3A6D" w:rsidP="00577D1F">
      <w:pPr>
        <w:jc w:val="both"/>
        <w:rPr>
          <w:rFonts w:ascii="Arial" w:eastAsia="Times New Roman" w:hAnsi="Arial" w:cs="Arial"/>
          <w:lang w:eastAsia="en-GB"/>
        </w:rPr>
      </w:pPr>
    </w:p>
    <w:p w:rsidR="00CE3A6D" w:rsidRDefault="00CE3A6D" w:rsidP="00577D1F">
      <w:pPr>
        <w:jc w:val="both"/>
        <w:rPr>
          <w:rFonts w:ascii="Arial" w:eastAsia="Times New Roman" w:hAnsi="Arial" w:cs="Arial"/>
          <w:lang w:eastAsia="en-GB"/>
        </w:rPr>
      </w:pPr>
      <w:r>
        <w:rPr>
          <w:rFonts w:ascii="Arial" w:eastAsia="Times New Roman" w:hAnsi="Arial" w:cs="Arial"/>
          <w:lang w:eastAsia="en-GB"/>
        </w:rPr>
        <w:t xml:space="preserve">A report looking specifically at the efficiency and effectiveness of the IOPC from December 2019 looked at the timeliness of investigations, quality of investigations, scrutiny of decision making and the impact of the IOPC. Within 12 months of the IOPC being functional, nearly 80% of cases were closed, completing 1,254 investigations, more than any previously by the IPCC. Previous IPCC independent investigations completed for the 2017/18 period amounted to 69%. The IOPC improved upon this and completed 82% of investigations in the 2018/19 period. The IOPC also became responsible for the caseload of 538 active investigations from the IPCC. The IOPC completed 95% of these and have a time line for the remaining 5% </w:t>
      </w:r>
      <w:sdt>
        <w:sdtPr>
          <w:rPr>
            <w:rFonts w:ascii="Arial" w:eastAsia="Times New Roman" w:hAnsi="Arial" w:cs="Arial"/>
            <w:lang w:eastAsia="en-GB"/>
          </w:rPr>
          <w:id w:val="1215545192"/>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CITATION Ind192 \l 2057 </w:instrText>
          </w:r>
          <w:r>
            <w:rPr>
              <w:rFonts w:ascii="Arial" w:eastAsia="Times New Roman" w:hAnsi="Arial" w:cs="Arial"/>
              <w:lang w:eastAsia="en-GB"/>
            </w:rPr>
            <w:fldChar w:fldCharType="separate"/>
          </w:r>
          <w:r w:rsidRPr="00CE3A6D">
            <w:rPr>
              <w:rFonts w:ascii="Arial" w:eastAsia="Times New Roman" w:hAnsi="Arial" w:cs="Arial"/>
              <w:noProof/>
              <w:lang w:eastAsia="en-GB"/>
            </w:rPr>
            <w:t>(Independent Office for Police Conduct, Response to the home secretaary on the effeciency, effectiveness, assets, publishing and profile of the IOPC, 2019)</w:t>
          </w:r>
          <w:r>
            <w:rPr>
              <w:rFonts w:ascii="Arial" w:eastAsia="Times New Roman" w:hAnsi="Arial" w:cs="Arial"/>
              <w:lang w:eastAsia="en-GB"/>
            </w:rPr>
            <w:fldChar w:fldCharType="end"/>
          </w:r>
        </w:sdtContent>
      </w:sdt>
      <w:r>
        <w:rPr>
          <w:rFonts w:ascii="Arial" w:eastAsia="Times New Roman" w:hAnsi="Arial" w:cs="Arial"/>
          <w:lang w:eastAsia="en-GB"/>
        </w:rPr>
        <w:t>.</w:t>
      </w:r>
    </w:p>
    <w:p w:rsidR="00373744" w:rsidRDefault="00B26830" w:rsidP="00577D1F">
      <w:pPr>
        <w:jc w:val="both"/>
        <w:rPr>
          <w:rFonts w:ascii="Arial" w:eastAsia="Times New Roman" w:hAnsi="Arial" w:cs="Arial"/>
          <w:lang w:eastAsia="en-GB"/>
        </w:rPr>
      </w:pPr>
      <w:r>
        <w:rPr>
          <w:rFonts w:ascii="Arial" w:eastAsia="Times New Roman" w:hAnsi="Arial" w:cs="Arial"/>
          <w:lang w:eastAsia="en-GB"/>
        </w:rPr>
        <w:t xml:space="preserve">Results from a public perception survey in 2018/19 looked at the IOPC’s strategy and surveyed police, police accountability, non-police and public perceptions to ask whether the IOPC were achieving their aims and objectives. This showed 67% of police and 69% of non-police know a lot or fair amount about the IOPC, 37% of police and 51% of no-police found the IOPC favourable and 33% of police and 27% of non-police found it easy to engage with the IOPC </w:t>
      </w:r>
      <w:sdt>
        <w:sdtPr>
          <w:rPr>
            <w:rFonts w:ascii="Arial" w:eastAsia="Times New Roman" w:hAnsi="Arial" w:cs="Arial"/>
            <w:lang w:eastAsia="en-GB"/>
          </w:rPr>
          <w:id w:val="1889914648"/>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IOP19 \l 2057 </w:instrText>
          </w:r>
          <w:r>
            <w:rPr>
              <w:rFonts w:ascii="Arial" w:eastAsia="Times New Roman" w:hAnsi="Arial" w:cs="Arial"/>
              <w:lang w:eastAsia="en-GB"/>
            </w:rPr>
            <w:fldChar w:fldCharType="separate"/>
          </w:r>
          <w:r w:rsidRPr="00B26830">
            <w:rPr>
              <w:rFonts w:ascii="Arial" w:eastAsia="Times New Roman" w:hAnsi="Arial" w:cs="Arial"/>
              <w:noProof/>
              <w:lang w:eastAsia="en-GB"/>
            </w:rPr>
            <w:t>(IOPC, 2019)</w:t>
          </w:r>
          <w:r>
            <w:rPr>
              <w:rFonts w:ascii="Arial" w:eastAsia="Times New Roman" w:hAnsi="Arial" w:cs="Arial"/>
              <w:lang w:eastAsia="en-GB"/>
            </w:rPr>
            <w:fldChar w:fldCharType="end"/>
          </w:r>
        </w:sdtContent>
      </w:sdt>
      <w:r>
        <w:rPr>
          <w:rFonts w:ascii="Arial" w:eastAsia="Times New Roman" w:hAnsi="Arial" w:cs="Arial"/>
          <w:lang w:eastAsia="en-GB"/>
        </w:rPr>
        <w:t>. Further more a public perception tracker that included BAME individuals, young people, individuals with a disability and socio economic grade showed the IOPC’s impact on these’ groups within 12 months. 60% were very or fairly confident, the IOPC deals with cases impartially. 67% were very or fairly likely, they would make a complaint when they needed to. These surveys and reports suggest that the IOPC have identified the m</w:t>
      </w:r>
      <w:r w:rsidR="00373744">
        <w:rPr>
          <w:rFonts w:ascii="Arial" w:eastAsia="Times New Roman" w:hAnsi="Arial" w:cs="Arial"/>
          <w:lang w:eastAsia="en-GB"/>
        </w:rPr>
        <w:t>ost important aims and goals to improve upo</w:t>
      </w:r>
      <w:r w:rsidR="00123B43">
        <w:rPr>
          <w:rFonts w:ascii="Arial" w:eastAsia="Times New Roman" w:hAnsi="Arial" w:cs="Arial"/>
          <w:lang w:eastAsia="en-GB"/>
        </w:rPr>
        <w:t xml:space="preserve">n which is supported by figures </w:t>
      </w:r>
      <w:sdt>
        <w:sdtPr>
          <w:rPr>
            <w:rFonts w:ascii="Arial" w:eastAsia="Times New Roman" w:hAnsi="Arial" w:cs="Arial"/>
            <w:lang w:eastAsia="en-GB"/>
          </w:rPr>
          <w:id w:val="2045404359"/>
          <w:citation/>
        </w:sdtPr>
        <w:sdtEndPr/>
        <w:sdtContent>
          <w:r w:rsidR="00123B43">
            <w:rPr>
              <w:rFonts w:ascii="Arial" w:eastAsia="Times New Roman" w:hAnsi="Arial" w:cs="Arial"/>
              <w:lang w:eastAsia="en-GB"/>
            </w:rPr>
            <w:fldChar w:fldCharType="begin"/>
          </w:r>
          <w:r w:rsidR="00123B43">
            <w:rPr>
              <w:rFonts w:ascii="Arial" w:eastAsia="Times New Roman" w:hAnsi="Arial" w:cs="Arial"/>
              <w:lang w:eastAsia="en-GB"/>
            </w:rPr>
            <w:instrText xml:space="preserve"> CITATION IOP20 \l 2057 </w:instrText>
          </w:r>
          <w:r w:rsidR="00123B43">
            <w:rPr>
              <w:rFonts w:ascii="Arial" w:eastAsia="Times New Roman" w:hAnsi="Arial" w:cs="Arial"/>
              <w:lang w:eastAsia="en-GB"/>
            </w:rPr>
            <w:fldChar w:fldCharType="separate"/>
          </w:r>
          <w:r w:rsidR="00123B43" w:rsidRPr="00123B43">
            <w:rPr>
              <w:rFonts w:ascii="Arial" w:eastAsia="Times New Roman" w:hAnsi="Arial" w:cs="Arial"/>
              <w:noProof/>
              <w:lang w:eastAsia="en-GB"/>
            </w:rPr>
            <w:t>(IOPC, IOPC Business Plan 2020/21, 2020)</w:t>
          </w:r>
          <w:r w:rsidR="00123B43">
            <w:rPr>
              <w:rFonts w:ascii="Arial" w:eastAsia="Times New Roman" w:hAnsi="Arial" w:cs="Arial"/>
              <w:lang w:eastAsia="en-GB"/>
            </w:rPr>
            <w:fldChar w:fldCharType="end"/>
          </w:r>
        </w:sdtContent>
      </w:sdt>
      <w:r w:rsidR="00123B43">
        <w:rPr>
          <w:rFonts w:ascii="Arial" w:eastAsia="Times New Roman" w:hAnsi="Arial" w:cs="Arial"/>
          <w:lang w:eastAsia="en-GB"/>
        </w:rPr>
        <w:t>. These are noticeable positives and are further supported by the 98% that stated the IOPC’s learning magazine provided them with useful knowledge on mental health which they were able to apply to their job. 16 million people were also reached by campaigns and media coverage</w:t>
      </w:r>
      <w:r w:rsidR="00373744">
        <w:rPr>
          <w:rFonts w:ascii="Arial" w:eastAsia="Times New Roman" w:hAnsi="Arial" w:cs="Arial"/>
          <w:lang w:eastAsia="en-GB"/>
        </w:rPr>
        <w:t xml:space="preserve"> </w:t>
      </w:r>
      <w:r w:rsidR="00123B43">
        <w:rPr>
          <w:rFonts w:ascii="Arial" w:eastAsia="Times New Roman" w:hAnsi="Arial" w:cs="Arial"/>
          <w:lang w:eastAsia="en-GB"/>
        </w:rPr>
        <w:t>spreading awarenes</w:t>
      </w:r>
      <w:r w:rsidR="00532104">
        <w:rPr>
          <w:rFonts w:ascii="Arial" w:eastAsia="Times New Roman" w:hAnsi="Arial" w:cs="Arial"/>
          <w:lang w:eastAsia="en-GB"/>
        </w:rPr>
        <w:t xml:space="preserve">s of the IOCP and their mission </w:t>
      </w:r>
      <w:sdt>
        <w:sdtPr>
          <w:rPr>
            <w:rFonts w:ascii="Arial" w:eastAsia="Times New Roman" w:hAnsi="Arial" w:cs="Arial"/>
            <w:lang w:eastAsia="en-GB"/>
          </w:rPr>
          <w:id w:val="-1304073635"/>
          <w:citation/>
        </w:sdtPr>
        <w:sdtEndPr/>
        <w:sdtContent>
          <w:r w:rsidR="00532104">
            <w:rPr>
              <w:rFonts w:ascii="Arial" w:eastAsia="Times New Roman" w:hAnsi="Arial" w:cs="Arial"/>
              <w:lang w:eastAsia="en-GB"/>
            </w:rPr>
            <w:fldChar w:fldCharType="begin"/>
          </w:r>
          <w:r w:rsidR="00532104">
            <w:rPr>
              <w:rFonts w:ascii="Arial" w:eastAsia="Times New Roman" w:hAnsi="Arial" w:cs="Arial"/>
              <w:lang w:eastAsia="en-GB"/>
            </w:rPr>
            <w:instrText xml:space="preserve">CITATION Ind193 \l 2057 </w:instrText>
          </w:r>
          <w:r w:rsidR="00532104">
            <w:rPr>
              <w:rFonts w:ascii="Arial" w:eastAsia="Times New Roman" w:hAnsi="Arial" w:cs="Arial"/>
              <w:lang w:eastAsia="en-GB"/>
            </w:rPr>
            <w:fldChar w:fldCharType="separate"/>
          </w:r>
          <w:r w:rsidR="00532104" w:rsidRPr="00532104">
            <w:rPr>
              <w:rFonts w:ascii="Arial" w:eastAsia="Times New Roman" w:hAnsi="Arial" w:cs="Arial"/>
              <w:noProof/>
              <w:lang w:eastAsia="en-GB"/>
            </w:rPr>
            <w:t>(Independent Office of Police Conduct, 2019)</w:t>
          </w:r>
          <w:r w:rsidR="00532104">
            <w:rPr>
              <w:rFonts w:ascii="Arial" w:eastAsia="Times New Roman" w:hAnsi="Arial" w:cs="Arial"/>
              <w:lang w:eastAsia="en-GB"/>
            </w:rPr>
            <w:fldChar w:fldCharType="end"/>
          </w:r>
        </w:sdtContent>
      </w:sdt>
    </w:p>
    <w:p w:rsidR="00B26830" w:rsidRPr="006820A0" w:rsidRDefault="00373744" w:rsidP="00577D1F">
      <w:pPr>
        <w:jc w:val="both"/>
        <w:rPr>
          <w:rFonts w:ascii="Arial" w:eastAsia="Times New Roman" w:hAnsi="Arial" w:cs="Arial"/>
          <w:lang w:eastAsia="en-GB"/>
        </w:rPr>
      </w:pPr>
      <w:r>
        <w:rPr>
          <w:rFonts w:ascii="Arial" w:eastAsia="Times New Roman" w:hAnsi="Arial" w:cs="Arial"/>
          <w:lang w:eastAsia="en-GB"/>
        </w:rPr>
        <w:t>The IOPC state in their business plan that they will know that they have succeeded when their learning recommendations are accepted and their impact on operational policing can be demonstrated. Also, when the public has confidence in the police complaints system, the demographics of those complaining reflect the communities the police serve and the IOPC’s workforce reflects the communities they serve.</w:t>
      </w:r>
      <w:r w:rsidR="009418D7">
        <w:rPr>
          <w:rFonts w:ascii="Arial" w:eastAsia="Times New Roman" w:hAnsi="Arial" w:cs="Arial"/>
          <w:lang w:eastAsia="en-GB"/>
        </w:rPr>
        <w:t xml:space="preserve"> </w:t>
      </w:r>
      <w:r>
        <w:rPr>
          <w:rFonts w:ascii="Arial" w:eastAsia="Times New Roman" w:hAnsi="Arial" w:cs="Arial"/>
          <w:lang w:eastAsia="en-GB"/>
        </w:rPr>
        <w:t xml:space="preserve">These goals and their mission have not been </w:t>
      </w:r>
      <w:r w:rsidR="009418D7">
        <w:rPr>
          <w:rFonts w:ascii="Arial" w:eastAsia="Times New Roman" w:hAnsi="Arial" w:cs="Arial"/>
          <w:lang w:eastAsia="en-GB"/>
        </w:rPr>
        <w:t xml:space="preserve">completely reached yet, </w:t>
      </w:r>
      <w:r>
        <w:rPr>
          <w:rFonts w:ascii="Arial" w:eastAsia="Times New Roman" w:hAnsi="Arial" w:cs="Arial"/>
          <w:lang w:eastAsia="en-GB"/>
        </w:rPr>
        <w:t>however</w:t>
      </w:r>
      <w:r w:rsidR="009418D7">
        <w:rPr>
          <w:rFonts w:ascii="Arial" w:eastAsia="Times New Roman" w:hAnsi="Arial" w:cs="Arial"/>
          <w:lang w:eastAsia="en-GB"/>
        </w:rPr>
        <w:t xml:space="preserve"> reports, statistics and their business plan would suggest the</w:t>
      </w:r>
      <w:r>
        <w:rPr>
          <w:rFonts w:ascii="Arial" w:eastAsia="Times New Roman" w:hAnsi="Arial" w:cs="Arial"/>
          <w:lang w:eastAsia="en-GB"/>
        </w:rPr>
        <w:t xml:space="preserve"> IOPC appear to be tackling the issue of public confidence and holding the police accountable </w:t>
      </w:r>
      <w:r w:rsidR="00EE642F">
        <w:rPr>
          <w:rFonts w:ascii="Arial" w:eastAsia="Times New Roman" w:hAnsi="Arial" w:cs="Arial"/>
          <w:lang w:eastAsia="en-GB"/>
        </w:rPr>
        <w:t xml:space="preserve">to those they serve </w:t>
      </w:r>
      <w:sdt>
        <w:sdtPr>
          <w:rPr>
            <w:rFonts w:ascii="Arial" w:eastAsia="Times New Roman" w:hAnsi="Arial" w:cs="Arial"/>
            <w:lang w:eastAsia="en-GB"/>
          </w:rPr>
          <w:id w:val="1322772499"/>
          <w:citation/>
        </w:sdtPr>
        <w:sdtEndPr/>
        <w:sdtContent>
          <w:r w:rsidR="00EE642F">
            <w:rPr>
              <w:rFonts w:ascii="Arial" w:eastAsia="Times New Roman" w:hAnsi="Arial" w:cs="Arial"/>
              <w:lang w:eastAsia="en-GB"/>
            </w:rPr>
            <w:fldChar w:fldCharType="begin"/>
          </w:r>
          <w:r w:rsidR="00EE642F">
            <w:rPr>
              <w:rFonts w:ascii="Arial" w:eastAsia="Times New Roman" w:hAnsi="Arial" w:cs="Arial"/>
              <w:lang w:eastAsia="en-GB"/>
            </w:rPr>
            <w:instrText xml:space="preserve"> CITATION IOP20 \l 2057 </w:instrText>
          </w:r>
          <w:r w:rsidR="00EE642F">
            <w:rPr>
              <w:rFonts w:ascii="Arial" w:eastAsia="Times New Roman" w:hAnsi="Arial" w:cs="Arial"/>
              <w:lang w:eastAsia="en-GB"/>
            </w:rPr>
            <w:fldChar w:fldCharType="separate"/>
          </w:r>
          <w:r w:rsidR="00EE642F" w:rsidRPr="00EE642F">
            <w:rPr>
              <w:rFonts w:ascii="Arial" w:eastAsia="Times New Roman" w:hAnsi="Arial" w:cs="Arial"/>
              <w:noProof/>
              <w:lang w:eastAsia="en-GB"/>
            </w:rPr>
            <w:t>(IOPC, IOPC Business Plan 2020/21, 2020)</w:t>
          </w:r>
          <w:r w:rsidR="00EE642F">
            <w:rPr>
              <w:rFonts w:ascii="Arial" w:eastAsia="Times New Roman" w:hAnsi="Arial" w:cs="Arial"/>
              <w:lang w:eastAsia="en-GB"/>
            </w:rPr>
            <w:fldChar w:fldCharType="end"/>
          </w:r>
        </w:sdtContent>
      </w:sdt>
      <w:r w:rsidR="00EE642F">
        <w:rPr>
          <w:rFonts w:ascii="Arial" w:eastAsia="Times New Roman" w:hAnsi="Arial" w:cs="Arial"/>
          <w:lang w:eastAsia="en-GB"/>
        </w:rPr>
        <w:t>.</w:t>
      </w:r>
    </w:p>
    <w:p w:rsidR="000B40CF" w:rsidRDefault="00F92844" w:rsidP="00577D1F">
      <w:pPr>
        <w:jc w:val="both"/>
      </w:pPr>
      <w:r>
        <w:t>1008</w:t>
      </w:r>
      <w:r w:rsidR="00532104">
        <w:t xml:space="preserve"> words.</w:t>
      </w:r>
    </w:p>
    <w:p w:rsidR="00AA269E" w:rsidRDefault="00AA269E" w:rsidP="00577D1F">
      <w:pPr>
        <w:jc w:val="both"/>
      </w:pPr>
    </w:p>
    <w:p w:rsidR="00532104" w:rsidRDefault="00532104" w:rsidP="00577D1F">
      <w:pPr>
        <w:jc w:val="both"/>
      </w:pPr>
    </w:p>
    <w:p w:rsidR="00532104" w:rsidRDefault="00532104" w:rsidP="00577D1F">
      <w:pPr>
        <w:jc w:val="both"/>
      </w:pPr>
    </w:p>
    <w:p w:rsidR="00532104" w:rsidRDefault="00532104" w:rsidP="00577D1F">
      <w:pPr>
        <w:jc w:val="both"/>
      </w:pPr>
    </w:p>
    <w:p w:rsidR="00532104" w:rsidRDefault="00532104" w:rsidP="00577D1F">
      <w:pPr>
        <w:jc w:val="both"/>
      </w:pPr>
    </w:p>
    <w:p w:rsidR="00532104" w:rsidRDefault="00532104" w:rsidP="00577D1F">
      <w:pPr>
        <w:jc w:val="both"/>
      </w:pPr>
    </w:p>
    <w:p w:rsidR="00F92844" w:rsidRDefault="00F92844" w:rsidP="00577D1F">
      <w:pPr>
        <w:jc w:val="both"/>
      </w:pPr>
    </w:p>
    <w:p w:rsidR="006A6D9A" w:rsidRPr="00577D1F" w:rsidRDefault="00067D3F" w:rsidP="00577D1F">
      <w:pPr>
        <w:overflowPunct w:val="0"/>
        <w:autoSpaceDE w:val="0"/>
        <w:autoSpaceDN w:val="0"/>
        <w:adjustRightInd w:val="0"/>
        <w:spacing w:before="240" w:after="0" w:line="240" w:lineRule="auto"/>
        <w:jc w:val="both"/>
        <w:textAlignment w:val="baseline"/>
        <w:rPr>
          <w:rStyle w:val="Hyperlink"/>
          <w:rFonts w:ascii="Arial" w:eastAsia="Times New Roman" w:hAnsi="Arial" w:cs="Arial"/>
          <w:color w:val="auto"/>
          <w:lang w:eastAsia="en-GB"/>
        </w:rPr>
      </w:pPr>
      <w:r w:rsidRPr="00577D1F">
        <w:rPr>
          <w:rFonts w:ascii="Arial" w:eastAsia="Times New Roman" w:hAnsi="Arial" w:cs="Arial"/>
          <w:u w:val="single"/>
          <w:lang w:eastAsia="en-GB"/>
        </w:rPr>
        <w:lastRenderedPageBreak/>
        <w:t>Examine the ethical dimension of ‘real time’ operational decisions. (1000 words)</w:t>
      </w:r>
    </w:p>
    <w:p w:rsidR="00286360" w:rsidRPr="00113439" w:rsidRDefault="006A6D9A" w:rsidP="00577D1F">
      <w:pPr>
        <w:overflowPunct w:val="0"/>
        <w:autoSpaceDE w:val="0"/>
        <w:autoSpaceDN w:val="0"/>
        <w:adjustRightInd w:val="0"/>
        <w:spacing w:before="240" w:after="0" w:line="240" w:lineRule="auto"/>
        <w:jc w:val="both"/>
        <w:textAlignment w:val="baseline"/>
        <w:rPr>
          <w:rStyle w:val="Hyperlink"/>
          <w:rFonts w:ascii="Arial" w:hAnsi="Arial" w:cs="Arial"/>
          <w:color w:val="auto"/>
          <w:u w:val="none"/>
        </w:rPr>
      </w:pPr>
      <w:r>
        <w:rPr>
          <w:rStyle w:val="Hyperlink"/>
          <w:rFonts w:ascii="Arial" w:hAnsi="Arial" w:cs="Arial"/>
          <w:color w:val="auto"/>
          <w:u w:val="none"/>
        </w:rPr>
        <w:t xml:space="preserve">This essay will </w:t>
      </w:r>
      <w:r w:rsidR="00113439" w:rsidRPr="00113439">
        <w:rPr>
          <w:rStyle w:val="Hyperlink"/>
          <w:rFonts w:ascii="Arial" w:hAnsi="Arial" w:cs="Arial"/>
          <w:color w:val="auto"/>
          <w:u w:val="none"/>
        </w:rPr>
        <w:t>look at the ethical dimensions of real time operational decisions in detail. To do this</w:t>
      </w:r>
      <w:r w:rsidR="00113439">
        <w:rPr>
          <w:rStyle w:val="Hyperlink"/>
          <w:rFonts w:ascii="Arial" w:hAnsi="Arial" w:cs="Arial"/>
          <w:color w:val="auto"/>
          <w:u w:val="none"/>
        </w:rPr>
        <w:t xml:space="preserve"> I will be carefully considering </w:t>
      </w:r>
      <w:r w:rsidR="00CE2F5C">
        <w:rPr>
          <w:rStyle w:val="Hyperlink"/>
          <w:rFonts w:ascii="Arial" w:hAnsi="Arial" w:cs="Arial"/>
          <w:color w:val="auto"/>
          <w:u w:val="none"/>
        </w:rPr>
        <w:t>t</w:t>
      </w:r>
      <w:r w:rsidR="00113439">
        <w:rPr>
          <w:rStyle w:val="Hyperlink"/>
          <w:rFonts w:ascii="Arial" w:hAnsi="Arial" w:cs="Arial"/>
          <w:color w:val="auto"/>
          <w:u w:val="none"/>
        </w:rPr>
        <w:t>he role of a police constable, including real time operational decisions, decision-making models and a variety of ethical guidelines and other principles that are present and required within real time operational decision making.</w:t>
      </w:r>
    </w:p>
    <w:p w:rsidR="00286360" w:rsidRPr="00EF0A5A" w:rsidRDefault="00EF0A5A" w:rsidP="00577D1F">
      <w:pPr>
        <w:overflowPunct w:val="0"/>
        <w:autoSpaceDE w:val="0"/>
        <w:autoSpaceDN w:val="0"/>
        <w:adjustRightInd w:val="0"/>
        <w:spacing w:before="240" w:after="0" w:line="240" w:lineRule="auto"/>
        <w:jc w:val="both"/>
        <w:textAlignment w:val="baseline"/>
        <w:rPr>
          <w:rStyle w:val="Hyperlink"/>
          <w:rFonts w:ascii="Arial" w:hAnsi="Arial" w:cs="Arial"/>
          <w:color w:val="auto"/>
          <w:u w:val="none"/>
        </w:rPr>
      </w:pPr>
      <w:r w:rsidRPr="00113439">
        <w:rPr>
          <w:rStyle w:val="Hyperlink"/>
          <w:rFonts w:ascii="Arial" w:hAnsi="Arial" w:cs="Arial"/>
          <w:color w:val="auto"/>
          <w:u w:val="none"/>
        </w:rPr>
        <w:t xml:space="preserve">A Police Constables main purpose </w:t>
      </w:r>
      <w:r w:rsidRPr="00EF0A5A">
        <w:rPr>
          <w:rStyle w:val="Hyperlink"/>
          <w:rFonts w:ascii="Arial" w:hAnsi="Arial" w:cs="Arial"/>
          <w:color w:val="auto"/>
          <w:u w:val="none"/>
        </w:rPr>
        <w:t>within the Police Service is to ‘uphold the law firmly and fairly, to prevent crime, pursue and bring justice to those who break the law, to keep the queens peace and to protect, help and reassure the community’</w:t>
      </w:r>
      <w:r>
        <w:rPr>
          <w:rStyle w:val="Hyperlink"/>
          <w:rFonts w:ascii="Arial" w:hAnsi="Arial" w:cs="Arial"/>
          <w:color w:val="auto"/>
          <w:u w:val="none"/>
        </w:rPr>
        <w:t xml:space="preserve"> </w:t>
      </w:r>
      <w:sdt>
        <w:sdtPr>
          <w:rPr>
            <w:rStyle w:val="Hyperlink"/>
            <w:rFonts w:ascii="Arial" w:hAnsi="Arial" w:cs="Arial"/>
            <w:color w:val="auto"/>
            <w:u w:val="none"/>
          </w:rPr>
          <w:id w:val="1724630224"/>
          <w:citation/>
        </w:sdtPr>
        <w:sdtEndPr>
          <w:rPr>
            <w:rStyle w:val="Hyperlink"/>
          </w:rPr>
        </w:sdtEndPr>
        <w:sdtContent>
          <w:r>
            <w:rPr>
              <w:rStyle w:val="Hyperlink"/>
              <w:rFonts w:ascii="Arial" w:hAnsi="Arial" w:cs="Arial"/>
              <w:color w:val="auto"/>
              <w:u w:val="none"/>
            </w:rPr>
            <w:fldChar w:fldCharType="begin"/>
          </w:r>
          <w:r>
            <w:rPr>
              <w:rStyle w:val="Hyperlink"/>
              <w:rFonts w:ascii="Arial" w:hAnsi="Arial" w:cs="Arial"/>
              <w:color w:val="auto"/>
              <w:u w:val="none"/>
            </w:rPr>
            <w:instrText xml:space="preserve"> CITATION Bla204 \l 2057 </w:instrText>
          </w:r>
          <w:r>
            <w:rPr>
              <w:rStyle w:val="Hyperlink"/>
              <w:rFonts w:ascii="Arial" w:hAnsi="Arial" w:cs="Arial"/>
              <w:color w:val="auto"/>
              <w:u w:val="none"/>
            </w:rPr>
            <w:fldChar w:fldCharType="separate"/>
          </w:r>
          <w:r w:rsidRPr="00EF0A5A">
            <w:rPr>
              <w:rFonts w:ascii="Arial" w:hAnsi="Arial" w:cs="Arial"/>
              <w:noProof/>
            </w:rPr>
            <w:t>(Blackburn et al, Chapter 5 Roles, Responsibilies and Supportm, 2020)</w:t>
          </w:r>
          <w:r>
            <w:rPr>
              <w:rStyle w:val="Hyperlink"/>
              <w:rFonts w:ascii="Arial" w:hAnsi="Arial" w:cs="Arial"/>
              <w:color w:val="auto"/>
              <w:u w:val="none"/>
            </w:rPr>
            <w:fldChar w:fldCharType="end"/>
          </w:r>
        </w:sdtContent>
      </w:sdt>
    </w:p>
    <w:p w:rsidR="00333766" w:rsidRDefault="00EF0A5A" w:rsidP="00577D1F">
      <w:pPr>
        <w:overflowPunct w:val="0"/>
        <w:autoSpaceDE w:val="0"/>
        <w:autoSpaceDN w:val="0"/>
        <w:adjustRightInd w:val="0"/>
        <w:spacing w:before="240" w:after="0" w:line="240" w:lineRule="auto"/>
        <w:jc w:val="both"/>
        <w:textAlignment w:val="baseline"/>
        <w:rPr>
          <w:rStyle w:val="Hyperlink"/>
          <w:rFonts w:ascii="Arial" w:hAnsi="Arial" w:cs="Arial"/>
          <w:color w:val="auto"/>
          <w:u w:val="none"/>
        </w:rPr>
      </w:pPr>
      <w:r w:rsidRPr="00EF0A5A">
        <w:rPr>
          <w:rStyle w:val="Hyperlink"/>
          <w:rFonts w:ascii="Arial" w:hAnsi="Arial" w:cs="Arial"/>
          <w:color w:val="auto"/>
          <w:u w:val="none"/>
        </w:rPr>
        <w:t xml:space="preserve">Police Constables </w:t>
      </w:r>
      <w:r>
        <w:rPr>
          <w:rStyle w:val="Hyperlink"/>
          <w:rFonts w:ascii="Arial" w:hAnsi="Arial" w:cs="Arial"/>
          <w:color w:val="auto"/>
          <w:u w:val="none"/>
        </w:rPr>
        <w:t>play a critical role in front-line, operational policing.</w:t>
      </w:r>
      <w:r w:rsidR="001E3423">
        <w:rPr>
          <w:rStyle w:val="Hyperlink"/>
          <w:rFonts w:ascii="Arial" w:hAnsi="Arial" w:cs="Arial"/>
          <w:color w:val="auto"/>
          <w:u w:val="none"/>
        </w:rPr>
        <w:t xml:space="preserve"> Operational Policing specifically relates to the police powers and tools the police use to carry out their duties in order to prevent and tackle crime.</w:t>
      </w:r>
      <w:r>
        <w:rPr>
          <w:rStyle w:val="Hyperlink"/>
          <w:rFonts w:ascii="Arial" w:hAnsi="Arial" w:cs="Arial"/>
          <w:color w:val="auto"/>
          <w:u w:val="none"/>
        </w:rPr>
        <w:t xml:space="preserve"> To aid officers in achieving their purpose there are many lawful acts, standards and guidance, including, The Police And Criminal Evidence Act, </w:t>
      </w:r>
      <w:r w:rsidR="00043BC4">
        <w:rPr>
          <w:rStyle w:val="Hyperlink"/>
          <w:rFonts w:ascii="Arial" w:hAnsi="Arial" w:cs="Arial"/>
          <w:color w:val="auto"/>
          <w:u w:val="none"/>
        </w:rPr>
        <w:t xml:space="preserve">including the Codes of Practice, </w:t>
      </w:r>
      <w:r>
        <w:rPr>
          <w:rStyle w:val="Hyperlink"/>
          <w:rFonts w:ascii="Arial" w:hAnsi="Arial" w:cs="Arial"/>
          <w:color w:val="auto"/>
          <w:u w:val="none"/>
        </w:rPr>
        <w:t>The Code of Ethics, Risk Principles and National Decision Model.</w:t>
      </w:r>
      <w:r w:rsidR="001E3423">
        <w:rPr>
          <w:rStyle w:val="Hyperlink"/>
          <w:rFonts w:ascii="Arial" w:hAnsi="Arial" w:cs="Arial"/>
          <w:color w:val="auto"/>
          <w:u w:val="none"/>
        </w:rPr>
        <w:t xml:space="preserve"> These</w:t>
      </w:r>
      <w:r w:rsidR="00043BC4">
        <w:rPr>
          <w:rStyle w:val="Hyperlink"/>
          <w:rFonts w:ascii="Arial" w:hAnsi="Arial" w:cs="Arial"/>
          <w:color w:val="auto"/>
          <w:u w:val="none"/>
        </w:rPr>
        <w:t xml:space="preserve"> were created and implemented for use</w:t>
      </w:r>
      <w:r w:rsidR="001E3423">
        <w:rPr>
          <w:rStyle w:val="Hyperlink"/>
          <w:rFonts w:ascii="Arial" w:hAnsi="Arial" w:cs="Arial"/>
          <w:color w:val="auto"/>
          <w:u w:val="none"/>
        </w:rPr>
        <w:t xml:space="preserve"> by the police</w:t>
      </w:r>
      <w:r w:rsidR="00043BC4">
        <w:rPr>
          <w:rStyle w:val="Hyperlink"/>
          <w:rFonts w:ascii="Arial" w:hAnsi="Arial" w:cs="Arial"/>
          <w:color w:val="auto"/>
          <w:u w:val="none"/>
        </w:rPr>
        <w:t>,</w:t>
      </w:r>
      <w:r w:rsidR="001E3423">
        <w:rPr>
          <w:rStyle w:val="Hyperlink"/>
          <w:rFonts w:ascii="Arial" w:hAnsi="Arial" w:cs="Arial"/>
          <w:color w:val="auto"/>
          <w:u w:val="none"/>
        </w:rPr>
        <w:t xml:space="preserve"> not only to govern what</w:t>
      </w:r>
      <w:r w:rsidR="00043BC4">
        <w:rPr>
          <w:rStyle w:val="Hyperlink"/>
          <w:rFonts w:ascii="Arial" w:hAnsi="Arial" w:cs="Arial"/>
          <w:color w:val="auto"/>
          <w:u w:val="none"/>
        </w:rPr>
        <w:t xml:space="preserve"> the</w:t>
      </w:r>
      <w:r w:rsidR="001E3423">
        <w:rPr>
          <w:rStyle w:val="Hyperlink"/>
          <w:rFonts w:ascii="Arial" w:hAnsi="Arial" w:cs="Arial"/>
          <w:color w:val="auto"/>
          <w:u w:val="none"/>
        </w:rPr>
        <w:t xml:space="preserve"> Police can and cannot do within their response role but also to protect and support the public and communities from crime.</w:t>
      </w:r>
    </w:p>
    <w:p w:rsidR="00C62C50" w:rsidRDefault="00C62C50" w:rsidP="00577D1F">
      <w:pPr>
        <w:overflowPunct w:val="0"/>
        <w:autoSpaceDE w:val="0"/>
        <w:autoSpaceDN w:val="0"/>
        <w:adjustRightInd w:val="0"/>
        <w:spacing w:before="240" w:after="0" w:line="240" w:lineRule="auto"/>
        <w:jc w:val="both"/>
        <w:textAlignment w:val="baseline"/>
        <w:rPr>
          <w:rStyle w:val="Hyperlink"/>
          <w:rFonts w:ascii="Arial" w:hAnsi="Arial" w:cs="Arial"/>
          <w:color w:val="auto"/>
          <w:u w:val="none"/>
        </w:rPr>
      </w:pPr>
      <w:r>
        <w:rPr>
          <w:rStyle w:val="Hyperlink"/>
          <w:rFonts w:ascii="Arial" w:hAnsi="Arial" w:cs="Arial"/>
          <w:color w:val="auto"/>
          <w:u w:val="none"/>
        </w:rPr>
        <w:t xml:space="preserve">A decision is a choice that is made after considering several possibilities in an attempt to come to an appropriate solution or outcome. A decision is also seen as a resolution or conclusion that is often followed by action. When making a decision a variety of elements can be needed including information, intelligence, intuition in the form of experience and good judgement. One of the main issues individuals face when making decisions is bias that can effect and disrupt the decision and process used. Furthermore there are a variety of factors that can impact an individuals decision making including inadequate information, too many people being involved, personal or vested interest, issues with change or not caring. </w:t>
      </w:r>
      <w:sdt>
        <w:sdtPr>
          <w:rPr>
            <w:rStyle w:val="Hyperlink"/>
            <w:rFonts w:ascii="Arial" w:hAnsi="Arial" w:cs="Arial"/>
            <w:color w:val="auto"/>
            <w:u w:val="none"/>
          </w:rPr>
          <w:id w:val="-1147670947"/>
          <w:citation/>
        </w:sdtPr>
        <w:sdtEndPr>
          <w:rPr>
            <w:rStyle w:val="Hyperlink"/>
          </w:rPr>
        </w:sdtEndPr>
        <w:sdtContent>
          <w:r>
            <w:rPr>
              <w:rStyle w:val="Hyperlink"/>
              <w:rFonts w:ascii="Arial" w:hAnsi="Arial" w:cs="Arial"/>
              <w:color w:val="auto"/>
              <w:u w:val="none"/>
            </w:rPr>
            <w:fldChar w:fldCharType="begin"/>
          </w:r>
          <w:r>
            <w:rPr>
              <w:rStyle w:val="Hyperlink"/>
              <w:rFonts w:ascii="Arial" w:hAnsi="Arial" w:cs="Arial"/>
              <w:color w:val="auto"/>
              <w:u w:val="none"/>
            </w:rPr>
            <w:instrText xml:space="preserve">CITATION Buc061 \l 2057 </w:instrText>
          </w:r>
          <w:r>
            <w:rPr>
              <w:rStyle w:val="Hyperlink"/>
              <w:rFonts w:ascii="Arial" w:hAnsi="Arial" w:cs="Arial"/>
              <w:color w:val="auto"/>
              <w:u w:val="none"/>
            </w:rPr>
            <w:fldChar w:fldCharType="separate"/>
          </w:r>
          <w:r w:rsidRPr="00C62C50">
            <w:rPr>
              <w:rFonts w:ascii="Arial" w:hAnsi="Arial" w:cs="Arial"/>
              <w:noProof/>
            </w:rPr>
            <w:t>(Buchanan L, 2006)</w:t>
          </w:r>
          <w:r>
            <w:rPr>
              <w:rStyle w:val="Hyperlink"/>
              <w:rFonts w:ascii="Arial" w:hAnsi="Arial" w:cs="Arial"/>
              <w:color w:val="auto"/>
              <w:u w:val="none"/>
            </w:rPr>
            <w:fldChar w:fldCharType="end"/>
          </w:r>
        </w:sdtContent>
      </w:sdt>
    </w:p>
    <w:p w:rsidR="00E6697C" w:rsidRDefault="00C62C50" w:rsidP="00577D1F">
      <w:pPr>
        <w:overflowPunct w:val="0"/>
        <w:autoSpaceDE w:val="0"/>
        <w:autoSpaceDN w:val="0"/>
        <w:adjustRightInd w:val="0"/>
        <w:spacing w:before="240" w:after="0" w:line="240" w:lineRule="auto"/>
        <w:jc w:val="both"/>
        <w:textAlignment w:val="baseline"/>
        <w:rPr>
          <w:rStyle w:val="Hyperlink"/>
          <w:rFonts w:ascii="Arial" w:hAnsi="Arial" w:cs="Arial"/>
          <w:color w:val="auto"/>
          <w:u w:val="none"/>
        </w:rPr>
      </w:pPr>
      <w:r>
        <w:rPr>
          <w:rStyle w:val="Hyperlink"/>
          <w:rFonts w:ascii="Arial" w:hAnsi="Arial" w:cs="Arial"/>
          <w:color w:val="auto"/>
          <w:u w:val="none"/>
        </w:rPr>
        <w:t xml:space="preserve">Decision making </w:t>
      </w:r>
      <w:r w:rsidR="00C73AE1">
        <w:rPr>
          <w:rStyle w:val="Hyperlink"/>
          <w:rFonts w:ascii="Arial" w:hAnsi="Arial" w:cs="Arial"/>
          <w:color w:val="auto"/>
          <w:u w:val="none"/>
        </w:rPr>
        <w:t>within-policing</w:t>
      </w:r>
      <w:r>
        <w:rPr>
          <w:rStyle w:val="Hyperlink"/>
          <w:rFonts w:ascii="Arial" w:hAnsi="Arial" w:cs="Arial"/>
          <w:color w:val="auto"/>
          <w:u w:val="none"/>
        </w:rPr>
        <w:t xml:space="preserve"> needs to be ethical and </w:t>
      </w:r>
      <w:r w:rsidR="00CE2F5C">
        <w:rPr>
          <w:rStyle w:val="Hyperlink"/>
          <w:rFonts w:ascii="Arial" w:hAnsi="Arial" w:cs="Arial"/>
          <w:color w:val="auto"/>
          <w:u w:val="none"/>
        </w:rPr>
        <w:t xml:space="preserve">need to </w:t>
      </w:r>
      <w:r>
        <w:rPr>
          <w:rStyle w:val="Hyperlink"/>
          <w:rFonts w:ascii="Arial" w:hAnsi="Arial" w:cs="Arial"/>
          <w:color w:val="auto"/>
          <w:u w:val="none"/>
        </w:rPr>
        <w:t>reduce the issues mentioned previously. The Police</w:t>
      </w:r>
      <w:r w:rsidR="00C73AE1">
        <w:rPr>
          <w:rStyle w:val="Hyperlink"/>
          <w:rFonts w:ascii="Arial" w:hAnsi="Arial" w:cs="Arial"/>
          <w:color w:val="auto"/>
          <w:u w:val="none"/>
        </w:rPr>
        <w:t xml:space="preserve"> are required to respond </w:t>
      </w:r>
      <w:r w:rsidR="000441EE">
        <w:rPr>
          <w:rStyle w:val="Hyperlink"/>
          <w:rFonts w:ascii="Arial" w:hAnsi="Arial" w:cs="Arial"/>
          <w:color w:val="auto"/>
          <w:u w:val="none"/>
        </w:rPr>
        <w:t xml:space="preserve">to </w:t>
      </w:r>
      <w:r w:rsidR="00C73AE1">
        <w:rPr>
          <w:rStyle w:val="Hyperlink"/>
          <w:rFonts w:ascii="Arial" w:hAnsi="Arial" w:cs="Arial"/>
          <w:color w:val="auto"/>
          <w:u w:val="none"/>
        </w:rPr>
        <w:t xml:space="preserve">and regularly have to make difficult decisions in real time, fast-paced situation with varying conditions and outcomes. </w:t>
      </w:r>
      <w:r w:rsidR="00D03A8A">
        <w:rPr>
          <w:rStyle w:val="Hyperlink"/>
          <w:rFonts w:ascii="Arial" w:hAnsi="Arial" w:cs="Arial"/>
          <w:color w:val="auto"/>
          <w:u w:val="none"/>
        </w:rPr>
        <w:t xml:space="preserve">When responding to emergency calls, time is of the essence. Officers are responding to real time incidents that all vary in nature and that often pose varying threat, risk and harm to officers, the public and those involved. Officers therefore are required to make difficult decisions in fast-paced varying situations and due to this pre-planning is not always possible. What works or is appropriate for one incident may not work for another. Decision making within response real time policing is therefore incident dependant and many points need to be taken into account including the initial information given, the behaviour of individuals, the risk present, resources available and experience of officers. Ethical decision-making is essential to the effectiveness and legitimacy of the police. Ethical principles should be the basis for which decisions are made and not prejudice, bias or emotions. </w:t>
      </w:r>
    </w:p>
    <w:p w:rsidR="00E6697C" w:rsidRDefault="003E56E0" w:rsidP="00577D1F">
      <w:pPr>
        <w:overflowPunct w:val="0"/>
        <w:autoSpaceDE w:val="0"/>
        <w:autoSpaceDN w:val="0"/>
        <w:adjustRightInd w:val="0"/>
        <w:spacing w:before="240" w:after="0" w:line="240" w:lineRule="auto"/>
        <w:jc w:val="both"/>
        <w:textAlignment w:val="baseline"/>
        <w:rPr>
          <w:rStyle w:val="Hyperlink"/>
          <w:rFonts w:ascii="Arial" w:hAnsi="Arial" w:cs="Arial"/>
          <w:color w:val="auto"/>
          <w:u w:val="none"/>
        </w:rPr>
      </w:pPr>
      <w:r w:rsidRPr="003E56E0">
        <w:rPr>
          <w:rStyle w:val="Hyperlink"/>
          <w:rFonts w:ascii="Arial" w:hAnsi="Arial" w:cs="Arial"/>
          <w:color w:val="auto"/>
          <w:u w:val="none"/>
        </w:rPr>
        <w:t xml:space="preserve">In 2012 The National Decision Model was created for use within operational policing to support ethical decision making in fast, real time situations. </w:t>
      </w:r>
      <w:r w:rsidR="00E6697C" w:rsidRPr="003E56E0">
        <w:rPr>
          <w:rFonts w:ascii="Arial" w:hAnsi="Arial" w:cs="Arial"/>
        </w:rPr>
        <w:t>The NDM is a decision making model for Police Officers to use when assessing potential decisions or</w:t>
      </w:r>
      <w:r w:rsidR="00A51D0C">
        <w:rPr>
          <w:rFonts w:ascii="Arial" w:hAnsi="Arial" w:cs="Arial"/>
        </w:rPr>
        <w:t xml:space="preserve"> in order</w:t>
      </w:r>
      <w:r w:rsidR="00E6697C" w:rsidRPr="003E56E0">
        <w:rPr>
          <w:rFonts w:ascii="Arial" w:hAnsi="Arial" w:cs="Arial"/>
        </w:rPr>
        <w:t xml:space="preserve"> to review their decisions during an incident to </w:t>
      </w:r>
      <w:r w:rsidR="00A51D0C">
        <w:rPr>
          <w:rFonts w:ascii="Arial" w:hAnsi="Arial" w:cs="Arial"/>
        </w:rPr>
        <w:t>encourage</w:t>
      </w:r>
      <w:r w:rsidR="00E6697C" w:rsidRPr="003E56E0">
        <w:rPr>
          <w:rFonts w:ascii="Arial" w:hAnsi="Arial" w:cs="Arial"/>
        </w:rPr>
        <w:t xml:space="preserve"> learning</w:t>
      </w:r>
      <w:r w:rsidR="00A51D0C">
        <w:rPr>
          <w:rFonts w:ascii="Arial" w:hAnsi="Arial" w:cs="Arial"/>
        </w:rPr>
        <w:t xml:space="preserve"> and growth</w:t>
      </w:r>
      <w:r w:rsidR="00CE2F5C">
        <w:rPr>
          <w:rFonts w:ascii="Arial" w:hAnsi="Arial" w:cs="Arial"/>
        </w:rPr>
        <w:t xml:space="preserve"> as well as to minimise future mistakes</w:t>
      </w:r>
      <w:r w:rsidR="00E6697C" w:rsidRPr="003E56E0">
        <w:rPr>
          <w:rFonts w:ascii="Arial" w:hAnsi="Arial" w:cs="Arial"/>
        </w:rPr>
        <w:t>. This model aids operational officers to make decisions by providing a logical, simple and evidence bas</w:t>
      </w:r>
      <w:r w:rsidR="00A51D0C">
        <w:rPr>
          <w:rFonts w:ascii="Arial" w:hAnsi="Arial" w:cs="Arial"/>
        </w:rPr>
        <w:t>ed approach to decision making. This allows</w:t>
      </w:r>
      <w:r w:rsidR="00E6697C" w:rsidRPr="003E56E0">
        <w:rPr>
          <w:rFonts w:ascii="Arial" w:hAnsi="Arial" w:cs="Arial"/>
        </w:rPr>
        <w:t xml:space="preserve"> </w:t>
      </w:r>
      <w:r w:rsidR="00CE2F5C">
        <w:rPr>
          <w:rFonts w:ascii="Arial" w:hAnsi="Arial" w:cs="Arial"/>
        </w:rPr>
        <w:t>offices</w:t>
      </w:r>
      <w:r w:rsidR="00E6697C" w:rsidRPr="003E56E0">
        <w:rPr>
          <w:rFonts w:ascii="Arial" w:hAnsi="Arial" w:cs="Arial"/>
        </w:rPr>
        <w:t xml:space="preserve"> </w:t>
      </w:r>
      <w:r w:rsidR="00A51D0C">
        <w:rPr>
          <w:rFonts w:ascii="Arial" w:hAnsi="Arial" w:cs="Arial"/>
        </w:rPr>
        <w:t xml:space="preserve">to feel </w:t>
      </w:r>
      <w:r w:rsidR="00E6697C" w:rsidRPr="003E56E0">
        <w:rPr>
          <w:rFonts w:ascii="Arial" w:hAnsi="Arial" w:cs="Arial"/>
        </w:rPr>
        <w:t>greater confidence i</w:t>
      </w:r>
      <w:r w:rsidR="00A51D0C">
        <w:rPr>
          <w:rFonts w:ascii="Arial" w:hAnsi="Arial" w:cs="Arial"/>
        </w:rPr>
        <w:t>n their decision making process, their decisions and their actions. Further, it reduces</w:t>
      </w:r>
      <w:r w:rsidR="00E6697C" w:rsidRPr="003E56E0">
        <w:rPr>
          <w:rFonts w:ascii="Arial" w:hAnsi="Arial" w:cs="Arial"/>
        </w:rPr>
        <w:t xml:space="preserve"> officer’s reluctance to make a decision or to act </w:t>
      </w:r>
      <w:r w:rsidR="00A51D0C">
        <w:rPr>
          <w:rFonts w:ascii="Arial" w:hAnsi="Arial" w:cs="Arial"/>
        </w:rPr>
        <w:t xml:space="preserve">in a rash </w:t>
      </w:r>
      <w:r w:rsidR="00E6697C" w:rsidRPr="003E56E0">
        <w:rPr>
          <w:rFonts w:ascii="Arial" w:hAnsi="Arial" w:cs="Arial"/>
        </w:rPr>
        <w:t xml:space="preserve">or </w:t>
      </w:r>
      <w:r w:rsidR="00CE2F5C">
        <w:rPr>
          <w:rFonts w:ascii="Arial" w:hAnsi="Arial" w:cs="Arial"/>
        </w:rPr>
        <w:t xml:space="preserve">as </w:t>
      </w:r>
      <w:r w:rsidR="00E6697C" w:rsidRPr="003E56E0">
        <w:rPr>
          <w:rFonts w:ascii="Arial" w:hAnsi="Arial" w:cs="Arial"/>
        </w:rPr>
        <w:t>spontaneously as an incident may require. The NDM has five key elements, which are</w:t>
      </w:r>
      <w:r w:rsidRPr="003E56E0">
        <w:rPr>
          <w:rFonts w:ascii="Arial" w:hAnsi="Arial" w:cs="Arial"/>
        </w:rPr>
        <w:t xml:space="preserve">; </w:t>
      </w:r>
      <w:r w:rsidR="00E6697C" w:rsidRPr="003E56E0">
        <w:rPr>
          <w:rFonts w:ascii="Arial" w:hAnsi="Arial" w:cs="Arial"/>
        </w:rPr>
        <w:t>Gathering information and Intelligence</w:t>
      </w:r>
      <w:r w:rsidRPr="003E56E0">
        <w:rPr>
          <w:rFonts w:ascii="Arial" w:hAnsi="Arial" w:cs="Arial"/>
        </w:rPr>
        <w:t xml:space="preserve">, </w:t>
      </w:r>
      <w:r w:rsidR="00E6697C" w:rsidRPr="003E56E0">
        <w:rPr>
          <w:rFonts w:ascii="Arial" w:hAnsi="Arial" w:cs="Arial"/>
        </w:rPr>
        <w:t>Assessing threat and risk and developing a working strategy</w:t>
      </w:r>
      <w:r w:rsidRPr="003E56E0">
        <w:rPr>
          <w:rFonts w:ascii="Arial" w:hAnsi="Arial" w:cs="Arial"/>
        </w:rPr>
        <w:t xml:space="preserve">, </w:t>
      </w:r>
      <w:r w:rsidR="00E6697C" w:rsidRPr="003E56E0">
        <w:rPr>
          <w:rFonts w:ascii="Arial" w:hAnsi="Arial" w:cs="Arial"/>
        </w:rPr>
        <w:t>Consider powers and policy</w:t>
      </w:r>
      <w:r w:rsidRPr="003E56E0">
        <w:rPr>
          <w:rFonts w:ascii="Arial" w:hAnsi="Arial" w:cs="Arial"/>
        </w:rPr>
        <w:t xml:space="preserve">, </w:t>
      </w:r>
      <w:r w:rsidR="00E6697C" w:rsidRPr="003E56E0">
        <w:rPr>
          <w:rFonts w:ascii="Arial" w:hAnsi="Arial" w:cs="Arial"/>
        </w:rPr>
        <w:lastRenderedPageBreak/>
        <w:t>Identify options and contingencies</w:t>
      </w:r>
      <w:r w:rsidRPr="003E56E0">
        <w:rPr>
          <w:rFonts w:ascii="Arial" w:hAnsi="Arial" w:cs="Arial"/>
        </w:rPr>
        <w:t xml:space="preserve">, </w:t>
      </w:r>
      <w:r w:rsidR="00E6697C" w:rsidRPr="003E56E0">
        <w:rPr>
          <w:rFonts w:ascii="Arial" w:hAnsi="Arial" w:cs="Arial"/>
        </w:rPr>
        <w:t xml:space="preserve">Take </w:t>
      </w:r>
      <w:r>
        <w:rPr>
          <w:rFonts w:ascii="Arial" w:hAnsi="Arial" w:cs="Arial"/>
        </w:rPr>
        <w:t xml:space="preserve">action and review what happened. </w:t>
      </w:r>
      <w:sdt>
        <w:sdtPr>
          <w:rPr>
            <w:rFonts w:ascii="Arial" w:hAnsi="Arial" w:cs="Arial"/>
          </w:rPr>
          <w:id w:val="219014296"/>
          <w:citation/>
        </w:sdtPr>
        <w:sdtEndPr/>
        <w:sdtContent>
          <w:r w:rsidR="00CE2A80">
            <w:rPr>
              <w:rFonts w:ascii="Arial" w:hAnsi="Arial" w:cs="Arial"/>
            </w:rPr>
            <w:fldChar w:fldCharType="begin"/>
          </w:r>
          <w:r w:rsidR="00CE2A80">
            <w:rPr>
              <w:rFonts w:ascii="Arial" w:hAnsi="Arial" w:cs="Arial"/>
            </w:rPr>
            <w:instrText xml:space="preserve"> CITATION Nat14 \l 2057 </w:instrText>
          </w:r>
          <w:r w:rsidR="00CE2A80">
            <w:rPr>
              <w:rFonts w:ascii="Arial" w:hAnsi="Arial" w:cs="Arial"/>
            </w:rPr>
            <w:fldChar w:fldCharType="separate"/>
          </w:r>
          <w:r w:rsidR="00CE2A80" w:rsidRPr="00CE2A80">
            <w:rPr>
              <w:rFonts w:ascii="Arial" w:hAnsi="Arial" w:cs="Arial"/>
              <w:noProof/>
            </w:rPr>
            <w:t>(National Decision Model, 2014)</w:t>
          </w:r>
          <w:r w:rsidR="00CE2A80">
            <w:rPr>
              <w:rFonts w:ascii="Arial" w:hAnsi="Arial" w:cs="Arial"/>
            </w:rPr>
            <w:fldChar w:fldCharType="end"/>
          </w:r>
        </w:sdtContent>
      </w:sdt>
    </w:p>
    <w:p w:rsidR="0071568E" w:rsidRDefault="00587493" w:rsidP="00577D1F">
      <w:pPr>
        <w:overflowPunct w:val="0"/>
        <w:autoSpaceDE w:val="0"/>
        <w:autoSpaceDN w:val="0"/>
        <w:adjustRightInd w:val="0"/>
        <w:spacing w:before="240" w:after="0" w:line="240" w:lineRule="auto"/>
        <w:jc w:val="both"/>
        <w:textAlignment w:val="baseline"/>
        <w:rPr>
          <w:rStyle w:val="Hyperlink"/>
          <w:rFonts w:ascii="Arial" w:hAnsi="Arial" w:cs="Arial"/>
          <w:color w:val="auto"/>
          <w:u w:val="none"/>
        </w:rPr>
      </w:pPr>
      <w:r>
        <w:rPr>
          <w:rStyle w:val="Hyperlink"/>
          <w:rFonts w:ascii="Arial" w:hAnsi="Arial" w:cs="Arial"/>
          <w:color w:val="auto"/>
          <w:u w:val="none"/>
        </w:rPr>
        <w:t>The Code of Ethics is the central feature of the NDM and is made up of standards of professional behaviour and policing principles that</w:t>
      </w:r>
      <w:r w:rsidR="0071568E">
        <w:rPr>
          <w:rStyle w:val="Hyperlink"/>
          <w:rFonts w:ascii="Arial" w:hAnsi="Arial" w:cs="Arial"/>
          <w:color w:val="auto"/>
          <w:u w:val="none"/>
        </w:rPr>
        <w:t xml:space="preserve"> apply to all area</w:t>
      </w:r>
      <w:r w:rsidR="00CE2F5C">
        <w:rPr>
          <w:rStyle w:val="Hyperlink"/>
          <w:rFonts w:ascii="Arial" w:hAnsi="Arial" w:cs="Arial"/>
          <w:color w:val="auto"/>
          <w:u w:val="none"/>
        </w:rPr>
        <w:t>s</w:t>
      </w:r>
      <w:r w:rsidR="0071568E">
        <w:rPr>
          <w:rStyle w:val="Hyperlink"/>
          <w:rFonts w:ascii="Arial" w:hAnsi="Arial" w:cs="Arial"/>
          <w:color w:val="auto"/>
          <w:u w:val="none"/>
        </w:rPr>
        <w:t xml:space="preserve"> of policing and </w:t>
      </w:r>
      <w:r>
        <w:rPr>
          <w:rStyle w:val="Hyperlink"/>
          <w:rFonts w:ascii="Arial" w:hAnsi="Arial" w:cs="Arial"/>
          <w:color w:val="auto"/>
          <w:u w:val="none"/>
        </w:rPr>
        <w:t xml:space="preserve">all officers both on and off duty, which is also regulated by law. There are ten standards of professional policing that officers are taught and expected to uphold which include Honesty and Integrity, Authority, Respect and Courtesy, Equality and Diversity, Use of force, Orders and Instructions, Duties and Responsibilities, Confidentiality, Fitness for Work, Conduct, Challenging and Reporting Improper Conduct. Paired with these the policing principles, Accountability, Fairness, Honesty, Integrity, Leadership, Objectivity, Openness, Respect and Selflessness are also expected to be the general attitudes and approaches </w:t>
      </w:r>
      <w:r w:rsidR="0071568E">
        <w:rPr>
          <w:rStyle w:val="Hyperlink"/>
          <w:rFonts w:ascii="Arial" w:hAnsi="Arial" w:cs="Arial"/>
          <w:color w:val="auto"/>
          <w:u w:val="none"/>
        </w:rPr>
        <w:t>held by individuals and used within policing.</w:t>
      </w:r>
      <w:r w:rsidR="005007BF">
        <w:rPr>
          <w:rStyle w:val="Hyperlink"/>
          <w:rFonts w:ascii="Arial" w:hAnsi="Arial" w:cs="Arial"/>
          <w:color w:val="auto"/>
          <w:u w:val="none"/>
        </w:rPr>
        <w:t xml:space="preserve"> </w:t>
      </w:r>
      <w:sdt>
        <w:sdtPr>
          <w:rPr>
            <w:rStyle w:val="Hyperlink"/>
            <w:rFonts w:ascii="Arial" w:hAnsi="Arial" w:cs="Arial"/>
            <w:color w:val="auto"/>
            <w:u w:val="none"/>
          </w:rPr>
          <w:id w:val="1701519058"/>
          <w:citation/>
        </w:sdtPr>
        <w:sdtEndPr>
          <w:rPr>
            <w:rStyle w:val="Hyperlink"/>
          </w:rPr>
        </w:sdtEndPr>
        <w:sdtContent>
          <w:r w:rsidR="005007BF">
            <w:rPr>
              <w:rStyle w:val="Hyperlink"/>
              <w:rFonts w:ascii="Arial" w:hAnsi="Arial" w:cs="Arial"/>
              <w:color w:val="auto"/>
              <w:u w:val="none"/>
            </w:rPr>
            <w:fldChar w:fldCharType="begin"/>
          </w:r>
          <w:r w:rsidR="005007BF">
            <w:rPr>
              <w:rStyle w:val="Hyperlink"/>
              <w:rFonts w:ascii="Arial" w:hAnsi="Arial" w:cs="Arial"/>
              <w:color w:val="auto"/>
              <w:u w:val="none"/>
            </w:rPr>
            <w:instrText xml:space="preserve"> CITATION Bla205 \l 2057 </w:instrText>
          </w:r>
          <w:r w:rsidR="005007BF">
            <w:rPr>
              <w:rStyle w:val="Hyperlink"/>
              <w:rFonts w:ascii="Arial" w:hAnsi="Arial" w:cs="Arial"/>
              <w:color w:val="auto"/>
              <w:u w:val="none"/>
            </w:rPr>
            <w:fldChar w:fldCharType="separate"/>
          </w:r>
          <w:r w:rsidR="005007BF" w:rsidRPr="005007BF">
            <w:rPr>
              <w:rFonts w:ascii="Arial" w:hAnsi="Arial" w:cs="Arial"/>
              <w:noProof/>
            </w:rPr>
            <w:t>(Blackburn et al, Chapter 5 : Roles, Responsibilities and Support, 2020)</w:t>
          </w:r>
          <w:r w:rsidR="005007BF">
            <w:rPr>
              <w:rStyle w:val="Hyperlink"/>
              <w:rFonts w:ascii="Arial" w:hAnsi="Arial" w:cs="Arial"/>
              <w:color w:val="auto"/>
              <w:u w:val="none"/>
            </w:rPr>
            <w:fldChar w:fldCharType="end"/>
          </w:r>
        </w:sdtContent>
      </w:sdt>
    </w:p>
    <w:p w:rsidR="0098766E" w:rsidRDefault="005007BF" w:rsidP="00577D1F">
      <w:pPr>
        <w:overflowPunct w:val="0"/>
        <w:autoSpaceDE w:val="0"/>
        <w:autoSpaceDN w:val="0"/>
        <w:adjustRightInd w:val="0"/>
        <w:spacing w:before="240" w:after="0" w:line="240" w:lineRule="auto"/>
        <w:jc w:val="both"/>
        <w:textAlignment w:val="baseline"/>
        <w:rPr>
          <w:rStyle w:val="Hyperlink"/>
          <w:rFonts w:ascii="Arial" w:hAnsi="Arial" w:cs="Arial"/>
          <w:color w:val="auto"/>
          <w:u w:val="none"/>
        </w:rPr>
      </w:pPr>
      <w:r>
        <w:rPr>
          <w:rStyle w:val="Hyperlink"/>
          <w:rFonts w:ascii="Arial" w:hAnsi="Arial" w:cs="Arial"/>
          <w:color w:val="auto"/>
          <w:u w:val="none"/>
        </w:rPr>
        <w:t>The NDM along with the code of ethics, standards of behaviour and policing principles do not simply state the required standard of behaviour for officers. They also encourage and empower officers to do the right thing, to make the most appropriate, fair, unbiased decisions and to take personal responsibility by entrusting officers to use their professional judgement. Ethical decision making is not just a good suggestion that could be considered and used in certain situations but a necessity that should be and needs to be talked about and used by every officer every day not just for officer self-awareness but to allow for successful policing by consent.</w:t>
      </w:r>
      <w:r w:rsidR="00BC1185">
        <w:rPr>
          <w:rStyle w:val="Hyperlink"/>
          <w:rFonts w:ascii="Arial" w:hAnsi="Arial" w:cs="Arial"/>
          <w:color w:val="auto"/>
          <w:u w:val="none"/>
        </w:rPr>
        <w:t xml:space="preserve"> If th</w:t>
      </w:r>
      <w:r>
        <w:rPr>
          <w:rStyle w:val="Hyperlink"/>
          <w:rFonts w:ascii="Arial" w:hAnsi="Arial" w:cs="Arial"/>
          <w:color w:val="auto"/>
          <w:u w:val="none"/>
        </w:rPr>
        <w:t xml:space="preserve">e public, those we protect and serve distrust our </w:t>
      </w:r>
      <w:r w:rsidR="00BC1185">
        <w:rPr>
          <w:rStyle w:val="Hyperlink"/>
          <w:rFonts w:ascii="Arial" w:hAnsi="Arial" w:cs="Arial"/>
          <w:color w:val="auto"/>
          <w:u w:val="none"/>
        </w:rPr>
        <w:t>decisions</w:t>
      </w:r>
      <w:r>
        <w:rPr>
          <w:rStyle w:val="Hyperlink"/>
          <w:rFonts w:ascii="Arial" w:hAnsi="Arial" w:cs="Arial"/>
          <w:color w:val="auto"/>
          <w:u w:val="none"/>
        </w:rPr>
        <w:t xml:space="preserve"> and our ability to be fair and ethical they will not believe we are acting in their best interest and therefore are less likely to support and help us uphold the law.</w:t>
      </w:r>
      <w:r w:rsidR="00BC1185">
        <w:rPr>
          <w:rStyle w:val="Hyperlink"/>
          <w:rFonts w:ascii="Arial" w:hAnsi="Arial" w:cs="Arial"/>
          <w:color w:val="auto"/>
          <w:u w:val="none"/>
        </w:rPr>
        <w:t xml:space="preserve"> </w:t>
      </w:r>
      <w:sdt>
        <w:sdtPr>
          <w:rPr>
            <w:rStyle w:val="Hyperlink"/>
            <w:rFonts w:ascii="Arial" w:hAnsi="Arial" w:cs="Arial"/>
            <w:color w:val="auto"/>
            <w:u w:val="none"/>
          </w:rPr>
          <w:id w:val="-1354498968"/>
          <w:citation/>
        </w:sdtPr>
        <w:sdtEndPr>
          <w:rPr>
            <w:rStyle w:val="Hyperlink"/>
          </w:rPr>
        </w:sdtEndPr>
        <w:sdtContent>
          <w:r w:rsidR="00BC1185">
            <w:rPr>
              <w:rStyle w:val="Hyperlink"/>
              <w:rFonts w:ascii="Arial" w:hAnsi="Arial" w:cs="Arial"/>
              <w:color w:val="auto"/>
              <w:u w:val="none"/>
            </w:rPr>
            <w:fldChar w:fldCharType="begin"/>
          </w:r>
          <w:r w:rsidR="00BC1185">
            <w:rPr>
              <w:rStyle w:val="Hyperlink"/>
              <w:rFonts w:ascii="Arial" w:hAnsi="Arial" w:cs="Arial"/>
              <w:color w:val="auto"/>
              <w:u w:val="none"/>
            </w:rPr>
            <w:instrText xml:space="preserve">CITATION Col21 \l 2057 </w:instrText>
          </w:r>
          <w:r w:rsidR="00BC1185">
            <w:rPr>
              <w:rStyle w:val="Hyperlink"/>
              <w:rFonts w:ascii="Arial" w:hAnsi="Arial" w:cs="Arial"/>
              <w:color w:val="auto"/>
              <w:u w:val="none"/>
            </w:rPr>
            <w:fldChar w:fldCharType="separate"/>
          </w:r>
          <w:r w:rsidR="00BC1185" w:rsidRPr="00BC1185">
            <w:rPr>
              <w:rFonts w:ascii="Arial" w:hAnsi="Arial" w:cs="Arial"/>
              <w:noProof/>
            </w:rPr>
            <w:t>(College of Policing, 2021)</w:t>
          </w:r>
          <w:r w:rsidR="00BC1185">
            <w:rPr>
              <w:rStyle w:val="Hyperlink"/>
              <w:rFonts w:ascii="Arial" w:hAnsi="Arial" w:cs="Arial"/>
              <w:color w:val="auto"/>
              <w:u w:val="none"/>
            </w:rPr>
            <w:fldChar w:fldCharType="end"/>
          </w:r>
        </w:sdtContent>
      </w:sdt>
      <w:r w:rsidR="0098766E">
        <w:rPr>
          <w:rStyle w:val="Hyperlink"/>
          <w:rFonts w:ascii="Arial" w:hAnsi="Arial" w:cs="Arial"/>
          <w:color w:val="auto"/>
          <w:u w:val="none"/>
        </w:rPr>
        <w:t>. With the use of ethical consideration in real time decision making the public can be reassured and the ethical officers protected. When officers commit to thinking and behaving ethically suggestions, accusations and any investigations into issues with an officers decision or actions such as use of force, whether discrimination or bias was a factor can be minimised and ruled out.</w:t>
      </w:r>
      <w:sdt>
        <w:sdtPr>
          <w:rPr>
            <w:rStyle w:val="Hyperlink"/>
            <w:rFonts w:ascii="Arial" w:hAnsi="Arial" w:cs="Arial"/>
            <w:color w:val="auto"/>
            <w:u w:val="none"/>
          </w:rPr>
          <w:id w:val="215864014"/>
          <w:citation/>
        </w:sdtPr>
        <w:sdtEndPr>
          <w:rPr>
            <w:rStyle w:val="Hyperlink"/>
          </w:rPr>
        </w:sdtEndPr>
        <w:sdtContent>
          <w:r w:rsidR="00A0257A">
            <w:rPr>
              <w:rStyle w:val="Hyperlink"/>
              <w:rFonts w:ascii="Arial" w:hAnsi="Arial" w:cs="Arial"/>
              <w:color w:val="auto"/>
              <w:u w:val="none"/>
            </w:rPr>
            <w:fldChar w:fldCharType="begin"/>
          </w:r>
          <w:r w:rsidR="00A0257A">
            <w:rPr>
              <w:rStyle w:val="Hyperlink"/>
              <w:rFonts w:ascii="Arial" w:hAnsi="Arial" w:cs="Arial"/>
              <w:color w:val="auto"/>
              <w:u w:val="none"/>
            </w:rPr>
            <w:instrText xml:space="preserve"> CITATION Mor17 \l 2057 </w:instrText>
          </w:r>
          <w:r w:rsidR="00A0257A">
            <w:rPr>
              <w:rStyle w:val="Hyperlink"/>
              <w:rFonts w:ascii="Arial" w:hAnsi="Arial" w:cs="Arial"/>
              <w:color w:val="auto"/>
              <w:u w:val="none"/>
            </w:rPr>
            <w:fldChar w:fldCharType="separate"/>
          </w:r>
          <w:r w:rsidR="00A0257A">
            <w:rPr>
              <w:rStyle w:val="Hyperlink"/>
              <w:rFonts w:ascii="Arial" w:hAnsi="Arial" w:cs="Arial"/>
              <w:noProof/>
              <w:color w:val="auto"/>
              <w:u w:val="none"/>
            </w:rPr>
            <w:t xml:space="preserve"> </w:t>
          </w:r>
          <w:r w:rsidR="00A0257A" w:rsidRPr="00A0257A">
            <w:rPr>
              <w:rFonts w:ascii="Arial" w:hAnsi="Arial" w:cs="Arial"/>
              <w:noProof/>
            </w:rPr>
            <w:t>(Rush, 2017)</w:t>
          </w:r>
          <w:r w:rsidR="00A0257A">
            <w:rPr>
              <w:rStyle w:val="Hyperlink"/>
              <w:rFonts w:ascii="Arial" w:hAnsi="Arial" w:cs="Arial"/>
              <w:color w:val="auto"/>
              <w:u w:val="none"/>
            </w:rPr>
            <w:fldChar w:fldCharType="end"/>
          </w:r>
        </w:sdtContent>
      </w:sdt>
    </w:p>
    <w:p w:rsidR="0098766E" w:rsidRDefault="0098766E" w:rsidP="00577D1F">
      <w:pPr>
        <w:overflowPunct w:val="0"/>
        <w:autoSpaceDE w:val="0"/>
        <w:autoSpaceDN w:val="0"/>
        <w:adjustRightInd w:val="0"/>
        <w:spacing w:before="240" w:after="0" w:line="240" w:lineRule="auto"/>
        <w:jc w:val="both"/>
        <w:textAlignment w:val="baseline"/>
        <w:rPr>
          <w:rStyle w:val="Hyperlink"/>
          <w:rFonts w:ascii="Arial" w:hAnsi="Arial" w:cs="Arial"/>
          <w:color w:val="auto"/>
          <w:u w:val="none"/>
        </w:rPr>
      </w:pPr>
    </w:p>
    <w:p w:rsidR="0098766E" w:rsidRDefault="0098766E" w:rsidP="00577D1F">
      <w:pPr>
        <w:overflowPunct w:val="0"/>
        <w:autoSpaceDE w:val="0"/>
        <w:autoSpaceDN w:val="0"/>
        <w:adjustRightInd w:val="0"/>
        <w:spacing w:before="240" w:after="0" w:line="240" w:lineRule="auto"/>
        <w:jc w:val="both"/>
        <w:textAlignment w:val="baseline"/>
        <w:rPr>
          <w:rStyle w:val="Hyperlink"/>
          <w:rFonts w:ascii="Arial" w:hAnsi="Arial" w:cs="Arial"/>
          <w:color w:val="auto"/>
          <w:u w:val="none"/>
        </w:rPr>
      </w:pPr>
    </w:p>
    <w:p w:rsidR="0071568E" w:rsidRDefault="0098766E" w:rsidP="00577D1F">
      <w:pPr>
        <w:overflowPunct w:val="0"/>
        <w:autoSpaceDE w:val="0"/>
        <w:autoSpaceDN w:val="0"/>
        <w:adjustRightInd w:val="0"/>
        <w:spacing w:before="240" w:after="0" w:line="240" w:lineRule="auto"/>
        <w:jc w:val="both"/>
        <w:textAlignment w:val="baseline"/>
        <w:rPr>
          <w:rStyle w:val="Hyperlink"/>
          <w:rFonts w:ascii="Arial" w:hAnsi="Arial" w:cs="Arial"/>
          <w:color w:val="auto"/>
          <w:u w:val="none"/>
        </w:rPr>
      </w:pPr>
      <w:r>
        <w:rPr>
          <w:rStyle w:val="Hyperlink"/>
          <w:rFonts w:ascii="Arial" w:hAnsi="Arial" w:cs="Arial"/>
          <w:color w:val="auto"/>
          <w:u w:val="none"/>
        </w:rPr>
        <w:t>1028 words</w:t>
      </w:r>
    </w:p>
    <w:p w:rsidR="0071568E" w:rsidRDefault="0071568E" w:rsidP="00577D1F">
      <w:pPr>
        <w:overflowPunct w:val="0"/>
        <w:autoSpaceDE w:val="0"/>
        <w:autoSpaceDN w:val="0"/>
        <w:adjustRightInd w:val="0"/>
        <w:spacing w:before="240" w:after="0" w:line="240" w:lineRule="auto"/>
        <w:jc w:val="both"/>
        <w:textAlignment w:val="baseline"/>
        <w:rPr>
          <w:rStyle w:val="Hyperlink"/>
          <w:rFonts w:ascii="Arial" w:hAnsi="Arial" w:cs="Arial"/>
          <w:color w:val="auto"/>
          <w:u w:val="none"/>
        </w:rPr>
      </w:pPr>
    </w:p>
    <w:p w:rsidR="00113439" w:rsidRDefault="00113439" w:rsidP="00577D1F">
      <w:pPr>
        <w:overflowPunct w:val="0"/>
        <w:autoSpaceDE w:val="0"/>
        <w:autoSpaceDN w:val="0"/>
        <w:adjustRightInd w:val="0"/>
        <w:spacing w:before="240" w:after="0" w:line="240" w:lineRule="auto"/>
        <w:jc w:val="both"/>
        <w:textAlignment w:val="baseline"/>
        <w:rPr>
          <w:rStyle w:val="Hyperlink"/>
        </w:rPr>
      </w:pPr>
    </w:p>
    <w:p w:rsidR="00113439" w:rsidRDefault="00113439" w:rsidP="00577D1F">
      <w:pPr>
        <w:overflowPunct w:val="0"/>
        <w:autoSpaceDE w:val="0"/>
        <w:autoSpaceDN w:val="0"/>
        <w:adjustRightInd w:val="0"/>
        <w:spacing w:before="240" w:after="0" w:line="240" w:lineRule="auto"/>
        <w:jc w:val="both"/>
        <w:textAlignment w:val="baseline"/>
        <w:rPr>
          <w:rStyle w:val="Hyperlink"/>
        </w:rPr>
      </w:pPr>
    </w:p>
    <w:p w:rsidR="00113439" w:rsidRDefault="00113439" w:rsidP="00577D1F">
      <w:pPr>
        <w:overflowPunct w:val="0"/>
        <w:autoSpaceDE w:val="0"/>
        <w:autoSpaceDN w:val="0"/>
        <w:adjustRightInd w:val="0"/>
        <w:spacing w:before="240" w:after="0" w:line="240" w:lineRule="auto"/>
        <w:jc w:val="both"/>
        <w:textAlignment w:val="baseline"/>
        <w:rPr>
          <w:rStyle w:val="Hyperlink"/>
        </w:rPr>
      </w:pPr>
    </w:p>
    <w:p w:rsidR="00333766" w:rsidRDefault="00333766" w:rsidP="00577D1F">
      <w:pPr>
        <w:overflowPunct w:val="0"/>
        <w:autoSpaceDE w:val="0"/>
        <w:autoSpaceDN w:val="0"/>
        <w:adjustRightInd w:val="0"/>
        <w:spacing w:before="240" w:after="0" w:line="240" w:lineRule="auto"/>
        <w:jc w:val="both"/>
        <w:textAlignment w:val="baseline"/>
      </w:pPr>
    </w:p>
    <w:p w:rsidR="00577D1F" w:rsidRDefault="00577D1F" w:rsidP="00577D1F">
      <w:pPr>
        <w:overflowPunct w:val="0"/>
        <w:autoSpaceDE w:val="0"/>
        <w:autoSpaceDN w:val="0"/>
        <w:adjustRightInd w:val="0"/>
        <w:spacing w:before="240" w:after="0" w:line="240" w:lineRule="auto"/>
        <w:jc w:val="both"/>
        <w:textAlignment w:val="baseline"/>
      </w:pPr>
    </w:p>
    <w:p w:rsidR="00577D1F" w:rsidRDefault="00577D1F" w:rsidP="00577D1F">
      <w:pPr>
        <w:overflowPunct w:val="0"/>
        <w:autoSpaceDE w:val="0"/>
        <w:autoSpaceDN w:val="0"/>
        <w:adjustRightInd w:val="0"/>
        <w:spacing w:before="240" w:after="0" w:line="240" w:lineRule="auto"/>
        <w:jc w:val="both"/>
        <w:textAlignment w:val="baseline"/>
      </w:pPr>
    </w:p>
    <w:p w:rsidR="00577D1F" w:rsidRDefault="00577D1F" w:rsidP="00577D1F">
      <w:pPr>
        <w:overflowPunct w:val="0"/>
        <w:autoSpaceDE w:val="0"/>
        <w:autoSpaceDN w:val="0"/>
        <w:adjustRightInd w:val="0"/>
        <w:spacing w:before="240" w:after="0" w:line="240" w:lineRule="auto"/>
        <w:jc w:val="both"/>
        <w:textAlignment w:val="baseline"/>
      </w:pPr>
    </w:p>
    <w:p w:rsidR="00577D1F" w:rsidRDefault="00577D1F" w:rsidP="00577D1F">
      <w:pPr>
        <w:overflowPunct w:val="0"/>
        <w:autoSpaceDE w:val="0"/>
        <w:autoSpaceDN w:val="0"/>
        <w:adjustRightInd w:val="0"/>
        <w:spacing w:before="240" w:after="0" w:line="240" w:lineRule="auto"/>
        <w:jc w:val="both"/>
        <w:textAlignment w:val="baseline"/>
        <w:rPr>
          <w:rStyle w:val="Hyperlink"/>
        </w:rPr>
      </w:pPr>
    </w:p>
    <w:p w:rsidR="00286360" w:rsidRDefault="00286360" w:rsidP="00577D1F">
      <w:pPr>
        <w:overflowPunct w:val="0"/>
        <w:autoSpaceDE w:val="0"/>
        <w:autoSpaceDN w:val="0"/>
        <w:adjustRightInd w:val="0"/>
        <w:spacing w:before="240" w:after="0" w:line="240" w:lineRule="auto"/>
        <w:jc w:val="both"/>
        <w:textAlignment w:val="baseline"/>
        <w:rPr>
          <w:rStyle w:val="Hyperlink"/>
        </w:rPr>
      </w:pPr>
    </w:p>
    <w:p w:rsidR="00286360" w:rsidRPr="00577D1F" w:rsidRDefault="00286360" w:rsidP="00577D1F">
      <w:pPr>
        <w:jc w:val="both"/>
        <w:rPr>
          <w:rFonts w:ascii="Arial" w:eastAsia="Times New Roman" w:hAnsi="Arial" w:cs="Arial"/>
          <w:u w:val="single"/>
          <w:lang w:eastAsia="en-GB"/>
        </w:rPr>
      </w:pPr>
      <w:r w:rsidRPr="00577D1F">
        <w:rPr>
          <w:rFonts w:ascii="Arial" w:eastAsia="Times New Roman" w:hAnsi="Arial" w:cs="Arial"/>
          <w:u w:val="single"/>
          <w:lang w:eastAsia="en-GB"/>
        </w:rPr>
        <w:lastRenderedPageBreak/>
        <w:t>Assess the impact of organisational justice on police agency. (1000 words)</w:t>
      </w:r>
    </w:p>
    <w:p w:rsidR="00AA2355" w:rsidRPr="00AA2355" w:rsidRDefault="00AA2355" w:rsidP="00577D1F">
      <w:pPr>
        <w:jc w:val="both"/>
        <w:rPr>
          <w:rFonts w:ascii="Arial" w:eastAsia="Times New Roman" w:hAnsi="Arial" w:cs="Arial"/>
          <w:lang w:eastAsia="en-GB"/>
        </w:rPr>
      </w:pPr>
    </w:p>
    <w:p w:rsidR="00BC1185" w:rsidRDefault="00577D1F" w:rsidP="00577D1F">
      <w:pPr>
        <w:jc w:val="both"/>
        <w:rPr>
          <w:rFonts w:ascii="Arial" w:eastAsia="Times New Roman" w:hAnsi="Arial" w:cs="Arial"/>
          <w:lang w:eastAsia="en-GB"/>
        </w:rPr>
      </w:pPr>
      <w:r>
        <w:rPr>
          <w:rFonts w:ascii="Arial" w:eastAsia="Times New Roman" w:hAnsi="Arial" w:cs="Arial"/>
          <w:lang w:eastAsia="en-GB"/>
        </w:rPr>
        <w:t xml:space="preserve">This essay </w:t>
      </w:r>
      <w:r w:rsidR="00CF77E6">
        <w:rPr>
          <w:rFonts w:ascii="Arial" w:eastAsia="Times New Roman" w:hAnsi="Arial" w:cs="Arial"/>
          <w:lang w:eastAsia="en-GB"/>
        </w:rPr>
        <w:t xml:space="preserve">will look at </w:t>
      </w:r>
      <w:r>
        <w:rPr>
          <w:rFonts w:ascii="Arial" w:eastAsia="Times New Roman" w:hAnsi="Arial" w:cs="Arial"/>
          <w:lang w:eastAsia="en-GB"/>
        </w:rPr>
        <w:t xml:space="preserve">how </w:t>
      </w:r>
      <w:r w:rsidR="00CF77E6">
        <w:rPr>
          <w:rFonts w:ascii="Arial" w:eastAsia="Times New Roman" w:hAnsi="Arial" w:cs="Arial"/>
          <w:lang w:eastAsia="en-GB"/>
        </w:rPr>
        <w:t xml:space="preserve">organisational justice </w:t>
      </w:r>
      <w:r w:rsidR="001F5FBD">
        <w:rPr>
          <w:rFonts w:ascii="Arial" w:eastAsia="Times New Roman" w:hAnsi="Arial" w:cs="Arial"/>
          <w:lang w:eastAsia="en-GB"/>
        </w:rPr>
        <w:t>impacts policing</w:t>
      </w:r>
      <w:r>
        <w:rPr>
          <w:rFonts w:ascii="Arial" w:eastAsia="Times New Roman" w:hAnsi="Arial" w:cs="Arial"/>
          <w:lang w:eastAsia="en-GB"/>
        </w:rPr>
        <w:t>. I will do this</w:t>
      </w:r>
      <w:r w:rsidR="001F5FBD">
        <w:rPr>
          <w:rFonts w:ascii="Arial" w:eastAsia="Times New Roman" w:hAnsi="Arial" w:cs="Arial"/>
          <w:lang w:eastAsia="en-GB"/>
        </w:rPr>
        <w:t xml:space="preserve"> by defining</w:t>
      </w:r>
      <w:r w:rsidR="00F04085">
        <w:rPr>
          <w:rFonts w:ascii="Arial" w:eastAsia="Times New Roman" w:hAnsi="Arial" w:cs="Arial"/>
          <w:lang w:eastAsia="en-GB"/>
        </w:rPr>
        <w:t xml:space="preserve"> organisational jus</w:t>
      </w:r>
      <w:r>
        <w:rPr>
          <w:rFonts w:ascii="Arial" w:eastAsia="Times New Roman" w:hAnsi="Arial" w:cs="Arial"/>
          <w:lang w:eastAsia="en-GB"/>
        </w:rPr>
        <w:t>tice and its main parts and evaluating</w:t>
      </w:r>
      <w:r w:rsidR="00F04085">
        <w:rPr>
          <w:rFonts w:ascii="Arial" w:eastAsia="Times New Roman" w:hAnsi="Arial" w:cs="Arial"/>
          <w:lang w:eastAsia="en-GB"/>
        </w:rPr>
        <w:t xml:space="preserve"> the positive and negative impacts of organisation justice within policing. </w:t>
      </w:r>
    </w:p>
    <w:p w:rsidR="00F04085" w:rsidRDefault="00F04085" w:rsidP="00577D1F">
      <w:pPr>
        <w:jc w:val="both"/>
        <w:rPr>
          <w:rFonts w:ascii="Arial" w:eastAsia="Times New Roman" w:hAnsi="Arial" w:cs="Arial"/>
          <w:lang w:eastAsia="en-GB"/>
        </w:rPr>
      </w:pPr>
    </w:p>
    <w:p w:rsidR="00372A1B" w:rsidRDefault="00F04085" w:rsidP="00577D1F">
      <w:pPr>
        <w:jc w:val="both"/>
        <w:rPr>
          <w:rFonts w:ascii="Arial" w:eastAsia="Times New Roman" w:hAnsi="Arial" w:cs="Arial"/>
          <w:lang w:eastAsia="en-GB"/>
        </w:rPr>
      </w:pPr>
      <w:r>
        <w:rPr>
          <w:rFonts w:ascii="Arial" w:eastAsia="Times New Roman" w:hAnsi="Arial" w:cs="Arial"/>
          <w:lang w:eastAsia="en-GB"/>
        </w:rPr>
        <w:t>Organisational justice is where employees of an organisation such as South Wales Police perceive the fairness of interactions, procedures and outcomes within the workplace. ‘Fair Cop 2’ a paper surveying research within UK police organisations looks at how organisational justice can have either positive or negative impact or influence em</w:t>
      </w:r>
      <w:r w:rsidR="00DD409E">
        <w:rPr>
          <w:rFonts w:ascii="Arial" w:eastAsia="Times New Roman" w:hAnsi="Arial" w:cs="Arial"/>
          <w:lang w:eastAsia="en-GB"/>
        </w:rPr>
        <w:t xml:space="preserve">ployees behaviour or attitudes. </w:t>
      </w:r>
      <w:r w:rsidR="00372A1B">
        <w:rPr>
          <w:rFonts w:ascii="Arial" w:eastAsia="Times New Roman" w:hAnsi="Arial" w:cs="Arial"/>
          <w:lang w:eastAsia="en-GB"/>
        </w:rPr>
        <w:t xml:space="preserve">Organisational justice as a whole refers to how employees perceive fairness within the workplace and how this in turn influences employees behaviour and attitudes. Organisational justice has three key elements, distributive, procedural and interactional, all of which impact employees. </w:t>
      </w:r>
      <w:r w:rsidR="00FE586E">
        <w:rPr>
          <w:rFonts w:ascii="Arial" w:eastAsia="Times New Roman" w:hAnsi="Arial" w:cs="Arial"/>
          <w:lang w:eastAsia="en-GB"/>
        </w:rPr>
        <w:t>Distributive justice relates to how fair or proportional employees see inputs such as resources, training, workload and experiences and rewards such wages, career opportunities, job securities or promotions are distributed within the organisation. Procedural justice refers to how fair employees believe their organisations decision making process is as well as how honest and open decisions are communicated and how contact between employees and senior staff is perceived.</w:t>
      </w:r>
      <w:r w:rsidR="00360182">
        <w:rPr>
          <w:rFonts w:ascii="Arial" w:eastAsia="Times New Roman" w:hAnsi="Arial" w:cs="Arial"/>
          <w:lang w:eastAsia="en-GB"/>
        </w:rPr>
        <w:t xml:space="preserve"> Greenberg</w:t>
      </w:r>
      <w:r w:rsidR="00403314">
        <w:rPr>
          <w:rFonts w:ascii="Arial" w:eastAsia="Times New Roman" w:hAnsi="Arial" w:cs="Arial"/>
          <w:lang w:eastAsia="en-GB"/>
        </w:rPr>
        <w:t xml:space="preserve"> 1994 found that procedural justice is stronger than distributive justice as employees are willing to accept an unwanted outcome if they see the decision making process as fair.</w:t>
      </w:r>
      <w:r w:rsidR="001F5FBD">
        <w:rPr>
          <w:rFonts w:ascii="Arial" w:eastAsia="Times New Roman" w:hAnsi="Arial" w:cs="Arial"/>
          <w:lang w:eastAsia="en-GB"/>
        </w:rPr>
        <w:t xml:space="preserve"> Linking to this is Interactional Justice that relates to how employees consider each other and their interpersonal treatment including respect, truthfulness and justification.</w:t>
      </w:r>
      <w:sdt>
        <w:sdtPr>
          <w:rPr>
            <w:rFonts w:ascii="Arial" w:eastAsia="Times New Roman" w:hAnsi="Arial" w:cs="Arial"/>
            <w:lang w:eastAsia="en-GB"/>
          </w:rPr>
          <w:id w:val="-870998239"/>
          <w:citation/>
        </w:sdtPr>
        <w:sdtEndPr/>
        <w:sdtContent>
          <w:r w:rsidR="00725169">
            <w:rPr>
              <w:rFonts w:ascii="Arial" w:eastAsia="Times New Roman" w:hAnsi="Arial" w:cs="Arial"/>
              <w:lang w:eastAsia="en-GB"/>
            </w:rPr>
            <w:fldChar w:fldCharType="begin"/>
          </w:r>
          <w:r w:rsidR="00725169">
            <w:rPr>
              <w:rFonts w:ascii="Arial" w:eastAsia="Times New Roman" w:hAnsi="Arial" w:cs="Arial"/>
              <w:lang w:eastAsia="en-GB"/>
            </w:rPr>
            <w:instrText xml:space="preserve"> CITATION Bal06 \l 2057 </w:instrText>
          </w:r>
          <w:r w:rsidR="00725169">
            <w:rPr>
              <w:rFonts w:ascii="Arial" w:eastAsia="Times New Roman" w:hAnsi="Arial" w:cs="Arial"/>
              <w:lang w:eastAsia="en-GB"/>
            </w:rPr>
            <w:fldChar w:fldCharType="separate"/>
          </w:r>
          <w:r w:rsidR="00725169">
            <w:rPr>
              <w:rFonts w:ascii="Arial" w:eastAsia="Times New Roman" w:hAnsi="Arial" w:cs="Arial"/>
              <w:noProof/>
              <w:lang w:eastAsia="en-GB"/>
            </w:rPr>
            <w:t xml:space="preserve"> </w:t>
          </w:r>
          <w:r w:rsidR="00725169" w:rsidRPr="00725169">
            <w:rPr>
              <w:rFonts w:ascii="Arial" w:eastAsia="Times New Roman" w:hAnsi="Arial" w:cs="Arial"/>
              <w:noProof/>
              <w:lang w:eastAsia="en-GB"/>
            </w:rPr>
            <w:t>(Baldwin, 2006)</w:t>
          </w:r>
          <w:r w:rsidR="00725169">
            <w:rPr>
              <w:rFonts w:ascii="Arial" w:eastAsia="Times New Roman" w:hAnsi="Arial" w:cs="Arial"/>
              <w:lang w:eastAsia="en-GB"/>
            </w:rPr>
            <w:fldChar w:fldCharType="end"/>
          </w:r>
        </w:sdtContent>
      </w:sdt>
    </w:p>
    <w:p w:rsidR="001F5FBD" w:rsidRDefault="001F5FBD" w:rsidP="00577D1F">
      <w:pPr>
        <w:jc w:val="both"/>
        <w:rPr>
          <w:rFonts w:ascii="Arial" w:eastAsia="Times New Roman" w:hAnsi="Arial" w:cs="Arial"/>
          <w:lang w:eastAsia="en-GB"/>
        </w:rPr>
      </w:pPr>
    </w:p>
    <w:p w:rsidR="00B567A0" w:rsidRDefault="001F5FBD" w:rsidP="00577D1F">
      <w:pPr>
        <w:jc w:val="both"/>
        <w:rPr>
          <w:rFonts w:ascii="Arial" w:eastAsia="Times New Roman" w:hAnsi="Arial" w:cs="Arial"/>
          <w:lang w:eastAsia="en-GB"/>
        </w:rPr>
      </w:pPr>
      <w:r>
        <w:rPr>
          <w:rFonts w:ascii="Arial" w:eastAsia="Times New Roman" w:hAnsi="Arial" w:cs="Arial"/>
          <w:lang w:eastAsia="en-GB"/>
        </w:rPr>
        <w:t>It is suggested th</w:t>
      </w:r>
      <w:r w:rsidR="00DD409E">
        <w:rPr>
          <w:rFonts w:ascii="Arial" w:eastAsia="Times New Roman" w:hAnsi="Arial" w:cs="Arial"/>
          <w:lang w:eastAsia="en-GB"/>
        </w:rPr>
        <w:t>at organisational justice where there is a</w:t>
      </w:r>
      <w:r>
        <w:rPr>
          <w:rFonts w:ascii="Arial" w:eastAsia="Times New Roman" w:hAnsi="Arial" w:cs="Arial"/>
          <w:lang w:eastAsia="en-GB"/>
        </w:rPr>
        <w:t xml:space="preserve"> good perception of fairness and respect </w:t>
      </w:r>
      <w:r w:rsidR="00DD409E">
        <w:rPr>
          <w:rFonts w:ascii="Arial" w:eastAsia="Times New Roman" w:hAnsi="Arial" w:cs="Arial"/>
          <w:lang w:eastAsia="en-GB"/>
        </w:rPr>
        <w:t xml:space="preserve">present, </w:t>
      </w:r>
      <w:r>
        <w:rPr>
          <w:rFonts w:ascii="Arial" w:eastAsia="Times New Roman" w:hAnsi="Arial" w:cs="Arial"/>
          <w:lang w:eastAsia="en-GB"/>
        </w:rPr>
        <w:t xml:space="preserve">has a more prominent positive impact on employees behaviour and attitudes in the workplace which is seen to provide </w:t>
      </w:r>
      <w:r w:rsidR="00AD2C0F">
        <w:rPr>
          <w:rFonts w:ascii="Arial" w:eastAsia="Times New Roman" w:hAnsi="Arial" w:cs="Arial"/>
          <w:lang w:eastAsia="en-GB"/>
        </w:rPr>
        <w:t>numerous</w:t>
      </w:r>
      <w:r>
        <w:rPr>
          <w:rFonts w:ascii="Arial" w:eastAsia="Times New Roman" w:hAnsi="Arial" w:cs="Arial"/>
          <w:lang w:eastAsia="en-GB"/>
        </w:rPr>
        <w:t xml:space="preserve"> benefits.</w:t>
      </w:r>
      <w:r w:rsidR="00DD409E">
        <w:rPr>
          <w:rFonts w:ascii="Arial" w:eastAsia="Times New Roman" w:hAnsi="Arial" w:cs="Arial"/>
          <w:lang w:eastAsia="en-GB"/>
        </w:rPr>
        <w:t xml:space="preserve"> These include </w:t>
      </w:r>
      <w:r w:rsidR="00452CBC">
        <w:rPr>
          <w:rFonts w:ascii="Arial" w:eastAsia="Times New Roman" w:hAnsi="Arial" w:cs="Arial"/>
          <w:lang w:eastAsia="en-GB"/>
        </w:rPr>
        <w:t>individuals</w:t>
      </w:r>
      <w:r w:rsidR="00DD409E">
        <w:rPr>
          <w:rFonts w:ascii="Arial" w:eastAsia="Times New Roman" w:hAnsi="Arial" w:cs="Arial"/>
          <w:lang w:eastAsia="en-GB"/>
        </w:rPr>
        <w:t xml:space="preserve"> having and showing </w:t>
      </w:r>
      <w:r w:rsidR="00452CBC">
        <w:rPr>
          <w:rFonts w:ascii="Arial" w:eastAsia="Times New Roman" w:hAnsi="Arial" w:cs="Arial"/>
          <w:lang w:eastAsia="en-GB"/>
        </w:rPr>
        <w:t xml:space="preserve">a higher commitment to the organisation and willingness to do more and go further to benefit the organisation and the public they serve. Linking to this a rise in job satisfaction and general performance in work is also seen as a benefit which also reduces individuals negative work behaviours such as lack of effort, low mood and small thefts. </w:t>
      </w:r>
      <w:sdt>
        <w:sdtPr>
          <w:rPr>
            <w:rFonts w:ascii="Arial" w:eastAsia="Times New Roman" w:hAnsi="Arial" w:cs="Arial"/>
            <w:lang w:eastAsia="en-GB"/>
          </w:rPr>
          <w:id w:val="-1412385702"/>
          <w:citation/>
        </w:sdtPr>
        <w:sdtEndPr/>
        <w:sdtContent>
          <w:r w:rsidR="00725169">
            <w:rPr>
              <w:rFonts w:ascii="Arial" w:eastAsia="Times New Roman" w:hAnsi="Arial" w:cs="Arial"/>
              <w:lang w:eastAsia="en-GB"/>
            </w:rPr>
            <w:fldChar w:fldCharType="begin"/>
          </w:r>
          <w:r w:rsidR="00CB567F">
            <w:rPr>
              <w:rFonts w:ascii="Arial" w:eastAsia="Times New Roman" w:hAnsi="Arial" w:cs="Arial"/>
              <w:lang w:eastAsia="en-GB"/>
            </w:rPr>
            <w:instrText xml:space="preserve">CITATION Col15 \l 2057 </w:instrText>
          </w:r>
          <w:r w:rsidR="00725169">
            <w:rPr>
              <w:rFonts w:ascii="Arial" w:eastAsia="Times New Roman" w:hAnsi="Arial" w:cs="Arial"/>
              <w:lang w:eastAsia="en-GB"/>
            </w:rPr>
            <w:fldChar w:fldCharType="separate"/>
          </w:r>
          <w:r w:rsidR="00CB567F" w:rsidRPr="00CB567F">
            <w:rPr>
              <w:rFonts w:ascii="Arial" w:eastAsia="Times New Roman" w:hAnsi="Arial" w:cs="Arial"/>
              <w:noProof/>
              <w:lang w:eastAsia="en-GB"/>
            </w:rPr>
            <w:t>(College of Policing, Fair Cop 2 : Organisational Justice, behaviour and ethical policing,, 2015)</w:t>
          </w:r>
          <w:r w:rsidR="00725169">
            <w:rPr>
              <w:rFonts w:ascii="Arial" w:eastAsia="Times New Roman" w:hAnsi="Arial" w:cs="Arial"/>
              <w:lang w:eastAsia="en-GB"/>
            </w:rPr>
            <w:fldChar w:fldCharType="end"/>
          </w:r>
        </w:sdtContent>
      </w:sdt>
      <w:r w:rsidR="00725169">
        <w:rPr>
          <w:rFonts w:ascii="Arial" w:eastAsia="Times New Roman" w:hAnsi="Arial" w:cs="Arial"/>
          <w:lang w:eastAsia="en-GB"/>
        </w:rPr>
        <w:t xml:space="preserve">. </w:t>
      </w:r>
      <w:r w:rsidR="00452CBC">
        <w:rPr>
          <w:rFonts w:ascii="Arial" w:eastAsia="Times New Roman" w:hAnsi="Arial" w:cs="Arial"/>
          <w:lang w:eastAsia="en-GB"/>
        </w:rPr>
        <w:t xml:space="preserve">Policing involves a hierarchy made up of officers and differing levels of management. </w:t>
      </w:r>
      <w:r w:rsidR="00443CF6">
        <w:rPr>
          <w:rFonts w:ascii="Arial" w:eastAsia="Times New Roman" w:hAnsi="Arial" w:cs="Arial"/>
          <w:lang w:eastAsia="en-GB"/>
        </w:rPr>
        <w:t xml:space="preserve">It is suggested that when management and leadership within policing works in an organisationally just way there an increase in productivity from officers including officers often going ‘the extra mile’ as well as displaying increased relations and positivity within the workplace between officers and other staff. Further it is suggested that it reduces officers taking time off or extended periods of leave, reduces negative behaviour within the workplace as well as reducing corrupt practice that is present. </w:t>
      </w:r>
      <w:sdt>
        <w:sdtPr>
          <w:rPr>
            <w:rFonts w:ascii="Arial" w:eastAsia="Times New Roman" w:hAnsi="Arial" w:cs="Arial"/>
            <w:lang w:eastAsia="en-GB"/>
          </w:rPr>
          <w:id w:val="-1648899502"/>
          <w:citation/>
        </w:sdtPr>
        <w:sdtEndPr/>
        <w:sdtContent>
          <w:r w:rsidR="00725169">
            <w:rPr>
              <w:rFonts w:ascii="Arial" w:eastAsia="Times New Roman" w:hAnsi="Arial" w:cs="Arial"/>
              <w:lang w:eastAsia="en-GB"/>
            </w:rPr>
            <w:fldChar w:fldCharType="begin"/>
          </w:r>
          <w:r w:rsidR="00CB567F">
            <w:rPr>
              <w:rFonts w:ascii="Arial" w:eastAsia="Times New Roman" w:hAnsi="Arial" w:cs="Arial"/>
              <w:lang w:eastAsia="en-GB"/>
            </w:rPr>
            <w:instrText xml:space="preserve">CITATION Rob13 \l 2057 </w:instrText>
          </w:r>
          <w:r w:rsidR="00725169">
            <w:rPr>
              <w:rFonts w:ascii="Arial" w:eastAsia="Times New Roman" w:hAnsi="Arial" w:cs="Arial"/>
              <w:lang w:eastAsia="en-GB"/>
            </w:rPr>
            <w:fldChar w:fldCharType="separate"/>
          </w:r>
          <w:r w:rsidR="00CB567F" w:rsidRPr="00CB567F">
            <w:rPr>
              <w:rFonts w:ascii="Arial" w:eastAsia="Times New Roman" w:hAnsi="Arial" w:cs="Arial"/>
              <w:noProof/>
              <w:lang w:eastAsia="en-GB"/>
            </w:rPr>
            <w:t>(Roberts et al, 2013)</w:t>
          </w:r>
          <w:r w:rsidR="00725169">
            <w:rPr>
              <w:rFonts w:ascii="Arial" w:eastAsia="Times New Roman" w:hAnsi="Arial" w:cs="Arial"/>
              <w:lang w:eastAsia="en-GB"/>
            </w:rPr>
            <w:fldChar w:fldCharType="end"/>
          </w:r>
        </w:sdtContent>
      </w:sdt>
      <w:r w:rsidR="00CB567F">
        <w:rPr>
          <w:rFonts w:ascii="Arial" w:eastAsia="Times New Roman" w:hAnsi="Arial" w:cs="Arial"/>
          <w:lang w:eastAsia="en-GB"/>
        </w:rPr>
        <w:t xml:space="preserve">. </w:t>
      </w:r>
      <w:r w:rsidR="00443CF6">
        <w:rPr>
          <w:rFonts w:ascii="Arial" w:eastAsia="Times New Roman" w:hAnsi="Arial" w:cs="Arial"/>
          <w:lang w:eastAsia="en-GB"/>
        </w:rPr>
        <w:t xml:space="preserve">It is suggested that this positive direct impact occurs as organisational justice helps officers identify with </w:t>
      </w:r>
      <w:r w:rsidR="00782C35">
        <w:rPr>
          <w:rFonts w:ascii="Arial" w:eastAsia="Times New Roman" w:hAnsi="Arial" w:cs="Arial"/>
          <w:lang w:eastAsia="en-GB"/>
        </w:rPr>
        <w:t xml:space="preserve">and </w:t>
      </w:r>
      <w:r w:rsidR="00443CF6">
        <w:rPr>
          <w:rFonts w:ascii="Arial" w:eastAsia="Times New Roman" w:hAnsi="Arial" w:cs="Arial"/>
          <w:lang w:eastAsia="en-GB"/>
        </w:rPr>
        <w:t xml:space="preserve">understand their worth to their organisation which in turn helps them to feel included and a sense of pride in their abilities and their job therefore providing them with a greater attachment to their organisation and workforce. </w:t>
      </w:r>
      <w:r w:rsidR="00782C35">
        <w:rPr>
          <w:rFonts w:ascii="Arial" w:eastAsia="Times New Roman" w:hAnsi="Arial" w:cs="Arial"/>
          <w:lang w:eastAsia="en-GB"/>
        </w:rPr>
        <w:t>Linking to this these benefits are seen to further allow officers and employees to understand and agree with their organisations values. Within policing these values are very important and when employees are able to internalise these values, they are more able and likely to behave and act in line with those values in the interest of their organisation and the public they serve and protect.</w:t>
      </w:r>
      <w:r w:rsidR="0092146C">
        <w:rPr>
          <w:rFonts w:ascii="Arial" w:eastAsia="Times New Roman" w:hAnsi="Arial" w:cs="Arial"/>
          <w:lang w:eastAsia="en-GB"/>
        </w:rPr>
        <w:t xml:space="preserve"> Interactions with the public is an important </w:t>
      </w:r>
      <w:r w:rsidR="0092146C">
        <w:rPr>
          <w:rFonts w:ascii="Arial" w:eastAsia="Times New Roman" w:hAnsi="Arial" w:cs="Arial"/>
          <w:lang w:eastAsia="en-GB"/>
        </w:rPr>
        <w:lastRenderedPageBreak/>
        <w:t xml:space="preserve">part of policing. How the public perceive officers including police legitimacy and cooperation is linked to procedural justice. When procedurally just treatment is present within policing it allows for efficient community interactions which is integral to </w:t>
      </w:r>
      <w:r w:rsidR="00406397">
        <w:rPr>
          <w:rFonts w:ascii="Arial" w:eastAsia="Times New Roman" w:hAnsi="Arial" w:cs="Arial"/>
          <w:lang w:eastAsia="en-GB"/>
        </w:rPr>
        <w:t>community and</w:t>
      </w:r>
      <w:r w:rsidR="0092146C">
        <w:rPr>
          <w:rFonts w:ascii="Arial" w:eastAsia="Times New Roman" w:hAnsi="Arial" w:cs="Arial"/>
          <w:lang w:eastAsia="en-GB"/>
        </w:rPr>
        <w:t xml:space="preserve"> intelligence led policing. Without efficient procedural </w:t>
      </w:r>
      <w:r w:rsidR="00406397">
        <w:rPr>
          <w:rFonts w:ascii="Arial" w:eastAsia="Times New Roman" w:hAnsi="Arial" w:cs="Arial"/>
          <w:lang w:eastAsia="en-GB"/>
        </w:rPr>
        <w:t>justice,</w:t>
      </w:r>
      <w:r w:rsidR="0092146C">
        <w:rPr>
          <w:rFonts w:ascii="Arial" w:eastAsia="Times New Roman" w:hAnsi="Arial" w:cs="Arial"/>
          <w:lang w:eastAsia="en-GB"/>
        </w:rPr>
        <w:t xml:space="preserve"> there can be a reduction in </w:t>
      </w:r>
      <w:r w:rsidR="00406397">
        <w:rPr>
          <w:rFonts w:ascii="Arial" w:eastAsia="Times New Roman" w:hAnsi="Arial" w:cs="Arial"/>
          <w:lang w:eastAsia="en-GB"/>
        </w:rPr>
        <w:t>cooperation, which</w:t>
      </w:r>
      <w:r w:rsidR="0092146C">
        <w:rPr>
          <w:rFonts w:ascii="Arial" w:eastAsia="Times New Roman" w:hAnsi="Arial" w:cs="Arial"/>
          <w:lang w:eastAsia="en-GB"/>
        </w:rPr>
        <w:t xml:space="preserve"> can negatively affect the flow of information which policing relies on specifically with victims, witnesses, suspects and informants. </w:t>
      </w:r>
      <w:sdt>
        <w:sdtPr>
          <w:rPr>
            <w:rFonts w:ascii="Arial" w:eastAsia="Times New Roman" w:hAnsi="Arial" w:cs="Arial"/>
            <w:lang w:eastAsia="en-GB"/>
          </w:rPr>
          <w:id w:val="1114633989"/>
          <w:citation/>
        </w:sdtPr>
        <w:sdtEndPr/>
        <w:sdtContent>
          <w:r w:rsidR="00CB567F">
            <w:rPr>
              <w:rFonts w:ascii="Arial" w:eastAsia="Times New Roman" w:hAnsi="Arial" w:cs="Arial"/>
              <w:lang w:eastAsia="en-GB"/>
            </w:rPr>
            <w:fldChar w:fldCharType="begin"/>
          </w:r>
          <w:r w:rsidR="00CB567F">
            <w:rPr>
              <w:rFonts w:ascii="Arial" w:eastAsia="Times New Roman" w:hAnsi="Arial" w:cs="Arial"/>
              <w:lang w:eastAsia="en-GB"/>
            </w:rPr>
            <w:instrText xml:space="preserve"> CITATION Qui15 \l 2057 </w:instrText>
          </w:r>
          <w:r w:rsidR="00CB567F">
            <w:rPr>
              <w:rFonts w:ascii="Arial" w:eastAsia="Times New Roman" w:hAnsi="Arial" w:cs="Arial"/>
              <w:lang w:eastAsia="en-GB"/>
            </w:rPr>
            <w:fldChar w:fldCharType="separate"/>
          </w:r>
          <w:r w:rsidR="00CB567F" w:rsidRPr="00CB567F">
            <w:rPr>
              <w:rFonts w:ascii="Arial" w:eastAsia="Times New Roman" w:hAnsi="Arial" w:cs="Arial"/>
              <w:noProof/>
              <w:lang w:eastAsia="en-GB"/>
            </w:rPr>
            <w:t>(Quinton et al, 2015)</w:t>
          </w:r>
          <w:r w:rsidR="00CB567F">
            <w:rPr>
              <w:rFonts w:ascii="Arial" w:eastAsia="Times New Roman" w:hAnsi="Arial" w:cs="Arial"/>
              <w:lang w:eastAsia="en-GB"/>
            </w:rPr>
            <w:fldChar w:fldCharType="end"/>
          </w:r>
        </w:sdtContent>
      </w:sdt>
    </w:p>
    <w:p w:rsidR="00043076" w:rsidRDefault="00043076" w:rsidP="00577D1F">
      <w:pPr>
        <w:jc w:val="both"/>
        <w:rPr>
          <w:rFonts w:ascii="Arial" w:eastAsia="Times New Roman" w:hAnsi="Arial" w:cs="Arial"/>
          <w:lang w:eastAsia="en-GB"/>
        </w:rPr>
      </w:pPr>
    </w:p>
    <w:p w:rsidR="00043076" w:rsidRPr="00AE7D21" w:rsidRDefault="00043076" w:rsidP="00577D1F">
      <w:pPr>
        <w:pStyle w:val="NoSpacing"/>
        <w:jc w:val="both"/>
        <w:rPr>
          <w:color w:val="FF0000"/>
        </w:rPr>
      </w:pPr>
      <w:r>
        <w:rPr>
          <w:rFonts w:ascii="Arial" w:eastAsia="Times New Roman" w:hAnsi="Arial" w:cs="Arial"/>
          <w:lang w:eastAsia="en-GB"/>
        </w:rPr>
        <w:t>When organisational justice within policing is lacking or negative it is suggested that these lead to negative impacts within policing. When employees within policing have experiences of unfairness within the workplace it is suggested it makes employees feel like they are not valued, included or appreciated within the organisation. This in turn can be seen to have a knock on effect and further negatively effect an employees attachment and dedication to their role and organisation as well as their attitude and behaviour within the workplace a</w:t>
      </w:r>
      <w:r w:rsidR="00AE7D21">
        <w:rPr>
          <w:rFonts w:ascii="Arial" w:eastAsia="Times New Roman" w:hAnsi="Arial" w:cs="Arial"/>
          <w:lang w:eastAsia="en-GB"/>
        </w:rPr>
        <w:t xml:space="preserve">nd when dealing with the public which could lead to decreased performance, an increase in complaints and staff turnover. </w:t>
      </w:r>
      <w:r w:rsidRPr="00AE7D21">
        <w:rPr>
          <w:rFonts w:ascii="Arial" w:eastAsia="Times New Roman" w:hAnsi="Arial" w:cs="Arial"/>
          <w:lang w:eastAsia="en-GB"/>
        </w:rPr>
        <w:t xml:space="preserve">When there is a lack of positive or strong organisational justice there is a suggestion that officers may instead identify with </w:t>
      </w:r>
      <w:r w:rsidR="00AE7D21" w:rsidRPr="00AE7D21">
        <w:rPr>
          <w:rFonts w:ascii="Arial" w:eastAsia="Times New Roman" w:hAnsi="Arial" w:cs="Arial"/>
          <w:lang w:eastAsia="en-GB"/>
        </w:rPr>
        <w:t>an organisational police subculture. If officers gain confidence from this subculture there can be many negative impacts and characteristics including issues with prejudice, cynicism and in worst cases unethical behaviour or corruption.</w:t>
      </w:r>
      <w:sdt>
        <w:sdtPr>
          <w:rPr>
            <w:rFonts w:ascii="Arial" w:eastAsia="Times New Roman" w:hAnsi="Arial" w:cs="Arial"/>
            <w:lang w:eastAsia="en-GB"/>
          </w:rPr>
          <w:id w:val="571161730"/>
          <w:citation/>
        </w:sdtPr>
        <w:sdtEndPr/>
        <w:sdtContent>
          <w:r w:rsidR="00CB567F">
            <w:rPr>
              <w:rFonts w:ascii="Arial" w:eastAsia="Times New Roman" w:hAnsi="Arial" w:cs="Arial"/>
              <w:lang w:eastAsia="en-GB"/>
            </w:rPr>
            <w:fldChar w:fldCharType="begin"/>
          </w:r>
          <w:r w:rsidR="00CB567F">
            <w:rPr>
              <w:rFonts w:ascii="Arial" w:eastAsia="Times New Roman" w:hAnsi="Arial" w:cs="Arial"/>
              <w:lang w:eastAsia="en-GB"/>
            </w:rPr>
            <w:instrText xml:space="preserve"> CITATION Qui15 \l 2057 </w:instrText>
          </w:r>
          <w:r w:rsidR="00CB567F">
            <w:rPr>
              <w:rFonts w:ascii="Arial" w:eastAsia="Times New Roman" w:hAnsi="Arial" w:cs="Arial"/>
              <w:lang w:eastAsia="en-GB"/>
            </w:rPr>
            <w:fldChar w:fldCharType="separate"/>
          </w:r>
          <w:r w:rsidR="00CB567F">
            <w:rPr>
              <w:rFonts w:ascii="Arial" w:eastAsia="Times New Roman" w:hAnsi="Arial" w:cs="Arial"/>
              <w:noProof/>
              <w:lang w:eastAsia="en-GB"/>
            </w:rPr>
            <w:t xml:space="preserve"> </w:t>
          </w:r>
          <w:r w:rsidR="00CB567F" w:rsidRPr="00CB567F">
            <w:rPr>
              <w:rFonts w:ascii="Arial" w:eastAsia="Times New Roman" w:hAnsi="Arial" w:cs="Arial"/>
              <w:noProof/>
              <w:lang w:eastAsia="en-GB"/>
            </w:rPr>
            <w:t>(Quinton et al, 2015)</w:t>
          </w:r>
          <w:r w:rsidR="00CB567F">
            <w:rPr>
              <w:rFonts w:ascii="Arial" w:eastAsia="Times New Roman" w:hAnsi="Arial" w:cs="Arial"/>
              <w:lang w:eastAsia="en-GB"/>
            </w:rPr>
            <w:fldChar w:fldCharType="end"/>
          </w:r>
        </w:sdtContent>
      </w:sdt>
    </w:p>
    <w:p w:rsidR="00043076" w:rsidRDefault="00043076" w:rsidP="00577D1F">
      <w:pPr>
        <w:jc w:val="both"/>
        <w:rPr>
          <w:rFonts w:ascii="Arial" w:eastAsia="Times New Roman" w:hAnsi="Arial" w:cs="Arial"/>
          <w:lang w:eastAsia="en-GB"/>
        </w:rPr>
      </w:pPr>
    </w:p>
    <w:p w:rsidR="00043076" w:rsidRDefault="005848F6" w:rsidP="00577D1F">
      <w:pPr>
        <w:jc w:val="both"/>
        <w:rPr>
          <w:rFonts w:ascii="Arial" w:eastAsia="Times New Roman" w:hAnsi="Arial" w:cs="Arial"/>
          <w:lang w:eastAsia="en-GB"/>
        </w:rPr>
      </w:pPr>
      <w:r>
        <w:rPr>
          <w:rFonts w:ascii="Arial" w:eastAsia="Times New Roman" w:hAnsi="Arial" w:cs="Arial"/>
          <w:lang w:eastAsia="en-GB"/>
        </w:rPr>
        <w:t xml:space="preserve">Two surveys assessing organisational justice within a policing context looked at how organisational justice impacts behaviour, cooperation, rule following, police culture, ethical policing and sense of authority. The evidence in both found that how fairness and respect is perceived within policing has a considerable and consistent positive effect on workforce behaviours and also seen to be more effective than incentives. Fairness and respect from management was further shown to be crucial. When management is seen to make fair decision and treat employees with respect they </w:t>
      </w:r>
      <w:r w:rsidR="008E07DB">
        <w:rPr>
          <w:rFonts w:ascii="Arial" w:eastAsia="Times New Roman" w:hAnsi="Arial" w:cs="Arial"/>
          <w:lang w:eastAsia="en-GB"/>
        </w:rPr>
        <w:t xml:space="preserve">are encouraged to feel valued by the organisation and take on their values as well as being more likely to provide a good quality of service to those they serve. Individuals will go out of their way to help others and feel empowered to use their professional judgement which in turn will positively impact the public and communities the police serve. Furthermore employees are more inclined to understand and follow policies, procedures and instructions or sanctions when fairness and respect is seen as being present within the organisation. Organisational justice within policing is not only present but it also appears to be necessary. Organisational justice has both positive and negative impacts however the positive impacts it is seen to have on employee attitudes, behaviour, police culture, self-legitimacy and ethical policing shows that </w:t>
      </w:r>
      <w:r w:rsidR="00BD64A2">
        <w:rPr>
          <w:rFonts w:ascii="Arial" w:eastAsia="Times New Roman" w:hAnsi="Arial" w:cs="Arial"/>
          <w:lang w:eastAsia="en-GB"/>
        </w:rPr>
        <w:t>fair decision making and treating each other with respect provides both benefits for the organisation and the public.</w:t>
      </w:r>
      <w:sdt>
        <w:sdtPr>
          <w:rPr>
            <w:rFonts w:ascii="Arial" w:eastAsia="Times New Roman" w:hAnsi="Arial" w:cs="Arial"/>
            <w:lang w:eastAsia="en-GB"/>
          </w:rPr>
          <w:id w:val="1674533034"/>
          <w:citation/>
        </w:sdtPr>
        <w:sdtEndPr/>
        <w:sdtContent>
          <w:r w:rsidR="00CB567F">
            <w:rPr>
              <w:rFonts w:ascii="Arial" w:eastAsia="Times New Roman" w:hAnsi="Arial" w:cs="Arial"/>
              <w:lang w:eastAsia="en-GB"/>
            </w:rPr>
            <w:fldChar w:fldCharType="begin"/>
          </w:r>
          <w:r w:rsidR="00CB567F">
            <w:rPr>
              <w:rFonts w:ascii="Arial" w:eastAsia="Times New Roman" w:hAnsi="Arial" w:cs="Arial"/>
              <w:lang w:eastAsia="en-GB"/>
            </w:rPr>
            <w:instrText xml:space="preserve"> CITATION Col15 \l 2057 </w:instrText>
          </w:r>
          <w:r w:rsidR="00CB567F">
            <w:rPr>
              <w:rFonts w:ascii="Arial" w:eastAsia="Times New Roman" w:hAnsi="Arial" w:cs="Arial"/>
              <w:lang w:eastAsia="en-GB"/>
            </w:rPr>
            <w:fldChar w:fldCharType="separate"/>
          </w:r>
          <w:r w:rsidR="00CB567F">
            <w:rPr>
              <w:rFonts w:ascii="Arial" w:eastAsia="Times New Roman" w:hAnsi="Arial" w:cs="Arial"/>
              <w:noProof/>
              <w:lang w:eastAsia="en-GB"/>
            </w:rPr>
            <w:t xml:space="preserve"> </w:t>
          </w:r>
          <w:r w:rsidR="00CB567F" w:rsidRPr="00CB567F">
            <w:rPr>
              <w:rFonts w:ascii="Arial" w:eastAsia="Times New Roman" w:hAnsi="Arial" w:cs="Arial"/>
              <w:noProof/>
              <w:lang w:eastAsia="en-GB"/>
            </w:rPr>
            <w:t>(College of Policing, Fair Cop 2 : Organisational Justice, behaviour and ethical policing,, 2015)</w:t>
          </w:r>
          <w:r w:rsidR="00CB567F">
            <w:rPr>
              <w:rFonts w:ascii="Arial" w:eastAsia="Times New Roman" w:hAnsi="Arial" w:cs="Arial"/>
              <w:lang w:eastAsia="en-GB"/>
            </w:rPr>
            <w:fldChar w:fldCharType="end"/>
          </w:r>
        </w:sdtContent>
      </w:sdt>
    </w:p>
    <w:p w:rsidR="00043076" w:rsidRDefault="00043076" w:rsidP="00577D1F">
      <w:pPr>
        <w:jc w:val="both"/>
        <w:rPr>
          <w:rFonts w:ascii="Arial" w:eastAsia="Times New Roman" w:hAnsi="Arial" w:cs="Arial"/>
          <w:lang w:eastAsia="en-GB"/>
        </w:rPr>
      </w:pPr>
    </w:p>
    <w:p w:rsidR="00043076" w:rsidRDefault="00577D1F" w:rsidP="00577D1F">
      <w:pPr>
        <w:jc w:val="both"/>
        <w:rPr>
          <w:rFonts w:ascii="Arial" w:eastAsia="Times New Roman" w:hAnsi="Arial" w:cs="Arial"/>
          <w:lang w:eastAsia="en-GB"/>
        </w:rPr>
      </w:pPr>
      <w:r>
        <w:rPr>
          <w:rFonts w:ascii="Arial" w:eastAsia="Times New Roman" w:hAnsi="Arial" w:cs="Arial"/>
          <w:lang w:eastAsia="en-GB"/>
        </w:rPr>
        <w:t>106</w:t>
      </w:r>
      <w:r w:rsidR="007E117E">
        <w:rPr>
          <w:rFonts w:ascii="Arial" w:eastAsia="Times New Roman" w:hAnsi="Arial" w:cs="Arial"/>
          <w:lang w:eastAsia="en-GB"/>
        </w:rPr>
        <w:t>8 words</w:t>
      </w:r>
    </w:p>
    <w:p w:rsidR="007E117E" w:rsidRDefault="007E117E" w:rsidP="00577D1F">
      <w:pPr>
        <w:jc w:val="both"/>
        <w:rPr>
          <w:rFonts w:ascii="Arial" w:eastAsia="Times New Roman" w:hAnsi="Arial" w:cs="Arial"/>
          <w:lang w:eastAsia="en-GB"/>
        </w:rPr>
      </w:pPr>
    </w:p>
    <w:p w:rsidR="007E117E" w:rsidRDefault="007E117E" w:rsidP="00577D1F">
      <w:pPr>
        <w:jc w:val="both"/>
        <w:rPr>
          <w:rFonts w:ascii="Arial" w:eastAsia="Times New Roman" w:hAnsi="Arial" w:cs="Arial"/>
          <w:lang w:eastAsia="en-GB"/>
        </w:rPr>
      </w:pPr>
    </w:p>
    <w:p w:rsidR="00286360" w:rsidRDefault="00286360" w:rsidP="00577D1F">
      <w:pPr>
        <w:jc w:val="both"/>
        <w:rPr>
          <w:rFonts w:ascii="Arial" w:eastAsia="Times New Roman" w:hAnsi="Arial" w:cs="Arial"/>
          <w:lang w:eastAsia="en-GB"/>
        </w:rPr>
      </w:pPr>
    </w:p>
    <w:p w:rsidR="00AA2355" w:rsidRPr="00286360" w:rsidRDefault="00AA2355" w:rsidP="00577D1F">
      <w:pPr>
        <w:jc w:val="both"/>
        <w:rPr>
          <w:rFonts w:ascii="Arial" w:eastAsia="Times New Roman" w:hAnsi="Arial" w:cs="Arial"/>
          <w:lang w:eastAsia="en-GB"/>
        </w:rPr>
      </w:pPr>
    </w:p>
    <w:p w:rsidR="00286360" w:rsidRPr="00577D1F" w:rsidRDefault="00286360" w:rsidP="00577D1F">
      <w:pPr>
        <w:overflowPunct w:val="0"/>
        <w:autoSpaceDE w:val="0"/>
        <w:autoSpaceDN w:val="0"/>
        <w:adjustRightInd w:val="0"/>
        <w:spacing w:before="240" w:after="0" w:line="240" w:lineRule="auto"/>
        <w:jc w:val="both"/>
        <w:textAlignment w:val="baseline"/>
        <w:rPr>
          <w:rFonts w:ascii="Arial" w:eastAsia="Times New Roman" w:hAnsi="Arial" w:cs="Arial"/>
          <w:i/>
          <w:iCs/>
          <w:u w:val="single"/>
          <w:lang w:eastAsia="en-GB"/>
        </w:rPr>
      </w:pPr>
      <w:r w:rsidRPr="00577D1F">
        <w:rPr>
          <w:rFonts w:ascii="Arial" w:eastAsia="Times New Roman" w:hAnsi="Arial" w:cs="Arial"/>
          <w:u w:val="single"/>
          <w:lang w:eastAsia="en-GB"/>
        </w:rPr>
        <w:lastRenderedPageBreak/>
        <w:t>Analyse potential links between serious and organised crime and public protection issues (1000 words)</w:t>
      </w:r>
    </w:p>
    <w:p w:rsidR="00286360" w:rsidRDefault="00286360" w:rsidP="00577D1F">
      <w:pPr>
        <w:pStyle w:val="ListParagraph"/>
        <w:jc w:val="both"/>
        <w:rPr>
          <w:rFonts w:ascii="Arial" w:eastAsia="Times New Roman" w:hAnsi="Arial" w:cs="Arial"/>
          <w:lang w:eastAsia="en-GB"/>
        </w:rPr>
      </w:pPr>
    </w:p>
    <w:p w:rsidR="009E7927" w:rsidRDefault="00AA2355" w:rsidP="00577D1F">
      <w:pPr>
        <w:jc w:val="both"/>
        <w:rPr>
          <w:rFonts w:ascii="Arial" w:eastAsia="Times New Roman" w:hAnsi="Arial" w:cs="Arial"/>
          <w:lang w:eastAsia="en-GB"/>
        </w:rPr>
      </w:pPr>
      <w:r>
        <w:rPr>
          <w:rFonts w:ascii="Arial" w:eastAsia="Times New Roman" w:hAnsi="Arial" w:cs="Arial"/>
          <w:lang w:eastAsia="en-GB"/>
        </w:rPr>
        <w:t xml:space="preserve">This essay will look at </w:t>
      </w:r>
      <w:r w:rsidR="009E7927">
        <w:rPr>
          <w:rFonts w:ascii="Arial" w:eastAsia="Times New Roman" w:hAnsi="Arial" w:cs="Arial"/>
          <w:lang w:eastAsia="en-GB"/>
        </w:rPr>
        <w:t xml:space="preserve">serious and </w:t>
      </w:r>
      <w:r>
        <w:rPr>
          <w:rFonts w:ascii="Arial" w:eastAsia="Times New Roman" w:hAnsi="Arial" w:cs="Arial"/>
          <w:lang w:eastAsia="en-GB"/>
        </w:rPr>
        <w:t>organised crime and public protection</w:t>
      </w:r>
      <w:r w:rsidR="009E7927">
        <w:rPr>
          <w:rFonts w:ascii="Arial" w:eastAsia="Times New Roman" w:hAnsi="Arial" w:cs="Arial"/>
          <w:lang w:eastAsia="en-GB"/>
        </w:rPr>
        <w:t xml:space="preserve"> issues</w:t>
      </w:r>
      <w:r>
        <w:rPr>
          <w:rFonts w:ascii="Arial" w:eastAsia="Times New Roman" w:hAnsi="Arial" w:cs="Arial"/>
          <w:lang w:eastAsia="en-GB"/>
        </w:rPr>
        <w:t xml:space="preserve"> within policing. To achieve this I am going to look at what Serious and Organised crime is and the role of the police to protect those who are the most vulnerable. I will </w:t>
      </w:r>
      <w:r w:rsidR="00D32D80">
        <w:rPr>
          <w:rFonts w:ascii="Arial" w:eastAsia="Times New Roman" w:hAnsi="Arial" w:cs="Arial"/>
          <w:lang w:eastAsia="en-GB"/>
        </w:rPr>
        <w:t xml:space="preserve">also look at what is being used </w:t>
      </w:r>
      <w:r w:rsidR="00A259E1">
        <w:rPr>
          <w:rFonts w:ascii="Arial" w:eastAsia="Times New Roman" w:hAnsi="Arial" w:cs="Arial"/>
          <w:lang w:eastAsia="en-GB"/>
        </w:rPr>
        <w:t xml:space="preserve">to combat the issue. </w:t>
      </w:r>
    </w:p>
    <w:p w:rsidR="00854173" w:rsidRPr="00854173" w:rsidRDefault="009E7927" w:rsidP="00577D1F">
      <w:pPr>
        <w:overflowPunct w:val="0"/>
        <w:autoSpaceDE w:val="0"/>
        <w:autoSpaceDN w:val="0"/>
        <w:adjustRightInd w:val="0"/>
        <w:spacing w:before="240" w:after="0" w:line="240" w:lineRule="auto"/>
        <w:jc w:val="both"/>
        <w:textAlignment w:val="baseline"/>
        <w:rPr>
          <w:rFonts w:ascii="Arial" w:eastAsia="Times New Roman" w:hAnsi="Arial" w:cs="Arial"/>
          <w:u w:val="single"/>
          <w:lang w:eastAsia="en-GB"/>
        </w:rPr>
      </w:pPr>
      <w:r>
        <w:rPr>
          <w:rFonts w:ascii="Arial" w:eastAsia="Times New Roman" w:hAnsi="Arial" w:cs="Arial"/>
          <w:lang w:eastAsia="en-GB"/>
        </w:rPr>
        <w:t>Serious and organised crime</w:t>
      </w:r>
      <w:r w:rsidR="00F43E66">
        <w:rPr>
          <w:rFonts w:ascii="Arial" w:eastAsia="Times New Roman" w:hAnsi="Arial" w:cs="Arial"/>
          <w:lang w:eastAsia="en-GB"/>
        </w:rPr>
        <w:t xml:space="preserve"> (SOC) is where individuals, </w:t>
      </w:r>
      <w:r>
        <w:rPr>
          <w:rFonts w:ascii="Arial" w:eastAsia="Times New Roman" w:hAnsi="Arial" w:cs="Arial"/>
          <w:lang w:eastAsia="en-GB"/>
        </w:rPr>
        <w:t>groups</w:t>
      </w:r>
      <w:r w:rsidR="00F43E66">
        <w:rPr>
          <w:rFonts w:ascii="Arial" w:eastAsia="Times New Roman" w:hAnsi="Arial" w:cs="Arial"/>
          <w:lang w:eastAsia="en-GB"/>
        </w:rPr>
        <w:t xml:space="preserve"> or networks</w:t>
      </w:r>
      <w:r>
        <w:rPr>
          <w:rFonts w:ascii="Arial" w:eastAsia="Times New Roman" w:hAnsi="Arial" w:cs="Arial"/>
          <w:lang w:eastAsia="en-GB"/>
        </w:rPr>
        <w:t xml:space="preserve"> plan</w:t>
      </w:r>
      <w:r w:rsidR="00F43E66">
        <w:rPr>
          <w:rFonts w:ascii="Arial" w:eastAsia="Times New Roman" w:hAnsi="Arial" w:cs="Arial"/>
          <w:lang w:eastAsia="en-GB"/>
        </w:rPr>
        <w:t>, a</w:t>
      </w:r>
      <w:r>
        <w:rPr>
          <w:rFonts w:ascii="Arial" w:eastAsia="Times New Roman" w:hAnsi="Arial" w:cs="Arial"/>
          <w:lang w:eastAsia="en-GB"/>
        </w:rPr>
        <w:t>rrange and carry out serious crime by u</w:t>
      </w:r>
      <w:r w:rsidR="00D32D80">
        <w:rPr>
          <w:rFonts w:ascii="Arial" w:eastAsia="Times New Roman" w:hAnsi="Arial" w:cs="Arial"/>
          <w:lang w:eastAsia="en-GB"/>
        </w:rPr>
        <w:t>sing violence, threats or</w:t>
      </w:r>
      <w:r w:rsidR="00F43E66">
        <w:rPr>
          <w:rFonts w:ascii="Arial" w:eastAsia="Times New Roman" w:hAnsi="Arial" w:cs="Arial"/>
          <w:lang w:eastAsia="en-GB"/>
        </w:rPr>
        <w:t xml:space="preserve"> fear</w:t>
      </w:r>
      <w:r>
        <w:rPr>
          <w:rFonts w:ascii="Arial" w:eastAsia="Times New Roman" w:hAnsi="Arial" w:cs="Arial"/>
          <w:lang w:eastAsia="en-GB"/>
        </w:rPr>
        <w:t xml:space="preserve"> to both intimidate and manipulate vulnerable people</w:t>
      </w:r>
      <w:r w:rsidR="00F43E66">
        <w:rPr>
          <w:rFonts w:ascii="Arial" w:eastAsia="Times New Roman" w:hAnsi="Arial" w:cs="Arial"/>
          <w:lang w:eastAsia="en-GB"/>
        </w:rPr>
        <w:t>,</w:t>
      </w:r>
      <w:r>
        <w:rPr>
          <w:rFonts w:ascii="Arial" w:eastAsia="Times New Roman" w:hAnsi="Arial" w:cs="Arial"/>
          <w:lang w:eastAsia="en-GB"/>
        </w:rPr>
        <w:t xml:space="preserve"> to get what the</w:t>
      </w:r>
      <w:r w:rsidR="00F43E66">
        <w:rPr>
          <w:rFonts w:ascii="Arial" w:eastAsia="Times New Roman" w:hAnsi="Arial" w:cs="Arial"/>
          <w:lang w:eastAsia="en-GB"/>
        </w:rPr>
        <w:t>y want. Their motivation varies depending on the crime however</w:t>
      </w:r>
      <w:r w:rsidR="00D32D80">
        <w:rPr>
          <w:rFonts w:ascii="Arial" w:eastAsia="Times New Roman" w:hAnsi="Arial" w:cs="Arial"/>
          <w:lang w:eastAsia="en-GB"/>
        </w:rPr>
        <w:t>,</w:t>
      </w:r>
      <w:r w:rsidR="00F43E66">
        <w:rPr>
          <w:rFonts w:ascii="Arial" w:eastAsia="Times New Roman" w:hAnsi="Arial" w:cs="Arial"/>
          <w:lang w:eastAsia="en-GB"/>
        </w:rPr>
        <w:t xml:space="preserve"> it is usually</w:t>
      </w:r>
      <w:r w:rsidR="00D32D80">
        <w:rPr>
          <w:rFonts w:ascii="Arial" w:eastAsia="Times New Roman" w:hAnsi="Arial" w:cs="Arial"/>
          <w:lang w:eastAsia="en-GB"/>
        </w:rPr>
        <w:t xml:space="preserve"> for</w:t>
      </w:r>
      <w:r w:rsidR="00F43E66">
        <w:rPr>
          <w:rFonts w:ascii="Arial" w:eastAsia="Times New Roman" w:hAnsi="Arial" w:cs="Arial"/>
          <w:lang w:eastAsia="en-GB"/>
        </w:rPr>
        <w:t xml:space="preserve"> </w:t>
      </w:r>
      <w:r w:rsidR="00D32D80">
        <w:rPr>
          <w:rFonts w:ascii="Arial" w:eastAsia="Times New Roman" w:hAnsi="Arial" w:cs="Arial"/>
          <w:lang w:eastAsia="en-GB"/>
        </w:rPr>
        <w:t>financial gain and</w:t>
      </w:r>
      <w:r w:rsidR="00F43E66">
        <w:rPr>
          <w:rFonts w:ascii="Arial" w:eastAsia="Times New Roman" w:hAnsi="Arial" w:cs="Arial"/>
          <w:lang w:eastAsia="en-GB"/>
        </w:rPr>
        <w:t xml:space="preserve"> power. In 2015/2016 there were over 4500 organised crime groups found to be actively operating within the UK</w:t>
      </w:r>
      <w:r w:rsidR="000C0F32">
        <w:rPr>
          <w:rFonts w:ascii="Arial" w:eastAsia="Times New Roman" w:hAnsi="Arial" w:cs="Arial"/>
          <w:lang w:eastAsia="en-GB"/>
        </w:rPr>
        <w:t>,</w:t>
      </w:r>
      <w:r w:rsidR="00F43E66">
        <w:rPr>
          <w:rFonts w:ascii="Arial" w:eastAsia="Times New Roman" w:hAnsi="Arial" w:cs="Arial"/>
          <w:lang w:eastAsia="en-GB"/>
        </w:rPr>
        <w:t xml:space="preserve"> with the estimated cost from this being approximately £37 billion. </w:t>
      </w:r>
      <w:r w:rsidR="003768C6">
        <w:rPr>
          <w:rFonts w:ascii="Arial" w:eastAsia="Times New Roman" w:hAnsi="Arial" w:cs="Arial"/>
          <w:lang w:eastAsia="en-GB"/>
        </w:rPr>
        <w:t>The police are required to supp</w:t>
      </w:r>
      <w:r w:rsidR="00854173">
        <w:rPr>
          <w:rFonts w:ascii="Arial" w:eastAsia="Times New Roman" w:hAnsi="Arial" w:cs="Arial"/>
          <w:lang w:eastAsia="en-GB"/>
        </w:rPr>
        <w:t>ort and provide safeguarding to</w:t>
      </w:r>
      <w:r w:rsidR="003768C6">
        <w:rPr>
          <w:rFonts w:ascii="Arial" w:eastAsia="Times New Roman" w:hAnsi="Arial" w:cs="Arial"/>
          <w:lang w:eastAsia="en-GB"/>
        </w:rPr>
        <w:t xml:space="preserve"> individuals who are unable to protect themselves or others from harm or exploitation.</w:t>
      </w:r>
      <w:r w:rsidR="00854173">
        <w:rPr>
          <w:rFonts w:ascii="Arial" w:eastAsia="Times New Roman" w:hAnsi="Arial" w:cs="Arial"/>
          <w:lang w:eastAsia="en-GB"/>
        </w:rPr>
        <w:t xml:space="preserve"> </w:t>
      </w:r>
      <w:r w:rsidR="000C0F32">
        <w:rPr>
          <w:rFonts w:ascii="Arial" w:eastAsia="Times New Roman" w:hAnsi="Arial" w:cs="Arial"/>
          <w:lang w:eastAsia="en-GB"/>
        </w:rPr>
        <w:t>SOC</w:t>
      </w:r>
      <w:r w:rsidR="002C2D29">
        <w:rPr>
          <w:rFonts w:ascii="Arial" w:eastAsia="Times New Roman" w:hAnsi="Arial" w:cs="Arial"/>
          <w:lang w:eastAsia="en-GB"/>
        </w:rPr>
        <w:t xml:space="preserve"> usually requires a vulnerable, adult or child that can be used by individual perpetrators or gangs in crimes such as illegal drugs, modern slavery, human trafficking, child sexual exploitation</w:t>
      </w:r>
      <w:r w:rsidR="00C310CF">
        <w:rPr>
          <w:rFonts w:ascii="Arial" w:eastAsia="Times New Roman" w:hAnsi="Arial" w:cs="Arial"/>
          <w:lang w:eastAsia="en-GB"/>
        </w:rPr>
        <w:t xml:space="preserve">, cyber-crime, money laundering and fraud. Factors that indicate neglect, vulnerability and abuse can include domestic abuse, self-neglect, cuckooing, elder abuse as well as psychological, physical and sexual abuse. </w:t>
      </w:r>
      <w:r w:rsidR="00CA4879">
        <w:rPr>
          <w:rFonts w:ascii="Arial" w:eastAsia="Times New Roman" w:hAnsi="Arial" w:cs="Arial"/>
          <w:lang w:eastAsia="en-GB"/>
        </w:rPr>
        <w:t>From 2017 to 2018 there was a</w:t>
      </w:r>
      <w:r w:rsidR="008C2AA4">
        <w:rPr>
          <w:rFonts w:ascii="Arial" w:eastAsia="Times New Roman" w:hAnsi="Arial" w:cs="Arial"/>
          <w:lang w:eastAsia="en-GB"/>
        </w:rPr>
        <w:t xml:space="preserve"> 9% increase of sexual crimes committed against under 16’s</w:t>
      </w:r>
      <w:r w:rsidR="00596FBE">
        <w:rPr>
          <w:rFonts w:ascii="Arial" w:eastAsia="Times New Roman" w:hAnsi="Arial" w:cs="Arial"/>
          <w:lang w:eastAsia="en-GB"/>
        </w:rPr>
        <w:t xml:space="preserve"> from 56,346 in 2017 to 61,646 in 2018.</w:t>
      </w:r>
      <w:r w:rsidR="001C132C">
        <w:rPr>
          <w:rFonts w:ascii="Arial" w:eastAsia="Times New Roman" w:hAnsi="Arial" w:cs="Arial"/>
          <w:lang w:eastAsia="en-GB"/>
        </w:rPr>
        <w:t xml:space="preserve"> </w:t>
      </w:r>
      <w:sdt>
        <w:sdtPr>
          <w:rPr>
            <w:rFonts w:ascii="Arial" w:eastAsia="Times New Roman" w:hAnsi="Arial" w:cs="Arial"/>
            <w:lang w:eastAsia="en-GB"/>
          </w:rPr>
          <w:id w:val="1122493804"/>
          <w:citation/>
        </w:sdtPr>
        <w:sdtEndPr/>
        <w:sdtContent>
          <w:r w:rsidR="001C132C">
            <w:rPr>
              <w:rFonts w:ascii="Arial" w:eastAsia="Times New Roman" w:hAnsi="Arial" w:cs="Arial"/>
              <w:lang w:eastAsia="en-GB"/>
            </w:rPr>
            <w:fldChar w:fldCharType="begin"/>
          </w:r>
          <w:r w:rsidR="001C132C">
            <w:rPr>
              <w:rFonts w:ascii="Arial" w:eastAsia="Times New Roman" w:hAnsi="Arial" w:cs="Arial"/>
              <w:lang w:eastAsia="en-GB"/>
            </w:rPr>
            <w:instrText xml:space="preserve"> CITATION Cri18 \l 2057 </w:instrText>
          </w:r>
          <w:r w:rsidR="001C132C">
            <w:rPr>
              <w:rFonts w:ascii="Arial" w:eastAsia="Times New Roman" w:hAnsi="Arial" w:cs="Arial"/>
              <w:lang w:eastAsia="en-GB"/>
            </w:rPr>
            <w:fldChar w:fldCharType="separate"/>
          </w:r>
          <w:r w:rsidR="001C132C" w:rsidRPr="001C132C">
            <w:rPr>
              <w:rFonts w:ascii="Arial" w:eastAsia="Times New Roman" w:hAnsi="Arial" w:cs="Arial"/>
              <w:noProof/>
              <w:lang w:eastAsia="en-GB"/>
            </w:rPr>
            <w:t>(Crimestoppers, 2018)</w:t>
          </w:r>
          <w:r w:rsidR="001C132C">
            <w:rPr>
              <w:rFonts w:ascii="Arial" w:eastAsia="Times New Roman" w:hAnsi="Arial" w:cs="Arial"/>
              <w:lang w:eastAsia="en-GB"/>
            </w:rPr>
            <w:fldChar w:fldCharType="end"/>
          </w:r>
        </w:sdtContent>
      </w:sdt>
      <w:sdt>
        <w:sdtPr>
          <w:rPr>
            <w:rFonts w:ascii="Arial" w:eastAsia="Times New Roman" w:hAnsi="Arial" w:cs="Arial"/>
            <w:lang w:eastAsia="en-GB"/>
          </w:rPr>
          <w:id w:val="953684219"/>
          <w:citation/>
        </w:sdtPr>
        <w:sdtEndPr/>
        <w:sdtContent>
          <w:r w:rsidR="00854173">
            <w:rPr>
              <w:rFonts w:ascii="Arial" w:eastAsia="Times New Roman" w:hAnsi="Arial" w:cs="Arial"/>
              <w:lang w:eastAsia="en-GB"/>
            </w:rPr>
            <w:fldChar w:fldCharType="begin"/>
          </w:r>
          <w:r w:rsidR="00862D25">
            <w:rPr>
              <w:rFonts w:ascii="Arial" w:eastAsia="Times New Roman" w:hAnsi="Arial" w:cs="Arial"/>
              <w:lang w:eastAsia="en-GB"/>
            </w:rPr>
            <w:instrText xml:space="preserve">CITATION Gar19 \l 2057 </w:instrText>
          </w:r>
          <w:r w:rsidR="00854173">
            <w:rPr>
              <w:rFonts w:ascii="Arial" w:eastAsia="Times New Roman" w:hAnsi="Arial" w:cs="Arial"/>
              <w:lang w:eastAsia="en-GB"/>
            </w:rPr>
            <w:fldChar w:fldCharType="separate"/>
          </w:r>
          <w:r w:rsidR="00862D25">
            <w:rPr>
              <w:rFonts w:ascii="Arial" w:eastAsia="Times New Roman" w:hAnsi="Arial" w:cs="Arial"/>
              <w:noProof/>
              <w:lang w:eastAsia="en-GB"/>
            </w:rPr>
            <w:t xml:space="preserve"> </w:t>
          </w:r>
          <w:r w:rsidR="00862D25" w:rsidRPr="00862D25">
            <w:rPr>
              <w:rFonts w:ascii="Arial" w:eastAsia="Times New Roman" w:hAnsi="Arial" w:cs="Arial"/>
              <w:noProof/>
              <w:lang w:eastAsia="en-GB"/>
            </w:rPr>
            <w:t>(Gareth Davies, 2019)</w:t>
          </w:r>
          <w:r w:rsidR="00854173">
            <w:rPr>
              <w:rFonts w:ascii="Arial" w:eastAsia="Times New Roman" w:hAnsi="Arial" w:cs="Arial"/>
              <w:lang w:eastAsia="en-GB"/>
            </w:rPr>
            <w:fldChar w:fldCharType="end"/>
          </w:r>
        </w:sdtContent>
      </w:sdt>
    </w:p>
    <w:p w:rsidR="00CA4879" w:rsidRDefault="00500827" w:rsidP="00577D1F">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The term ‘County Lines’ is used for when children or vulnerable adults are exploited</w:t>
      </w:r>
      <w:r w:rsidR="000C0F32">
        <w:rPr>
          <w:rFonts w:ascii="Arial" w:eastAsia="Times New Roman" w:hAnsi="Arial" w:cs="Arial"/>
          <w:lang w:eastAsia="en-GB"/>
        </w:rPr>
        <w:t xml:space="preserve"> by small local gangs or </w:t>
      </w:r>
      <w:r>
        <w:rPr>
          <w:rFonts w:ascii="Arial" w:eastAsia="Times New Roman" w:hAnsi="Arial" w:cs="Arial"/>
          <w:lang w:eastAsia="en-GB"/>
        </w:rPr>
        <w:t>larger organised crime groups and used in the moving, distribution and selling of illegal drugs</w:t>
      </w:r>
      <w:r w:rsidR="000C0F32">
        <w:rPr>
          <w:rFonts w:ascii="Arial" w:eastAsia="Times New Roman" w:hAnsi="Arial" w:cs="Arial"/>
          <w:lang w:eastAsia="en-GB"/>
        </w:rPr>
        <w:t xml:space="preserve"> and money</w:t>
      </w:r>
      <w:r>
        <w:rPr>
          <w:rFonts w:ascii="Arial" w:eastAsia="Times New Roman" w:hAnsi="Arial" w:cs="Arial"/>
          <w:lang w:eastAsia="en-GB"/>
        </w:rPr>
        <w:t xml:space="preserve"> from</w:t>
      </w:r>
      <w:r w:rsidR="000C0F32">
        <w:rPr>
          <w:rFonts w:ascii="Arial" w:eastAsia="Times New Roman" w:hAnsi="Arial" w:cs="Arial"/>
          <w:lang w:eastAsia="en-GB"/>
        </w:rPr>
        <w:t xml:space="preserve"> one area to another, often large cities to smaller towns, </w:t>
      </w:r>
      <w:r w:rsidR="00BB004C">
        <w:rPr>
          <w:rFonts w:ascii="Arial" w:eastAsia="Times New Roman" w:hAnsi="Arial" w:cs="Arial"/>
          <w:lang w:eastAsia="en-GB"/>
        </w:rPr>
        <w:t>using specific mobile phone lines. County lines usually involves children or young people with children as young as 12 years old being exploited into carrying drugs for gangs putting them at risk of severe sexual and physical violence and trafficking.</w:t>
      </w:r>
      <w:sdt>
        <w:sdtPr>
          <w:rPr>
            <w:rFonts w:ascii="Arial" w:eastAsia="Times New Roman" w:hAnsi="Arial" w:cs="Arial"/>
            <w:lang w:eastAsia="en-GB"/>
          </w:rPr>
          <w:id w:val="-702637743"/>
          <w:citation/>
        </w:sdtPr>
        <w:sdtEndPr/>
        <w:sdtContent>
          <w:r w:rsidR="00854173">
            <w:rPr>
              <w:rFonts w:ascii="Arial" w:eastAsia="Times New Roman" w:hAnsi="Arial" w:cs="Arial"/>
              <w:lang w:eastAsia="en-GB"/>
            </w:rPr>
            <w:fldChar w:fldCharType="begin"/>
          </w:r>
          <w:r w:rsidR="00854173">
            <w:rPr>
              <w:rFonts w:ascii="Arial" w:eastAsia="Times New Roman" w:hAnsi="Arial" w:cs="Arial"/>
              <w:lang w:eastAsia="en-GB"/>
            </w:rPr>
            <w:instrText xml:space="preserve"> CITATION Hom20 \l 2057 </w:instrText>
          </w:r>
          <w:r w:rsidR="00854173">
            <w:rPr>
              <w:rFonts w:ascii="Arial" w:eastAsia="Times New Roman" w:hAnsi="Arial" w:cs="Arial"/>
              <w:lang w:eastAsia="en-GB"/>
            </w:rPr>
            <w:fldChar w:fldCharType="separate"/>
          </w:r>
          <w:r w:rsidR="00854173">
            <w:rPr>
              <w:rFonts w:ascii="Arial" w:eastAsia="Times New Roman" w:hAnsi="Arial" w:cs="Arial"/>
              <w:noProof/>
              <w:lang w:eastAsia="en-GB"/>
            </w:rPr>
            <w:t xml:space="preserve"> </w:t>
          </w:r>
          <w:r w:rsidR="00854173" w:rsidRPr="00854173">
            <w:rPr>
              <w:rFonts w:ascii="Arial" w:eastAsia="Times New Roman" w:hAnsi="Arial" w:cs="Arial"/>
              <w:noProof/>
              <w:lang w:eastAsia="en-GB"/>
            </w:rPr>
            <w:t>(Home Office, 2020)</w:t>
          </w:r>
          <w:r w:rsidR="00854173">
            <w:rPr>
              <w:rFonts w:ascii="Arial" w:eastAsia="Times New Roman" w:hAnsi="Arial" w:cs="Arial"/>
              <w:lang w:eastAsia="en-GB"/>
            </w:rPr>
            <w:fldChar w:fldCharType="end"/>
          </w:r>
        </w:sdtContent>
      </w:sdt>
      <w:r w:rsidR="00862D25">
        <w:t>.</w:t>
      </w:r>
      <w:r w:rsidR="00BB004C">
        <w:rPr>
          <w:rFonts w:ascii="Arial" w:eastAsia="Times New Roman" w:hAnsi="Arial" w:cs="Arial"/>
          <w:lang w:eastAsia="en-GB"/>
        </w:rPr>
        <w:t xml:space="preserve"> Vulnerable adults are often</w:t>
      </w:r>
      <w:r w:rsidR="006955CE">
        <w:rPr>
          <w:rFonts w:ascii="Arial" w:eastAsia="Times New Roman" w:hAnsi="Arial" w:cs="Arial"/>
          <w:lang w:eastAsia="en-GB"/>
        </w:rPr>
        <w:t xml:space="preserve"> targeted and</w:t>
      </w:r>
      <w:r w:rsidR="00BB004C">
        <w:rPr>
          <w:rFonts w:ascii="Arial" w:eastAsia="Times New Roman" w:hAnsi="Arial" w:cs="Arial"/>
          <w:lang w:eastAsia="en-GB"/>
        </w:rPr>
        <w:t xml:space="preserve"> used </w:t>
      </w:r>
      <w:r w:rsidR="006955CE">
        <w:rPr>
          <w:rFonts w:ascii="Arial" w:eastAsia="Times New Roman" w:hAnsi="Arial" w:cs="Arial"/>
          <w:lang w:eastAsia="en-GB"/>
        </w:rPr>
        <w:t>by SOC groups for ‘cuckooing’ whereby criminals identify a vulnerable individual, take over their home for criminal purposes such as storing and selling drugs, concealing money, stolen goods or firearms. Many individuals being ‘cuckooed’ are unaware they are being exploited or trafficked and are unclear of the significant danger and risk of violence, physical abuse, sexual abuse and exploitation that is posed to them.</w:t>
      </w:r>
      <w:r w:rsidR="00862D25" w:rsidRPr="00862D25">
        <w:rPr>
          <w:rFonts w:ascii="Arial" w:eastAsia="Times New Roman" w:hAnsi="Arial" w:cs="Arial"/>
          <w:lang w:eastAsia="en-GB"/>
        </w:rPr>
        <w:t xml:space="preserve"> </w:t>
      </w:r>
      <w:sdt>
        <w:sdtPr>
          <w:rPr>
            <w:rFonts w:ascii="Arial" w:eastAsia="Times New Roman" w:hAnsi="Arial" w:cs="Arial"/>
            <w:lang w:eastAsia="en-GB"/>
          </w:rPr>
          <w:id w:val="1428234766"/>
          <w:citation/>
        </w:sdtPr>
        <w:sdtEndPr/>
        <w:sdtContent>
          <w:r w:rsidR="00862D25">
            <w:rPr>
              <w:rFonts w:ascii="Arial" w:eastAsia="Times New Roman" w:hAnsi="Arial" w:cs="Arial"/>
              <w:lang w:eastAsia="en-GB"/>
            </w:rPr>
            <w:fldChar w:fldCharType="begin"/>
          </w:r>
          <w:r w:rsidR="00862D25">
            <w:rPr>
              <w:rFonts w:ascii="Arial" w:eastAsia="Times New Roman" w:hAnsi="Arial" w:cs="Arial"/>
              <w:lang w:eastAsia="en-GB"/>
            </w:rPr>
            <w:instrText xml:space="preserve"> CITATION NSP21 \l 2057 </w:instrText>
          </w:r>
          <w:r w:rsidR="00862D25">
            <w:rPr>
              <w:rFonts w:ascii="Arial" w:eastAsia="Times New Roman" w:hAnsi="Arial" w:cs="Arial"/>
              <w:lang w:eastAsia="en-GB"/>
            </w:rPr>
            <w:fldChar w:fldCharType="separate"/>
          </w:r>
          <w:r w:rsidR="00862D25" w:rsidRPr="00854173">
            <w:rPr>
              <w:rFonts w:ascii="Arial" w:eastAsia="Times New Roman" w:hAnsi="Arial" w:cs="Arial"/>
              <w:noProof/>
              <w:lang w:eastAsia="en-GB"/>
            </w:rPr>
            <w:t>(NSPCC, 2021)</w:t>
          </w:r>
          <w:r w:rsidR="00862D25">
            <w:rPr>
              <w:rFonts w:ascii="Arial" w:eastAsia="Times New Roman" w:hAnsi="Arial" w:cs="Arial"/>
              <w:lang w:eastAsia="en-GB"/>
            </w:rPr>
            <w:fldChar w:fldCharType="end"/>
          </w:r>
        </w:sdtContent>
      </w:sdt>
      <w:r w:rsidR="006955CE">
        <w:rPr>
          <w:rFonts w:ascii="Arial" w:eastAsia="Times New Roman" w:hAnsi="Arial" w:cs="Arial"/>
          <w:lang w:eastAsia="en-GB"/>
        </w:rPr>
        <w:t xml:space="preserve"> </w:t>
      </w:r>
      <w:sdt>
        <w:sdtPr>
          <w:rPr>
            <w:rFonts w:ascii="Arial" w:eastAsia="Times New Roman" w:hAnsi="Arial" w:cs="Arial"/>
            <w:lang w:eastAsia="en-GB"/>
          </w:rPr>
          <w:id w:val="718251545"/>
          <w:citation/>
        </w:sdtPr>
        <w:sdtEndPr/>
        <w:sdtContent>
          <w:r w:rsidR="00862D25">
            <w:rPr>
              <w:rFonts w:ascii="Arial" w:eastAsia="Times New Roman" w:hAnsi="Arial" w:cs="Arial"/>
              <w:lang w:eastAsia="en-GB"/>
            </w:rPr>
            <w:fldChar w:fldCharType="begin"/>
          </w:r>
          <w:r w:rsidR="00862D25">
            <w:rPr>
              <w:rFonts w:ascii="Arial" w:eastAsia="Times New Roman" w:hAnsi="Arial" w:cs="Arial"/>
              <w:lang w:eastAsia="en-GB"/>
            </w:rPr>
            <w:instrText xml:space="preserve"> CITATION Saf21 \l 2057 </w:instrText>
          </w:r>
          <w:r w:rsidR="00862D25">
            <w:rPr>
              <w:rFonts w:ascii="Arial" w:eastAsia="Times New Roman" w:hAnsi="Arial" w:cs="Arial"/>
              <w:lang w:eastAsia="en-GB"/>
            </w:rPr>
            <w:fldChar w:fldCharType="separate"/>
          </w:r>
          <w:r w:rsidR="00862D25" w:rsidRPr="00862D25">
            <w:rPr>
              <w:rFonts w:ascii="Arial" w:eastAsia="Times New Roman" w:hAnsi="Arial" w:cs="Arial"/>
              <w:noProof/>
              <w:lang w:eastAsia="en-GB"/>
            </w:rPr>
            <w:t>(Safeguarding Adults Board, 2021)</w:t>
          </w:r>
          <w:r w:rsidR="00862D25">
            <w:rPr>
              <w:rFonts w:ascii="Arial" w:eastAsia="Times New Roman" w:hAnsi="Arial" w:cs="Arial"/>
              <w:lang w:eastAsia="en-GB"/>
            </w:rPr>
            <w:fldChar w:fldCharType="end"/>
          </w:r>
        </w:sdtContent>
      </w:sdt>
      <w:r w:rsidR="00862D25">
        <w:t>.</w:t>
      </w:r>
    </w:p>
    <w:p w:rsidR="00CA4879" w:rsidRDefault="00CA4879" w:rsidP="00577D1F">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A259E1" w:rsidRPr="00DC3798" w:rsidRDefault="00A259E1" w:rsidP="00577D1F">
      <w:pPr>
        <w:jc w:val="both"/>
        <w:rPr>
          <w:rFonts w:ascii="Arial" w:eastAsia="Times New Roman" w:hAnsi="Arial" w:cs="Arial"/>
          <w:lang w:eastAsia="en-GB"/>
        </w:rPr>
      </w:pPr>
      <w:r>
        <w:rPr>
          <w:rFonts w:ascii="Arial" w:eastAsia="Times New Roman" w:hAnsi="Arial" w:cs="Arial"/>
          <w:lang w:eastAsia="en-GB"/>
        </w:rPr>
        <w:t>In order to provide vulnerable individuals with the most appropriate and effective response officers must be able to recognise and understand an individual’s vulnerability, risk of harm or exploitation due to their circumstances, identify these quickly, to ensure early intervention and investigation can occur. An officer</w:t>
      </w:r>
      <w:r w:rsidR="000C0F32">
        <w:rPr>
          <w:rFonts w:ascii="Arial" w:eastAsia="Times New Roman" w:hAnsi="Arial" w:cs="Arial"/>
          <w:lang w:eastAsia="en-GB"/>
        </w:rPr>
        <w:t>’</w:t>
      </w:r>
      <w:r>
        <w:rPr>
          <w:rFonts w:ascii="Arial" w:eastAsia="Times New Roman" w:hAnsi="Arial" w:cs="Arial"/>
          <w:lang w:eastAsia="en-GB"/>
        </w:rPr>
        <w:t xml:space="preserve">s ability to identify and act early on ensures the victim is provided the appropriate safeguarding methods to protect against or prevent further harm or victimisation. Officers have a duty of care to protect individuals from harm and to keep communities safe. The code of Ethics as well as the </w:t>
      </w:r>
      <w:r>
        <w:rPr>
          <w:rStyle w:val="Hyperlink"/>
          <w:rFonts w:ascii="Arial" w:hAnsi="Arial" w:cs="Arial"/>
          <w:color w:val="auto"/>
          <w:u w:val="none"/>
        </w:rPr>
        <w:t xml:space="preserve">standards of behaviour and </w:t>
      </w:r>
      <w:r w:rsidR="000C0F32">
        <w:rPr>
          <w:rStyle w:val="Hyperlink"/>
          <w:rFonts w:ascii="Arial" w:hAnsi="Arial" w:cs="Arial"/>
          <w:color w:val="auto"/>
          <w:u w:val="none"/>
        </w:rPr>
        <w:t xml:space="preserve">policing principles provide </w:t>
      </w:r>
      <w:r>
        <w:rPr>
          <w:rStyle w:val="Hyperlink"/>
          <w:rFonts w:ascii="Arial" w:hAnsi="Arial" w:cs="Arial"/>
          <w:color w:val="auto"/>
          <w:u w:val="none"/>
        </w:rPr>
        <w:t>officers with a clear guide of what is expected and appropriate in relation to victim contact and response.</w:t>
      </w:r>
      <w:r>
        <w:rPr>
          <w:rFonts w:ascii="Arial" w:eastAsia="Times New Roman" w:hAnsi="Arial" w:cs="Arial"/>
          <w:lang w:eastAsia="en-GB"/>
        </w:rPr>
        <w:t xml:space="preserve"> The Code of Practice for Victims of Crime also gives officers and police staff guidelines for officer’s assessment as soon as practicable. There is also a THRIVE model which is a way to assess individuals in order to identify their initial risk and their specific needs, such as whether they are vulnerable or intimidated to provide enhanced </w:t>
      </w:r>
      <w:r w:rsidR="000C0F32">
        <w:rPr>
          <w:rFonts w:ascii="Arial" w:eastAsia="Times New Roman" w:hAnsi="Arial" w:cs="Arial"/>
          <w:lang w:eastAsia="en-GB"/>
        </w:rPr>
        <w:t xml:space="preserve">services. </w:t>
      </w:r>
      <w:r w:rsidRPr="00DC3798">
        <w:rPr>
          <w:rFonts w:ascii="Arial" w:eastAsia="Times New Roman" w:hAnsi="Arial" w:cs="Arial"/>
          <w:lang w:eastAsia="en-GB"/>
        </w:rPr>
        <w:t xml:space="preserve">Under the Care Act 2014 officers have a responsibility to safeguard adults at risk, experiencing neglect, abuse or with care and support needs. Safety and wellbeing must take primacy and </w:t>
      </w:r>
      <w:r w:rsidRPr="00DC3798">
        <w:rPr>
          <w:rFonts w:ascii="Arial" w:eastAsia="Times New Roman" w:hAnsi="Arial" w:cs="Arial"/>
          <w:lang w:eastAsia="en-GB"/>
        </w:rPr>
        <w:lastRenderedPageBreak/>
        <w:t>support and intervention sought through multi-agency response if appropriate.</w:t>
      </w:r>
      <w:sdt>
        <w:sdtPr>
          <w:rPr>
            <w:rFonts w:ascii="Arial" w:eastAsia="Times New Roman" w:hAnsi="Arial" w:cs="Arial"/>
            <w:lang w:eastAsia="en-GB"/>
          </w:rPr>
          <w:id w:val="287556198"/>
          <w:citation/>
        </w:sdtPr>
        <w:sdtEndPr/>
        <w:sdtContent>
          <w:r w:rsidR="00862D25">
            <w:rPr>
              <w:rFonts w:ascii="Arial" w:eastAsia="Times New Roman" w:hAnsi="Arial" w:cs="Arial"/>
              <w:lang w:eastAsia="en-GB"/>
            </w:rPr>
            <w:fldChar w:fldCharType="begin"/>
          </w:r>
          <w:r w:rsidR="00862D25">
            <w:rPr>
              <w:rFonts w:ascii="Arial" w:eastAsia="Times New Roman" w:hAnsi="Arial" w:cs="Arial"/>
              <w:lang w:eastAsia="en-GB"/>
            </w:rPr>
            <w:instrText xml:space="preserve"> CITATION Col14 \l 2057 </w:instrText>
          </w:r>
          <w:r w:rsidR="00862D25">
            <w:rPr>
              <w:rFonts w:ascii="Arial" w:eastAsia="Times New Roman" w:hAnsi="Arial" w:cs="Arial"/>
              <w:lang w:eastAsia="en-GB"/>
            </w:rPr>
            <w:fldChar w:fldCharType="separate"/>
          </w:r>
          <w:r w:rsidR="00862D25">
            <w:rPr>
              <w:rFonts w:ascii="Arial" w:eastAsia="Times New Roman" w:hAnsi="Arial" w:cs="Arial"/>
              <w:noProof/>
              <w:lang w:eastAsia="en-GB"/>
            </w:rPr>
            <w:t xml:space="preserve"> </w:t>
          </w:r>
          <w:r w:rsidR="00862D25" w:rsidRPr="00862D25">
            <w:rPr>
              <w:rFonts w:ascii="Arial" w:eastAsia="Times New Roman" w:hAnsi="Arial" w:cs="Arial"/>
              <w:noProof/>
              <w:lang w:eastAsia="en-GB"/>
            </w:rPr>
            <w:t>(College of Policing, Major investigation and public protection - Adults at risk, 2014)</w:t>
          </w:r>
          <w:r w:rsidR="00862D25">
            <w:rPr>
              <w:rFonts w:ascii="Arial" w:eastAsia="Times New Roman" w:hAnsi="Arial" w:cs="Arial"/>
              <w:lang w:eastAsia="en-GB"/>
            </w:rPr>
            <w:fldChar w:fldCharType="end"/>
          </w:r>
        </w:sdtContent>
      </w:sdt>
      <w:r w:rsidRPr="00DC3798">
        <w:rPr>
          <w:rFonts w:ascii="Arial" w:eastAsia="Times New Roman" w:hAnsi="Arial" w:cs="Arial"/>
          <w:lang w:eastAsia="en-GB"/>
        </w:rPr>
        <w:t xml:space="preserve"> </w:t>
      </w:r>
    </w:p>
    <w:p w:rsidR="00A259E1" w:rsidRPr="00DC3798" w:rsidRDefault="00A259E1" w:rsidP="00577D1F">
      <w:pPr>
        <w:overflowPunct w:val="0"/>
        <w:autoSpaceDE w:val="0"/>
        <w:autoSpaceDN w:val="0"/>
        <w:adjustRightInd w:val="0"/>
        <w:spacing w:before="240" w:after="0" w:line="240" w:lineRule="auto"/>
        <w:jc w:val="both"/>
        <w:textAlignment w:val="baseline"/>
        <w:rPr>
          <w:rFonts w:ascii="Arial" w:hAnsi="Arial" w:cs="Arial"/>
        </w:rPr>
      </w:pPr>
      <w:r w:rsidRPr="00DC3798">
        <w:rPr>
          <w:rFonts w:ascii="Arial" w:eastAsia="Times New Roman" w:hAnsi="Arial" w:cs="Arial"/>
          <w:lang w:eastAsia="en-GB"/>
        </w:rPr>
        <w:t>In regard to SOC such as County Lines a multiagency approach utilising partner agencies such as Education, public health</w:t>
      </w:r>
      <w:r w:rsidR="000C0F32">
        <w:rPr>
          <w:rFonts w:ascii="Arial" w:eastAsia="Times New Roman" w:hAnsi="Arial" w:cs="Arial"/>
          <w:lang w:eastAsia="en-GB"/>
        </w:rPr>
        <w:t>,</w:t>
      </w:r>
      <w:r w:rsidRPr="00DC3798">
        <w:rPr>
          <w:rFonts w:ascii="Arial" w:eastAsia="Times New Roman" w:hAnsi="Arial" w:cs="Arial"/>
          <w:lang w:eastAsia="en-GB"/>
        </w:rPr>
        <w:t xml:space="preserve"> charity agencies and health and social care is the most effective way to deal with this issue, prevent exploitation and harm before it occurs or to prevent it further. </w:t>
      </w:r>
      <w:sdt>
        <w:sdtPr>
          <w:rPr>
            <w:rFonts w:ascii="Arial" w:eastAsia="Times New Roman" w:hAnsi="Arial" w:cs="Arial"/>
            <w:lang w:eastAsia="en-GB"/>
          </w:rPr>
          <w:id w:val="1884060380"/>
          <w:citation/>
        </w:sdtPr>
        <w:sdtEndPr/>
        <w:sdtContent>
          <w:r w:rsidR="00862D25">
            <w:rPr>
              <w:rFonts w:ascii="Arial" w:eastAsia="Times New Roman" w:hAnsi="Arial" w:cs="Arial"/>
              <w:lang w:eastAsia="en-GB"/>
            </w:rPr>
            <w:fldChar w:fldCharType="begin"/>
          </w:r>
          <w:r w:rsidR="00862D25">
            <w:rPr>
              <w:rFonts w:ascii="Arial" w:hAnsi="Arial" w:cs="Arial"/>
            </w:rPr>
            <w:instrText xml:space="preserve">CITATION Gar19 \l 2057 </w:instrText>
          </w:r>
          <w:r w:rsidR="00862D25">
            <w:rPr>
              <w:rFonts w:ascii="Arial" w:eastAsia="Times New Roman" w:hAnsi="Arial" w:cs="Arial"/>
              <w:lang w:eastAsia="en-GB"/>
            </w:rPr>
            <w:fldChar w:fldCharType="separate"/>
          </w:r>
          <w:r w:rsidR="00862D25" w:rsidRPr="00862D25">
            <w:rPr>
              <w:rFonts w:ascii="Arial" w:hAnsi="Arial" w:cs="Arial"/>
              <w:noProof/>
            </w:rPr>
            <w:t>(Gareth Davies, 2019)</w:t>
          </w:r>
          <w:r w:rsidR="00862D25">
            <w:rPr>
              <w:rFonts w:ascii="Arial" w:eastAsia="Times New Roman" w:hAnsi="Arial" w:cs="Arial"/>
              <w:lang w:eastAsia="en-GB"/>
            </w:rPr>
            <w:fldChar w:fldCharType="end"/>
          </w:r>
        </w:sdtContent>
      </w:sdt>
      <w:r w:rsidR="000C0F32">
        <w:rPr>
          <w:rFonts w:ascii="Arial" w:eastAsia="Times New Roman" w:hAnsi="Arial" w:cs="Arial"/>
          <w:lang w:eastAsia="en-GB"/>
        </w:rPr>
        <w:t xml:space="preserve"> </w:t>
      </w:r>
      <w:r w:rsidRPr="00DC3798">
        <w:rPr>
          <w:rFonts w:ascii="Arial" w:eastAsia="Times New Roman" w:hAnsi="Arial" w:cs="Arial"/>
          <w:lang w:eastAsia="en-GB"/>
        </w:rPr>
        <w:t>The signs of criminal exploitation in children and young peop</w:t>
      </w:r>
      <w:r w:rsidR="000C0F32">
        <w:rPr>
          <w:rFonts w:ascii="Arial" w:eastAsia="Times New Roman" w:hAnsi="Arial" w:cs="Arial"/>
          <w:lang w:eastAsia="en-GB"/>
        </w:rPr>
        <w:t>le will often reply on parents</w:t>
      </w:r>
      <w:r w:rsidRPr="00DC3798">
        <w:rPr>
          <w:rFonts w:ascii="Arial" w:eastAsia="Times New Roman" w:hAnsi="Arial" w:cs="Arial"/>
          <w:lang w:eastAsia="en-GB"/>
        </w:rPr>
        <w:t>, education workers, health workers to recognise the signs. The Serious Violence Strategy created by the Home Office is helping to increase awareness regarding these identifying factors and how to respond.</w:t>
      </w:r>
      <w:sdt>
        <w:sdtPr>
          <w:rPr>
            <w:rFonts w:ascii="Arial" w:eastAsia="Times New Roman" w:hAnsi="Arial" w:cs="Arial"/>
            <w:lang w:eastAsia="en-GB"/>
          </w:rPr>
          <w:id w:val="1093586921"/>
          <w:citation/>
        </w:sdtPr>
        <w:sdtEndPr/>
        <w:sdtContent>
          <w:r w:rsidR="00862D25">
            <w:rPr>
              <w:rFonts w:ascii="Arial" w:eastAsia="Times New Roman" w:hAnsi="Arial" w:cs="Arial"/>
              <w:lang w:eastAsia="en-GB"/>
            </w:rPr>
            <w:fldChar w:fldCharType="begin"/>
          </w:r>
          <w:r w:rsidR="00862D25">
            <w:rPr>
              <w:rFonts w:ascii="Arial" w:eastAsia="Times New Roman" w:hAnsi="Arial" w:cs="Arial"/>
              <w:lang w:eastAsia="en-GB"/>
            </w:rPr>
            <w:instrText xml:space="preserve"> CITATION Hom20 \l 2057 </w:instrText>
          </w:r>
          <w:r w:rsidR="00862D25">
            <w:rPr>
              <w:rFonts w:ascii="Arial" w:eastAsia="Times New Roman" w:hAnsi="Arial" w:cs="Arial"/>
              <w:lang w:eastAsia="en-GB"/>
            </w:rPr>
            <w:fldChar w:fldCharType="separate"/>
          </w:r>
          <w:r w:rsidR="00862D25">
            <w:rPr>
              <w:rFonts w:ascii="Arial" w:eastAsia="Times New Roman" w:hAnsi="Arial" w:cs="Arial"/>
              <w:noProof/>
              <w:lang w:eastAsia="en-GB"/>
            </w:rPr>
            <w:t xml:space="preserve"> </w:t>
          </w:r>
          <w:r w:rsidR="00862D25" w:rsidRPr="00862D25">
            <w:rPr>
              <w:rFonts w:ascii="Arial" w:eastAsia="Times New Roman" w:hAnsi="Arial" w:cs="Arial"/>
              <w:noProof/>
              <w:lang w:eastAsia="en-GB"/>
            </w:rPr>
            <w:t>(Home Office, 2020)</w:t>
          </w:r>
          <w:r w:rsidR="00862D25">
            <w:rPr>
              <w:rFonts w:ascii="Arial" w:eastAsia="Times New Roman" w:hAnsi="Arial" w:cs="Arial"/>
              <w:lang w:eastAsia="en-GB"/>
            </w:rPr>
            <w:fldChar w:fldCharType="end"/>
          </w:r>
        </w:sdtContent>
      </w:sdt>
      <w:r w:rsidR="00862D25">
        <w:rPr>
          <w:rFonts w:ascii="Arial" w:eastAsia="Times New Roman" w:hAnsi="Arial" w:cs="Arial"/>
          <w:lang w:eastAsia="en-GB"/>
        </w:rPr>
        <w:t>.</w:t>
      </w:r>
    </w:p>
    <w:p w:rsidR="00CA4879" w:rsidRPr="001C132C" w:rsidRDefault="004C2A5D" w:rsidP="00577D1F">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C3798">
        <w:rPr>
          <w:rFonts w:ascii="Arial" w:hAnsi="Arial" w:cs="Arial"/>
        </w:rPr>
        <w:t>T</w:t>
      </w:r>
      <w:r w:rsidR="00F579F6" w:rsidRPr="00DC3798">
        <w:rPr>
          <w:rFonts w:ascii="Arial" w:hAnsi="Arial" w:cs="Arial"/>
        </w:rPr>
        <w:t xml:space="preserve">hrough multiagency partnership between police, social services, social care and education a variety of safeguarding methods </w:t>
      </w:r>
      <w:r w:rsidR="000C0F32">
        <w:rPr>
          <w:rFonts w:ascii="Arial" w:hAnsi="Arial" w:cs="Arial"/>
        </w:rPr>
        <w:t>are able</w:t>
      </w:r>
      <w:r w:rsidR="00F579F6" w:rsidRPr="00DC3798">
        <w:rPr>
          <w:rFonts w:ascii="Arial" w:hAnsi="Arial" w:cs="Arial"/>
        </w:rPr>
        <w:t xml:space="preserve"> to be utilised</w:t>
      </w:r>
      <w:r w:rsidRPr="00DC3798">
        <w:rPr>
          <w:rFonts w:ascii="Arial" w:hAnsi="Arial" w:cs="Arial"/>
        </w:rPr>
        <w:t xml:space="preserve"> for SOC</w:t>
      </w:r>
      <w:r w:rsidR="00F579F6" w:rsidRPr="00DC3798">
        <w:rPr>
          <w:rFonts w:ascii="Arial" w:hAnsi="Arial" w:cs="Arial"/>
        </w:rPr>
        <w:t xml:space="preserve">. These include Intelligence reports that can generate a bigger picture </w:t>
      </w:r>
      <w:r w:rsidR="000C0F32">
        <w:rPr>
          <w:rFonts w:ascii="Arial" w:hAnsi="Arial" w:cs="Arial"/>
        </w:rPr>
        <w:t>from bits of information or multiple sources.</w:t>
      </w:r>
      <w:r w:rsidR="00F579F6" w:rsidRPr="00DC3798">
        <w:rPr>
          <w:rFonts w:ascii="Arial" w:hAnsi="Arial" w:cs="Arial"/>
        </w:rPr>
        <w:t xml:space="preserve"> P</w:t>
      </w:r>
      <w:r w:rsidR="000C0F32">
        <w:rPr>
          <w:rFonts w:ascii="Arial" w:hAnsi="Arial" w:cs="Arial"/>
        </w:rPr>
        <w:t>ublic protection notifications</w:t>
      </w:r>
      <w:r w:rsidR="00F579F6" w:rsidRPr="00DC3798">
        <w:rPr>
          <w:rFonts w:ascii="Arial" w:hAnsi="Arial" w:cs="Arial"/>
        </w:rPr>
        <w:t xml:space="preserve"> are completed after contact with a </w:t>
      </w:r>
      <w:r w:rsidR="00F579F6" w:rsidRPr="001C132C">
        <w:rPr>
          <w:rFonts w:ascii="Arial" w:hAnsi="Arial" w:cs="Arial"/>
        </w:rPr>
        <w:t>child or vulnerable person</w:t>
      </w:r>
      <w:r w:rsidR="005E2373">
        <w:rPr>
          <w:rFonts w:ascii="Arial" w:hAnsi="Arial" w:cs="Arial"/>
        </w:rPr>
        <w:t>. T</w:t>
      </w:r>
      <w:r w:rsidR="00F579F6" w:rsidRPr="001C132C">
        <w:rPr>
          <w:rFonts w:ascii="Arial" w:hAnsi="Arial" w:cs="Arial"/>
        </w:rPr>
        <w:t xml:space="preserve">his can detail the situation, risk assess the amount of threat, risk and harm involved and give support or help by linking in with other agencies such as child protection, adults at risk, </w:t>
      </w:r>
      <w:r w:rsidR="005E2373">
        <w:rPr>
          <w:rFonts w:ascii="Arial" w:hAnsi="Arial" w:cs="Arial"/>
        </w:rPr>
        <w:t>women</w:t>
      </w:r>
      <w:r w:rsidR="00225B25">
        <w:rPr>
          <w:rFonts w:ascii="Arial" w:hAnsi="Arial" w:cs="Arial"/>
        </w:rPr>
        <w:t>’</w:t>
      </w:r>
      <w:r w:rsidR="005E2373">
        <w:rPr>
          <w:rFonts w:ascii="Arial" w:hAnsi="Arial" w:cs="Arial"/>
        </w:rPr>
        <w:t xml:space="preserve">s aid. </w:t>
      </w:r>
      <w:r w:rsidRPr="001C132C">
        <w:rPr>
          <w:rFonts w:ascii="Arial" w:hAnsi="Arial" w:cs="Arial"/>
        </w:rPr>
        <w:t>Victim</w:t>
      </w:r>
      <w:r w:rsidR="00F579F6" w:rsidRPr="001C132C">
        <w:rPr>
          <w:rFonts w:ascii="Arial" w:hAnsi="Arial" w:cs="Arial"/>
        </w:rPr>
        <w:t xml:space="preserve"> referrals to agencies are also used to detail the </w:t>
      </w:r>
      <w:r w:rsidR="00225B25" w:rsidRPr="001C132C">
        <w:rPr>
          <w:rFonts w:ascii="Arial" w:hAnsi="Arial" w:cs="Arial"/>
        </w:rPr>
        <w:t>victim’s</w:t>
      </w:r>
      <w:r w:rsidR="00F579F6" w:rsidRPr="001C132C">
        <w:rPr>
          <w:rFonts w:ascii="Arial" w:hAnsi="Arial" w:cs="Arial"/>
        </w:rPr>
        <w:t xml:space="preserve"> needs in order to </w:t>
      </w:r>
      <w:r w:rsidRPr="001C132C">
        <w:rPr>
          <w:rFonts w:ascii="Arial" w:hAnsi="Arial" w:cs="Arial"/>
        </w:rPr>
        <w:t>liaise</w:t>
      </w:r>
      <w:r w:rsidR="00F579F6" w:rsidRPr="001C132C">
        <w:rPr>
          <w:rFonts w:ascii="Arial" w:hAnsi="Arial" w:cs="Arial"/>
        </w:rPr>
        <w:t xml:space="preserve"> with the appropriate agencies to provide support and </w:t>
      </w:r>
      <w:r w:rsidRPr="001C132C">
        <w:rPr>
          <w:rFonts w:ascii="Arial" w:hAnsi="Arial" w:cs="Arial"/>
        </w:rPr>
        <w:t>guidance</w:t>
      </w:r>
      <w:r w:rsidR="00F579F6" w:rsidRPr="001C132C">
        <w:rPr>
          <w:rFonts w:ascii="Arial" w:hAnsi="Arial" w:cs="Arial"/>
        </w:rPr>
        <w:t xml:space="preserve"> with issues such as housing, health, wellbeing or finance.</w:t>
      </w:r>
      <w:r w:rsidR="00AD79E6" w:rsidRPr="001C132C">
        <w:rPr>
          <w:rFonts w:ascii="Arial" w:hAnsi="Arial" w:cs="Arial"/>
        </w:rPr>
        <w:t xml:space="preserve"> An example of this would be the National Referral Mechanism (NRM), which is a tool to identify and refer victims of, suspected and confirmed modern slavery in order to provide tailor made protection and support. </w:t>
      </w:r>
      <w:r w:rsidRPr="001C132C">
        <w:rPr>
          <w:rFonts w:ascii="Arial" w:hAnsi="Arial" w:cs="Arial"/>
        </w:rPr>
        <w:t>The National Crime Agency’s SOC framework provides a ‘4 P’ strategy to deal with, tackle and safe guard vulnerable individuals. The actions are to prevent people from becoming involved in SOC, pursue and disrupt the criminals of SOC, protect vulnerable children and adults, organisations and communities from SOC and prepare for SOC to reduce the impact it has.</w:t>
      </w:r>
      <w:r w:rsidR="001C132C" w:rsidRPr="001C132C">
        <w:rPr>
          <w:rFonts w:ascii="Arial" w:hAnsi="Arial" w:cs="Arial"/>
        </w:rPr>
        <w:t xml:space="preserve"> </w:t>
      </w:r>
      <w:sdt>
        <w:sdtPr>
          <w:rPr>
            <w:rFonts w:ascii="Arial" w:hAnsi="Arial" w:cs="Arial"/>
          </w:rPr>
          <w:id w:val="1344821958"/>
          <w:citation/>
        </w:sdtPr>
        <w:sdtEndPr/>
        <w:sdtContent>
          <w:r w:rsidR="001C132C" w:rsidRPr="001C132C">
            <w:rPr>
              <w:rFonts w:ascii="Arial" w:hAnsi="Arial" w:cs="Arial"/>
            </w:rPr>
            <w:fldChar w:fldCharType="begin"/>
          </w:r>
          <w:r w:rsidR="001C132C" w:rsidRPr="001C132C">
            <w:rPr>
              <w:rFonts w:ascii="Arial" w:hAnsi="Arial" w:cs="Arial"/>
            </w:rPr>
            <w:instrText xml:space="preserve"> CITATION Gar19 \l 2057 </w:instrText>
          </w:r>
          <w:r w:rsidR="001C132C" w:rsidRPr="001C132C">
            <w:rPr>
              <w:rFonts w:ascii="Arial" w:hAnsi="Arial" w:cs="Arial"/>
            </w:rPr>
            <w:fldChar w:fldCharType="separate"/>
          </w:r>
          <w:r w:rsidR="001C132C" w:rsidRPr="001C132C">
            <w:rPr>
              <w:rFonts w:ascii="Arial" w:hAnsi="Arial" w:cs="Arial"/>
              <w:noProof/>
            </w:rPr>
            <w:t>(Gareth Davies, 2019)</w:t>
          </w:r>
          <w:r w:rsidR="001C132C" w:rsidRPr="001C132C">
            <w:rPr>
              <w:rFonts w:ascii="Arial" w:hAnsi="Arial" w:cs="Arial"/>
            </w:rPr>
            <w:fldChar w:fldCharType="end"/>
          </w:r>
        </w:sdtContent>
      </w:sdt>
      <w:r w:rsidRPr="001C132C">
        <w:rPr>
          <w:rFonts w:ascii="Arial" w:hAnsi="Arial" w:cs="Arial"/>
        </w:rPr>
        <w:t xml:space="preserve"> Further Multi-agency public protection arrangements (MAPPA) were created </w:t>
      </w:r>
      <w:r w:rsidR="00DC3798" w:rsidRPr="001C132C">
        <w:rPr>
          <w:rFonts w:ascii="Arial" w:hAnsi="Arial" w:cs="Arial"/>
        </w:rPr>
        <w:t xml:space="preserve">for criminal justice agencies and other agencies to work in partnership with offenders in order to protect the public in particular victims of crime from serious and dangerous offenders. This often involves the police, prison and probation service working together to </w:t>
      </w:r>
      <w:r w:rsidR="00AD79E6" w:rsidRPr="001C132C">
        <w:rPr>
          <w:rFonts w:ascii="Arial" w:hAnsi="Arial" w:cs="Arial"/>
        </w:rPr>
        <w:t>manage</w:t>
      </w:r>
      <w:r w:rsidR="00DC3798" w:rsidRPr="001C132C">
        <w:rPr>
          <w:rFonts w:ascii="Arial" w:hAnsi="Arial" w:cs="Arial"/>
        </w:rPr>
        <w:t xml:space="preserve"> offenders to continue safeguarding after the fact.</w:t>
      </w:r>
      <w:r w:rsidR="00862D25" w:rsidRPr="001C132C">
        <w:rPr>
          <w:rFonts w:ascii="Arial" w:hAnsi="Arial" w:cs="Arial"/>
        </w:rPr>
        <w:t xml:space="preserve"> </w:t>
      </w:r>
      <w:r w:rsidR="00DC3798" w:rsidRPr="001C132C">
        <w:rPr>
          <w:rFonts w:ascii="Arial" w:hAnsi="Arial" w:cs="Arial"/>
        </w:rPr>
        <w:t xml:space="preserve"> While all these methods are utilised and </w:t>
      </w:r>
      <w:r w:rsidR="00AD79E6" w:rsidRPr="001C132C">
        <w:rPr>
          <w:rFonts w:ascii="Arial" w:hAnsi="Arial" w:cs="Arial"/>
        </w:rPr>
        <w:t xml:space="preserve">often beneficial, many </w:t>
      </w:r>
      <w:r w:rsidR="00DC3798" w:rsidRPr="001C132C">
        <w:rPr>
          <w:rFonts w:ascii="Arial" w:hAnsi="Arial" w:cs="Arial"/>
        </w:rPr>
        <w:t xml:space="preserve">require the individual or parent/guardian to consent to these reports, risk assessments or referrals to be completed which often means that many victims are not receiving the help or support the need due to fear or uncertainty. </w:t>
      </w:r>
      <w:sdt>
        <w:sdtPr>
          <w:rPr>
            <w:rFonts w:ascii="Arial" w:hAnsi="Arial" w:cs="Arial"/>
          </w:rPr>
          <w:id w:val="941112406"/>
          <w:citation/>
        </w:sdtPr>
        <w:sdtEndPr/>
        <w:sdtContent>
          <w:r w:rsidR="001C132C" w:rsidRPr="001C132C">
            <w:rPr>
              <w:rFonts w:ascii="Arial" w:hAnsi="Arial" w:cs="Arial"/>
            </w:rPr>
            <w:fldChar w:fldCharType="begin"/>
          </w:r>
          <w:r w:rsidR="001C132C" w:rsidRPr="001C132C">
            <w:rPr>
              <w:rFonts w:ascii="Arial" w:hAnsi="Arial" w:cs="Arial"/>
            </w:rPr>
            <w:instrText xml:space="preserve">CITATION Col17 \l 2057 </w:instrText>
          </w:r>
          <w:r w:rsidR="001C132C" w:rsidRPr="001C132C">
            <w:rPr>
              <w:rFonts w:ascii="Arial" w:hAnsi="Arial" w:cs="Arial"/>
            </w:rPr>
            <w:fldChar w:fldCharType="separate"/>
          </w:r>
          <w:r w:rsidR="001C132C" w:rsidRPr="001C132C">
            <w:rPr>
              <w:rFonts w:ascii="Arial" w:hAnsi="Arial" w:cs="Arial"/>
              <w:noProof/>
            </w:rPr>
            <w:t>(College of Policing, MAPPA Multipagency public protection, 2017)</w:t>
          </w:r>
          <w:r w:rsidR="001C132C" w:rsidRPr="001C132C">
            <w:rPr>
              <w:rFonts w:ascii="Arial" w:hAnsi="Arial" w:cs="Arial"/>
            </w:rPr>
            <w:fldChar w:fldCharType="end"/>
          </w:r>
        </w:sdtContent>
      </w:sdt>
      <w:r w:rsidR="00DC3798" w:rsidRPr="001C132C">
        <w:rPr>
          <w:rFonts w:ascii="Arial" w:hAnsi="Arial" w:cs="Arial"/>
        </w:rPr>
        <w:t xml:space="preserve"> </w:t>
      </w:r>
    </w:p>
    <w:p w:rsidR="00CA4879" w:rsidRPr="001C132C" w:rsidRDefault="00DC3798" w:rsidP="00577D1F">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1C132C">
        <w:rPr>
          <w:rFonts w:ascii="Arial" w:eastAsia="Times New Roman" w:hAnsi="Arial" w:cs="Arial"/>
          <w:lang w:eastAsia="en-GB"/>
        </w:rPr>
        <w:t>According to The Home Office 2019 SOC report a large amount of SOC remains unreported or hidden</w:t>
      </w:r>
      <w:r w:rsidR="00AD79E6" w:rsidRPr="001C132C">
        <w:rPr>
          <w:rFonts w:ascii="Arial" w:eastAsia="Times New Roman" w:hAnsi="Arial" w:cs="Arial"/>
          <w:lang w:eastAsia="en-GB"/>
        </w:rPr>
        <w:t xml:space="preserve">. The government has over 100 government and law enforcement agencies and organisations involved in SOC however an assessment in 2019 showed that SOC is growing in seriousness within the UK and current approaches do not effectively deal with this increasing pressure. </w:t>
      </w:r>
      <w:sdt>
        <w:sdtPr>
          <w:rPr>
            <w:rFonts w:ascii="Arial" w:eastAsia="Times New Roman" w:hAnsi="Arial" w:cs="Arial"/>
            <w:lang w:eastAsia="en-GB"/>
          </w:rPr>
          <w:id w:val="176704002"/>
          <w:citation/>
        </w:sdtPr>
        <w:sdtEndPr/>
        <w:sdtContent>
          <w:r w:rsidR="001C132C" w:rsidRPr="001C132C">
            <w:rPr>
              <w:rFonts w:ascii="Arial" w:eastAsia="Times New Roman" w:hAnsi="Arial" w:cs="Arial"/>
              <w:lang w:eastAsia="en-GB"/>
            </w:rPr>
            <w:fldChar w:fldCharType="begin"/>
          </w:r>
          <w:r w:rsidR="001C132C" w:rsidRPr="001C132C">
            <w:rPr>
              <w:rFonts w:ascii="Arial" w:hAnsi="Arial" w:cs="Arial"/>
            </w:rPr>
            <w:instrText xml:space="preserve"> CITATION Nat19 \l 2057 </w:instrText>
          </w:r>
          <w:r w:rsidR="001C132C" w:rsidRPr="001C132C">
            <w:rPr>
              <w:rFonts w:ascii="Arial" w:eastAsia="Times New Roman" w:hAnsi="Arial" w:cs="Arial"/>
              <w:lang w:eastAsia="en-GB"/>
            </w:rPr>
            <w:fldChar w:fldCharType="separate"/>
          </w:r>
          <w:r w:rsidR="001C132C" w:rsidRPr="001C132C">
            <w:rPr>
              <w:rFonts w:ascii="Arial" w:hAnsi="Arial" w:cs="Arial"/>
              <w:noProof/>
            </w:rPr>
            <w:t>(National Crime Office, 2019)</w:t>
          </w:r>
          <w:r w:rsidR="001C132C" w:rsidRPr="001C132C">
            <w:rPr>
              <w:rFonts w:ascii="Arial" w:eastAsia="Times New Roman" w:hAnsi="Arial" w:cs="Arial"/>
              <w:lang w:eastAsia="en-GB"/>
            </w:rPr>
            <w:fldChar w:fldCharType="end"/>
          </w:r>
        </w:sdtContent>
      </w:sdt>
    </w:p>
    <w:p w:rsidR="00CA4879" w:rsidRDefault="00CA4879" w:rsidP="00CA487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CA4879" w:rsidRDefault="00225B25" w:rsidP="00CA487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Total 1086 words</w:t>
      </w:r>
    </w:p>
    <w:p w:rsidR="00CA4879" w:rsidRDefault="00CA4879" w:rsidP="00CA487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225B25" w:rsidRPr="008B534C" w:rsidRDefault="00596FBE" w:rsidP="00225B25">
      <w:pPr>
        <w:overflowPunct w:val="0"/>
        <w:autoSpaceDE w:val="0"/>
        <w:autoSpaceDN w:val="0"/>
        <w:adjustRightInd w:val="0"/>
        <w:spacing w:before="240" w:after="0" w:line="240" w:lineRule="auto"/>
        <w:jc w:val="both"/>
        <w:textAlignment w:val="baseline"/>
        <w:rPr>
          <w:rFonts w:ascii="Arial" w:eastAsia="Times New Roman" w:hAnsi="Arial" w:cs="Arial"/>
          <w:u w:val="single"/>
          <w:lang w:eastAsia="en-GB"/>
        </w:rPr>
      </w:pPr>
      <w:r>
        <w:rPr>
          <w:rFonts w:ascii="Arial" w:eastAsia="Times New Roman" w:hAnsi="Arial" w:cs="Arial"/>
          <w:lang w:eastAsia="en-GB"/>
        </w:rPr>
        <w:t xml:space="preserve"> </w:t>
      </w:r>
    </w:p>
    <w:p w:rsidR="00DF515B" w:rsidRDefault="00DF515B" w:rsidP="008B534C">
      <w:pPr>
        <w:overflowPunct w:val="0"/>
        <w:autoSpaceDE w:val="0"/>
        <w:autoSpaceDN w:val="0"/>
        <w:adjustRightInd w:val="0"/>
        <w:spacing w:before="240" w:after="0" w:line="240" w:lineRule="auto"/>
        <w:textAlignment w:val="baseline"/>
        <w:rPr>
          <w:rFonts w:ascii="Arial" w:eastAsia="Times New Roman" w:hAnsi="Arial" w:cs="Arial"/>
          <w:u w:val="single"/>
          <w:lang w:eastAsia="en-GB"/>
        </w:rPr>
      </w:pPr>
    </w:p>
    <w:p w:rsidR="00FD4964" w:rsidRDefault="00FD4964" w:rsidP="008B534C">
      <w:pPr>
        <w:overflowPunct w:val="0"/>
        <w:autoSpaceDE w:val="0"/>
        <w:autoSpaceDN w:val="0"/>
        <w:adjustRightInd w:val="0"/>
        <w:spacing w:before="240" w:after="0" w:line="240" w:lineRule="auto"/>
        <w:textAlignment w:val="baseline"/>
        <w:rPr>
          <w:rFonts w:ascii="Arial" w:eastAsia="Times New Roman" w:hAnsi="Arial" w:cs="Arial"/>
          <w:u w:val="single"/>
          <w:lang w:eastAsia="en-GB"/>
        </w:rPr>
      </w:pPr>
    </w:p>
    <w:p w:rsidR="00FD4964" w:rsidRDefault="00FD4964" w:rsidP="008B534C">
      <w:pPr>
        <w:overflowPunct w:val="0"/>
        <w:autoSpaceDE w:val="0"/>
        <w:autoSpaceDN w:val="0"/>
        <w:adjustRightInd w:val="0"/>
        <w:spacing w:before="240" w:after="0" w:line="240" w:lineRule="auto"/>
        <w:textAlignment w:val="baseline"/>
        <w:rPr>
          <w:rFonts w:ascii="Arial" w:eastAsia="Times New Roman" w:hAnsi="Arial" w:cs="Arial"/>
          <w:u w:val="single"/>
          <w:lang w:eastAsia="en-GB"/>
        </w:rPr>
      </w:pPr>
    </w:p>
    <w:sdt>
      <w:sdtPr>
        <w:id w:val="208548709"/>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FD4964" w:rsidRDefault="00FD4964">
          <w:pPr>
            <w:pStyle w:val="Heading1"/>
          </w:pPr>
          <w:r>
            <w:t>Bibliography</w:t>
          </w:r>
        </w:p>
        <w:sdt>
          <w:sdtPr>
            <w:id w:val="111145805"/>
            <w:bibliography/>
          </w:sdtPr>
          <w:sdtContent>
            <w:p w:rsidR="00FD4964" w:rsidRDefault="00FD4964" w:rsidP="00FD4964">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Baldwin, S. (2006). </w:t>
              </w:r>
              <w:r>
                <w:rPr>
                  <w:i/>
                  <w:iCs/>
                  <w:noProof/>
                  <w:lang w:val="en-US"/>
                </w:rPr>
                <w:t>Organisational Justice.</w:t>
              </w:r>
              <w:r>
                <w:rPr>
                  <w:noProof/>
                  <w:lang w:val="en-US"/>
                </w:rPr>
                <w:t xml:space="preserve"> Retrieved from Employment Studies Resources: https://www.employment-studies.co.uk/system/files/resources/files/mp73.pdf</w:t>
              </w:r>
            </w:p>
            <w:p w:rsidR="00FD4964" w:rsidRDefault="00FD4964" w:rsidP="00FD4964">
              <w:pPr>
                <w:pStyle w:val="Bibliography"/>
                <w:ind w:left="720" w:hanging="720"/>
                <w:rPr>
                  <w:noProof/>
                  <w:lang w:val="en-US"/>
                </w:rPr>
              </w:pPr>
              <w:r>
                <w:rPr>
                  <w:noProof/>
                  <w:lang w:val="en-US"/>
                </w:rPr>
                <w:t xml:space="preserve">Blackburn et al. (2020). Chapter 2 Policing. In </w:t>
              </w:r>
              <w:r>
                <w:rPr>
                  <w:i/>
                  <w:iCs/>
                  <w:noProof/>
                  <w:lang w:val="en-US"/>
                </w:rPr>
                <w:t>Handbook for Policing Students,</w:t>
              </w:r>
              <w:r>
                <w:rPr>
                  <w:noProof/>
                  <w:lang w:val="en-US"/>
                </w:rPr>
                <w:t xml:space="preserve"> (p. 26). Oxford University Press.</w:t>
              </w:r>
            </w:p>
            <w:p w:rsidR="00FD4964" w:rsidRDefault="00FD4964" w:rsidP="00FD4964">
              <w:pPr>
                <w:pStyle w:val="Bibliography"/>
                <w:ind w:left="720" w:hanging="720"/>
                <w:rPr>
                  <w:noProof/>
                  <w:lang w:val="en-US"/>
                </w:rPr>
              </w:pPr>
              <w:r>
                <w:rPr>
                  <w:noProof/>
                  <w:lang w:val="en-US"/>
                </w:rPr>
                <w:t xml:space="preserve">Blackburn et al. (2020). Chapter 4:The Criminal Justice System. In </w:t>
              </w:r>
              <w:r>
                <w:rPr>
                  <w:i/>
                  <w:iCs/>
                  <w:noProof/>
                  <w:lang w:val="en-US"/>
                </w:rPr>
                <w:t>Handbook for Policing Students</w:t>
              </w:r>
              <w:r>
                <w:rPr>
                  <w:noProof/>
                  <w:lang w:val="en-US"/>
                </w:rPr>
                <w:t xml:space="preserve"> (pp. 64-71). Oxford University Press.</w:t>
              </w:r>
            </w:p>
            <w:p w:rsidR="00FD4964" w:rsidRDefault="00FD4964" w:rsidP="00FD4964">
              <w:pPr>
                <w:pStyle w:val="Bibliography"/>
                <w:ind w:left="720" w:hanging="720"/>
                <w:rPr>
                  <w:noProof/>
                  <w:lang w:val="en-US"/>
                </w:rPr>
              </w:pPr>
              <w:r>
                <w:rPr>
                  <w:noProof/>
                  <w:lang w:val="en-US"/>
                </w:rPr>
                <w:t xml:space="preserve">Blackburn et al. (2020). Chapter 5 : Roles, Responsibilities and Support. In </w:t>
              </w:r>
              <w:r>
                <w:rPr>
                  <w:i/>
                  <w:iCs/>
                  <w:noProof/>
                  <w:lang w:val="en-US"/>
                </w:rPr>
                <w:t>Blackstones Handbook for Policing Students</w:t>
              </w:r>
              <w:r>
                <w:rPr>
                  <w:noProof/>
                  <w:lang w:val="en-US"/>
                </w:rPr>
                <w:t xml:space="preserve"> (p. 78). Oxford English Press.</w:t>
              </w:r>
            </w:p>
            <w:p w:rsidR="00FD4964" w:rsidRDefault="00FD4964" w:rsidP="00FD4964">
              <w:pPr>
                <w:pStyle w:val="Bibliography"/>
                <w:ind w:left="720" w:hanging="720"/>
                <w:rPr>
                  <w:noProof/>
                  <w:lang w:val="en-US"/>
                </w:rPr>
              </w:pPr>
              <w:r>
                <w:rPr>
                  <w:noProof/>
                  <w:lang w:val="en-US"/>
                </w:rPr>
                <w:t xml:space="preserve">Blackburn et al. (2020). Chapter 5 Roles, Responsibilies and Supportm. In </w:t>
              </w:r>
              <w:r>
                <w:rPr>
                  <w:i/>
                  <w:iCs/>
                  <w:noProof/>
                  <w:lang w:val="en-US"/>
                </w:rPr>
                <w:t>Blackstones Handbooko for Policing Students,</w:t>
              </w:r>
              <w:r>
                <w:rPr>
                  <w:noProof/>
                  <w:lang w:val="en-US"/>
                </w:rPr>
                <w:t xml:space="preserve"> (p. 74). Oxford English Press.</w:t>
              </w:r>
            </w:p>
            <w:p w:rsidR="00FD4964" w:rsidRDefault="00FD4964" w:rsidP="00FD4964">
              <w:pPr>
                <w:pStyle w:val="Bibliography"/>
                <w:ind w:left="720" w:hanging="720"/>
                <w:rPr>
                  <w:noProof/>
                  <w:lang w:val="en-US"/>
                </w:rPr>
              </w:pPr>
              <w:r>
                <w:rPr>
                  <w:noProof/>
                  <w:lang w:val="en-US"/>
                </w:rPr>
                <w:t xml:space="preserve">Blackburn et al. (2020). Chapter 5:Roles, Responsibilities and Support. In </w:t>
              </w:r>
              <w:r>
                <w:rPr>
                  <w:i/>
                  <w:iCs/>
                  <w:noProof/>
                  <w:lang w:val="en-US"/>
                </w:rPr>
                <w:t>Handbook for Policing Students</w:t>
              </w:r>
              <w:r>
                <w:rPr>
                  <w:noProof/>
                  <w:lang w:val="en-US"/>
                </w:rPr>
                <w:t xml:space="preserve"> (pp. 87-89). Oxford University Press.</w:t>
              </w:r>
            </w:p>
            <w:p w:rsidR="00FD4964" w:rsidRDefault="00FD4964" w:rsidP="00FD4964">
              <w:pPr>
                <w:pStyle w:val="Bibliography"/>
                <w:ind w:left="720" w:hanging="720"/>
                <w:rPr>
                  <w:noProof/>
                  <w:lang w:val="en-US"/>
                </w:rPr>
              </w:pPr>
              <w:r>
                <w:rPr>
                  <w:noProof/>
                  <w:lang w:val="en-US"/>
                </w:rPr>
                <w:t xml:space="preserve">Blackburn et al. (2020). The Code of Ethics. In </w:t>
              </w:r>
              <w:r>
                <w:rPr>
                  <w:i/>
                  <w:iCs/>
                  <w:noProof/>
                  <w:lang w:val="en-US"/>
                </w:rPr>
                <w:t>Handbook for Policing Students</w:t>
              </w:r>
              <w:r>
                <w:rPr>
                  <w:noProof/>
                  <w:lang w:val="en-US"/>
                </w:rPr>
                <w:t xml:space="preserve"> (p. 75). Oxford University Press.</w:t>
              </w:r>
            </w:p>
            <w:p w:rsidR="00FD4964" w:rsidRDefault="00FD4964" w:rsidP="00FD4964">
              <w:pPr>
                <w:pStyle w:val="Bibliography"/>
                <w:ind w:left="720" w:hanging="720"/>
                <w:rPr>
                  <w:noProof/>
                  <w:lang w:val="en-US"/>
                </w:rPr>
              </w:pPr>
              <w:r>
                <w:rPr>
                  <w:noProof/>
                  <w:lang w:val="en-US"/>
                </w:rPr>
                <w:t xml:space="preserve">Buchanan L. (2006). </w:t>
              </w:r>
              <w:r>
                <w:rPr>
                  <w:i/>
                  <w:iCs/>
                  <w:noProof/>
                  <w:lang w:val="en-US"/>
                </w:rPr>
                <w:t>A Brief History of Decision Making.</w:t>
              </w:r>
              <w:r>
                <w:rPr>
                  <w:noProof/>
                  <w:lang w:val="en-US"/>
                </w:rPr>
                <w:t xml:space="preserve"> Retrieved from Harvard Business Review: https://hbr.org/2006/01/a-brief-history-of-decision-making</w:t>
              </w:r>
            </w:p>
            <w:p w:rsidR="00FD4964" w:rsidRDefault="00FD4964" w:rsidP="00FD4964">
              <w:pPr>
                <w:pStyle w:val="Bibliography"/>
                <w:ind w:left="720" w:hanging="720"/>
                <w:rPr>
                  <w:noProof/>
                  <w:lang w:val="en-US"/>
                </w:rPr>
              </w:pPr>
              <w:r>
                <w:rPr>
                  <w:noProof/>
                  <w:lang w:val="en-US"/>
                </w:rPr>
                <w:t xml:space="preserve">Buchanan, L. &amp;. (2006). </w:t>
              </w:r>
              <w:r>
                <w:rPr>
                  <w:i/>
                  <w:iCs/>
                  <w:noProof/>
                  <w:lang w:val="en-US"/>
                </w:rPr>
                <w:t>A Brief History of Decision Making.</w:t>
              </w:r>
              <w:r>
                <w:rPr>
                  <w:noProof/>
                  <w:lang w:val="en-US"/>
                </w:rPr>
                <w:t xml:space="preserve"> Retrieved from Harvard Business Review: https://hbr.org/2006/01/a-brief-history-of-decision-making</w:t>
              </w:r>
            </w:p>
            <w:p w:rsidR="00FD4964" w:rsidRDefault="00FD4964" w:rsidP="00FD4964">
              <w:pPr>
                <w:pStyle w:val="Bibliography"/>
                <w:ind w:left="720" w:hanging="720"/>
                <w:rPr>
                  <w:noProof/>
                  <w:lang w:val="en-US"/>
                </w:rPr>
              </w:pPr>
              <w:r>
                <w:rPr>
                  <w:noProof/>
                  <w:lang w:val="en-US"/>
                </w:rPr>
                <w:t xml:space="preserve">College of Policing. (2014). </w:t>
              </w:r>
              <w:r>
                <w:rPr>
                  <w:i/>
                  <w:iCs/>
                  <w:noProof/>
                  <w:lang w:val="en-US"/>
                </w:rPr>
                <w:t>Major investigation and public protection - Adults at risk</w:t>
              </w:r>
              <w:r>
                <w:rPr>
                  <w:noProof/>
                  <w:lang w:val="en-US"/>
                </w:rPr>
                <w:t>. Retrieved from College of Policing: https://www.app.college.police.uk/app-content/major-investigation-and-public-protection/vulnerable-adults/</w:t>
              </w:r>
            </w:p>
            <w:p w:rsidR="00FD4964" w:rsidRDefault="00FD4964" w:rsidP="00FD4964">
              <w:pPr>
                <w:pStyle w:val="Bibliography"/>
                <w:ind w:left="720" w:hanging="720"/>
                <w:rPr>
                  <w:noProof/>
                  <w:lang w:val="en-US"/>
                </w:rPr>
              </w:pPr>
              <w:r>
                <w:rPr>
                  <w:noProof/>
                  <w:lang w:val="en-US"/>
                </w:rPr>
                <w:t xml:space="preserve">College of Policing. (2015). </w:t>
              </w:r>
              <w:r>
                <w:rPr>
                  <w:i/>
                  <w:iCs/>
                  <w:noProof/>
                  <w:lang w:val="en-US"/>
                </w:rPr>
                <w:t>Fair Cop 2 : Organisational Justice, behaviour and ethical policing,.</w:t>
              </w:r>
              <w:r>
                <w:rPr>
                  <w:noProof/>
                  <w:lang w:val="en-US"/>
                </w:rPr>
                <w:t xml:space="preserve"> College of Policing Limited.</w:t>
              </w:r>
            </w:p>
            <w:p w:rsidR="00FD4964" w:rsidRDefault="00FD4964" w:rsidP="00FD4964">
              <w:pPr>
                <w:pStyle w:val="Bibliography"/>
                <w:ind w:left="720" w:hanging="720"/>
                <w:rPr>
                  <w:noProof/>
                  <w:lang w:val="en-US"/>
                </w:rPr>
              </w:pPr>
              <w:r>
                <w:rPr>
                  <w:noProof/>
                  <w:lang w:val="en-US"/>
                </w:rPr>
                <w:t xml:space="preserve">College of Policing. (2017). </w:t>
              </w:r>
              <w:r>
                <w:rPr>
                  <w:i/>
                  <w:iCs/>
                  <w:noProof/>
                  <w:lang w:val="en-US"/>
                </w:rPr>
                <w:t>MAPPA Multipagency public protection</w:t>
              </w:r>
              <w:r>
                <w:rPr>
                  <w:noProof/>
                  <w:lang w:val="en-US"/>
                </w:rPr>
                <w:t>. Retrieved from College of Policing: https://www.app.college.police.uk/app-content/major-investigation-and-public-protection/managing-sexual-offenders-and-violent-offenders/mappa/</w:t>
              </w:r>
            </w:p>
            <w:p w:rsidR="00FD4964" w:rsidRDefault="00FD4964" w:rsidP="00FD4964">
              <w:pPr>
                <w:pStyle w:val="Bibliography"/>
                <w:ind w:left="720" w:hanging="720"/>
                <w:rPr>
                  <w:noProof/>
                  <w:lang w:val="en-US"/>
                </w:rPr>
              </w:pPr>
              <w:r>
                <w:rPr>
                  <w:noProof/>
                  <w:lang w:val="en-US"/>
                </w:rPr>
                <w:t xml:space="preserve">College of Policing. (2021). </w:t>
              </w:r>
              <w:r>
                <w:rPr>
                  <w:i/>
                  <w:iCs/>
                  <w:noProof/>
                  <w:lang w:val="en-US"/>
                </w:rPr>
                <w:t>Code of Ethics</w:t>
              </w:r>
              <w:r>
                <w:rPr>
                  <w:noProof/>
                  <w:lang w:val="en-US"/>
                </w:rPr>
                <w:t>. Retrieved from College of Policing: https://www.college.police.uk/ethics/code-of-ethics</w:t>
              </w:r>
            </w:p>
            <w:p w:rsidR="00FD4964" w:rsidRDefault="00FD4964" w:rsidP="00FD4964">
              <w:pPr>
                <w:pStyle w:val="Bibliography"/>
                <w:ind w:left="720" w:hanging="720"/>
                <w:rPr>
                  <w:noProof/>
                  <w:lang w:val="en-US"/>
                </w:rPr>
              </w:pPr>
              <w:r>
                <w:rPr>
                  <w:noProof/>
                  <w:lang w:val="en-US"/>
                </w:rPr>
                <w:t xml:space="preserve">Crimestoppers. (2018). </w:t>
              </w:r>
              <w:r>
                <w:rPr>
                  <w:i/>
                  <w:iCs/>
                  <w:noProof/>
                  <w:lang w:val="en-US"/>
                </w:rPr>
                <w:t>Serious and Organised Crime</w:t>
              </w:r>
              <w:r>
                <w:rPr>
                  <w:noProof/>
                  <w:lang w:val="en-US"/>
                </w:rPr>
                <w:t>. Retrieved from Crimestoppers UK: https://crimestoppers-uk.org/keeping-safe/community-family/serious-and-organised-crime</w:t>
              </w:r>
            </w:p>
            <w:p w:rsidR="00FD4964" w:rsidRDefault="00FD4964" w:rsidP="00FD4964">
              <w:pPr>
                <w:pStyle w:val="Bibliography"/>
                <w:ind w:left="720" w:hanging="720"/>
                <w:rPr>
                  <w:noProof/>
                  <w:lang w:val="en-US"/>
                </w:rPr>
              </w:pPr>
              <w:r>
                <w:rPr>
                  <w:noProof/>
                  <w:lang w:val="en-US"/>
                </w:rPr>
                <w:t xml:space="preserve">Dearden, L. (2018, January 8). </w:t>
              </w:r>
              <w:r>
                <w:rPr>
                  <w:i/>
                  <w:iCs/>
                  <w:noProof/>
                  <w:lang w:val="en-US"/>
                </w:rPr>
                <w:t>New police watchdog launches to replace IPCC and ensure 'greater accountability to public',.</w:t>
              </w:r>
              <w:r>
                <w:rPr>
                  <w:noProof/>
                  <w:lang w:val="en-US"/>
                </w:rPr>
                <w:t xml:space="preserve"> Retrieved from Independent: https://www.independent.co.uk/news/uk/crime/police-watchdog-launch-iopc-replace-ipcc-independent-office-police-conduct-uk-public-accountability-a8147696.html</w:t>
              </w:r>
            </w:p>
            <w:p w:rsidR="00FD4964" w:rsidRDefault="00FD4964" w:rsidP="00FD4964">
              <w:pPr>
                <w:pStyle w:val="Bibliography"/>
                <w:ind w:left="720" w:hanging="720"/>
                <w:rPr>
                  <w:noProof/>
                  <w:lang w:val="en-US"/>
                </w:rPr>
              </w:pPr>
              <w:r>
                <w:rPr>
                  <w:noProof/>
                  <w:lang w:val="en-US"/>
                </w:rPr>
                <w:t xml:space="preserve">Gareth Davies, C. a. (2019). </w:t>
              </w:r>
              <w:r>
                <w:rPr>
                  <w:i/>
                  <w:iCs/>
                  <w:noProof/>
                  <w:lang w:val="en-US"/>
                </w:rPr>
                <w:t>Tackling serious and.</w:t>
              </w:r>
              <w:r>
                <w:rPr>
                  <w:noProof/>
                  <w:lang w:val="en-US"/>
                </w:rPr>
                <w:t xml:space="preserve"> National Audit Office.</w:t>
              </w:r>
            </w:p>
            <w:p w:rsidR="00FD4964" w:rsidRDefault="00FD4964" w:rsidP="00FD4964">
              <w:pPr>
                <w:pStyle w:val="Bibliography"/>
                <w:ind w:left="720" w:hanging="720"/>
                <w:rPr>
                  <w:noProof/>
                  <w:lang w:val="en-US"/>
                </w:rPr>
              </w:pPr>
              <w:r>
                <w:rPr>
                  <w:noProof/>
                  <w:lang w:val="en-US"/>
                </w:rPr>
                <w:t xml:space="preserve">HMICFRS. (2018, May 16). </w:t>
              </w:r>
              <w:r>
                <w:rPr>
                  <w:i/>
                  <w:iCs/>
                  <w:noProof/>
                  <w:lang w:val="en-US"/>
                </w:rPr>
                <w:t>The College of Policing and the IOPC,.</w:t>
              </w:r>
              <w:r>
                <w:rPr>
                  <w:noProof/>
                  <w:lang w:val="en-US"/>
                </w:rPr>
                <w:t xml:space="preserve"> Retrieved from HMICFRS:Promoting improvements in policing and fire &amp; rescue services to make everyone safer,: </w:t>
              </w:r>
              <w:r>
                <w:rPr>
                  <w:noProof/>
                  <w:lang w:val="en-US"/>
                </w:rPr>
                <w:lastRenderedPageBreak/>
                <w:t>https://www.justiceinspectorates.gov.uk/hmicfrs/police-forces/working-with-others/college-policing-ipcc/</w:t>
              </w:r>
            </w:p>
            <w:p w:rsidR="00FD4964" w:rsidRDefault="00FD4964" w:rsidP="00FD4964">
              <w:pPr>
                <w:pStyle w:val="Bibliography"/>
                <w:ind w:left="720" w:hanging="720"/>
                <w:rPr>
                  <w:noProof/>
                  <w:lang w:val="en-US"/>
                </w:rPr>
              </w:pPr>
              <w:r>
                <w:rPr>
                  <w:noProof/>
                  <w:lang w:val="en-US"/>
                </w:rPr>
                <w:t xml:space="preserve">Home Office. (2020). </w:t>
              </w:r>
              <w:r>
                <w:rPr>
                  <w:i/>
                  <w:iCs/>
                  <w:noProof/>
                  <w:lang w:val="en-US"/>
                </w:rPr>
                <w:t>Criminal Exploitation of children and vulnerable adults: County Lines</w:t>
              </w:r>
              <w:r>
                <w:rPr>
                  <w:noProof/>
                  <w:lang w:val="en-US"/>
                </w:rPr>
                <w:t>. Retrieved from Gov.uk: https://www.gov.uk/government/publications/criminal-exploitation-of-children-and-vulnerable-adults-county-lines/criminal-exploitation-of-children-and-vulnerable-adults-county-lines</w:t>
              </w:r>
            </w:p>
            <w:p w:rsidR="00FD4964" w:rsidRDefault="00FD4964" w:rsidP="00FD4964">
              <w:pPr>
                <w:pStyle w:val="Bibliography"/>
                <w:ind w:left="720" w:hanging="720"/>
                <w:rPr>
                  <w:noProof/>
                  <w:lang w:val="en-US"/>
                </w:rPr>
              </w:pPr>
              <w:r>
                <w:rPr>
                  <w:noProof/>
                  <w:lang w:val="en-US"/>
                </w:rPr>
                <w:t xml:space="preserve">Independent Office for Police Conduct. (2019). </w:t>
              </w:r>
              <w:r>
                <w:rPr>
                  <w:i/>
                  <w:iCs/>
                  <w:noProof/>
                  <w:lang w:val="en-US"/>
                </w:rPr>
                <w:t>Independent Office for Police Conduct Stakeholder Engagement Strategy 2019-2022.</w:t>
              </w:r>
              <w:r>
                <w:rPr>
                  <w:noProof/>
                  <w:lang w:val="en-US"/>
                </w:rPr>
                <w:t xml:space="preserve"> Retrieved from Police Conduct: https://www.policeconduct.gov.uk/sites/default/files/Documents/Who-we-are/IOPC_Stakeholder_Engagement_Strategy_2019-22.pdf#:~:text=The%20IOPC%E2%80%99s%20mission%20is%20to%20improve%20public%20confidence,and%20some%20are%20less%20likely%20to%20use%20it.</w:t>
              </w:r>
            </w:p>
            <w:p w:rsidR="00FD4964" w:rsidRDefault="00FD4964" w:rsidP="00FD4964">
              <w:pPr>
                <w:pStyle w:val="Bibliography"/>
                <w:ind w:left="720" w:hanging="720"/>
                <w:rPr>
                  <w:noProof/>
                  <w:lang w:val="en-US"/>
                </w:rPr>
              </w:pPr>
              <w:r>
                <w:rPr>
                  <w:noProof/>
                  <w:lang w:val="en-US"/>
                </w:rPr>
                <w:t xml:space="preserve">Independent Office for Police Conduct. (2019). </w:t>
              </w:r>
              <w:r>
                <w:rPr>
                  <w:i/>
                  <w:iCs/>
                  <w:noProof/>
                  <w:lang w:val="en-US"/>
                </w:rPr>
                <w:t>Independent Office for Police Conduct Stakeholder Engagement Strategy 2019-2022.</w:t>
              </w:r>
              <w:r>
                <w:rPr>
                  <w:noProof/>
                  <w:lang w:val="en-US"/>
                </w:rPr>
                <w:t xml:space="preserve"> Retrieved from Police Conduct: https://www.policeconduct.gov.uk/sites/default/files/Documents/Who-we-are/IOPC_Stakeholder_Engagement_Strategy_2019-22.pdf#:~:text=The%20IOPC%E2%80%99s%20mission%20is%20to%20improve%20public%20confidence,and%20some%20are%20less%20likely%20to%20use%20it.</w:t>
              </w:r>
            </w:p>
            <w:p w:rsidR="00FD4964" w:rsidRDefault="00FD4964" w:rsidP="00FD4964">
              <w:pPr>
                <w:pStyle w:val="Bibliography"/>
                <w:ind w:left="720" w:hanging="720"/>
                <w:rPr>
                  <w:noProof/>
                  <w:lang w:val="en-US"/>
                </w:rPr>
              </w:pPr>
              <w:r>
                <w:rPr>
                  <w:noProof/>
                  <w:lang w:val="en-US"/>
                </w:rPr>
                <w:t xml:space="preserve">Independent Office for Police Conduct. (2019). </w:t>
              </w:r>
              <w:r>
                <w:rPr>
                  <w:i/>
                  <w:iCs/>
                  <w:noProof/>
                  <w:lang w:val="en-US"/>
                </w:rPr>
                <w:t>Response to the home secretaary on the effeciency, effectiveness, assets, publishing and profile of the IOPC.</w:t>
              </w:r>
              <w:r>
                <w:rPr>
                  <w:noProof/>
                  <w:lang w:val="en-US"/>
                </w:rPr>
                <w:t xml:space="preserve"> Home Office.</w:t>
              </w:r>
            </w:p>
            <w:p w:rsidR="00FD4964" w:rsidRDefault="00FD4964" w:rsidP="00FD4964">
              <w:pPr>
                <w:pStyle w:val="Bibliography"/>
                <w:ind w:left="720" w:hanging="720"/>
                <w:rPr>
                  <w:noProof/>
                  <w:lang w:val="en-US"/>
                </w:rPr>
              </w:pPr>
              <w:r>
                <w:rPr>
                  <w:noProof/>
                  <w:lang w:val="en-US"/>
                </w:rPr>
                <w:t xml:space="preserve">Independent Office of Police Conduct. (2019). </w:t>
              </w:r>
              <w:r>
                <w:rPr>
                  <w:i/>
                  <w:iCs/>
                  <w:noProof/>
                  <w:lang w:val="en-US"/>
                </w:rPr>
                <w:t>Impact Report 2018/19.</w:t>
              </w:r>
              <w:r>
                <w:rPr>
                  <w:noProof/>
                  <w:lang w:val="en-US"/>
                </w:rPr>
                <w:t xml:space="preserve"> IOPC.</w:t>
              </w:r>
            </w:p>
            <w:p w:rsidR="00FD4964" w:rsidRDefault="00FD4964" w:rsidP="00FD4964">
              <w:pPr>
                <w:pStyle w:val="Bibliography"/>
                <w:ind w:left="720" w:hanging="720"/>
                <w:rPr>
                  <w:noProof/>
                  <w:lang w:val="en-US"/>
                </w:rPr>
              </w:pPr>
              <w:r>
                <w:rPr>
                  <w:noProof/>
                  <w:lang w:val="en-US"/>
                </w:rPr>
                <w:t xml:space="preserve">IOPC. (2019). </w:t>
              </w:r>
              <w:r>
                <w:rPr>
                  <w:i/>
                  <w:iCs/>
                  <w:noProof/>
                  <w:lang w:val="en-US"/>
                </w:rPr>
                <w:t>Independent Office for Police Conduct Stakeholder Engagement Strategy 2019-2022.</w:t>
              </w:r>
              <w:r>
                <w:rPr>
                  <w:noProof/>
                  <w:lang w:val="en-US"/>
                </w:rPr>
                <w:t xml:space="preserve"> Retrieved from Police Conduct: https://www.policeconduct.gov.uk/sites/default/files/Documents/Who-we-are/IOPC_Stakeholder_Engagement_Strategy_2019-22.pdf#:~:text=The%20IOPC%E2%80%99s%20mission%20is%20to%20improve%20public%20confidence,and%20some%20are%20less%20likely%20to%20use%20it.</w:t>
              </w:r>
            </w:p>
            <w:p w:rsidR="00FD4964" w:rsidRDefault="00FD4964" w:rsidP="00FD4964">
              <w:pPr>
                <w:pStyle w:val="Bibliography"/>
                <w:ind w:left="720" w:hanging="720"/>
                <w:rPr>
                  <w:noProof/>
                  <w:lang w:val="en-US"/>
                </w:rPr>
              </w:pPr>
              <w:r>
                <w:rPr>
                  <w:noProof/>
                  <w:lang w:val="en-US"/>
                </w:rPr>
                <w:t xml:space="preserve">IOPC. (2020, June). </w:t>
              </w:r>
              <w:r>
                <w:rPr>
                  <w:i/>
                  <w:iCs/>
                  <w:noProof/>
                  <w:lang w:val="en-US"/>
                </w:rPr>
                <w:t>IOPC Business Plan 2020/21.</w:t>
              </w:r>
              <w:r>
                <w:rPr>
                  <w:noProof/>
                  <w:lang w:val="en-US"/>
                </w:rPr>
                <w:t xml:space="preserve"> Retrieved from Police Conduct: https://policeconduct.gov.uk/sites/default/files/Documents/Who-we-are/accountability-performance/IOPC_Business_plan_2020-21.pdf</w:t>
              </w:r>
            </w:p>
            <w:p w:rsidR="00FD4964" w:rsidRDefault="00FD4964" w:rsidP="00FD4964">
              <w:pPr>
                <w:pStyle w:val="Bibliography"/>
                <w:ind w:left="720" w:hanging="720"/>
                <w:rPr>
                  <w:noProof/>
                  <w:lang w:val="en-US"/>
                </w:rPr>
              </w:pPr>
              <w:r>
                <w:rPr>
                  <w:noProof/>
                  <w:lang w:val="en-US"/>
                </w:rPr>
                <w:t xml:space="preserve">National Crime Office. (2019). </w:t>
              </w:r>
              <w:r>
                <w:rPr>
                  <w:i/>
                  <w:iCs/>
                  <w:noProof/>
                  <w:lang w:val="en-US"/>
                </w:rPr>
                <w:t>Tackling Serious and Organised Crime.</w:t>
              </w:r>
              <w:r>
                <w:rPr>
                  <w:noProof/>
                  <w:lang w:val="en-US"/>
                </w:rPr>
                <w:t xml:space="preserve"> </w:t>
              </w:r>
            </w:p>
            <w:p w:rsidR="00FD4964" w:rsidRDefault="00FD4964" w:rsidP="00FD4964">
              <w:pPr>
                <w:pStyle w:val="Bibliography"/>
                <w:ind w:left="720" w:hanging="720"/>
                <w:rPr>
                  <w:noProof/>
                  <w:lang w:val="en-US"/>
                </w:rPr>
              </w:pPr>
              <w:r>
                <w:rPr>
                  <w:i/>
                  <w:iCs/>
                  <w:noProof/>
                  <w:lang w:val="en-US"/>
                </w:rPr>
                <w:t>National Decision Model</w:t>
              </w:r>
              <w:r>
                <w:rPr>
                  <w:noProof/>
                  <w:lang w:val="en-US"/>
                </w:rPr>
                <w:t>. (2014, December). Retrieved from College of Policing: https://www.app.college.police.uk/app-content/national-decision-model/the-national-decision-model/</w:t>
              </w:r>
            </w:p>
            <w:p w:rsidR="00FD4964" w:rsidRDefault="00FD4964" w:rsidP="00FD4964">
              <w:pPr>
                <w:pStyle w:val="Bibliography"/>
                <w:ind w:left="720" w:hanging="720"/>
                <w:rPr>
                  <w:noProof/>
                  <w:lang w:val="en-US"/>
                </w:rPr>
              </w:pPr>
              <w:r>
                <w:rPr>
                  <w:noProof/>
                  <w:lang w:val="en-US"/>
                </w:rPr>
                <w:t xml:space="preserve">NSPCC. (2021). </w:t>
              </w:r>
              <w:r>
                <w:rPr>
                  <w:i/>
                  <w:iCs/>
                  <w:noProof/>
                  <w:lang w:val="en-US"/>
                </w:rPr>
                <w:t>Criminal Exploitation and Gangs</w:t>
              </w:r>
              <w:r>
                <w:rPr>
                  <w:noProof/>
                  <w:lang w:val="en-US"/>
                </w:rPr>
                <w:t>. Retrieved from NSPCC Every Child is Worth Fighting For: https://www.nspcc.org.uk/what-is-child-abuse/types-of-abuse/gangs-criminal-exploitation/</w:t>
              </w:r>
            </w:p>
            <w:p w:rsidR="00FD4964" w:rsidRDefault="00FD4964" w:rsidP="00FD4964">
              <w:pPr>
                <w:pStyle w:val="Bibliography"/>
                <w:ind w:left="720" w:hanging="720"/>
                <w:rPr>
                  <w:noProof/>
                  <w:lang w:val="en-US"/>
                </w:rPr>
              </w:pPr>
              <w:r>
                <w:rPr>
                  <w:noProof/>
                  <w:lang w:val="en-US"/>
                </w:rPr>
                <w:t xml:space="preserve">Quinton et al. (2015). </w:t>
              </w:r>
              <w:r>
                <w:rPr>
                  <w:i/>
                  <w:iCs/>
                  <w:noProof/>
                  <w:lang w:val="en-US"/>
                </w:rPr>
                <w:t>Organisational Justice, behaviour and ethical policing, an interpretative evidence commentary,.</w:t>
              </w:r>
              <w:r>
                <w:rPr>
                  <w:noProof/>
                  <w:lang w:val="en-US"/>
                </w:rPr>
                <w:t xml:space="preserve"> College of Policing Limited.</w:t>
              </w:r>
            </w:p>
            <w:p w:rsidR="00FD4964" w:rsidRDefault="00FD4964" w:rsidP="00FD4964">
              <w:pPr>
                <w:pStyle w:val="Bibliography"/>
                <w:ind w:left="720" w:hanging="720"/>
                <w:rPr>
                  <w:noProof/>
                  <w:lang w:val="en-US"/>
                </w:rPr>
              </w:pPr>
              <w:r>
                <w:rPr>
                  <w:noProof/>
                  <w:lang w:val="en-US"/>
                </w:rPr>
                <w:t xml:space="preserve">Roberts et al. (2013). </w:t>
              </w:r>
              <w:r>
                <w:rPr>
                  <w:i/>
                  <w:iCs/>
                  <w:noProof/>
                  <w:lang w:val="en-US"/>
                </w:rPr>
                <w:t>Organisational and Procedural Justice: a review of the literature and it's implications for policing.</w:t>
              </w:r>
              <w:r>
                <w:rPr>
                  <w:noProof/>
                  <w:lang w:val="en-US"/>
                </w:rPr>
                <w:t xml:space="preserve"> Centre for Policing, Intelligence and Counter Terrorism.</w:t>
              </w:r>
            </w:p>
            <w:p w:rsidR="00FD4964" w:rsidRDefault="00FD4964" w:rsidP="00FD4964">
              <w:pPr>
                <w:pStyle w:val="Bibliography"/>
                <w:ind w:left="720" w:hanging="720"/>
                <w:rPr>
                  <w:noProof/>
                  <w:lang w:val="en-US"/>
                </w:rPr>
              </w:pPr>
              <w:r>
                <w:rPr>
                  <w:noProof/>
                  <w:lang w:val="en-US"/>
                </w:rPr>
                <w:lastRenderedPageBreak/>
                <w:t xml:space="preserve">Rush, M. (2017, July 5). </w:t>
              </w:r>
              <w:r>
                <w:rPr>
                  <w:i/>
                  <w:iCs/>
                  <w:noProof/>
                  <w:lang w:val="en-US"/>
                </w:rPr>
                <w:t>The Importance Of Ethics and Professional Conduct In Law Enforcement</w:t>
              </w:r>
              <w:r>
                <w:rPr>
                  <w:noProof/>
                  <w:lang w:val="en-US"/>
                </w:rPr>
                <w:t>. Retrieved from Career Trend: https://careertrend.com/importance-ethics-professional-conduct-law-enforcement-leaders-29432.html</w:t>
              </w:r>
            </w:p>
            <w:p w:rsidR="00FD4964" w:rsidRDefault="00FD4964" w:rsidP="00FD4964">
              <w:pPr>
                <w:pStyle w:val="Bibliography"/>
                <w:ind w:left="720" w:hanging="720"/>
                <w:rPr>
                  <w:noProof/>
                  <w:lang w:val="en-US"/>
                </w:rPr>
              </w:pPr>
              <w:r>
                <w:rPr>
                  <w:noProof/>
                  <w:lang w:val="en-US"/>
                </w:rPr>
                <w:t xml:space="preserve">Safeguarding Adults Board. (2021). </w:t>
              </w:r>
              <w:r>
                <w:rPr>
                  <w:i/>
                  <w:iCs/>
                  <w:noProof/>
                  <w:lang w:val="en-US"/>
                </w:rPr>
                <w:t>Cuckooing</w:t>
              </w:r>
              <w:r>
                <w:rPr>
                  <w:noProof/>
                  <w:lang w:val="en-US"/>
                </w:rPr>
                <w:t>. Retrieved from Safeguarding Adults Board: Cuckooing | Salford Safeguarding Adults Board Criminal exploitation and gangs | NSPCC</w:t>
              </w:r>
            </w:p>
            <w:p w:rsidR="00FD4964" w:rsidRDefault="00FD4964" w:rsidP="00FD4964">
              <w:r>
                <w:rPr>
                  <w:b/>
                  <w:bCs/>
                  <w:noProof/>
                </w:rPr>
                <w:fldChar w:fldCharType="end"/>
              </w:r>
            </w:p>
          </w:sdtContent>
        </w:sdt>
      </w:sdtContent>
    </w:sdt>
    <w:p w:rsidR="00FD4964" w:rsidRPr="008B534C" w:rsidRDefault="00FD4964" w:rsidP="008B534C">
      <w:pPr>
        <w:overflowPunct w:val="0"/>
        <w:autoSpaceDE w:val="0"/>
        <w:autoSpaceDN w:val="0"/>
        <w:adjustRightInd w:val="0"/>
        <w:spacing w:before="240" w:after="0" w:line="240" w:lineRule="auto"/>
        <w:textAlignment w:val="baseline"/>
        <w:rPr>
          <w:rFonts w:ascii="Arial" w:eastAsia="Times New Roman" w:hAnsi="Arial" w:cs="Arial"/>
          <w:u w:val="single"/>
          <w:lang w:eastAsia="en-GB"/>
        </w:rPr>
      </w:pPr>
      <w:bookmarkStart w:id="0" w:name="_GoBack"/>
      <w:bookmarkEnd w:id="0"/>
    </w:p>
    <w:sectPr w:rsidR="00FD4964" w:rsidRPr="008B534C" w:rsidSect="00B06E0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17E" w:rsidRDefault="007E117E" w:rsidP="00B06E01">
      <w:pPr>
        <w:spacing w:after="0" w:line="240" w:lineRule="auto"/>
      </w:pPr>
      <w:r>
        <w:separator/>
      </w:r>
    </w:p>
  </w:endnote>
  <w:endnote w:type="continuationSeparator" w:id="0">
    <w:p w:rsidR="007E117E" w:rsidRDefault="007E117E" w:rsidP="00B06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17E" w:rsidRDefault="00FD4964" w:rsidP="00FD4964">
    <w:pPr>
      <w:pStyle w:val="Footer"/>
      <w:rPr>
        <w:color w:val="000000"/>
        <w:sz w:val="17"/>
      </w:rPr>
    </w:pPr>
    <w:bookmarkStart w:id="3" w:name="TITUS1FooterEvenPages"/>
    <w:r>
      <w:rPr>
        <w:color w:val="000000"/>
        <w:sz w:val="17"/>
      </w:rPr>
      <w:t> </w:t>
    </w:r>
  </w:p>
  <w:bookmarkEnd w:id="3"/>
  <w:p w:rsidR="007E117E" w:rsidRDefault="007E117E" w:rsidP="00465B91">
    <w:pPr>
      <w:pStyle w:val="Footer"/>
    </w:pPr>
  </w:p>
  <w:p w:rsidR="007E117E" w:rsidRDefault="007E11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17E" w:rsidRDefault="00FD4964" w:rsidP="00FD4964">
    <w:pPr>
      <w:pStyle w:val="Footer"/>
      <w:rPr>
        <w:color w:val="000000"/>
        <w:sz w:val="17"/>
      </w:rPr>
    </w:pPr>
    <w:bookmarkStart w:id="4" w:name="TITUS1FooterPrimary"/>
    <w:r>
      <w:rPr>
        <w:color w:val="000000"/>
        <w:sz w:val="17"/>
      </w:rPr>
      <w:t> </w:t>
    </w:r>
  </w:p>
  <w:bookmarkEnd w:id="4"/>
  <w:p w:rsidR="007E117E" w:rsidRDefault="007E11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17E" w:rsidRDefault="00FD4964" w:rsidP="00FD4964">
    <w:pPr>
      <w:pStyle w:val="Footer"/>
      <w:rPr>
        <w:color w:val="000000"/>
        <w:sz w:val="17"/>
      </w:rPr>
    </w:pPr>
    <w:bookmarkStart w:id="6" w:name="TITUS1FooterFirstPage"/>
    <w:r>
      <w:rPr>
        <w:color w:val="000000"/>
        <w:sz w:val="17"/>
      </w:rPr>
      <w:t> </w:t>
    </w:r>
  </w:p>
  <w:bookmarkEnd w:id="6"/>
  <w:p w:rsidR="007E117E" w:rsidRDefault="007E1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17E" w:rsidRDefault="007E117E" w:rsidP="00B06E01">
      <w:pPr>
        <w:spacing w:after="0" w:line="240" w:lineRule="auto"/>
      </w:pPr>
      <w:r>
        <w:separator/>
      </w:r>
    </w:p>
  </w:footnote>
  <w:footnote w:type="continuationSeparator" w:id="0">
    <w:p w:rsidR="007E117E" w:rsidRDefault="007E117E" w:rsidP="00B06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17E" w:rsidRDefault="00FD4964" w:rsidP="00FD4964">
    <w:pPr>
      <w:pStyle w:val="Header"/>
      <w:rPr>
        <w:color w:val="000000"/>
        <w:sz w:val="17"/>
      </w:rPr>
    </w:pPr>
    <w:bookmarkStart w:id="1" w:name="TITUS1HeaderEvenPages"/>
    <w:r>
      <w:rPr>
        <w:color w:val="000000"/>
        <w:sz w:val="17"/>
      </w:rPr>
      <w:t> </w:t>
    </w:r>
  </w:p>
  <w:bookmarkEnd w:id="1"/>
  <w:p w:rsidR="007E117E" w:rsidRDefault="007E117E" w:rsidP="00465B91">
    <w:pPr>
      <w:pStyle w:val="Header"/>
    </w:pPr>
  </w:p>
  <w:p w:rsidR="007E117E" w:rsidRDefault="007E11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17E" w:rsidRDefault="00FD4964" w:rsidP="00FD4964">
    <w:pPr>
      <w:pStyle w:val="Header"/>
      <w:rPr>
        <w:color w:val="000000"/>
        <w:sz w:val="17"/>
      </w:rPr>
    </w:pPr>
    <w:bookmarkStart w:id="2" w:name="TITUS1HeaderPrimary"/>
    <w:r>
      <w:rPr>
        <w:color w:val="000000"/>
        <w:sz w:val="17"/>
      </w:rPr>
      <w:t> </w:t>
    </w:r>
  </w:p>
  <w:bookmarkEnd w:id="2"/>
  <w:p w:rsidR="007E117E" w:rsidRDefault="007E11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17E" w:rsidRDefault="00FD4964" w:rsidP="00FD4964">
    <w:pPr>
      <w:pStyle w:val="Header"/>
      <w:rPr>
        <w:color w:val="000000"/>
        <w:sz w:val="17"/>
      </w:rPr>
    </w:pPr>
    <w:bookmarkStart w:id="5" w:name="TITUS1HeaderFirstPage"/>
    <w:r>
      <w:rPr>
        <w:color w:val="000000"/>
        <w:sz w:val="17"/>
      </w:rPr>
      <w:t> </w:t>
    </w:r>
  </w:p>
  <w:bookmarkEnd w:id="5"/>
  <w:p w:rsidR="007E117E" w:rsidRDefault="007E11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50202"/>
    <w:multiLevelType w:val="hybridMultilevel"/>
    <w:tmpl w:val="9B268064"/>
    <w:lvl w:ilvl="0" w:tplc="F730A5D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D50560"/>
    <w:multiLevelType w:val="hybridMultilevel"/>
    <w:tmpl w:val="A5FE8D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907F90"/>
    <w:multiLevelType w:val="hybridMultilevel"/>
    <w:tmpl w:val="8AFE9C28"/>
    <w:lvl w:ilvl="0" w:tplc="906299A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efaultTabStop w:val="720"/>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0CF"/>
    <w:rsid w:val="00043076"/>
    <w:rsid w:val="00043BC4"/>
    <w:rsid w:val="000441EE"/>
    <w:rsid w:val="00067D3F"/>
    <w:rsid w:val="000B40CF"/>
    <w:rsid w:val="000C0F32"/>
    <w:rsid w:val="00113439"/>
    <w:rsid w:val="00123B43"/>
    <w:rsid w:val="001C132C"/>
    <w:rsid w:val="001E3423"/>
    <w:rsid w:val="001E63D8"/>
    <w:rsid w:val="001F5FBD"/>
    <w:rsid w:val="00225B25"/>
    <w:rsid w:val="00225FD3"/>
    <w:rsid w:val="00286360"/>
    <w:rsid w:val="00286986"/>
    <w:rsid w:val="002B727E"/>
    <w:rsid w:val="002C2D29"/>
    <w:rsid w:val="00333766"/>
    <w:rsid w:val="00360182"/>
    <w:rsid w:val="00372A1B"/>
    <w:rsid w:val="00373744"/>
    <w:rsid w:val="003768C6"/>
    <w:rsid w:val="00382E33"/>
    <w:rsid w:val="003B6D4B"/>
    <w:rsid w:val="003C198E"/>
    <w:rsid w:val="003D28D3"/>
    <w:rsid w:val="003E028F"/>
    <w:rsid w:val="003E56E0"/>
    <w:rsid w:val="00403314"/>
    <w:rsid w:val="00406397"/>
    <w:rsid w:val="00443CF6"/>
    <w:rsid w:val="00452CBC"/>
    <w:rsid w:val="00465B91"/>
    <w:rsid w:val="00467927"/>
    <w:rsid w:val="00485F5F"/>
    <w:rsid w:val="004C2A5D"/>
    <w:rsid w:val="005007BF"/>
    <w:rsid w:val="00500827"/>
    <w:rsid w:val="00532104"/>
    <w:rsid w:val="00577D1F"/>
    <w:rsid w:val="005848F6"/>
    <w:rsid w:val="00587493"/>
    <w:rsid w:val="00596FBE"/>
    <w:rsid w:val="005D6BCF"/>
    <w:rsid w:val="005E2373"/>
    <w:rsid w:val="006300D8"/>
    <w:rsid w:val="00673503"/>
    <w:rsid w:val="006820A0"/>
    <w:rsid w:val="006955CE"/>
    <w:rsid w:val="006A6D9A"/>
    <w:rsid w:val="006B0497"/>
    <w:rsid w:val="006B132C"/>
    <w:rsid w:val="006B51A8"/>
    <w:rsid w:val="006E3BDB"/>
    <w:rsid w:val="0071568E"/>
    <w:rsid w:val="00725169"/>
    <w:rsid w:val="00765016"/>
    <w:rsid w:val="00782C35"/>
    <w:rsid w:val="007E117E"/>
    <w:rsid w:val="00805C95"/>
    <w:rsid w:val="00854173"/>
    <w:rsid w:val="00862D25"/>
    <w:rsid w:val="008B534C"/>
    <w:rsid w:val="008C2AA4"/>
    <w:rsid w:val="008E07DB"/>
    <w:rsid w:val="0091046A"/>
    <w:rsid w:val="00917C8F"/>
    <w:rsid w:val="0092146C"/>
    <w:rsid w:val="009418D7"/>
    <w:rsid w:val="0098766E"/>
    <w:rsid w:val="009A53E5"/>
    <w:rsid w:val="009E7927"/>
    <w:rsid w:val="00A0257A"/>
    <w:rsid w:val="00A259E1"/>
    <w:rsid w:val="00A25C96"/>
    <w:rsid w:val="00A370D7"/>
    <w:rsid w:val="00A51D0C"/>
    <w:rsid w:val="00A9130C"/>
    <w:rsid w:val="00AA182C"/>
    <w:rsid w:val="00AA2355"/>
    <w:rsid w:val="00AA269E"/>
    <w:rsid w:val="00AB4075"/>
    <w:rsid w:val="00AC00A5"/>
    <w:rsid w:val="00AD2C0F"/>
    <w:rsid w:val="00AD79E6"/>
    <w:rsid w:val="00AE7D21"/>
    <w:rsid w:val="00B04F44"/>
    <w:rsid w:val="00B06E01"/>
    <w:rsid w:val="00B151B5"/>
    <w:rsid w:val="00B26830"/>
    <w:rsid w:val="00B27774"/>
    <w:rsid w:val="00B567A0"/>
    <w:rsid w:val="00BB004C"/>
    <w:rsid w:val="00BC1185"/>
    <w:rsid w:val="00BD64A2"/>
    <w:rsid w:val="00C310CF"/>
    <w:rsid w:val="00C62C50"/>
    <w:rsid w:val="00C73AE1"/>
    <w:rsid w:val="00CA4879"/>
    <w:rsid w:val="00CB567F"/>
    <w:rsid w:val="00CC1814"/>
    <w:rsid w:val="00CE2A80"/>
    <w:rsid w:val="00CE2F5C"/>
    <w:rsid w:val="00CE3A6D"/>
    <w:rsid w:val="00CF77E6"/>
    <w:rsid w:val="00D03A8A"/>
    <w:rsid w:val="00D32D80"/>
    <w:rsid w:val="00DB4241"/>
    <w:rsid w:val="00DC3798"/>
    <w:rsid w:val="00DD409E"/>
    <w:rsid w:val="00DF515B"/>
    <w:rsid w:val="00E13326"/>
    <w:rsid w:val="00E6697C"/>
    <w:rsid w:val="00E768E3"/>
    <w:rsid w:val="00E80C35"/>
    <w:rsid w:val="00EE642F"/>
    <w:rsid w:val="00EF0A5A"/>
    <w:rsid w:val="00F00C19"/>
    <w:rsid w:val="00F04085"/>
    <w:rsid w:val="00F200FB"/>
    <w:rsid w:val="00F3361B"/>
    <w:rsid w:val="00F43E66"/>
    <w:rsid w:val="00F579F6"/>
    <w:rsid w:val="00F6113A"/>
    <w:rsid w:val="00F76F5B"/>
    <w:rsid w:val="00F92844"/>
    <w:rsid w:val="00F92CFE"/>
    <w:rsid w:val="00FD4964"/>
    <w:rsid w:val="00FE5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60E54E7"/>
  <w15:chartTrackingRefBased/>
  <w15:docId w15:val="{58E1C52C-1CB0-4F94-B563-CCE9FA330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40CF"/>
  </w:style>
  <w:style w:type="paragraph" w:styleId="Heading1">
    <w:name w:val="heading 1"/>
    <w:basedOn w:val="Normal"/>
    <w:next w:val="Normal"/>
    <w:link w:val="Heading1Char"/>
    <w:uiPriority w:val="9"/>
    <w:qFormat/>
    <w:rsid w:val="00917C8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0CF"/>
    <w:pPr>
      <w:ind w:left="720"/>
      <w:contextualSpacing/>
    </w:pPr>
  </w:style>
  <w:style w:type="character" w:customStyle="1" w:styleId="Heading1Char">
    <w:name w:val="Heading 1 Char"/>
    <w:basedOn w:val="DefaultParagraphFont"/>
    <w:link w:val="Heading1"/>
    <w:uiPriority w:val="9"/>
    <w:rsid w:val="00917C8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17C8F"/>
  </w:style>
  <w:style w:type="character" w:styleId="Hyperlink">
    <w:name w:val="Hyperlink"/>
    <w:basedOn w:val="DefaultParagraphFont"/>
    <w:uiPriority w:val="99"/>
    <w:unhideWhenUsed/>
    <w:rsid w:val="00CC1814"/>
    <w:rPr>
      <w:color w:val="0000FF"/>
      <w:u w:val="single"/>
    </w:rPr>
  </w:style>
  <w:style w:type="paragraph" w:styleId="Header">
    <w:name w:val="header"/>
    <w:basedOn w:val="Normal"/>
    <w:link w:val="HeaderChar"/>
    <w:uiPriority w:val="99"/>
    <w:unhideWhenUsed/>
    <w:rsid w:val="00B06E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6E01"/>
  </w:style>
  <w:style w:type="paragraph" w:styleId="Footer">
    <w:name w:val="footer"/>
    <w:basedOn w:val="Normal"/>
    <w:link w:val="FooterChar"/>
    <w:uiPriority w:val="99"/>
    <w:unhideWhenUsed/>
    <w:rsid w:val="00B06E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6E01"/>
  </w:style>
  <w:style w:type="character" w:styleId="FollowedHyperlink">
    <w:name w:val="FollowedHyperlink"/>
    <w:basedOn w:val="DefaultParagraphFont"/>
    <w:uiPriority w:val="99"/>
    <w:semiHidden/>
    <w:unhideWhenUsed/>
    <w:rsid w:val="00333766"/>
    <w:rPr>
      <w:color w:val="954F72" w:themeColor="followedHyperlink"/>
      <w:u w:val="single"/>
    </w:rPr>
  </w:style>
  <w:style w:type="paragraph" w:styleId="FootnoteText">
    <w:name w:val="footnote text"/>
    <w:basedOn w:val="Normal"/>
    <w:link w:val="FootnoteTextChar"/>
    <w:uiPriority w:val="99"/>
    <w:semiHidden/>
    <w:unhideWhenUsed/>
    <w:rsid w:val="00C62C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2C50"/>
    <w:rPr>
      <w:sz w:val="20"/>
      <w:szCs w:val="20"/>
    </w:rPr>
  </w:style>
  <w:style w:type="character" w:styleId="FootnoteReference">
    <w:name w:val="footnote reference"/>
    <w:basedOn w:val="DefaultParagraphFont"/>
    <w:uiPriority w:val="99"/>
    <w:semiHidden/>
    <w:unhideWhenUsed/>
    <w:rsid w:val="00C62C50"/>
    <w:rPr>
      <w:vertAlign w:val="superscript"/>
    </w:rPr>
  </w:style>
  <w:style w:type="paragraph" w:styleId="NoSpacing">
    <w:name w:val="No Spacing"/>
    <w:uiPriority w:val="1"/>
    <w:qFormat/>
    <w:rsid w:val="00BC118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7520">
      <w:bodyDiv w:val="1"/>
      <w:marLeft w:val="0"/>
      <w:marRight w:val="0"/>
      <w:marTop w:val="0"/>
      <w:marBottom w:val="0"/>
      <w:divBdr>
        <w:top w:val="none" w:sz="0" w:space="0" w:color="auto"/>
        <w:left w:val="none" w:sz="0" w:space="0" w:color="auto"/>
        <w:bottom w:val="none" w:sz="0" w:space="0" w:color="auto"/>
        <w:right w:val="none" w:sz="0" w:space="0" w:color="auto"/>
      </w:divBdr>
    </w:div>
    <w:div w:id="54007746">
      <w:bodyDiv w:val="1"/>
      <w:marLeft w:val="0"/>
      <w:marRight w:val="0"/>
      <w:marTop w:val="0"/>
      <w:marBottom w:val="0"/>
      <w:divBdr>
        <w:top w:val="none" w:sz="0" w:space="0" w:color="auto"/>
        <w:left w:val="none" w:sz="0" w:space="0" w:color="auto"/>
        <w:bottom w:val="none" w:sz="0" w:space="0" w:color="auto"/>
        <w:right w:val="none" w:sz="0" w:space="0" w:color="auto"/>
      </w:divBdr>
    </w:div>
    <w:div w:id="54010215">
      <w:bodyDiv w:val="1"/>
      <w:marLeft w:val="0"/>
      <w:marRight w:val="0"/>
      <w:marTop w:val="0"/>
      <w:marBottom w:val="0"/>
      <w:divBdr>
        <w:top w:val="none" w:sz="0" w:space="0" w:color="auto"/>
        <w:left w:val="none" w:sz="0" w:space="0" w:color="auto"/>
        <w:bottom w:val="none" w:sz="0" w:space="0" w:color="auto"/>
        <w:right w:val="none" w:sz="0" w:space="0" w:color="auto"/>
      </w:divBdr>
    </w:div>
    <w:div w:id="77407260">
      <w:bodyDiv w:val="1"/>
      <w:marLeft w:val="0"/>
      <w:marRight w:val="0"/>
      <w:marTop w:val="0"/>
      <w:marBottom w:val="0"/>
      <w:divBdr>
        <w:top w:val="none" w:sz="0" w:space="0" w:color="auto"/>
        <w:left w:val="none" w:sz="0" w:space="0" w:color="auto"/>
        <w:bottom w:val="none" w:sz="0" w:space="0" w:color="auto"/>
        <w:right w:val="none" w:sz="0" w:space="0" w:color="auto"/>
      </w:divBdr>
    </w:div>
    <w:div w:id="147291594">
      <w:bodyDiv w:val="1"/>
      <w:marLeft w:val="0"/>
      <w:marRight w:val="0"/>
      <w:marTop w:val="0"/>
      <w:marBottom w:val="0"/>
      <w:divBdr>
        <w:top w:val="none" w:sz="0" w:space="0" w:color="auto"/>
        <w:left w:val="none" w:sz="0" w:space="0" w:color="auto"/>
        <w:bottom w:val="none" w:sz="0" w:space="0" w:color="auto"/>
        <w:right w:val="none" w:sz="0" w:space="0" w:color="auto"/>
      </w:divBdr>
    </w:div>
    <w:div w:id="181287817">
      <w:bodyDiv w:val="1"/>
      <w:marLeft w:val="0"/>
      <w:marRight w:val="0"/>
      <w:marTop w:val="0"/>
      <w:marBottom w:val="0"/>
      <w:divBdr>
        <w:top w:val="none" w:sz="0" w:space="0" w:color="auto"/>
        <w:left w:val="none" w:sz="0" w:space="0" w:color="auto"/>
        <w:bottom w:val="none" w:sz="0" w:space="0" w:color="auto"/>
        <w:right w:val="none" w:sz="0" w:space="0" w:color="auto"/>
      </w:divBdr>
    </w:div>
    <w:div w:id="196892037">
      <w:bodyDiv w:val="1"/>
      <w:marLeft w:val="0"/>
      <w:marRight w:val="0"/>
      <w:marTop w:val="0"/>
      <w:marBottom w:val="0"/>
      <w:divBdr>
        <w:top w:val="none" w:sz="0" w:space="0" w:color="auto"/>
        <w:left w:val="none" w:sz="0" w:space="0" w:color="auto"/>
        <w:bottom w:val="none" w:sz="0" w:space="0" w:color="auto"/>
        <w:right w:val="none" w:sz="0" w:space="0" w:color="auto"/>
      </w:divBdr>
    </w:div>
    <w:div w:id="203099560">
      <w:bodyDiv w:val="1"/>
      <w:marLeft w:val="0"/>
      <w:marRight w:val="0"/>
      <w:marTop w:val="0"/>
      <w:marBottom w:val="0"/>
      <w:divBdr>
        <w:top w:val="none" w:sz="0" w:space="0" w:color="auto"/>
        <w:left w:val="none" w:sz="0" w:space="0" w:color="auto"/>
        <w:bottom w:val="none" w:sz="0" w:space="0" w:color="auto"/>
        <w:right w:val="none" w:sz="0" w:space="0" w:color="auto"/>
      </w:divBdr>
    </w:div>
    <w:div w:id="205526207">
      <w:bodyDiv w:val="1"/>
      <w:marLeft w:val="0"/>
      <w:marRight w:val="0"/>
      <w:marTop w:val="0"/>
      <w:marBottom w:val="0"/>
      <w:divBdr>
        <w:top w:val="none" w:sz="0" w:space="0" w:color="auto"/>
        <w:left w:val="none" w:sz="0" w:space="0" w:color="auto"/>
        <w:bottom w:val="none" w:sz="0" w:space="0" w:color="auto"/>
        <w:right w:val="none" w:sz="0" w:space="0" w:color="auto"/>
      </w:divBdr>
    </w:div>
    <w:div w:id="208080021">
      <w:bodyDiv w:val="1"/>
      <w:marLeft w:val="0"/>
      <w:marRight w:val="0"/>
      <w:marTop w:val="0"/>
      <w:marBottom w:val="0"/>
      <w:divBdr>
        <w:top w:val="none" w:sz="0" w:space="0" w:color="auto"/>
        <w:left w:val="none" w:sz="0" w:space="0" w:color="auto"/>
        <w:bottom w:val="none" w:sz="0" w:space="0" w:color="auto"/>
        <w:right w:val="none" w:sz="0" w:space="0" w:color="auto"/>
      </w:divBdr>
    </w:div>
    <w:div w:id="220947689">
      <w:bodyDiv w:val="1"/>
      <w:marLeft w:val="0"/>
      <w:marRight w:val="0"/>
      <w:marTop w:val="0"/>
      <w:marBottom w:val="0"/>
      <w:divBdr>
        <w:top w:val="none" w:sz="0" w:space="0" w:color="auto"/>
        <w:left w:val="none" w:sz="0" w:space="0" w:color="auto"/>
        <w:bottom w:val="none" w:sz="0" w:space="0" w:color="auto"/>
        <w:right w:val="none" w:sz="0" w:space="0" w:color="auto"/>
      </w:divBdr>
    </w:div>
    <w:div w:id="262957054">
      <w:bodyDiv w:val="1"/>
      <w:marLeft w:val="0"/>
      <w:marRight w:val="0"/>
      <w:marTop w:val="0"/>
      <w:marBottom w:val="0"/>
      <w:divBdr>
        <w:top w:val="none" w:sz="0" w:space="0" w:color="auto"/>
        <w:left w:val="none" w:sz="0" w:space="0" w:color="auto"/>
        <w:bottom w:val="none" w:sz="0" w:space="0" w:color="auto"/>
        <w:right w:val="none" w:sz="0" w:space="0" w:color="auto"/>
      </w:divBdr>
    </w:div>
    <w:div w:id="272830555">
      <w:bodyDiv w:val="1"/>
      <w:marLeft w:val="0"/>
      <w:marRight w:val="0"/>
      <w:marTop w:val="0"/>
      <w:marBottom w:val="0"/>
      <w:divBdr>
        <w:top w:val="none" w:sz="0" w:space="0" w:color="auto"/>
        <w:left w:val="none" w:sz="0" w:space="0" w:color="auto"/>
        <w:bottom w:val="none" w:sz="0" w:space="0" w:color="auto"/>
        <w:right w:val="none" w:sz="0" w:space="0" w:color="auto"/>
      </w:divBdr>
    </w:div>
    <w:div w:id="296958477">
      <w:bodyDiv w:val="1"/>
      <w:marLeft w:val="0"/>
      <w:marRight w:val="0"/>
      <w:marTop w:val="0"/>
      <w:marBottom w:val="0"/>
      <w:divBdr>
        <w:top w:val="none" w:sz="0" w:space="0" w:color="auto"/>
        <w:left w:val="none" w:sz="0" w:space="0" w:color="auto"/>
        <w:bottom w:val="none" w:sz="0" w:space="0" w:color="auto"/>
        <w:right w:val="none" w:sz="0" w:space="0" w:color="auto"/>
      </w:divBdr>
    </w:div>
    <w:div w:id="304358561">
      <w:bodyDiv w:val="1"/>
      <w:marLeft w:val="0"/>
      <w:marRight w:val="0"/>
      <w:marTop w:val="0"/>
      <w:marBottom w:val="0"/>
      <w:divBdr>
        <w:top w:val="none" w:sz="0" w:space="0" w:color="auto"/>
        <w:left w:val="none" w:sz="0" w:space="0" w:color="auto"/>
        <w:bottom w:val="none" w:sz="0" w:space="0" w:color="auto"/>
        <w:right w:val="none" w:sz="0" w:space="0" w:color="auto"/>
      </w:divBdr>
    </w:div>
    <w:div w:id="337579748">
      <w:bodyDiv w:val="1"/>
      <w:marLeft w:val="0"/>
      <w:marRight w:val="0"/>
      <w:marTop w:val="0"/>
      <w:marBottom w:val="0"/>
      <w:divBdr>
        <w:top w:val="none" w:sz="0" w:space="0" w:color="auto"/>
        <w:left w:val="none" w:sz="0" w:space="0" w:color="auto"/>
        <w:bottom w:val="none" w:sz="0" w:space="0" w:color="auto"/>
        <w:right w:val="none" w:sz="0" w:space="0" w:color="auto"/>
      </w:divBdr>
    </w:div>
    <w:div w:id="353926636">
      <w:bodyDiv w:val="1"/>
      <w:marLeft w:val="0"/>
      <w:marRight w:val="0"/>
      <w:marTop w:val="0"/>
      <w:marBottom w:val="0"/>
      <w:divBdr>
        <w:top w:val="none" w:sz="0" w:space="0" w:color="auto"/>
        <w:left w:val="none" w:sz="0" w:space="0" w:color="auto"/>
        <w:bottom w:val="none" w:sz="0" w:space="0" w:color="auto"/>
        <w:right w:val="none" w:sz="0" w:space="0" w:color="auto"/>
      </w:divBdr>
    </w:div>
    <w:div w:id="354618781">
      <w:bodyDiv w:val="1"/>
      <w:marLeft w:val="0"/>
      <w:marRight w:val="0"/>
      <w:marTop w:val="0"/>
      <w:marBottom w:val="0"/>
      <w:divBdr>
        <w:top w:val="none" w:sz="0" w:space="0" w:color="auto"/>
        <w:left w:val="none" w:sz="0" w:space="0" w:color="auto"/>
        <w:bottom w:val="none" w:sz="0" w:space="0" w:color="auto"/>
        <w:right w:val="none" w:sz="0" w:space="0" w:color="auto"/>
      </w:divBdr>
    </w:div>
    <w:div w:id="382486445">
      <w:bodyDiv w:val="1"/>
      <w:marLeft w:val="0"/>
      <w:marRight w:val="0"/>
      <w:marTop w:val="0"/>
      <w:marBottom w:val="0"/>
      <w:divBdr>
        <w:top w:val="none" w:sz="0" w:space="0" w:color="auto"/>
        <w:left w:val="none" w:sz="0" w:space="0" w:color="auto"/>
        <w:bottom w:val="none" w:sz="0" w:space="0" w:color="auto"/>
        <w:right w:val="none" w:sz="0" w:space="0" w:color="auto"/>
      </w:divBdr>
    </w:div>
    <w:div w:id="411902408">
      <w:bodyDiv w:val="1"/>
      <w:marLeft w:val="0"/>
      <w:marRight w:val="0"/>
      <w:marTop w:val="0"/>
      <w:marBottom w:val="0"/>
      <w:divBdr>
        <w:top w:val="none" w:sz="0" w:space="0" w:color="auto"/>
        <w:left w:val="none" w:sz="0" w:space="0" w:color="auto"/>
        <w:bottom w:val="none" w:sz="0" w:space="0" w:color="auto"/>
        <w:right w:val="none" w:sz="0" w:space="0" w:color="auto"/>
      </w:divBdr>
    </w:div>
    <w:div w:id="424806044">
      <w:bodyDiv w:val="1"/>
      <w:marLeft w:val="0"/>
      <w:marRight w:val="0"/>
      <w:marTop w:val="0"/>
      <w:marBottom w:val="0"/>
      <w:divBdr>
        <w:top w:val="none" w:sz="0" w:space="0" w:color="auto"/>
        <w:left w:val="none" w:sz="0" w:space="0" w:color="auto"/>
        <w:bottom w:val="none" w:sz="0" w:space="0" w:color="auto"/>
        <w:right w:val="none" w:sz="0" w:space="0" w:color="auto"/>
      </w:divBdr>
    </w:div>
    <w:div w:id="463887319">
      <w:bodyDiv w:val="1"/>
      <w:marLeft w:val="0"/>
      <w:marRight w:val="0"/>
      <w:marTop w:val="0"/>
      <w:marBottom w:val="0"/>
      <w:divBdr>
        <w:top w:val="none" w:sz="0" w:space="0" w:color="auto"/>
        <w:left w:val="none" w:sz="0" w:space="0" w:color="auto"/>
        <w:bottom w:val="none" w:sz="0" w:space="0" w:color="auto"/>
        <w:right w:val="none" w:sz="0" w:space="0" w:color="auto"/>
      </w:divBdr>
    </w:div>
    <w:div w:id="465634322">
      <w:bodyDiv w:val="1"/>
      <w:marLeft w:val="0"/>
      <w:marRight w:val="0"/>
      <w:marTop w:val="0"/>
      <w:marBottom w:val="0"/>
      <w:divBdr>
        <w:top w:val="none" w:sz="0" w:space="0" w:color="auto"/>
        <w:left w:val="none" w:sz="0" w:space="0" w:color="auto"/>
        <w:bottom w:val="none" w:sz="0" w:space="0" w:color="auto"/>
        <w:right w:val="none" w:sz="0" w:space="0" w:color="auto"/>
      </w:divBdr>
    </w:div>
    <w:div w:id="476916456">
      <w:bodyDiv w:val="1"/>
      <w:marLeft w:val="0"/>
      <w:marRight w:val="0"/>
      <w:marTop w:val="0"/>
      <w:marBottom w:val="0"/>
      <w:divBdr>
        <w:top w:val="none" w:sz="0" w:space="0" w:color="auto"/>
        <w:left w:val="none" w:sz="0" w:space="0" w:color="auto"/>
        <w:bottom w:val="none" w:sz="0" w:space="0" w:color="auto"/>
        <w:right w:val="none" w:sz="0" w:space="0" w:color="auto"/>
      </w:divBdr>
    </w:div>
    <w:div w:id="490294065">
      <w:bodyDiv w:val="1"/>
      <w:marLeft w:val="0"/>
      <w:marRight w:val="0"/>
      <w:marTop w:val="0"/>
      <w:marBottom w:val="0"/>
      <w:divBdr>
        <w:top w:val="none" w:sz="0" w:space="0" w:color="auto"/>
        <w:left w:val="none" w:sz="0" w:space="0" w:color="auto"/>
        <w:bottom w:val="none" w:sz="0" w:space="0" w:color="auto"/>
        <w:right w:val="none" w:sz="0" w:space="0" w:color="auto"/>
      </w:divBdr>
    </w:div>
    <w:div w:id="534083582">
      <w:bodyDiv w:val="1"/>
      <w:marLeft w:val="0"/>
      <w:marRight w:val="0"/>
      <w:marTop w:val="0"/>
      <w:marBottom w:val="0"/>
      <w:divBdr>
        <w:top w:val="none" w:sz="0" w:space="0" w:color="auto"/>
        <w:left w:val="none" w:sz="0" w:space="0" w:color="auto"/>
        <w:bottom w:val="none" w:sz="0" w:space="0" w:color="auto"/>
        <w:right w:val="none" w:sz="0" w:space="0" w:color="auto"/>
      </w:divBdr>
    </w:div>
    <w:div w:id="568619285">
      <w:bodyDiv w:val="1"/>
      <w:marLeft w:val="0"/>
      <w:marRight w:val="0"/>
      <w:marTop w:val="0"/>
      <w:marBottom w:val="0"/>
      <w:divBdr>
        <w:top w:val="none" w:sz="0" w:space="0" w:color="auto"/>
        <w:left w:val="none" w:sz="0" w:space="0" w:color="auto"/>
        <w:bottom w:val="none" w:sz="0" w:space="0" w:color="auto"/>
        <w:right w:val="none" w:sz="0" w:space="0" w:color="auto"/>
      </w:divBdr>
    </w:div>
    <w:div w:id="578563323">
      <w:bodyDiv w:val="1"/>
      <w:marLeft w:val="0"/>
      <w:marRight w:val="0"/>
      <w:marTop w:val="0"/>
      <w:marBottom w:val="0"/>
      <w:divBdr>
        <w:top w:val="none" w:sz="0" w:space="0" w:color="auto"/>
        <w:left w:val="none" w:sz="0" w:space="0" w:color="auto"/>
        <w:bottom w:val="none" w:sz="0" w:space="0" w:color="auto"/>
        <w:right w:val="none" w:sz="0" w:space="0" w:color="auto"/>
      </w:divBdr>
    </w:div>
    <w:div w:id="615022396">
      <w:bodyDiv w:val="1"/>
      <w:marLeft w:val="0"/>
      <w:marRight w:val="0"/>
      <w:marTop w:val="0"/>
      <w:marBottom w:val="0"/>
      <w:divBdr>
        <w:top w:val="none" w:sz="0" w:space="0" w:color="auto"/>
        <w:left w:val="none" w:sz="0" w:space="0" w:color="auto"/>
        <w:bottom w:val="none" w:sz="0" w:space="0" w:color="auto"/>
        <w:right w:val="none" w:sz="0" w:space="0" w:color="auto"/>
      </w:divBdr>
    </w:div>
    <w:div w:id="658965883">
      <w:bodyDiv w:val="1"/>
      <w:marLeft w:val="0"/>
      <w:marRight w:val="0"/>
      <w:marTop w:val="0"/>
      <w:marBottom w:val="0"/>
      <w:divBdr>
        <w:top w:val="none" w:sz="0" w:space="0" w:color="auto"/>
        <w:left w:val="none" w:sz="0" w:space="0" w:color="auto"/>
        <w:bottom w:val="none" w:sz="0" w:space="0" w:color="auto"/>
        <w:right w:val="none" w:sz="0" w:space="0" w:color="auto"/>
      </w:divBdr>
    </w:div>
    <w:div w:id="690450493">
      <w:bodyDiv w:val="1"/>
      <w:marLeft w:val="0"/>
      <w:marRight w:val="0"/>
      <w:marTop w:val="0"/>
      <w:marBottom w:val="0"/>
      <w:divBdr>
        <w:top w:val="none" w:sz="0" w:space="0" w:color="auto"/>
        <w:left w:val="none" w:sz="0" w:space="0" w:color="auto"/>
        <w:bottom w:val="none" w:sz="0" w:space="0" w:color="auto"/>
        <w:right w:val="none" w:sz="0" w:space="0" w:color="auto"/>
      </w:divBdr>
    </w:div>
    <w:div w:id="699817314">
      <w:bodyDiv w:val="1"/>
      <w:marLeft w:val="0"/>
      <w:marRight w:val="0"/>
      <w:marTop w:val="0"/>
      <w:marBottom w:val="0"/>
      <w:divBdr>
        <w:top w:val="none" w:sz="0" w:space="0" w:color="auto"/>
        <w:left w:val="none" w:sz="0" w:space="0" w:color="auto"/>
        <w:bottom w:val="none" w:sz="0" w:space="0" w:color="auto"/>
        <w:right w:val="none" w:sz="0" w:space="0" w:color="auto"/>
      </w:divBdr>
    </w:div>
    <w:div w:id="744761378">
      <w:bodyDiv w:val="1"/>
      <w:marLeft w:val="0"/>
      <w:marRight w:val="0"/>
      <w:marTop w:val="0"/>
      <w:marBottom w:val="0"/>
      <w:divBdr>
        <w:top w:val="none" w:sz="0" w:space="0" w:color="auto"/>
        <w:left w:val="none" w:sz="0" w:space="0" w:color="auto"/>
        <w:bottom w:val="none" w:sz="0" w:space="0" w:color="auto"/>
        <w:right w:val="none" w:sz="0" w:space="0" w:color="auto"/>
      </w:divBdr>
    </w:div>
    <w:div w:id="811560656">
      <w:bodyDiv w:val="1"/>
      <w:marLeft w:val="0"/>
      <w:marRight w:val="0"/>
      <w:marTop w:val="0"/>
      <w:marBottom w:val="0"/>
      <w:divBdr>
        <w:top w:val="none" w:sz="0" w:space="0" w:color="auto"/>
        <w:left w:val="none" w:sz="0" w:space="0" w:color="auto"/>
        <w:bottom w:val="none" w:sz="0" w:space="0" w:color="auto"/>
        <w:right w:val="none" w:sz="0" w:space="0" w:color="auto"/>
      </w:divBdr>
    </w:div>
    <w:div w:id="813061722">
      <w:bodyDiv w:val="1"/>
      <w:marLeft w:val="0"/>
      <w:marRight w:val="0"/>
      <w:marTop w:val="0"/>
      <w:marBottom w:val="0"/>
      <w:divBdr>
        <w:top w:val="none" w:sz="0" w:space="0" w:color="auto"/>
        <w:left w:val="none" w:sz="0" w:space="0" w:color="auto"/>
        <w:bottom w:val="none" w:sz="0" w:space="0" w:color="auto"/>
        <w:right w:val="none" w:sz="0" w:space="0" w:color="auto"/>
      </w:divBdr>
    </w:div>
    <w:div w:id="834614439">
      <w:bodyDiv w:val="1"/>
      <w:marLeft w:val="0"/>
      <w:marRight w:val="0"/>
      <w:marTop w:val="0"/>
      <w:marBottom w:val="0"/>
      <w:divBdr>
        <w:top w:val="none" w:sz="0" w:space="0" w:color="auto"/>
        <w:left w:val="none" w:sz="0" w:space="0" w:color="auto"/>
        <w:bottom w:val="none" w:sz="0" w:space="0" w:color="auto"/>
        <w:right w:val="none" w:sz="0" w:space="0" w:color="auto"/>
      </w:divBdr>
    </w:div>
    <w:div w:id="874082527">
      <w:bodyDiv w:val="1"/>
      <w:marLeft w:val="0"/>
      <w:marRight w:val="0"/>
      <w:marTop w:val="0"/>
      <w:marBottom w:val="0"/>
      <w:divBdr>
        <w:top w:val="none" w:sz="0" w:space="0" w:color="auto"/>
        <w:left w:val="none" w:sz="0" w:space="0" w:color="auto"/>
        <w:bottom w:val="none" w:sz="0" w:space="0" w:color="auto"/>
        <w:right w:val="none" w:sz="0" w:space="0" w:color="auto"/>
      </w:divBdr>
    </w:div>
    <w:div w:id="940839424">
      <w:bodyDiv w:val="1"/>
      <w:marLeft w:val="0"/>
      <w:marRight w:val="0"/>
      <w:marTop w:val="0"/>
      <w:marBottom w:val="0"/>
      <w:divBdr>
        <w:top w:val="none" w:sz="0" w:space="0" w:color="auto"/>
        <w:left w:val="none" w:sz="0" w:space="0" w:color="auto"/>
        <w:bottom w:val="none" w:sz="0" w:space="0" w:color="auto"/>
        <w:right w:val="none" w:sz="0" w:space="0" w:color="auto"/>
      </w:divBdr>
    </w:div>
    <w:div w:id="956370174">
      <w:bodyDiv w:val="1"/>
      <w:marLeft w:val="0"/>
      <w:marRight w:val="0"/>
      <w:marTop w:val="0"/>
      <w:marBottom w:val="0"/>
      <w:divBdr>
        <w:top w:val="none" w:sz="0" w:space="0" w:color="auto"/>
        <w:left w:val="none" w:sz="0" w:space="0" w:color="auto"/>
        <w:bottom w:val="none" w:sz="0" w:space="0" w:color="auto"/>
        <w:right w:val="none" w:sz="0" w:space="0" w:color="auto"/>
      </w:divBdr>
    </w:div>
    <w:div w:id="957879926">
      <w:bodyDiv w:val="1"/>
      <w:marLeft w:val="0"/>
      <w:marRight w:val="0"/>
      <w:marTop w:val="0"/>
      <w:marBottom w:val="0"/>
      <w:divBdr>
        <w:top w:val="none" w:sz="0" w:space="0" w:color="auto"/>
        <w:left w:val="none" w:sz="0" w:space="0" w:color="auto"/>
        <w:bottom w:val="none" w:sz="0" w:space="0" w:color="auto"/>
        <w:right w:val="none" w:sz="0" w:space="0" w:color="auto"/>
      </w:divBdr>
    </w:div>
    <w:div w:id="959455421">
      <w:bodyDiv w:val="1"/>
      <w:marLeft w:val="0"/>
      <w:marRight w:val="0"/>
      <w:marTop w:val="0"/>
      <w:marBottom w:val="0"/>
      <w:divBdr>
        <w:top w:val="none" w:sz="0" w:space="0" w:color="auto"/>
        <w:left w:val="none" w:sz="0" w:space="0" w:color="auto"/>
        <w:bottom w:val="none" w:sz="0" w:space="0" w:color="auto"/>
        <w:right w:val="none" w:sz="0" w:space="0" w:color="auto"/>
      </w:divBdr>
    </w:div>
    <w:div w:id="984705798">
      <w:bodyDiv w:val="1"/>
      <w:marLeft w:val="0"/>
      <w:marRight w:val="0"/>
      <w:marTop w:val="0"/>
      <w:marBottom w:val="0"/>
      <w:divBdr>
        <w:top w:val="none" w:sz="0" w:space="0" w:color="auto"/>
        <w:left w:val="none" w:sz="0" w:space="0" w:color="auto"/>
        <w:bottom w:val="none" w:sz="0" w:space="0" w:color="auto"/>
        <w:right w:val="none" w:sz="0" w:space="0" w:color="auto"/>
      </w:divBdr>
    </w:div>
    <w:div w:id="989945110">
      <w:bodyDiv w:val="1"/>
      <w:marLeft w:val="0"/>
      <w:marRight w:val="0"/>
      <w:marTop w:val="0"/>
      <w:marBottom w:val="0"/>
      <w:divBdr>
        <w:top w:val="none" w:sz="0" w:space="0" w:color="auto"/>
        <w:left w:val="none" w:sz="0" w:space="0" w:color="auto"/>
        <w:bottom w:val="none" w:sz="0" w:space="0" w:color="auto"/>
        <w:right w:val="none" w:sz="0" w:space="0" w:color="auto"/>
      </w:divBdr>
    </w:div>
    <w:div w:id="1007754312">
      <w:bodyDiv w:val="1"/>
      <w:marLeft w:val="0"/>
      <w:marRight w:val="0"/>
      <w:marTop w:val="0"/>
      <w:marBottom w:val="0"/>
      <w:divBdr>
        <w:top w:val="none" w:sz="0" w:space="0" w:color="auto"/>
        <w:left w:val="none" w:sz="0" w:space="0" w:color="auto"/>
        <w:bottom w:val="none" w:sz="0" w:space="0" w:color="auto"/>
        <w:right w:val="none" w:sz="0" w:space="0" w:color="auto"/>
      </w:divBdr>
    </w:div>
    <w:div w:id="1019551796">
      <w:bodyDiv w:val="1"/>
      <w:marLeft w:val="0"/>
      <w:marRight w:val="0"/>
      <w:marTop w:val="0"/>
      <w:marBottom w:val="0"/>
      <w:divBdr>
        <w:top w:val="none" w:sz="0" w:space="0" w:color="auto"/>
        <w:left w:val="none" w:sz="0" w:space="0" w:color="auto"/>
        <w:bottom w:val="none" w:sz="0" w:space="0" w:color="auto"/>
        <w:right w:val="none" w:sz="0" w:space="0" w:color="auto"/>
      </w:divBdr>
    </w:div>
    <w:div w:id="1031415715">
      <w:bodyDiv w:val="1"/>
      <w:marLeft w:val="0"/>
      <w:marRight w:val="0"/>
      <w:marTop w:val="0"/>
      <w:marBottom w:val="0"/>
      <w:divBdr>
        <w:top w:val="none" w:sz="0" w:space="0" w:color="auto"/>
        <w:left w:val="none" w:sz="0" w:space="0" w:color="auto"/>
        <w:bottom w:val="none" w:sz="0" w:space="0" w:color="auto"/>
        <w:right w:val="none" w:sz="0" w:space="0" w:color="auto"/>
      </w:divBdr>
    </w:div>
    <w:div w:id="1069185964">
      <w:bodyDiv w:val="1"/>
      <w:marLeft w:val="0"/>
      <w:marRight w:val="0"/>
      <w:marTop w:val="0"/>
      <w:marBottom w:val="0"/>
      <w:divBdr>
        <w:top w:val="none" w:sz="0" w:space="0" w:color="auto"/>
        <w:left w:val="none" w:sz="0" w:space="0" w:color="auto"/>
        <w:bottom w:val="none" w:sz="0" w:space="0" w:color="auto"/>
        <w:right w:val="none" w:sz="0" w:space="0" w:color="auto"/>
      </w:divBdr>
    </w:div>
    <w:div w:id="1087465016">
      <w:bodyDiv w:val="1"/>
      <w:marLeft w:val="0"/>
      <w:marRight w:val="0"/>
      <w:marTop w:val="0"/>
      <w:marBottom w:val="0"/>
      <w:divBdr>
        <w:top w:val="none" w:sz="0" w:space="0" w:color="auto"/>
        <w:left w:val="none" w:sz="0" w:space="0" w:color="auto"/>
        <w:bottom w:val="none" w:sz="0" w:space="0" w:color="auto"/>
        <w:right w:val="none" w:sz="0" w:space="0" w:color="auto"/>
      </w:divBdr>
    </w:div>
    <w:div w:id="1124881339">
      <w:bodyDiv w:val="1"/>
      <w:marLeft w:val="0"/>
      <w:marRight w:val="0"/>
      <w:marTop w:val="0"/>
      <w:marBottom w:val="0"/>
      <w:divBdr>
        <w:top w:val="none" w:sz="0" w:space="0" w:color="auto"/>
        <w:left w:val="none" w:sz="0" w:space="0" w:color="auto"/>
        <w:bottom w:val="none" w:sz="0" w:space="0" w:color="auto"/>
        <w:right w:val="none" w:sz="0" w:space="0" w:color="auto"/>
      </w:divBdr>
    </w:div>
    <w:div w:id="1158227466">
      <w:bodyDiv w:val="1"/>
      <w:marLeft w:val="0"/>
      <w:marRight w:val="0"/>
      <w:marTop w:val="0"/>
      <w:marBottom w:val="0"/>
      <w:divBdr>
        <w:top w:val="none" w:sz="0" w:space="0" w:color="auto"/>
        <w:left w:val="none" w:sz="0" w:space="0" w:color="auto"/>
        <w:bottom w:val="none" w:sz="0" w:space="0" w:color="auto"/>
        <w:right w:val="none" w:sz="0" w:space="0" w:color="auto"/>
      </w:divBdr>
    </w:div>
    <w:div w:id="1175804814">
      <w:bodyDiv w:val="1"/>
      <w:marLeft w:val="0"/>
      <w:marRight w:val="0"/>
      <w:marTop w:val="0"/>
      <w:marBottom w:val="0"/>
      <w:divBdr>
        <w:top w:val="none" w:sz="0" w:space="0" w:color="auto"/>
        <w:left w:val="none" w:sz="0" w:space="0" w:color="auto"/>
        <w:bottom w:val="none" w:sz="0" w:space="0" w:color="auto"/>
        <w:right w:val="none" w:sz="0" w:space="0" w:color="auto"/>
      </w:divBdr>
    </w:div>
    <w:div w:id="1180005335">
      <w:bodyDiv w:val="1"/>
      <w:marLeft w:val="0"/>
      <w:marRight w:val="0"/>
      <w:marTop w:val="0"/>
      <w:marBottom w:val="0"/>
      <w:divBdr>
        <w:top w:val="none" w:sz="0" w:space="0" w:color="auto"/>
        <w:left w:val="none" w:sz="0" w:space="0" w:color="auto"/>
        <w:bottom w:val="none" w:sz="0" w:space="0" w:color="auto"/>
        <w:right w:val="none" w:sz="0" w:space="0" w:color="auto"/>
      </w:divBdr>
    </w:div>
    <w:div w:id="1188106807">
      <w:bodyDiv w:val="1"/>
      <w:marLeft w:val="0"/>
      <w:marRight w:val="0"/>
      <w:marTop w:val="0"/>
      <w:marBottom w:val="0"/>
      <w:divBdr>
        <w:top w:val="none" w:sz="0" w:space="0" w:color="auto"/>
        <w:left w:val="none" w:sz="0" w:space="0" w:color="auto"/>
        <w:bottom w:val="none" w:sz="0" w:space="0" w:color="auto"/>
        <w:right w:val="none" w:sz="0" w:space="0" w:color="auto"/>
      </w:divBdr>
    </w:div>
    <w:div w:id="1195658602">
      <w:bodyDiv w:val="1"/>
      <w:marLeft w:val="0"/>
      <w:marRight w:val="0"/>
      <w:marTop w:val="0"/>
      <w:marBottom w:val="0"/>
      <w:divBdr>
        <w:top w:val="none" w:sz="0" w:space="0" w:color="auto"/>
        <w:left w:val="none" w:sz="0" w:space="0" w:color="auto"/>
        <w:bottom w:val="none" w:sz="0" w:space="0" w:color="auto"/>
        <w:right w:val="none" w:sz="0" w:space="0" w:color="auto"/>
      </w:divBdr>
    </w:div>
    <w:div w:id="1199390131">
      <w:bodyDiv w:val="1"/>
      <w:marLeft w:val="0"/>
      <w:marRight w:val="0"/>
      <w:marTop w:val="0"/>
      <w:marBottom w:val="0"/>
      <w:divBdr>
        <w:top w:val="none" w:sz="0" w:space="0" w:color="auto"/>
        <w:left w:val="none" w:sz="0" w:space="0" w:color="auto"/>
        <w:bottom w:val="none" w:sz="0" w:space="0" w:color="auto"/>
        <w:right w:val="none" w:sz="0" w:space="0" w:color="auto"/>
      </w:divBdr>
    </w:div>
    <w:div w:id="1205827188">
      <w:bodyDiv w:val="1"/>
      <w:marLeft w:val="0"/>
      <w:marRight w:val="0"/>
      <w:marTop w:val="0"/>
      <w:marBottom w:val="0"/>
      <w:divBdr>
        <w:top w:val="none" w:sz="0" w:space="0" w:color="auto"/>
        <w:left w:val="none" w:sz="0" w:space="0" w:color="auto"/>
        <w:bottom w:val="none" w:sz="0" w:space="0" w:color="auto"/>
        <w:right w:val="none" w:sz="0" w:space="0" w:color="auto"/>
      </w:divBdr>
    </w:div>
    <w:div w:id="1211384451">
      <w:bodyDiv w:val="1"/>
      <w:marLeft w:val="0"/>
      <w:marRight w:val="0"/>
      <w:marTop w:val="0"/>
      <w:marBottom w:val="0"/>
      <w:divBdr>
        <w:top w:val="none" w:sz="0" w:space="0" w:color="auto"/>
        <w:left w:val="none" w:sz="0" w:space="0" w:color="auto"/>
        <w:bottom w:val="none" w:sz="0" w:space="0" w:color="auto"/>
        <w:right w:val="none" w:sz="0" w:space="0" w:color="auto"/>
      </w:divBdr>
    </w:div>
    <w:div w:id="1220166395">
      <w:bodyDiv w:val="1"/>
      <w:marLeft w:val="0"/>
      <w:marRight w:val="0"/>
      <w:marTop w:val="0"/>
      <w:marBottom w:val="0"/>
      <w:divBdr>
        <w:top w:val="none" w:sz="0" w:space="0" w:color="auto"/>
        <w:left w:val="none" w:sz="0" w:space="0" w:color="auto"/>
        <w:bottom w:val="none" w:sz="0" w:space="0" w:color="auto"/>
        <w:right w:val="none" w:sz="0" w:space="0" w:color="auto"/>
      </w:divBdr>
    </w:div>
    <w:div w:id="1245143779">
      <w:bodyDiv w:val="1"/>
      <w:marLeft w:val="0"/>
      <w:marRight w:val="0"/>
      <w:marTop w:val="0"/>
      <w:marBottom w:val="0"/>
      <w:divBdr>
        <w:top w:val="none" w:sz="0" w:space="0" w:color="auto"/>
        <w:left w:val="none" w:sz="0" w:space="0" w:color="auto"/>
        <w:bottom w:val="none" w:sz="0" w:space="0" w:color="auto"/>
        <w:right w:val="none" w:sz="0" w:space="0" w:color="auto"/>
      </w:divBdr>
    </w:div>
    <w:div w:id="1259100110">
      <w:bodyDiv w:val="1"/>
      <w:marLeft w:val="0"/>
      <w:marRight w:val="0"/>
      <w:marTop w:val="0"/>
      <w:marBottom w:val="0"/>
      <w:divBdr>
        <w:top w:val="none" w:sz="0" w:space="0" w:color="auto"/>
        <w:left w:val="none" w:sz="0" w:space="0" w:color="auto"/>
        <w:bottom w:val="none" w:sz="0" w:space="0" w:color="auto"/>
        <w:right w:val="none" w:sz="0" w:space="0" w:color="auto"/>
      </w:divBdr>
    </w:div>
    <w:div w:id="1262030667">
      <w:bodyDiv w:val="1"/>
      <w:marLeft w:val="0"/>
      <w:marRight w:val="0"/>
      <w:marTop w:val="0"/>
      <w:marBottom w:val="0"/>
      <w:divBdr>
        <w:top w:val="none" w:sz="0" w:space="0" w:color="auto"/>
        <w:left w:val="none" w:sz="0" w:space="0" w:color="auto"/>
        <w:bottom w:val="none" w:sz="0" w:space="0" w:color="auto"/>
        <w:right w:val="none" w:sz="0" w:space="0" w:color="auto"/>
      </w:divBdr>
    </w:div>
    <w:div w:id="1285766552">
      <w:bodyDiv w:val="1"/>
      <w:marLeft w:val="0"/>
      <w:marRight w:val="0"/>
      <w:marTop w:val="0"/>
      <w:marBottom w:val="0"/>
      <w:divBdr>
        <w:top w:val="none" w:sz="0" w:space="0" w:color="auto"/>
        <w:left w:val="none" w:sz="0" w:space="0" w:color="auto"/>
        <w:bottom w:val="none" w:sz="0" w:space="0" w:color="auto"/>
        <w:right w:val="none" w:sz="0" w:space="0" w:color="auto"/>
      </w:divBdr>
    </w:div>
    <w:div w:id="1307469024">
      <w:bodyDiv w:val="1"/>
      <w:marLeft w:val="0"/>
      <w:marRight w:val="0"/>
      <w:marTop w:val="0"/>
      <w:marBottom w:val="0"/>
      <w:divBdr>
        <w:top w:val="none" w:sz="0" w:space="0" w:color="auto"/>
        <w:left w:val="none" w:sz="0" w:space="0" w:color="auto"/>
        <w:bottom w:val="none" w:sz="0" w:space="0" w:color="auto"/>
        <w:right w:val="none" w:sz="0" w:space="0" w:color="auto"/>
      </w:divBdr>
    </w:div>
    <w:div w:id="1313019198">
      <w:bodyDiv w:val="1"/>
      <w:marLeft w:val="0"/>
      <w:marRight w:val="0"/>
      <w:marTop w:val="0"/>
      <w:marBottom w:val="0"/>
      <w:divBdr>
        <w:top w:val="none" w:sz="0" w:space="0" w:color="auto"/>
        <w:left w:val="none" w:sz="0" w:space="0" w:color="auto"/>
        <w:bottom w:val="none" w:sz="0" w:space="0" w:color="auto"/>
        <w:right w:val="none" w:sz="0" w:space="0" w:color="auto"/>
      </w:divBdr>
    </w:div>
    <w:div w:id="1328484258">
      <w:bodyDiv w:val="1"/>
      <w:marLeft w:val="0"/>
      <w:marRight w:val="0"/>
      <w:marTop w:val="0"/>
      <w:marBottom w:val="0"/>
      <w:divBdr>
        <w:top w:val="none" w:sz="0" w:space="0" w:color="auto"/>
        <w:left w:val="none" w:sz="0" w:space="0" w:color="auto"/>
        <w:bottom w:val="none" w:sz="0" w:space="0" w:color="auto"/>
        <w:right w:val="none" w:sz="0" w:space="0" w:color="auto"/>
      </w:divBdr>
    </w:div>
    <w:div w:id="1443844402">
      <w:bodyDiv w:val="1"/>
      <w:marLeft w:val="0"/>
      <w:marRight w:val="0"/>
      <w:marTop w:val="0"/>
      <w:marBottom w:val="0"/>
      <w:divBdr>
        <w:top w:val="none" w:sz="0" w:space="0" w:color="auto"/>
        <w:left w:val="none" w:sz="0" w:space="0" w:color="auto"/>
        <w:bottom w:val="none" w:sz="0" w:space="0" w:color="auto"/>
        <w:right w:val="none" w:sz="0" w:space="0" w:color="auto"/>
      </w:divBdr>
    </w:div>
    <w:div w:id="1484589521">
      <w:bodyDiv w:val="1"/>
      <w:marLeft w:val="0"/>
      <w:marRight w:val="0"/>
      <w:marTop w:val="0"/>
      <w:marBottom w:val="0"/>
      <w:divBdr>
        <w:top w:val="none" w:sz="0" w:space="0" w:color="auto"/>
        <w:left w:val="none" w:sz="0" w:space="0" w:color="auto"/>
        <w:bottom w:val="none" w:sz="0" w:space="0" w:color="auto"/>
        <w:right w:val="none" w:sz="0" w:space="0" w:color="auto"/>
      </w:divBdr>
    </w:div>
    <w:div w:id="1521778085">
      <w:bodyDiv w:val="1"/>
      <w:marLeft w:val="0"/>
      <w:marRight w:val="0"/>
      <w:marTop w:val="0"/>
      <w:marBottom w:val="0"/>
      <w:divBdr>
        <w:top w:val="none" w:sz="0" w:space="0" w:color="auto"/>
        <w:left w:val="none" w:sz="0" w:space="0" w:color="auto"/>
        <w:bottom w:val="none" w:sz="0" w:space="0" w:color="auto"/>
        <w:right w:val="none" w:sz="0" w:space="0" w:color="auto"/>
      </w:divBdr>
    </w:div>
    <w:div w:id="1526016030">
      <w:bodyDiv w:val="1"/>
      <w:marLeft w:val="0"/>
      <w:marRight w:val="0"/>
      <w:marTop w:val="0"/>
      <w:marBottom w:val="0"/>
      <w:divBdr>
        <w:top w:val="none" w:sz="0" w:space="0" w:color="auto"/>
        <w:left w:val="none" w:sz="0" w:space="0" w:color="auto"/>
        <w:bottom w:val="none" w:sz="0" w:space="0" w:color="auto"/>
        <w:right w:val="none" w:sz="0" w:space="0" w:color="auto"/>
      </w:divBdr>
    </w:div>
    <w:div w:id="1541623269">
      <w:bodyDiv w:val="1"/>
      <w:marLeft w:val="0"/>
      <w:marRight w:val="0"/>
      <w:marTop w:val="0"/>
      <w:marBottom w:val="0"/>
      <w:divBdr>
        <w:top w:val="none" w:sz="0" w:space="0" w:color="auto"/>
        <w:left w:val="none" w:sz="0" w:space="0" w:color="auto"/>
        <w:bottom w:val="none" w:sz="0" w:space="0" w:color="auto"/>
        <w:right w:val="none" w:sz="0" w:space="0" w:color="auto"/>
      </w:divBdr>
    </w:div>
    <w:div w:id="1570454937">
      <w:bodyDiv w:val="1"/>
      <w:marLeft w:val="0"/>
      <w:marRight w:val="0"/>
      <w:marTop w:val="0"/>
      <w:marBottom w:val="0"/>
      <w:divBdr>
        <w:top w:val="none" w:sz="0" w:space="0" w:color="auto"/>
        <w:left w:val="none" w:sz="0" w:space="0" w:color="auto"/>
        <w:bottom w:val="none" w:sz="0" w:space="0" w:color="auto"/>
        <w:right w:val="none" w:sz="0" w:space="0" w:color="auto"/>
      </w:divBdr>
    </w:div>
    <w:div w:id="1577785618">
      <w:bodyDiv w:val="1"/>
      <w:marLeft w:val="0"/>
      <w:marRight w:val="0"/>
      <w:marTop w:val="0"/>
      <w:marBottom w:val="0"/>
      <w:divBdr>
        <w:top w:val="none" w:sz="0" w:space="0" w:color="auto"/>
        <w:left w:val="none" w:sz="0" w:space="0" w:color="auto"/>
        <w:bottom w:val="none" w:sz="0" w:space="0" w:color="auto"/>
        <w:right w:val="none" w:sz="0" w:space="0" w:color="auto"/>
      </w:divBdr>
    </w:div>
    <w:div w:id="1634405454">
      <w:bodyDiv w:val="1"/>
      <w:marLeft w:val="0"/>
      <w:marRight w:val="0"/>
      <w:marTop w:val="0"/>
      <w:marBottom w:val="0"/>
      <w:divBdr>
        <w:top w:val="none" w:sz="0" w:space="0" w:color="auto"/>
        <w:left w:val="none" w:sz="0" w:space="0" w:color="auto"/>
        <w:bottom w:val="none" w:sz="0" w:space="0" w:color="auto"/>
        <w:right w:val="none" w:sz="0" w:space="0" w:color="auto"/>
      </w:divBdr>
    </w:div>
    <w:div w:id="1650089360">
      <w:bodyDiv w:val="1"/>
      <w:marLeft w:val="0"/>
      <w:marRight w:val="0"/>
      <w:marTop w:val="0"/>
      <w:marBottom w:val="0"/>
      <w:divBdr>
        <w:top w:val="none" w:sz="0" w:space="0" w:color="auto"/>
        <w:left w:val="none" w:sz="0" w:space="0" w:color="auto"/>
        <w:bottom w:val="none" w:sz="0" w:space="0" w:color="auto"/>
        <w:right w:val="none" w:sz="0" w:space="0" w:color="auto"/>
      </w:divBdr>
    </w:div>
    <w:div w:id="1659728157">
      <w:bodyDiv w:val="1"/>
      <w:marLeft w:val="0"/>
      <w:marRight w:val="0"/>
      <w:marTop w:val="0"/>
      <w:marBottom w:val="0"/>
      <w:divBdr>
        <w:top w:val="none" w:sz="0" w:space="0" w:color="auto"/>
        <w:left w:val="none" w:sz="0" w:space="0" w:color="auto"/>
        <w:bottom w:val="none" w:sz="0" w:space="0" w:color="auto"/>
        <w:right w:val="none" w:sz="0" w:space="0" w:color="auto"/>
      </w:divBdr>
    </w:div>
    <w:div w:id="1675959278">
      <w:bodyDiv w:val="1"/>
      <w:marLeft w:val="0"/>
      <w:marRight w:val="0"/>
      <w:marTop w:val="0"/>
      <w:marBottom w:val="0"/>
      <w:divBdr>
        <w:top w:val="none" w:sz="0" w:space="0" w:color="auto"/>
        <w:left w:val="none" w:sz="0" w:space="0" w:color="auto"/>
        <w:bottom w:val="none" w:sz="0" w:space="0" w:color="auto"/>
        <w:right w:val="none" w:sz="0" w:space="0" w:color="auto"/>
      </w:divBdr>
    </w:div>
    <w:div w:id="1722053875">
      <w:bodyDiv w:val="1"/>
      <w:marLeft w:val="0"/>
      <w:marRight w:val="0"/>
      <w:marTop w:val="0"/>
      <w:marBottom w:val="0"/>
      <w:divBdr>
        <w:top w:val="none" w:sz="0" w:space="0" w:color="auto"/>
        <w:left w:val="none" w:sz="0" w:space="0" w:color="auto"/>
        <w:bottom w:val="none" w:sz="0" w:space="0" w:color="auto"/>
        <w:right w:val="none" w:sz="0" w:space="0" w:color="auto"/>
      </w:divBdr>
    </w:div>
    <w:div w:id="1748766067">
      <w:bodyDiv w:val="1"/>
      <w:marLeft w:val="0"/>
      <w:marRight w:val="0"/>
      <w:marTop w:val="0"/>
      <w:marBottom w:val="0"/>
      <w:divBdr>
        <w:top w:val="none" w:sz="0" w:space="0" w:color="auto"/>
        <w:left w:val="none" w:sz="0" w:space="0" w:color="auto"/>
        <w:bottom w:val="none" w:sz="0" w:space="0" w:color="auto"/>
        <w:right w:val="none" w:sz="0" w:space="0" w:color="auto"/>
      </w:divBdr>
    </w:div>
    <w:div w:id="1749498056">
      <w:bodyDiv w:val="1"/>
      <w:marLeft w:val="0"/>
      <w:marRight w:val="0"/>
      <w:marTop w:val="0"/>
      <w:marBottom w:val="0"/>
      <w:divBdr>
        <w:top w:val="none" w:sz="0" w:space="0" w:color="auto"/>
        <w:left w:val="none" w:sz="0" w:space="0" w:color="auto"/>
        <w:bottom w:val="none" w:sz="0" w:space="0" w:color="auto"/>
        <w:right w:val="none" w:sz="0" w:space="0" w:color="auto"/>
      </w:divBdr>
    </w:div>
    <w:div w:id="1750611646">
      <w:bodyDiv w:val="1"/>
      <w:marLeft w:val="0"/>
      <w:marRight w:val="0"/>
      <w:marTop w:val="0"/>
      <w:marBottom w:val="0"/>
      <w:divBdr>
        <w:top w:val="none" w:sz="0" w:space="0" w:color="auto"/>
        <w:left w:val="none" w:sz="0" w:space="0" w:color="auto"/>
        <w:bottom w:val="none" w:sz="0" w:space="0" w:color="auto"/>
        <w:right w:val="none" w:sz="0" w:space="0" w:color="auto"/>
      </w:divBdr>
    </w:div>
    <w:div w:id="1754739091">
      <w:bodyDiv w:val="1"/>
      <w:marLeft w:val="0"/>
      <w:marRight w:val="0"/>
      <w:marTop w:val="0"/>
      <w:marBottom w:val="0"/>
      <w:divBdr>
        <w:top w:val="none" w:sz="0" w:space="0" w:color="auto"/>
        <w:left w:val="none" w:sz="0" w:space="0" w:color="auto"/>
        <w:bottom w:val="none" w:sz="0" w:space="0" w:color="auto"/>
        <w:right w:val="none" w:sz="0" w:space="0" w:color="auto"/>
      </w:divBdr>
    </w:div>
    <w:div w:id="1795171309">
      <w:bodyDiv w:val="1"/>
      <w:marLeft w:val="0"/>
      <w:marRight w:val="0"/>
      <w:marTop w:val="0"/>
      <w:marBottom w:val="0"/>
      <w:divBdr>
        <w:top w:val="none" w:sz="0" w:space="0" w:color="auto"/>
        <w:left w:val="none" w:sz="0" w:space="0" w:color="auto"/>
        <w:bottom w:val="none" w:sz="0" w:space="0" w:color="auto"/>
        <w:right w:val="none" w:sz="0" w:space="0" w:color="auto"/>
      </w:divBdr>
    </w:div>
    <w:div w:id="1797486122">
      <w:bodyDiv w:val="1"/>
      <w:marLeft w:val="0"/>
      <w:marRight w:val="0"/>
      <w:marTop w:val="0"/>
      <w:marBottom w:val="0"/>
      <w:divBdr>
        <w:top w:val="none" w:sz="0" w:space="0" w:color="auto"/>
        <w:left w:val="none" w:sz="0" w:space="0" w:color="auto"/>
        <w:bottom w:val="none" w:sz="0" w:space="0" w:color="auto"/>
        <w:right w:val="none" w:sz="0" w:space="0" w:color="auto"/>
      </w:divBdr>
    </w:div>
    <w:div w:id="1801650339">
      <w:bodyDiv w:val="1"/>
      <w:marLeft w:val="0"/>
      <w:marRight w:val="0"/>
      <w:marTop w:val="0"/>
      <w:marBottom w:val="0"/>
      <w:divBdr>
        <w:top w:val="none" w:sz="0" w:space="0" w:color="auto"/>
        <w:left w:val="none" w:sz="0" w:space="0" w:color="auto"/>
        <w:bottom w:val="none" w:sz="0" w:space="0" w:color="auto"/>
        <w:right w:val="none" w:sz="0" w:space="0" w:color="auto"/>
      </w:divBdr>
    </w:div>
    <w:div w:id="1816678618">
      <w:bodyDiv w:val="1"/>
      <w:marLeft w:val="0"/>
      <w:marRight w:val="0"/>
      <w:marTop w:val="0"/>
      <w:marBottom w:val="0"/>
      <w:divBdr>
        <w:top w:val="none" w:sz="0" w:space="0" w:color="auto"/>
        <w:left w:val="none" w:sz="0" w:space="0" w:color="auto"/>
        <w:bottom w:val="none" w:sz="0" w:space="0" w:color="auto"/>
        <w:right w:val="none" w:sz="0" w:space="0" w:color="auto"/>
      </w:divBdr>
    </w:div>
    <w:div w:id="1827160827">
      <w:bodyDiv w:val="1"/>
      <w:marLeft w:val="0"/>
      <w:marRight w:val="0"/>
      <w:marTop w:val="0"/>
      <w:marBottom w:val="0"/>
      <w:divBdr>
        <w:top w:val="none" w:sz="0" w:space="0" w:color="auto"/>
        <w:left w:val="none" w:sz="0" w:space="0" w:color="auto"/>
        <w:bottom w:val="none" w:sz="0" w:space="0" w:color="auto"/>
        <w:right w:val="none" w:sz="0" w:space="0" w:color="auto"/>
      </w:divBdr>
    </w:div>
    <w:div w:id="1840927541">
      <w:bodyDiv w:val="1"/>
      <w:marLeft w:val="0"/>
      <w:marRight w:val="0"/>
      <w:marTop w:val="0"/>
      <w:marBottom w:val="0"/>
      <w:divBdr>
        <w:top w:val="none" w:sz="0" w:space="0" w:color="auto"/>
        <w:left w:val="none" w:sz="0" w:space="0" w:color="auto"/>
        <w:bottom w:val="none" w:sz="0" w:space="0" w:color="auto"/>
        <w:right w:val="none" w:sz="0" w:space="0" w:color="auto"/>
      </w:divBdr>
    </w:div>
    <w:div w:id="1860654736">
      <w:bodyDiv w:val="1"/>
      <w:marLeft w:val="0"/>
      <w:marRight w:val="0"/>
      <w:marTop w:val="0"/>
      <w:marBottom w:val="0"/>
      <w:divBdr>
        <w:top w:val="none" w:sz="0" w:space="0" w:color="auto"/>
        <w:left w:val="none" w:sz="0" w:space="0" w:color="auto"/>
        <w:bottom w:val="none" w:sz="0" w:space="0" w:color="auto"/>
        <w:right w:val="none" w:sz="0" w:space="0" w:color="auto"/>
      </w:divBdr>
    </w:div>
    <w:div w:id="1890650724">
      <w:bodyDiv w:val="1"/>
      <w:marLeft w:val="0"/>
      <w:marRight w:val="0"/>
      <w:marTop w:val="0"/>
      <w:marBottom w:val="0"/>
      <w:divBdr>
        <w:top w:val="none" w:sz="0" w:space="0" w:color="auto"/>
        <w:left w:val="none" w:sz="0" w:space="0" w:color="auto"/>
        <w:bottom w:val="none" w:sz="0" w:space="0" w:color="auto"/>
        <w:right w:val="none" w:sz="0" w:space="0" w:color="auto"/>
      </w:divBdr>
    </w:div>
    <w:div w:id="1893077747">
      <w:bodyDiv w:val="1"/>
      <w:marLeft w:val="0"/>
      <w:marRight w:val="0"/>
      <w:marTop w:val="0"/>
      <w:marBottom w:val="0"/>
      <w:divBdr>
        <w:top w:val="none" w:sz="0" w:space="0" w:color="auto"/>
        <w:left w:val="none" w:sz="0" w:space="0" w:color="auto"/>
        <w:bottom w:val="none" w:sz="0" w:space="0" w:color="auto"/>
        <w:right w:val="none" w:sz="0" w:space="0" w:color="auto"/>
      </w:divBdr>
    </w:div>
    <w:div w:id="1912620767">
      <w:bodyDiv w:val="1"/>
      <w:marLeft w:val="0"/>
      <w:marRight w:val="0"/>
      <w:marTop w:val="0"/>
      <w:marBottom w:val="0"/>
      <w:divBdr>
        <w:top w:val="none" w:sz="0" w:space="0" w:color="auto"/>
        <w:left w:val="none" w:sz="0" w:space="0" w:color="auto"/>
        <w:bottom w:val="none" w:sz="0" w:space="0" w:color="auto"/>
        <w:right w:val="none" w:sz="0" w:space="0" w:color="auto"/>
      </w:divBdr>
    </w:div>
    <w:div w:id="1924562823">
      <w:bodyDiv w:val="1"/>
      <w:marLeft w:val="0"/>
      <w:marRight w:val="0"/>
      <w:marTop w:val="0"/>
      <w:marBottom w:val="0"/>
      <w:divBdr>
        <w:top w:val="none" w:sz="0" w:space="0" w:color="auto"/>
        <w:left w:val="none" w:sz="0" w:space="0" w:color="auto"/>
        <w:bottom w:val="none" w:sz="0" w:space="0" w:color="auto"/>
        <w:right w:val="none" w:sz="0" w:space="0" w:color="auto"/>
      </w:divBdr>
    </w:div>
    <w:div w:id="1945267643">
      <w:bodyDiv w:val="1"/>
      <w:marLeft w:val="0"/>
      <w:marRight w:val="0"/>
      <w:marTop w:val="0"/>
      <w:marBottom w:val="0"/>
      <w:divBdr>
        <w:top w:val="none" w:sz="0" w:space="0" w:color="auto"/>
        <w:left w:val="none" w:sz="0" w:space="0" w:color="auto"/>
        <w:bottom w:val="none" w:sz="0" w:space="0" w:color="auto"/>
        <w:right w:val="none" w:sz="0" w:space="0" w:color="auto"/>
      </w:divBdr>
    </w:div>
    <w:div w:id="2019887018">
      <w:bodyDiv w:val="1"/>
      <w:marLeft w:val="0"/>
      <w:marRight w:val="0"/>
      <w:marTop w:val="0"/>
      <w:marBottom w:val="0"/>
      <w:divBdr>
        <w:top w:val="none" w:sz="0" w:space="0" w:color="auto"/>
        <w:left w:val="none" w:sz="0" w:space="0" w:color="auto"/>
        <w:bottom w:val="none" w:sz="0" w:space="0" w:color="auto"/>
        <w:right w:val="none" w:sz="0" w:space="0" w:color="auto"/>
      </w:divBdr>
    </w:div>
    <w:div w:id="2044211903">
      <w:bodyDiv w:val="1"/>
      <w:marLeft w:val="0"/>
      <w:marRight w:val="0"/>
      <w:marTop w:val="0"/>
      <w:marBottom w:val="0"/>
      <w:divBdr>
        <w:top w:val="none" w:sz="0" w:space="0" w:color="auto"/>
        <w:left w:val="none" w:sz="0" w:space="0" w:color="auto"/>
        <w:bottom w:val="none" w:sz="0" w:space="0" w:color="auto"/>
        <w:right w:val="none" w:sz="0" w:space="0" w:color="auto"/>
      </w:divBdr>
    </w:div>
    <w:div w:id="2054769965">
      <w:bodyDiv w:val="1"/>
      <w:marLeft w:val="0"/>
      <w:marRight w:val="0"/>
      <w:marTop w:val="0"/>
      <w:marBottom w:val="0"/>
      <w:divBdr>
        <w:top w:val="none" w:sz="0" w:space="0" w:color="auto"/>
        <w:left w:val="none" w:sz="0" w:space="0" w:color="auto"/>
        <w:bottom w:val="none" w:sz="0" w:space="0" w:color="auto"/>
        <w:right w:val="none" w:sz="0" w:space="0" w:color="auto"/>
      </w:divBdr>
    </w:div>
    <w:div w:id="2056469834">
      <w:bodyDiv w:val="1"/>
      <w:marLeft w:val="0"/>
      <w:marRight w:val="0"/>
      <w:marTop w:val="0"/>
      <w:marBottom w:val="0"/>
      <w:divBdr>
        <w:top w:val="none" w:sz="0" w:space="0" w:color="auto"/>
        <w:left w:val="none" w:sz="0" w:space="0" w:color="auto"/>
        <w:bottom w:val="none" w:sz="0" w:space="0" w:color="auto"/>
        <w:right w:val="none" w:sz="0" w:space="0" w:color="auto"/>
      </w:divBdr>
    </w:div>
    <w:div w:id="2064909450">
      <w:bodyDiv w:val="1"/>
      <w:marLeft w:val="0"/>
      <w:marRight w:val="0"/>
      <w:marTop w:val="0"/>
      <w:marBottom w:val="0"/>
      <w:divBdr>
        <w:top w:val="none" w:sz="0" w:space="0" w:color="auto"/>
        <w:left w:val="none" w:sz="0" w:space="0" w:color="auto"/>
        <w:bottom w:val="none" w:sz="0" w:space="0" w:color="auto"/>
        <w:right w:val="none" w:sz="0" w:space="0" w:color="auto"/>
      </w:divBdr>
    </w:div>
    <w:div w:id="209080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Bla20</b:Tag>
    <b:SourceType>BookSection</b:SourceType>
    <b:Guid>{8C364C53-44E3-4751-9071-359CEAF44FB6}</b:Guid>
    <b:Title>The Code of Ethics</b:Title>
    <b:Year>2020</b:Year>
    <b:Author>
      <b:Author>
        <b:NameList>
          <b:Person>
            <b:Last>Blackburn et al</b:Last>
          </b:Person>
        </b:NameList>
      </b:Author>
    </b:Author>
    <b:BookTitle>Handbook for Policing Students</b:BookTitle>
    <b:Pages>75</b:Pages>
    <b:Publisher>Oxford University Press</b:Publisher>
    <b:RefOrder>30</b:RefOrder>
  </b:Source>
  <b:Source>
    <b:Tag>Bla201</b:Tag>
    <b:SourceType>BookSection</b:SourceType>
    <b:Guid>{8A596C6A-3A53-4CD9-9814-5DEBADE88846}</b:Guid>
    <b:Author>
      <b:Author>
        <b:NameList>
          <b:Person>
            <b:Last>Blackburn et al</b:Last>
          </b:Person>
        </b:NameList>
      </b:Author>
    </b:Author>
    <b:Title>Chapter 2 Policing</b:Title>
    <b:BookTitle>Handbook for Policing Students,</b:BookTitle>
    <b:Year>2020</b:Year>
    <b:Pages>26</b:Pages>
    <b:Publisher>Oxford University Press</b:Publisher>
    <b:RefOrder>2</b:RefOrder>
  </b:Source>
  <b:Source>
    <b:Tag>Bla202</b:Tag>
    <b:SourceType>BookSection</b:SourceType>
    <b:Guid>{57AA65F3-249E-46E7-904F-A8F36C88031A}</b:Guid>
    <b:Author>
      <b:Author>
        <b:NameList>
          <b:Person>
            <b:Last>Blackburn et al</b:Last>
          </b:Person>
        </b:NameList>
      </b:Author>
    </b:Author>
    <b:Title>Chapter 4:The Criminal Justice System</b:Title>
    <b:BookTitle>Handbook for Policing Students</b:BookTitle>
    <b:Year>2020</b:Year>
    <b:Pages>64-71</b:Pages>
    <b:Publisher>Oxford University Press</b:Publisher>
    <b:RefOrder>1</b:RefOrder>
  </b:Source>
  <b:Source>
    <b:Tag>Liz18</b:Tag>
    <b:SourceType>DocumentFromInternetSite</b:SourceType>
    <b:Guid>{7AFBEE39-8B77-4F12-8455-91A97A7AE322}</b:Guid>
    <b:Title>New police watchdog launches to replace IPCC and ensure 'greater accountability to public',</b:Title>
    <b:Year>2018</b:Year>
    <b:Author>
      <b:Author>
        <b:NameList>
          <b:Person>
            <b:Last>Dearden</b:Last>
            <b:First>Lizzie</b:First>
          </b:Person>
        </b:NameList>
      </b:Author>
    </b:Author>
    <b:InternetSiteTitle>Independent</b:InternetSiteTitle>
    <b:Month>January</b:Month>
    <b:Day>8</b:Day>
    <b:URL>https://www.independent.co.uk/news/uk/crime/police-watchdog-launch-iopc-replace-ipcc-independent-office-police-conduct-uk-public-accountability-a8147696.html</b:URL>
    <b:RefOrder>4</b:RefOrder>
  </b:Source>
  <b:Source>
    <b:Tag>Bla203</b:Tag>
    <b:SourceType>BookSection</b:SourceType>
    <b:Guid>{7CB09001-FAB7-4445-A3F1-D1CFDCDA8A68}</b:Guid>
    <b:Title>Chapter 5:Roles, Responsibilities and Support</b:Title>
    <b:Year>2020</b:Year>
    <b:Author>
      <b:Author>
        <b:NameList>
          <b:Person>
            <b:Last>Blackburn et al</b:Last>
          </b:Person>
        </b:NameList>
      </b:Author>
    </b:Author>
    <b:BookTitle>Handbook for Policing Students</b:BookTitle>
    <b:Pages>87-89</b:Pages>
    <b:Publisher>Oxford University Press</b:Publisher>
    <b:RefOrder>5</b:RefOrder>
  </b:Source>
  <b:Source>
    <b:Tag>Ind19</b:Tag>
    <b:SourceType>DocumentFromInternetSite</b:SourceType>
    <b:Guid>{A9E3174F-A21F-4164-806F-1D1C48F0214C}</b:Guid>
    <b:Title>Independent Office for Police Conduct Stakeholder Engagement Strategy 2019-2022</b:Title>
    <b:Year>2019</b:Year>
    <b:InternetSiteTitle>Police Conduct</b:InternetSiteTitle>
    <b:URL>https://www.policeconduct.gov.uk/sites/default/files/Documents/Who-we-are/IOPC_Stakeholder_Engagement_Strategy_2019-22.pdf#:~:text=The%20IOPC%E2%80%99s%20mission%20is%20to%20improve%20public%20confidence,and%20some%20are%20less%20likely%20to%20use%20it.</b:URL>
    <b:Author>
      <b:Author>
        <b:NameList>
          <b:Person>
            <b:Last>Independent Office for Police Conduct</b:Last>
          </b:Person>
        </b:NameList>
      </b:Author>
    </b:Author>
    <b:RefOrder>6</b:RefOrder>
  </b:Source>
  <b:Source>
    <b:Tag>Ind191</b:Tag>
    <b:SourceType>DocumentFromInternetSite</b:SourceType>
    <b:Guid>{1599424B-952E-4D20-A569-6056F60A2F0E}</b:Guid>
    <b:Author>
      <b:Author>
        <b:NameList>
          <b:Person>
            <b:Last>Independent Office for Police Conduct</b:Last>
          </b:Person>
        </b:NameList>
      </b:Author>
    </b:Author>
    <b:Title>Independent Office for Police Conduct Stakeholder Engagement Strategy 2019-2022</b:Title>
    <b:InternetSiteTitle>Police Conduct</b:InternetSiteTitle>
    <b:Year>2019</b:Year>
    <b:URL>https://www.policeconduct.gov.uk/sites/default/files/Documents/Who-we-are/IOPC_Stakeholder_Engagement_Strategy_2019-22.pdf#:~:text=The%20IOPC%E2%80%99s%20mission%20is%20to%20improve%20public%20confidence,and%20some%20are%20less%20likely%20to%20use%20it.</b:URL>
    <b:RefOrder>7</b:RefOrder>
  </b:Source>
  <b:Source>
    <b:Tag>HMI18</b:Tag>
    <b:SourceType>DocumentFromInternetSite</b:SourceType>
    <b:Guid>{6ACCA232-D4C4-4843-9F66-A227F01215A2}</b:Guid>
    <b:Title>The College of Policing and the IOPC,</b:Title>
    <b:InternetSiteTitle>HMICFRS:Promoting improvements in policing and fire &amp; rescue services to make everyone safer,</b:InternetSiteTitle>
    <b:Year>2018</b:Year>
    <b:Month>May</b:Month>
    <b:Day>16</b:Day>
    <b:URL>https://www.justiceinspectorates.gov.uk/hmicfrs/police-forces/working-with-others/college-policing-ipcc/</b:URL>
    <b:Author>
      <b:Author>
        <b:NameList>
          <b:Person>
            <b:Last>HMICFRS</b:Last>
          </b:Person>
        </b:NameList>
      </b:Author>
    </b:Author>
    <b:RefOrder>3</b:RefOrder>
  </b:Source>
  <b:Source>
    <b:Tag>Ind192</b:Tag>
    <b:SourceType>Report</b:SourceType>
    <b:Guid>{4460A19B-4DFB-4274-91DF-18E2EA66B273}</b:Guid>
    <b:Title>Response to the home secretaary on the effeciency, effectiveness, assets, publishing and profile of the IOPC</b:Title>
    <b:Year>2019</b:Year>
    <b:Publisher>Home Office</b:Publisher>
    <b:Author>
      <b:Author>
        <b:NameList>
          <b:Person>
            <b:Last>Independent Office for Police Conduct</b:Last>
          </b:Person>
        </b:NameList>
      </b:Author>
    </b:Author>
    <b:RefOrder>8</b:RefOrder>
  </b:Source>
  <b:Source>
    <b:Tag>IOP19</b:Tag>
    <b:SourceType>DocumentFromInternetSite</b:SourceType>
    <b:Guid>{408A41C1-A002-41DE-83F8-AB49D79B9543}</b:Guid>
    <b:Title>Independent Office for Police Conduct Stakeholder Engagement Strategy 2019-2022</b:Title>
    <b:Year>2019</b:Year>
    <b:Author>
      <b:Author>
        <b:NameList>
          <b:Person>
            <b:Last>IOPC</b:Last>
          </b:Person>
        </b:NameList>
      </b:Author>
    </b:Author>
    <b:InternetSiteTitle>Police Conduct</b:InternetSiteTitle>
    <b:URL>https://www.policeconduct.gov.uk/sites/default/files/Documents/Who-we-are/IOPC_Stakeholder_Engagement_Strategy_2019-22.pdf#:~:text=The%20IOPC%E2%80%99s%20mission%20is%20to%20improve%20public%20confidence,and%20some%20are%20less%20likely%20to%20use%20it.</b:URL>
    <b:RefOrder>9</b:RefOrder>
  </b:Source>
  <b:Source>
    <b:Tag>IOP20</b:Tag>
    <b:SourceType>DocumentFromInternetSite</b:SourceType>
    <b:Guid>{17345508-ABB9-42F9-A3B6-18E3BE5F95FF}</b:Guid>
    <b:Author>
      <b:Author>
        <b:NameList>
          <b:Person>
            <b:Last>IOPC</b:Last>
          </b:Person>
        </b:NameList>
      </b:Author>
    </b:Author>
    <b:Title>IOPC Business Plan 2020/21</b:Title>
    <b:InternetSiteTitle>Police Conduct</b:InternetSiteTitle>
    <b:Year>2020</b:Year>
    <b:Month>June</b:Month>
    <b:URL>https://policeconduct.gov.uk/sites/default/files/Documents/Who-we-are/accountability-performance/IOPC_Business_plan_2020-21.pdf</b:URL>
    <b:RefOrder>10</b:RefOrder>
  </b:Source>
  <b:Source>
    <b:Tag>Ind193</b:Tag>
    <b:SourceType>Report</b:SourceType>
    <b:Guid>{3F1468AD-7AF6-49FC-B7F7-E91ADC86C1D5}</b:Guid>
    <b:Title>Impact Report 2018/19</b:Title>
    <b:Year>2019</b:Year>
    <b:Author>
      <b:Author>
        <b:NameList>
          <b:Person>
            <b:Last>Independent Office of Police Conduct</b:Last>
          </b:Person>
        </b:NameList>
      </b:Author>
    </b:Author>
    <b:Publisher>IOPC</b:Publisher>
    <b:RefOrder>11</b:RefOrder>
  </b:Source>
  <b:Source>
    <b:Tag>Bla204</b:Tag>
    <b:SourceType>BookSection</b:SourceType>
    <b:Guid>{EF93F3C4-E550-4E6A-B677-2C670DBCA784}</b:Guid>
    <b:Title>Chapter 5 Roles, Responsibilies and Supportm</b:Title>
    <b:Year>2020</b:Year>
    <b:Author>
      <b:Author>
        <b:NameList>
          <b:Person>
            <b:Last>Blackburn et al</b:Last>
          </b:Person>
        </b:NameList>
      </b:Author>
    </b:Author>
    <b:BookTitle>Blackstones Handbooko for Policing Students,</b:BookTitle>
    <b:Pages>74</b:Pages>
    <b:Publisher>Oxford English Press</b:Publisher>
    <b:RefOrder>12</b:RefOrder>
  </b:Source>
  <b:Source>
    <b:Tag>Buc06</b:Tag>
    <b:SourceType>DocumentFromInternetSite</b:SourceType>
    <b:Guid>{BC7D2884-27BE-4955-BB6C-B1A7187E5E80}</b:Guid>
    <b:Title>A Brief History of Decision Making</b:Title>
    <b:Year>2006</b:Year>
    <b:Author>
      <b:Author>
        <b:NameList>
          <b:Person>
            <b:Last>Buchanan</b:Last>
            <b:First>L</b:First>
            <b:Middle>&amp; O’Connell, A</b:Middle>
          </b:Person>
        </b:NameList>
      </b:Author>
    </b:Author>
    <b:JournalName>Harvard Business Review</b:JournalName>
    <b:InternetSiteTitle>Harvard Business Review</b:InternetSiteTitle>
    <b:URL>https://hbr.org/2006/01/a-brief-history-of-decision-making</b:URL>
    <b:RefOrder>31</b:RefOrder>
  </b:Source>
  <b:Source>
    <b:Tag>Buc061</b:Tag>
    <b:SourceType>DocumentFromInternetSite</b:SourceType>
    <b:Guid>{691D93A0-E507-47F9-A13B-DDE4CEB917D8}</b:Guid>
    <b:Author>
      <b:Author>
        <b:NameList>
          <b:Person>
            <b:Last>Buchanan L</b:Last>
          </b:Person>
        </b:NameList>
      </b:Author>
    </b:Author>
    <b:Title>A Brief History of Decision Making</b:Title>
    <b:InternetSiteTitle>Harvard Business Review</b:InternetSiteTitle>
    <b:Year>2006</b:Year>
    <b:URL>https://hbr.org/2006/01/a-brief-history-of-decision-making</b:URL>
    <b:RefOrder>13</b:RefOrder>
  </b:Source>
  <b:Source>
    <b:Tag>Bla205</b:Tag>
    <b:SourceType>BookSection</b:SourceType>
    <b:Guid>{A44817FA-A333-409D-A0D9-CA73CF0039BD}</b:Guid>
    <b:Author>
      <b:Author>
        <b:NameList>
          <b:Person>
            <b:Last>Blackburn et al</b:Last>
          </b:Person>
        </b:NameList>
      </b:Author>
    </b:Author>
    <b:Title>Chapter 5 : Roles, Responsibilities and Support</b:Title>
    <b:BookTitle>Blackstones Handbook for Policing Students</b:BookTitle>
    <b:Year>2020</b:Year>
    <b:Pages>78</b:Pages>
    <b:Publisher>Oxford English Press</b:Publisher>
    <b:RefOrder>15</b:RefOrder>
  </b:Source>
  <b:Source>
    <b:Tag>Nat14</b:Tag>
    <b:SourceType>InternetSite</b:SourceType>
    <b:Guid>{E97D90D8-D52D-4BBA-A391-3D3E4E01556C}</b:Guid>
    <b:Title>National Decision Model</b:Title>
    <b:Year>2014</b:Year>
    <b:InternetSiteTitle>College of Policing</b:InternetSiteTitle>
    <b:Month>December</b:Month>
    <b:URL>https://www.app.college.police.uk/app-content/national-decision-model/the-national-decision-model/</b:URL>
    <b:RefOrder>14</b:RefOrder>
  </b:Source>
  <b:Source>
    <b:Tag>Col21</b:Tag>
    <b:SourceType>InternetSite</b:SourceType>
    <b:Guid>{DE1E10BE-01E4-4835-B68B-E602737030EA}</b:Guid>
    <b:Author>
      <b:Author>
        <b:NameList>
          <b:Person>
            <b:Last>College of Policing</b:Last>
          </b:Person>
        </b:NameList>
      </b:Author>
    </b:Author>
    <b:Title>Code of Ethics</b:Title>
    <b:InternetSiteTitle>College of Policing</b:InternetSiteTitle>
    <b:Year>2021</b:Year>
    <b:URL>https://www.college.police.uk/ethics/code-of-ethics</b:URL>
    <b:RefOrder>16</b:RefOrder>
  </b:Source>
  <b:Source>
    <b:Tag>Mor17</b:Tag>
    <b:SourceType>InternetSite</b:SourceType>
    <b:Guid>{4B08AB71-8B40-4A32-903F-52D3334311C7}</b:Guid>
    <b:Author>
      <b:Author>
        <b:NameList>
          <b:Person>
            <b:Last>Rush</b:Last>
            <b:First>Morgan</b:First>
          </b:Person>
        </b:NameList>
      </b:Author>
    </b:Author>
    <b:Title>The Importance Of Ethics and Professional Conduct In Law Enforcement</b:Title>
    <b:InternetSiteTitle>Career Trend</b:InternetSiteTitle>
    <b:Year>2017</b:Year>
    <b:Month>July</b:Month>
    <b:Day>5</b:Day>
    <b:URL>https://careertrend.com/importance-ethics-professional-conduct-law-enforcement-leaders-29432.html</b:URL>
    <b:RefOrder>17</b:RefOrder>
  </b:Source>
  <b:Source>
    <b:Tag>NSP21</b:Tag>
    <b:SourceType>InternetSite</b:SourceType>
    <b:Guid>{F5FACAFF-E372-46C4-8FC5-5FD2D589B910}</b:Guid>
    <b:Title>Criminal Exploitation and Gangs</b:Title>
    <b:Year>2021</b:Year>
    <b:Author>
      <b:Author>
        <b:NameList>
          <b:Person>
            <b:Last>NSPCC</b:Last>
          </b:Person>
        </b:NameList>
      </b:Author>
    </b:Author>
    <b:InternetSiteTitle>NSPCC Every Child is Worth Fighting For</b:InternetSiteTitle>
    <b:URL>https://www.nspcc.org.uk/what-is-child-abuse/types-of-abuse/gangs-criminal-exploitation/</b:URL>
    <b:RefOrder>25</b:RefOrder>
  </b:Source>
  <b:Source>
    <b:Tag>Hom20</b:Tag>
    <b:SourceType>InternetSite</b:SourceType>
    <b:Guid>{3AA9277D-E810-4A30-B68B-28FF44CE1C93}</b:Guid>
    <b:Author>
      <b:Author>
        <b:NameList>
          <b:Person>
            <b:Last>Home Office</b:Last>
          </b:Person>
        </b:NameList>
      </b:Author>
    </b:Author>
    <b:Title>Criminal Exploitation of children and vulnerable adults: County Lines</b:Title>
    <b:InternetSiteTitle>Gov.uk</b:InternetSiteTitle>
    <b:Year>2020</b:Year>
    <b:URL>https://www.gov.uk/government/publications/criminal-exploitation-of-children-and-vulnerable-adults-county-lines/criminal-exploitation-of-children-and-vulnerable-adults-county-lines</b:URL>
    <b:RefOrder>24</b:RefOrder>
  </b:Source>
  <b:Source>
    <b:Tag>Saf21</b:Tag>
    <b:SourceType>InternetSite</b:SourceType>
    <b:Guid>{06F34610-614D-4B48-AF45-29B84EA4E5EA}</b:Guid>
    <b:Author>
      <b:Author>
        <b:NameList>
          <b:Person>
            <b:Last>Safeguarding Adults Board</b:Last>
          </b:Person>
        </b:NameList>
      </b:Author>
    </b:Author>
    <b:Title>Cuckooing</b:Title>
    <b:InternetSiteTitle>Safeguarding Adults Board</b:InternetSiteTitle>
    <b:Year>2021</b:Year>
    <b:URL>Cuckooing | Salford Safeguarding Adults Board Criminal exploitation and gangs | NSPCC</b:URL>
    <b:RefOrder>26</b:RefOrder>
  </b:Source>
  <b:Source>
    <b:Tag>Col14</b:Tag>
    <b:SourceType>InternetSite</b:SourceType>
    <b:Guid>{6D4FE900-EAAD-4A6F-8F22-403B22DCE3D7}</b:Guid>
    <b:Author>
      <b:Author>
        <b:NameList>
          <b:Person>
            <b:Last>College of Policing</b:Last>
          </b:Person>
        </b:NameList>
      </b:Author>
    </b:Author>
    <b:Title>Major investigation and public protection - Adults at risk</b:Title>
    <b:InternetSiteTitle>College of Policing</b:InternetSiteTitle>
    <b:Year>2014</b:Year>
    <b:URL>https://www.app.college.police.uk/app-content/major-investigation-and-public-protection/vulnerable-adults/</b:URL>
    <b:RefOrder>27</b:RefOrder>
  </b:Source>
  <b:Source>
    <b:Tag>Gar19</b:Tag>
    <b:SourceType>Report</b:SourceType>
    <b:Guid>{83E2B2AF-FDC7-4728-8B78-ECA28DE7A216}</b:Guid>
    <b:Title>Tackling serious and</b:Title>
    <b:Year>2019</b:Year>
    <b:Author>
      <b:Author>
        <b:NameList>
          <b:Person>
            <b:Last>Gareth Davies</b:Last>
            <b:First>Comptroller</b:First>
            <b:Middle>and Auditor General, Home Office,</b:Middle>
          </b:Person>
        </b:NameList>
      </b:Author>
    </b:Author>
    <b:Publisher>National Audit Office</b:Publisher>
    <b:RefOrder>23</b:RefOrder>
  </b:Source>
  <b:Source>
    <b:Tag>Col17</b:Tag>
    <b:SourceType>InternetSite</b:SourceType>
    <b:Guid>{773EB99A-3D6C-48AE-8976-FEF7393AA6FF}</b:Guid>
    <b:Author>
      <b:Author>
        <b:NameList>
          <b:Person>
            <b:Last>College of Policing</b:Last>
          </b:Person>
        </b:NameList>
      </b:Author>
    </b:Author>
    <b:Title>MAPPA Multipagency public protection</b:Title>
    <b:InternetSiteTitle>College of Policing</b:InternetSiteTitle>
    <b:Year>2017</b:Year>
    <b:URL>https://www.app.college.police.uk/app-content/major-investigation-and-public-protection/managing-sexual-offenders-and-violent-offenders/mappa/</b:URL>
    <b:RefOrder>28</b:RefOrder>
  </b:Source>
  <b:Source>
    <b:Tag>Nat19</b:Tag>
    <b:SourceType>Report</b:SourceType>
    <b:Guid>{382B1FF9-835D-439A-BFD6-604A49B8AE9F}</b:Guid>
    <b:Author>
      <b:Author>
        <b:NameList>
          <b:Person>
            <b:Last>National Crime Office</b:Last>
          </b:Person>
        </b:NameList>
      </b:Author>
    </b:Author>
    <b:Title>Tackling Serious and Organised Crime</b:Title>
    <b:Year>2019</b:Year>
    <b:RefOrder>29</b:RefOrder>
  </b:Source>
  <b:Source>
    <b:Tag>Cri18</b:Tag>
    <b:SourceType>InternetSite</b:SourceType>
    <b:Guid>{9AAD0231-36EA-4144-9567-CA76DB55E049}</b:Guid>
    <b:Title>Serious and Organised Crime</b:Title>
    <b:Year>2018</b:Year>
    <b:Author>
      <b:Author>
        <b:NameList>
          <b:Person>
            <b:Last>Crimestoppers</b:Last>
          </b:Person>
        </b:NameList>
      </b:Author>
    </b:Author>
    <b:InternetSiteTitle>Crimestoppers UK</b:InternetSiteTitle>
    <b:URL>https://crimestoppers-uk.org/keeping-safe/community-family/serious-and-organised-crime</b:URL>
    <b:RefOrder>22</b:RefOrder>
  </b:Source>
  <b:Source>
    <b:Tag>Bal06</b:Tag>
    <b:SourceType>DocumentFromInternetSite</b:SourceType>
    <b:Guid>{1354314F-1439-4D91-83E2-3BFBF99045DB}</b:Guid>
    <b:Author>
      <b:Author>
        <b:NameList>
          <b:Person>
            <b:Last>Baldwin</b:Last>
            <b:First>S</b:First>
          </b:Person>
        </b:NameList>
      </b:Author>
    </b:Author>
    <b:Title>Organisational Justice</b:Title>
    <b:InternetSiteTitle>Employment Studies Resources</b:InternetSiteTitle>
    <b:Year>2006</b:Year>
    <b:URL>https://www.employment-studies.co.uk/system/files/resources/files/mp73.pdf</b:URL>
    <b:RefOrder>18</b:RefOrder>
  </b:Source>
  <b:Source>
    <b:Tag>Rob13</b:Tag>
    <b:SourceType>Report</b:SourceType>
    <b:Guid>{65B4571F-8170-4A43-A245-B57CCC1BDE3D}</b:Guid>
    <b:Author>
      <b:Author>
        <b:NameList>
          <b:Person>
            <b:Last>Roberts et al</b:Last>
          </b:Person>
        </b:NameList>
      </b:Author>
    </b:Author>
    <b:Title>Organisational and Procedural Justice: a review of the literature and it's implications for policing</b:Title>
    <b:Year>2013</b:Year>
    <b:Publisher>Centre for Policing, Intelligence and Counter Terrorism</b:Publisher>
    <b:RefOrder>20</b:RefOrder>
  </b:Source>
  <b:Source>
    <b:Tag>Qui15</b:Tag>
    <b:SourceType>Report</b:SourceType>
    <b:Guid>{40745C4F-136B-49A6-AB12-29BB8EE1A5A8}</b:Guid>
    <b:Author>
      <b:Author>
        <b:NameList>
          <b:Person>
            <b:Last>Quinton et al</b:Last>
          </b:Person>
        </b:NameList>
      </b:Author>
    </b:Author>
    <b:Title>Organisational Justice, behaviour and ethical policing, an interpretative evidence commentary,</b:Title>
    <b:Year>2015</b:Year>
    <b:Publisher>College of Policing Limited</b:Publisher>
    <b:RefOrder>21</b:RefOrder>
  </b:Source>
  <b:Source>
    <b:Tag>Col15</b:Tag>
    <b:SourceType>Report</b:SourceType>
    <b:Guid>{3ADDB3DA-138F-4C15-9393-BD59C64EC398}</b:Guid>
    <b:Title>Fair Cop 2 : Organisational Justice, behaviour and ethical policing,</b:Title>
    <b:Year>2015</b:Year>
    <b:Author>
      <b:Author>
        <b:NameList>
          <b:Person>
            <b:Last>College of Policing</b:Last>
          </b:Person>
        </b:NameList>
      </b:Author>
    </b:Author>
    <b:Publisher>College of Policing Limited</b:Publisher>
    <b:RefOrder>19</b:RefOrder>
  </b:Source>
</b:Sources>
</file>

<file path=customXml/itemProps1.xml><?xml version="1.0" encoding="utf-8"?>
<ds:datastoreItem xmlns:ds="http://schemas.openxmlformats.org/officeDocument/2006/customXml" ds:itemID="{61E617E0-AFBF-4D1C-B2CC-F19DA4731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6996</TotalTime>
  <Pages>11</Pages>
  <Words>5228</Words>
  <Characters>29806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Goodway-Sims,Charlotte swp6732</dc:creator>
  <cp:keywords/>
  <dc:description/>
  <cp:lastModifiedBy>Goodway-Sims,Charlotte swp6732</cp:lastModifiedBy>
  <cp:revision>51</cp:revision>
  <dcterms:created xsi:type="dcterms:W3CDTF">2021-07-13T21:23:00Z</dcterms:created>
  <dcterms:modified xsi:type="dcterms:W3CDTF">2021-10-23T15:02:00Z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27ad6fa3-56d9-4689-b8c2-481e9effd420</vt:lpwstr>
  </property>
  <property fmtid="{D5CDD505-2E9C-101B-9397-08002B2CF9AE}" pid="3" name="Classification">
    <vt:lpwstr>OFFICIAL</vt:lpwstr>
  </property>
  <property fmtid="{D5CDD505-2E9C-101B-9397-08002B2CF9AE}" pid="4" name="Visibility">
    <vt:lpwstr>NOT VISIBLE</vt:lpwstr>
  </property>
</Properties>
</file>