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204380"/>
        <w:docPartObj>
          <w:docPartGallery w:val="Cover Pages"/>
          <w:docPartUnique/>
        </w:docPartObj>
      </w:sdtPr>
      <w:sdtEndPr>
        <w:rPr>
          <w:rFonts w:ascii="Times New Roman" w:hAnsi="Times New Roman" w:cs="Times New Roman"/>
          <w:b/>
          <w:bCs/>
          <w:color w:val="BF4E14" w:themeColor="accent2" w:themeShade="BF"/>
        </w:rPr>
      </w:sdtEndPr>
      <w:sdtContent>
        <w:p w14:paraId="62A9D57E" w14:textId="041A28F3" w:rsidR="007D3638" w:rsidRDefault="007D3638">
          <w:r>
            <w:rPr>
              <w:noProof/>
            </w:rPr>
            <mc:AlternateContent>
              <mc:Choice Requires="wpg">
                <w:drawing>
                  <wp:anchor distT="0" distB="0" distL="114300" distR="114300" simplePos="0" relativeHeight="251659264" behindDoc="1" locked="0" layoutInCell="1" allowOverlap="1" wp14:anchorId="287026CE" wp14:editId="718D731E">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B017AEE" w14:textId="30187A63" w:rsidR="007D3638" w:rsidRPr="007D3638" w:rsidRDefault="007D3638">
                                      <w:pPr>
                                        <w:pStyle w:val="NoSpacing"/>
                                        <w:rPr>
                                          <w:rFonts w:ascii="Times New Roman" w:hAnsi="Times New Roman" w:cs="Times New Roman"/>
                                          <w:b/>
                                          <w:bCs/>
                                          <w:color w:val="FFFFFF" w:themeColor="background1"/>
                                          <w:sz w:val="32"/>
                                          <w:szCs w:val="32"/>
                                        </w:rPr>
                                      </w:pPr>
                                      <w:r w:rsidRPr="007D3638">
                                        <w:rPr>
                                          <w:rFonts w:ascii="Times New Roman" w:hAnsi="Times New Roman" w:cs="Times New Roman"/>
                                          <w:b/>
                                          <w:bCs/>
                                          <w:color w:val="FFFFFF" w:themeColor="background1"/>
                                          <w:sz w:val="32"/>
                                          <w:szCs w:val="32"/>
                                        </w:rPr>
                                        <w:t>Student name: Nicola Fabiola Stoian</w:t>
                                      </w:r>
                                    </w:p>
                                  </w:sdtContent>
                                </w:sdt>
                                <w:p w14:paraId="12D5C8E4" w14:textId="6B5D364D" w:rsidR="007D3638" w:rsidRPr="007D3638" w:rsidRDefault="007D3638">
                                  <w:pPr>
                                    <w:pStyle w:val="NoSpacing"/>
                                    <w:rPr>
                                      <w:rFonts w:ascii="Times New Roman" w:hAnsi="Times New Roman" w:cs="Times New Roman"/>
                                      <w:b/>
                                      <w:bCs/>
                                      <w:caps/>
                                      <w:color w:val="FFFFFF" w:themeColor="background1"/>
                                      <w:sz w:val="32"/>
                                      <w:szCs w:val="32"/>
                                    </w:rPr>
                                  </w:pPr>
                                  <w:sdt>
                                    <w:sdtPr>
                                      <w:rPr>
                                        <w:rFonts w:ascii="Times New Roman" w:hAnsi="Times New Roman" w:cs="Times New Roman"/>
                                        <w:b/>
                                        <w:bCs/>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7D3638">
                                        <w:rPr>
                                          <w:rFonts w:ascii="Times New Roman" w:hAnsi="Times New Roman" w:cs="Times New Roman"/>
                                          <w:b/>
                                          <w:bCs/>
                                          <w:caps/>
                                          <w:color w:val="FFFFFF" w:themeColor="background1"/>
                                          <w:sz w:val="32"/>
                                          <w:szCs w:val="32"/>
                                        </w:rPr>
                                        <w:t>Module:</w:t>
                                      </w:r>
                                      <w:r w:rsidRPr="007D3638">
                                        <w:rPr>
                                          <w:rFonts w:ascii="Times New Roman" w:hAnsi="Times New Roman" w:cs="Times New Roman"/>
                                          <w:b/>
                                          <w:bCs/>
                                          <w:caps/>
                                          <w:color w:val="FFFFFF" w:themeColor="background1"/>
                                          <w:sz w:val="32"/>
                                          <w:szCs w:val="32"/>
                                        </w:rPr>
                                        <w:t xml:space="preserve"> </w:t>
                                      </w:r>
                                      <w:r w:rsidRPr="007D3638">
                                        <w:rPr>
                                          <w:rFonts w:ascii="Times New Roman" w:hAnsi="Times New Roman" w:cs="Times New Roman"/>
                                          <w:b/>
                                          <w:bCs/>
                                          <w:caps/>
                                          <w:color w:val="FFFFFF" w:themeColor="background1"/>
                                          <w:sz w:val="32"/>
                                          <w:szCs w:val="32"/>
                                        </w:rPr>
                                        <w:t>Financial Management For Business Sustainability</w:t>
                                      </w:r>
                                    </w:sdtContent>
                                  </w:sdt>
                                  <w:r w:rsidRPr="007D3638">
                                    <w:rPr>
                                      <w:rFonts w:ascii="Times New Roman" w:hAnsi="Times New Roman" w:cs="Times New Roman"/>
                                      <w:b/>
                                      <w:bCs/>
                                      <w:caps/>
                                      <w:color w:val="FFFFFF" w:themeColor="background1"/>
                                      <w:sz w:val="32"/>
                                      <w:szCs w:val="32"/>
                                    </w:rPr>
                                    <w:t xml:space="preserve"> | </w:t>
                                  </w:r>
                                  <w:sdt>
                                    <w:sdtPr>
                                      <w:rPr>
                                        <w:rFonts w:ascii="Times New Roman" w:hAnsi="Times New Roman" w:cs="Times New Roman"/>
                                        <w:b/>
                                        <w:bCs/>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Content>
                                      <w:r w:rsidRPr="007D3638">
                                        <w:rPr>
                                          <w:rFonts w:ascii="Times New Roman" w:hAnsi="Times New Roman" w:cs="Times New Roman"/>
                                          <w:b/>
                                          <w:bCs/>
                                          <w:caps/>
                                          <w:color w:val="FFFFFF" w:themeColor="background1"/>
                                          <w:sz w:val="32"/>
                                          <w:szCs w:val="32"/>
                                        </w:rPr>
                                        <w:t>BMSP4011D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olor w:val="BF4E14" w:themeColor="accent2" w:themeShade="BF"/>
                                      <w:sz w:val="108"/>
                                      <w:szCs w:val="108"/>
                                      <w:u w:val="thick"/>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AF6C815" w14:textId="638917EC" w:rsidR="007D3638" w:rsidRPr="007D3638" w:rsidRDefault="007D3638" w:rsidP="00AE4789">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7D3638">
                                        <w:rPr>
                                          <w:rFonts w:ascii="Times New Roman" w:eastAsiaTheme="majorEastAsia" w:hAnsi="Times New Roman" w:cs="Times New Roman"/>
                                          <w:b/>
                                          <w:bCs/>
                                          <w:color w:val="BF4E14" w:themeColor="accent2" w:themeShade="BF"/>
                                          <w:sz w:val="108"/>
                                          <w:szCs w:val="108"/>
                                          <w:u w:val="thick"/>
                                        </w:rPr>
                                        <w:t>Financial Analysis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7026CE"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rFonts w:ascii="Times New Roman" w:hAnsi="Times New Roman" w:cs="Times New Roman"/>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B017AEE" w14:textId="30187A63" w:rsidR="007D3638" w:rsidRPr="007D3638" w:rsidRDefault="007D3638">
                                <w:pPr>
                                  <w:pStyle w:val="NoSpacing"/>
                                  <w:rPr>
                                    <w:rFonts w:ascii="Times New Roman" w:hAnsi="Times New Roman" w:cs="Times New Roman"/>
                                    <w:b/>
                                    <w:bCs/>
                                    <w:color w:val="FFFFFF" w:themeColor="background1"/>
                                    <w:sz w:val="32"/>
                                    <w:szCs w:val="32"/>
                                  </w:rPr>
                                </w:pPr>
                                <w:r w:rsidRPr="007D3638">
                                  <w:rPr>
                                    <w:rFonts w:ascii="Times New Roman" w:hAnsi="Times New Roman" w:cs="Times New Roman"/>
                                    <w:b/>
                                    <w:bCs/>
                                    <w:color w:val="FFFFFF" w:themeColor="background1"/>
                                    <w:sz w:val="32"/>
                                    <w:szCs w:val="32"/>
                                  </w:rPr>
                                  <w:t>Student name: Nicola Fabiola Stoian</w:t>
                                </w:r>
                              </w:p>
                            </w:sdtContent>
                          </w:sdt>
                          <w:p w14:paraId="12D5C8E4" w14:textId="6B5D364D" w:rsidR="007D3638" w:rsidRPr="007D3638" w:rsidRDefault="007D3638">
                            <w:pPr>
                              <w:pStyle w:val="NoSpacing"/>
                              <w:rPr>
                                <w:rFonts w:ascii="Times New Roman" w:hAnsi="Times New Roman" w:cs="Times New Roman"/>
                                <w:b/>
                                <w:bCs/>
                                <w:caps/>
                                <w:color w:val="FFFFFF" w:themeColor="background1"/>
                                <w:sz w:val="32"/>
                                <w:szCs w:val="32"/>
                              </w:rPr>
                            </w:pPr>
                            <w:sdt>
                              <w:sdtPr>
                                <w:rPr>
                                  <w:rFonts w:ascii="Times New Roman" w:hAnsi="Times New Roman" w:cs="Times New Roman"/>
                                  <w:b/>
                                  <w:bCs/>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7D3638">
                                  <w:rPr>
                                    <w:rFonts w:ascii="Times New Roman" w:hAnsi="Times New Roman" w:cs="Times New Roman"/>
                                    <w:b/>
                                    <w:bCs/>
                                    <w:caps/>
                                    <w:color w:val="FFFFFF" w:themeColor="background1"/>
                                    <w:sz w:val="32"/>
                                    <w:szCs w:val="32"/>
                                  </w:rPr>
                                  <w:t>Module:</w:t>
                                </w:r>
                                <w:r w:rsidRPr="007D3638">
                                  <w:rPr>
                                    <w:rFonts w:ascii="Times New Roman" w:hAnsi="Times New Roman" w:cs="Times New Roman"/>
                                    <w:b/>
                                    <w:bCs/>
                                    <w:caps/>
                                    <w:color w:val="FFFFFF" w:themeColor="background1"/>
                                    <w:sz w:val="32"/>
                                    <w:szCs w:val="32"/>
                                  </w:rPr>
                                  <w:t xml:space="preserve"> </w:t>
                                </w:r>
                                <w:r w:rsidRPr="007D3638">
                                  <w:rPr>
                                    <w:rFonts w:ascii="Times New Roman" w:hAnsi="Times New Roman" w:cs="Times New Roman"/>
                                    <w:b/>
                                    <w:bCs/>
                                    <w:caps/>
                                    <w:color w:val="FFFFFF" w:themeColor="background1"/>
                                    <w:sz w:val="32"/>
                                    <w:szCs w:val="32"/>
                                  </w:rPr>
                                  <w:t>Financial Management For Business Sustainability</w:t>
                                </w:r>
                              </w:sdtContent>
                            </w:sdt>
                            <w:r w:rsidRPr="007D3638">
                              <w:rPr>
                                <w:rFonts w:ascii="Times New Roman" w:hAnsi="Times New Roman" w:cs="Times New Roman"/>
                                <w:b/>
                                <w:bCs/>
                                <w:caps/>
                                <w:color w:val="FFFFFF" w:themeColor="background1"/>
                                <w:sz w:val="32"/>
                                <w:szCs w:val="32"/>
                              </w:rPr>
                              <w:t xml:space="preserve"> | </w:t>
                            </w:r>
                            <w:sdt>
                              <w:sdtPr>
                                <w:rPr>
                                  <w:rFonts w:ascii="Times New Roman" w:hAnsi="Times New Roman" w:cs="Times New Roman"/>
                                  <w:b/>
                                  <w:bCs/>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Content>
                                <w:r w:rsidRPr="007D3638">
                                  <w:rPr>
                                    <w:rFonts w:ascii="Times New Roman" w:hAnsi="Times New Roman" w:cs="Times New Roman"/>
                                    <w:b/>
                                    <w:bCs/>
                                    <w:caps/>
                                    <w:color w:val="FFFFFF" w:themeColor="background1"/>
                                    <w:sz w:val="32"/>
                                    <w:szCs w:val="32"/>
                                  </w:rPr>
                                  <w:t>BMSP4011D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b/>
                                <w:bCs/>
                                <w:color w:val="BF4E14" w:themeColor="accent2" w:themeShade="BF"/>
                                <w:sz w:val="108"/>
                                <w:szCs w:val="108"/>
                                <w:u w:val="thick"/>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AF6C815" w14:textId="638917EC" w:rsidR="007D3638" w:rsidRPr="007D3638" w:rsidRDefault="007D3638" w:rsidP="00AE4789">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7D3638">
                                  <w:rPr>
                                    <w:rFonts w:ascii="Times New Roman" w:eastAsiaTheme="majorEastAsia" w:hAnsi="Times New Roman" w:cs="Times New Roman"/>
                                    <w:b/>
                                    <w:bCs/>
                                    <w:color w:val="BF4E14" w:themeColor="accent2" w:themeShade="BF"/>
                                    <w:sz w:val="108"/>
                                    <w:szCs w:val="108"/>
                                    <w:u w:val="thick"/>
                                  </w:rPr>
                                  <w:t>Financial Analysis</w:t>
                                </w:r>
                              </w:p>
                            </w:sdtContent>
                          </w:sdt>
                        </w:txbxContent>
                      </v:textbox>
                    </v:shape>
                    <w10:wrap anchorx="page" anchory="page"/>
                  </v:group>
                </w:pict>
              </mc:Fallback>
            </mc:AlternateContent>
          </w:r>
        </w:p>
        <w:p w14:paraId="13C82989" w14:textId="1BBDD6C5" w:rsidR="007D3638" w:rsidRDefault="007D3638">
          <w:pPr>
            <w:rPr>
              <w:rFonts w:ascii="Times New Roman" w:hAnsi="Times New Roman" w:cs="Times New Roman"/>
              <w:b/>
              <w:bCs/>
              <w:color w:val="BF4E14" w:themeColor="accent2" w:themeShade="BF"/>
            </w:rPr>
          </w:pPr>
          <w:r>
            <w:rPr>
              <w:rFonts w:ascii="Times New Roman" w:hAnsi="Times New Roman" w:cs="Times New Roman"/>
              <w:b/>
              <w:bCs/>
              <w:color w:val="BF4E14" w:themeColor="accent2" w:themeShade="BF"/>
            </w:rPr>
            <w:br w:type="page"/>
          </w:r>
        </w:p>
      </w:sdtContent>
    </w:sdt>
    <w:p w14:paraId="4720517E" w14:textId="40262E39" w:rsidR="00BD794D" w:rsidRPr="00BD794D" w:rsidRDefault="00BD794D" w:rsidP="00BD794D">
      <w:pPr>
        <w:spacing w:line="480" w:lineRule="auto"/>
        <w:rPr>
          <w:rFonts w:ascii="Times New Roman" w:hAnsi="Times New Roman" w:cs="Times New Roman"/>
          <w:b/>
          <w:bCs/>
          <w:color w:val="BF4E14" w:themeColor="accent2" w:themeShade="BF"/>
        </w:rPr>
      </w:pPr>
      <w:r w:rsidRPr="00BD794D">
        <w:rPr>
          <w:rFonts w:ascii="Times New Roman" w:hAnsi="Times New Roman" w:cs="Times New Roman"/>
          <w:b/>
          <w:bCs/>
          <w:color w:val="BF4E14" w:themeColor="accent2" w:themeShade="BF"/>
        </w:rPr>
        <w:lastRenderedPageBreak/>
        <w:t>Overview</w:t>
      </w:r>
    </w:p>
    <w:p w14:paraId="562537A8" w14:textId="682A99A3" w:rsidR="00BD794D" w:rsidRDefault="00BD794D" w:rsidP="00BD794D">
      <w:pPr>
        <w:spacing w:line="480" w:lineRule="auto"/>
        <w:rPr>
          <w:rFonts w:ascii="Times New Roman" w:hAnsi="Times New Roman" w:cs="Times New Roman"/>
        </w:rPr>
      </w:pPr>
      <w:r w:rsidRPr="00BD794D">
        <w:rPr>
          <w:rFonts w:ascii="Times New Roman" w:hAnsi="Times New Roman" w:cs="Times New Roman"/>
        </w:rPr>
        <w:t xml:space="preserve">This report </w:t>
      </w:r>
      <w:r w:rsidRPr="00BD794D">
        <w:rPr>
          <w:rFonts w:ascii="Times New Roman" w:hAnsi="Times New Roman" w:cs="Times New Roman"/>
        </w:rPr>
        <w:t>investigates</w:t>
      </w:r>
      <w:r w:rsidRPr="00BD794D">
        <w:rPr>
          <w:rFonts w:ascii="Times New Roman" w:hAnsi="Times New Roman" w:cs="Times New Roman"/>
        </w:rPr>
        <w:t xml:space="preserve"> the financial health of Tesco PLC </w:t>
      </w:r>
      <w:r w:rsidR="00AE4789">
        <w:rPr>
          <w:rFonts w:ascii="Times New Roman" w:hAnsi="Times New Roman" w:cs="Times New Roman"/>
        </w:rPr>
        <w:t>for the years</w:t>
      </w:r>
      <w:r w:rsidRPr="00BD794D">
        <w:rPr>
          <w:rFonts w:ascii="Times New Roman" w:hAnsi="Times New Roman" w:cs="Times New Roman"/>
        </w:rPr>
        <w:t xml:space="preserve"> ending 25 February 2023 and </w:t>
      </w:r>
      <w:r w:rsidRPr="00BD794D">
        <w:rPr>
          <w:rFonts w:ascii="Times New Roman" w:hAnsi="Times New Roman" w:cs="Times New Roman"/>
        </w:rPr>
        <w:t>24 February 2024 and</w:t>
      </w:r>
      <w:r w:rsidRPr="00BD794D">
        <w:rPr>
          <w:rFonts w:ascii="Times New Roman" w:hAnsi="Times New Roman" w:cs="Times New Roman"/>
        </w:rPr>
        <w:t xml:space="preserve"> will look at both periods exclusively based on Tesco's own Annual Reports (Tesco PLC, 2023; Tesco PLC, 2024). It includes a full ratio analysis</w:t>
      </w:r>
      <w:r>
        <w:rPr>
          <w:rFonts w:ascii="Times New Roman" w:hAnsi="Times New Roman" w:cs="Times New Roman"/>
        </w:rPr>
        <w:t xml:space="preserve">: </w:t>
      </w:r>
      <w:r w:rsidRPr="00BD794D">
        <w:rPr>
          <w:rFonts w:ascii="Times New Roman" w:hAnsi="Times New Roman" w:cs="Times New Roman"/>
        </w:rPr>
        <w:t>profitability, efficiency, liquidity, leverage, and coverage</w:t>
      </w:r>
      <w:r>
        <w:rPr>
          <w:rFonts w:ascii="Times New Roman" w:hAnsi="Times New Roman" w:cs="Times New Roman"/>
        </w:rPr>
        <w:t xml:space="preserve"> </w:t>
      </w:r>
      <w:r w:rsidRPr="00BD794D">
        <w:rPr>
          <w:rFonts w:ascii="Times New Roman" w:hAnsi="Times New Roman" w:cs="Times New Roman"/>
        </w:rPr>
        <w:t xml:space="preserve">analysing the company's performance for two consecutive years. Calculations are presented for 2023/24 with corresponding amounts for 2022/23 with academic literature being used to inform interpretations and recommendations. </w:t>
      </w:r>
      <w:r>
        <w:rPr>
          <w:rFonts w:ascii="Times New Roman" w:hAnsi="Times New Roman" w:cs="Times New Roman"/>
        </w:rPr>
        <w:t>Also include a</w:t>
      </w:r>
      <w:r w:rsidRPr="00BD794D">
        <w:rPr>
          <w:rFonts w:ascii="Times New Roman" w:hAnsi="Times New Roman" w:cs="Times New Roman"/>
        </w:rPr>
        <w:t xml:space="preserve"> sustainability section addressing progress on Tesco's Planet Plan and then recommendations specifically for improving financial performance and environmental impact.</w:t>
      </w:r>
    </w:p>
    <w:p w14:paraId="3DE338CC" w14:textId="626EF7CC"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Financial Performance Summary</w:t>
      </w:r>
    </w:p>
    <w:tbl>
      <w:tblPr>
        <w:tblW w:w="9640" w:type="dxa"/>
        <w:tblCellSpacing w:w="15" w:type="dxa"/>
        <w:tblInd w:w="-287" w:type="dxa"/>
        <w:tblBorders>
          <w:top w:val="inset" w:sz="2" w:space="0" w:color="auto"/>
          <w:left w:val="inset" w:sz="2" w:space="0" w:color="auto"/>
          <w:bottom w:val="inset" w:sz="2" w:space="0" w:color="auto"/>
          <w:right w:val="inset" w:sz="2" w:space="0" w:color="auto"/>
          <w:insideH w:val="inset" w:sz="2" w:space="0" w:color="auto"/>
          <w:insideV w:val="inset" w:sz="2" w:space="0" w:color="auto"/>
        </w:tblBorders>
        <w:tblCellMar>
          <w:top w:w="15" w:type="dxa"/>
          <w:left w:w="15" w:type="dxa"/>
          <w:bottom w:w="15" w:type="dxa"/>
          <w:right w:w="15" w:type="dxa"/>
        </w:tblCellMar>
        <w:tblLook w:val="04A0" w:firstRow="1" w:lastRow="0" w:firstColumn="1" w:lastColumn="0" w:noHBand="0" w:noVBand="1"/>
      </w:tblPr>
      <w:tblGrid>
        <w:gridCol w:w="2672"/>
        <w:gridCol w:w="2624"/>
        <w:gridCol w:w="2624"/>
        <w:gridCol w:w="1720"/>
      </w:tblGrid>
      <w:tr w:rsidR="00BD794D" w:rsidRPr="00BD794D" w14:paraId="12562E28" w14:textId="77777777" w:rsidTr="008C470D">
        <w:trPr>
          <w:trHeight w:val="478"/>
          <w:tblHeader/>
          <w:tblCellSpacing w:w="15" w:type="dxa"/>
        </w:trPr>
        <w:tc>
          <w:tcPr>
            <w:tcW w:w="2627" w:type="dxa"/>
            <w:shd w:val="clear" w:color="auto" w:fill="F1A983" w:themeFill="accent2" w:themeFillTint="99"/>
            <w:vAlign w:val="center"/>
            <w:hideMark/>
          </w:tcPr>
          <w:p w14:paraId="6F1214CD"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Metric</w:t>
            </w:r>
          </w:p>
        </w:tc>
        <w:tc>
          <w:tcPr>
            <w:tcW w:w="0" w:type="auto"/>
            <w:shd w:val="clear" w:color="auto" w:fill="F1A983" w:themeFill="accent2" w:themeFillTint="99"/>
            <w:vAlign w:val="center"/>
            <w:hideMark/>
          </w:tcPr>
          <w:p w14:paraId="23B4ED9E"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2022/23</w:t>
            </w:r>
          </w:p>
        </w:tc>
        <w:tc>
          <w:tcPr>
            <w:tcW w:w="0" w:type="auto"/>
            <w:shd w:val="clear" w:color="auto" w:fill="F1A983" w:themeFill="accent2" w:themeFillTint="99"/>
            <w:vAlign w:val="center"/>
            <w:hideMark/>
          </w:tcPr>
          <w:p w14:paraId="6F0C84A9"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2023/24</w:t>
            </w:r>
          </w:p>
        </w:tc>
        <w:tc>
          <w:tcPr>
            <w:tcW w:w="1675" w:type="dxa"/>
            <w:shd w:val="clear" w:color="auto" w:fill="F1A983" w:themeFill="accent2" w:themeFillTint="99"/>
            <w:vAlign w:val="center"/>
            <w:hideMark/>
          </w:tcPr>
          <w:p w14:paraId="4E4A456C"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Change</w:t>
            </w:r>
          </w:p>
        </w:tc>
      </w:tr>
      <w:tr w:rsidR="00BD794D" w:rsidRPr="00BD794D" w14:paraId="69301785" w14:textId="77777777" w:rsidTr="00BD794D">
        <w:trPr>
          <w:trHeight w:val="559"/>
          <w:tblCellSpacing w:w="15" w:type="dxa"/>
        </w:trPr>
        <w:tc>
          <w:tcPr>
            <w:tcW w:w="2627" w:type="dxa"/>
            <w:vAlign w:val="center"/>
            <w:hideMark/>
          </w:tcPr>
          <w:p w14:paraId="0F3579E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Revenue (£ m)</w:t>
            </w:r>
          </w:p>
        </w:tc>
        <w:tc>
          <w:tcPr>
            <w:tcW w:w="0" w:type="auto"/>
            <w:vAlign w:val="center"/>
            <w:hideMark/>
          </w:tcPr>
          <w:p w14:paraId="1192E77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65 322 (Tesco PLC, 2023)</w:t>
            </w:r>
          </w:p>
        </w:tc>
        <w:tc>
          <w:tcPr>
            <w:tcW w:w="0" w:type="auto"/>
            <w:vAlign w:val="center"/>
            <w:hideMark/>
          </w:tcPr>
          <w:p w14:paraId="4BC78C5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68 187 (Tesco PLC, 2024)</w:t>
            </w:r>
          </w:p>
        </w:tc>
        <w:tc>
          <w:tcPr>
            <w:tcW w:w="1675" w:type="dxa"/>
            <w:vAlign w:val="center"/>
            <w:hideMark/>
          </w:tcPr>
          <w:p w14:paraId="415EB41A"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+ 4.4 %</w:t>
            </w:r>
          </w:p>
        </w:tc>
      </w:tr>
      <w:tr w:rsidR="00BD794D" w:rsidRPr="00BD794D" w14:paraId="36BD336D" w14:textId="77777777" w:rsidTr="00BD794D">
        <w:trPr>
          <w:trHeight w:val="511"/>
          <w:tblCellSpacing w:w="15" w:type="dxa"/>
        </w:trPr>
        <w:tc>
          <w:tcPr>
            <w:tcW w:w="2627" w:type="dxa"/>
            <w:vAlign w:val="center"/>
            <w:hideMark/>
          </w:tcPr>
          <w:p w14:paraId="75032D7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Cost of sales (£ m)</w:t>
            </w:r>
          </w:p>
        </w:tc>
        <w:tc>
          <w:tcPr>
            <w:tcW w:w="0" w:type="auto"/>
            <w:vAlign w:val="center"/>
            <w:hideMark/>
          </w:tcPr>
          <w:p w14:paraId="15F5355C"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61 516 (Tesco PLC, 2023)</w:t>
            </w:r>
          </w:p>
        </w:tc>
        <w:tc>
          <w:tcPr>
            <w:tcW w:w="0" w:type="auto"/>
            <w:vAlign w:val="center"/>
            <w:hideMark/>
          </w:tcPr>
          <w:p w14:paraId="7B0CC43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62 836 (Tesco PLC, 2024)</w:t>
            </w:r>
          </w:p>
        </w:tc>
        <w:tc>
          <w:tcPr>
            <w:tcW w:w="1675" w:type="dxa"/>
            <w:vAlign w:val="center"/>
            <w:hideMark/>
          </w:tcPr>
          <w:p w14:paraId="33CF675D"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+ 2.1 %</w:t>
            </w:r>
          </w:p>
        </w:tc>
      </w:tr>
      <w:tr w:rsidR="00BD794D" w:rsidRPr="00BD794D" w14:paraId="5B86FEA0" w14:textId="77777777" w:rsidTr="00BD794D">
        <w:trPr>
          <w:trHeight w:val="619"/>
          <w:tblCellSpacing w:w="15" w:type="dxa"/>
        </w:trPr>
        <w:tc>
          <w:tcPr>
            <w:tcW w:w="2627" w:type="dxa"/>
            <w:vAlign w:val="center"/>
            <w:hideMark/>
          </w:tcPr>
          <w:p w14:paraId="136AB1D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Gross profit (£ m)</w:t>
            </w:r>
          </w:p>
        </w:tc>
        <w:tc>
          <w:tcPr>
            <w:tcW w:w="0" w:type="auto"/>
            <w:vAlign w:val="center"/>
            <w:hideMark/>
          </w:tcPr>
          <w:p w14:paraId="7F36603F"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3 806 (=65 322–61 516)</w:t>
            </w:r>
          </w:p>
        </w:tc>
        <w:tc>
          <w:tcPr>
            <w:tcW w:w="0" w:type="auto"/>
            <w:vAlign w:val="center"/>
            <w:hideMark/>
          </w:tcPr>
          <w:p w14:paraId="64173F7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5 351 (=68 187–62 836)</w:t>
            </w:r>
          </w:p>
        </w:tc>
        <w:tc>
          <w:tcPr>
            <w:tcW w:w="1675" w:type="dxa"/>
            <w:vAlign w:val="center"/>
            <w:hideMark/>
          </w:tcPr>
          <w:p w14:paraId="6AEB2F6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+ 40.6 %</w:t>
            </w:r>
          </w:p>
        </w:tc>
      </w:tr>
      <w:tr w:rsidR="00BD794D" w:rsidRPr="00BD794D" w14:paraId="2240BEFA" w14:textId="77777777" w:rsidTr="00BD794D">
        <w:trPr>
          <w:trHeight w:val="515"/>
          <w:tblCellSpacing w:w="15" w:type="dxa"/>
        </w:trPr>
        <w:tc>
          <w:tcPr>
            <w:tcW w:w="2627" w:type="dxa"/>
            <w:vAlign w:val="center"/>
            <w:hideMark/>
          </w:tcPr>
          <w:p w14:paraId="64E3298C"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Operating profit (£ m)</w:t>
            </w:r>
          </w:p>
        </w:tc>
        <w:tc>
          <w:tcPr>
            <w:tcW w:w="0" w:type="auto"/>
            <w:vAlign w:val="center"/>
            <w:hideMark/>
          </w:tcPr>
          <w:p w14:paraId="79BDCF8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1 409 (Tesco PLC, 2023)</w:t>
            </w:r>
          </w:p>
        </w:tc>
        <w:tc>
          <w:tcPr>
            <w:tcW w:w="0" w:type="auto"/>
            <w:vAlign w:val="center"/>
            <w:hideMark/>
          </w:tcPr>
          <w:p w14:paraId="01CE5412"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2 821 (Tesco PLC, 2024)</w:t>
            </w:r>
          </w:p>
        </w:tc>
        <w:tc>
          <w:tcPr>
            <w:tcW w:w="1675" w:type="dxa"/>
            <w:vAlign w:val="center"/>
            <w:hideMark/>
          </w:tcPr>
          <w:p w14:paraId="637BDFAC"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+ 100.1 %</w:t>
            </w:r>
          </w:p>
        </w:tc>
      </w:tr>
      <w:tr w:rsidR="00BD794D" w:rsidRPr="00BD794D" w14:paraId="6ED6D39A" w14:textId="77777777" w:rsidTr="00BD794D">
        <w:trPr>
          <w:trHeight w:val="482"/>
          <w:tblCellSpacing w:w="15" w:type="dxa"/>
        </w:trPr>
        <w:tc>
          <w:tcPr>
            <w:tcW w:w="2627" w:type="dxa"/>
            <w:vAlign w:val="center"/>
            <w:hideMark/>
          </w:tcPr>
          <w:p w14:paraId="28EB401C"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Profit before tax (£ m)</w:t>
            </w:r>
          </w:p>
        </w:tc>
        <w:tc>
          <w:tcPr>
            <w:tcW w:w="0" w:type="auto"/>
            <w:vAlign w:val="center"/>
            <w:hideMark/>
          </w:tcPr>
          <w:p w14:paraId="640729F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882 (Tesco PLC, 2023)</w:t>
            </w:r>
          </w:p>
        </w:tc>
        <w:tc>
          <w:tcPr>
            <w:tcW w:w="0" w:type="auto"/>
            <w:vAlign w:val="center"/>
            <w:hideMark/>
          </w:tcPr>
          <w:p w14:paraId="01E2DB7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2 289 (Tesco PLC, 2024)</w:t>
            </w:r>
          </w:p>
        </w:tc>
        <w:tc>
          <w:tcPr>
            <w:tcW w:w="1675" w:type="dxa"/>
            <w:vAlign w:val="center"/>
            <w:hideMark/>
          </w:tcPr>
          <w:p w14:paraId="770AA7DD"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+ 159.5 %</w:t>
            </w:r>
          </w:p>
        </w:tc>
      </w:tr>
      <w:tr w:rsidR="00BD794D" w:rsidRPr="00BD794D" w14:paraId="10DEFFF4" w14:textId="77777777" w:rsidTr="00BD794D">
        <w:trPr>
          <w:trHeight w:val="504"/>
          <w:tblCellSpacing w:w="15" w:type="dxa"/>
        </w:trPr>
        <w:tc>
          <w:tcPr>
            <w:tcW w:w="2627" w:type="dxa"/>
            <w:vAlign w:val="center"/>
            <w:hideMark/>
          </w:tcPr>
          <w:p w14:paraId="4280B7B3"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Net profit (£ m)</w:t>
            </w:r>
          </w:p>
        </w:tc>
        <w:tc>
          <w:tcPr>
            <w:tcW w:w="0" w:type="auto"/>
            <w:vAlign w:val="center"/>
            <w:hideMark/>
          </w:tcPr>
          <w:p w14:paraId="5F14388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736 (Tesco PLC, 2023)</w:t>
            </w:r>
          </w:p>
        </w:tc>
        <w:tc>
          <w:tcPr>
            <w:tcW w:w="0" w:type="auto"/>
            <w:vAlign w:val="center"/>
            <w:hideMark/>
          </w:tcPr>
          <w:p w14:paraId="25C8649D"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1 192 (Tesco PLC, 2024)</w:t>
            </w:r>
          </w:p>
        </w:tc>
        <w:tc>
          <w:tcPr>
            <w:tcW w:w="1675" w:type="dxa"/>
            <w:vAlign w:val="center"/>
            <w:hideMark/>
          </w:tcPr>
          <w:p w14:paraId="13C893E9"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+ 62.0 %</w:t>
            </w:r>
          </w:p>
        </w:tc>
      </w:tr>
      <w:tr w:rsidR="00BD794D" w:rsidRPr="00BD794D" w14:paraId="1A1B4E08" w14:textId="77777777" w:rsidTr="00BD794D">
        <w:trPr>
          <w:trHeight w:val="498"/>
          <w:tblCellSpacing w:w="15" w:type="dxa"/>
        </w:trPr>
        <w:tc>
          <w:tcPr>
            <w:tcW w:w="2627" w:type="dxa"/>
            <w:vAlign w:val="center"/>
            <w:hideMark/>
          </w:tcPr>
          <w:p w14:paraId="560DF0D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Total assets (£ m)</w:t>
            </w:r>
          </w:p>
        </w:tc>
        <w:tc>
          <w:tcPr>
            <w:tcW w:w="0" w:type="auto"/>
            <w:vAlign w:val="center"/>
            <w:hideMark/>
          </w:tcPr>
          <w:p w14:paraId="6FDDEAC1"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45 922 (Tesco PLC, 2023)</w:t>
            </w:r>
          </w:p>
        </w:tc>
        <w:tc>
          <w:tcPr>
            <w:tcW w:w="0" w:type="auto"/>
            <w:vAlign w:val="center"/>
            <w:hideMark/>
          </w:tcPr>
          <w:p w14:paraId="2F83EF37"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47 039 (Tesco PLC, 2024)</w:t>
            </w:r>
          </w:p>
        </w:tc>
        <w:tc>
          <w:tcPr>
            <w:tcW w:w="1675" w:type="dxa"/>
            <w:vAlign w:val="center"/>
            <w:hideMark/>
          </w:tcPr>
          <w:p w14:paraId="737CE99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+ 2.5 %</w:t>
            </w:r>
          </w:p>
        </w:tc>
      </w:tr>
      <w:tr w:rsidR="00BD794D" w:rsidRPr="00BD794D" w14:paraId="24E04306" w14:textId="77777777" w:rsidTr="00BD794D">
        <w:trPr>
          <w:trHeight w:val="394"/>
          <w:tblCellSpacing w:w="15" w:type="dxa"/>
        </w:trPr>
        <w:tc>
          <w:tcPr>
            <w:tcW w:w="2627" w:type="dxa"/>
            <w:vAlign w:val="center"/>
            <w:hideMark/>
          </w:tcPr>
          <w:p w14:paraId="248D57A8"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Total equity (£ m)</w:t>
            </w:r>
          </w:p>
        </w:tc>
        <w:tc>
          <w:tcPr>
            <w:tcW w:w="0" w:type="auto"/>
            <w:vAlign w:val="center"/>
            <w:hideMark/>
          </w:tcPr>
          <w:p w14:paraId="5D689E33"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12 230 (Tesco PLC, 2023)</w:t>
            </w:r>
          </w:p>
        </w:tc>
        <w:tc>
          <w:tcPr>
            <w:tcW w:w="0" w:type="auto"/>
            <w:vAlign w:val="center"/>
            <w:hideMark/>
          </w:tcPr>
          <w:p w14:paraId="1189E006"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11 665 (Tesco PLC, 2024)</w:t>
            </w:r>
          </w:p>
        </w:tc>
        <w:tc>
          <w:tcPr>
            <w:tcW w:w="1675" w:type="dxa"/>
            <w:vAlign w:val="center"/>
            <w:hideMark/>
          </w:tcPr>
          <w:p w14:paraId="71640352"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4.6 %</w:t>
            </w:r>
          </w:p>
        </w:tc>
      </w:tr>
      <w:tr w:rsidR="00BD794D" w:rsidRPr="00BD794D" w14:paraId="19CF74E5" w14:textId="77777777" w:rsidTr="00BD794D">
        <w:trPr>
          <w:trHeight w:val="488"/>
          <w:tblCellSpacing w:w="15" w:type="dxa"/>
        </w:trPr>
        <w:tc>
          <w:tcPr>
            <w:tcW w:w="2627" w:type="dxa"/>
            <w:vAlign w:val="center"/>
            <w:hideMark/>
          </w:tcPr>
          <w:p w14:paraId="4A77F5C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Net debt/equity (×)</w:t>
            </w:r>
          </w:p>
        </w:tc>
        <w:tc>
          <w:tcPr>
            <w:tcW w:w="0" w:type="auto"/>
            <w:vAlign w:val="center"/>
            <w:hideMark/>
          </w:tcPr>
          <w:p w14:paraId="771BA5E8"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2.75× (calc.)</w:t>
            </w:r>
          </w:p>
        </w:tc>
        <w:tc>
          <w:tcPr>
            <w:tcW w:w="0" w:type="auto"/>
            <w:vAlign w:val="center"/>
            <w:hideMark/>
          </w:tcPr>
          <w:p w14:paraId="7AB8A958"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3.03× (calc.)</w:t>
            </w:r>
          </w:p>
        </w:tc>
        <w:tc>
          <w:tcPr>
            <w:tcW w:w="1675" w:type="dxa"/>
            <w:vAlign w:val="center"/>
            <w:hideMark/>
          </w:tcPr>
          <w:p w14:paraId="19457CBF"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w:t>
            </w:r>
          </w:p>
        </w:tc>
      </w:tr>
    </w:tbl>
    <w:p w14:paraId="40E62593" w14:textId="77777777" w:rsidR="00BD794D" w:rsidRPr="00BD794D" w:rsidRDefault="00BD794D" w:rsidP="00BD794D">
      <w:pPr>
        <w:spacing w:line="480" w:lineRule="auto"/>
        <w:rPr>
          <w:rFonts w:ascii="Times New Roman" w:hAnsi="Times New Roman" w:cs="Times New Roman"/>
        </w:rPr>
      </w:pPr>
    </w:p>
    <w:p w14:paraId="583C3CF6" w14:textId="77777777" w:rsidR="00BD794D" w:rsidRPr="00BD794D" w:rsidRDefault="00BD794D" w:rsidP="00BD794D">
      <w:pPr>
        <w:spacing w:line="480" w:lineRule="auto"/>
        <w:rPr>
          <w:rFonts w:ascii="Times New Roman" w:hAnsi="Times New Roman" w:cs="Times New Roman"/>
        </w:rPr>
      </w:pPr>
    </w:p>
    <w:p w14:paraId="04000F8D" w14:textId="77777777" w:rsidR="00BD794D" w:rsidRDefault="00BD794D" w:rsidP="00BD794D">
      <w:pPr>
        <w:spacing w:line="480" w:lineRule="auto"/>
        <w:rPr>
          <w:rFonts w:ascii="Times New Roman" w:hAnsi="Times New Roman" w:cs="Times New Roman"/>
        </w:rPr>
      </w:pPr>
      <w:r w:rsidRPr="00BD794D">
        <w:rPr>
          <w:rFonts w:ascii="Times New Roman" w:hAnsi="Times New Roman" w:cs="Times New Roman"/>
        </w:rPr>
        <w:lastRenderedPageBreak/>
        <w:t>Tesco delivered top-line growth of 4.4 % year-on-year amid a difficult macroeconomic environment that has included ongoing food inflation and the stabili</w:t>
      </w:r>
      <w:r>
        <w:rPr>
          <w:rFonts w:ascii="Times New Roman" w:hAnsi="Times New Roman" w:cs="Times New Roman"/>
        </w:rPr>
        <w:t>s</w:t>
      </w:r>
      <w:r w:rsidRPr="00BD794D">
        <w:rPr>
          <w:rFonts w:ascii="Times New Roman" w:hAnsi="Times New Roman" w:cs="Times New Roman"/>
        </w:rPr>
        <w:t>ation post-pandemic (Tesco PLC, 2024). Operating profit doubled compared to the previous year, indicative of good cost control and margin management (Tesco PLC, 2024), while net profit growth increased by more than 60 %, aided by a favourable comparison for impairments (Tesco PLC, 2023; Tesco PLC, 2024).</w:t>
      </w:r>
    </w:p>
    <w:p w14:paraId="19FB8AED" w14:textId="5A1C1FE2"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Ratio analysis and comparisons</w:t>
      </w:r>
    </w:p>
    <w:p w14:paraId="620D6C9A"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All ratios for 2023/24 have been provided with full workings, with the 2022/23 figures provided as comparisons:</w:t>
      </w:r>
    </w:p>
    <w:tbl>
      <w:tblPr>
        <w:tblW w:w="0" w:type="auto"/>
        <w:tblCellSpacing w:w="15" w:type="dxa"/>
        <w:tblBorders>
          <w:top w:val="inset" w:sz="2" w:space="0" w:color="auto"/>
          <w:left w:val="inset" w:sz="2" w:space="0" w:color="auto"/>
          <w:bottom w:val="inset" w:sz="2" w:space="0" w:color="auto"/>
          <w:right w:val="inset" w:sz="2" w:space="0" w:color="auto"/>
          <w:insideH w:val="inset" w:sz="2" w:space="0" w:color="auto"/>
          <w:insideV w:val="inset" w:sz="2" w:space="0" w:color="auto"/>
        </w:tblBorders>
        <w:tblCellMar>
          <w:top w:w="15" w:type="dxa"/>
          <w:left w:w="15" w:type="dxa"/>
          <w:bottom w:w="15" w:type="dxa"/>
          <w:right w:w="15" w:type="dxa"/>
        </w:tblCellMar>
        <w:tblLook w:val="04A0" w:firstRow="1" w:lastRow="0" w:firstColumn="1" w:lastColumn="0" w:noHBand="0" w:noVBand="1"/>
      </w:tblPr>
      <w:tblGrid>
        <w:gridCol w:w="1694"/>
        <w:gridCol w:w="5588"/>
        <w:gridCol w:w="857"/>
        <w:gridCol w:w="881"/>
      </w:tblGrid>
      <w:tr w:rsidR="008C470D" w:rsidRPr="00BD794D" w14:paraId="499BCB4B" w14:textId="77777777" w:rsidTr="008C470D">
        <w:trPr>
          <w:trHeight w:val="590"/>
          <w:tblHeader/>
          <w:tblCellSpacing w:w="15" w:type="dxa"/>
        </w:trPr>
        <w:tc>
          <w:tcPr>
            <w:tcW w:w="0" w:type="auto"/>
            <w:shd w:val="clear" w:color="auto" w:fill="F1A983" w:themeFill="accent2" w:themeFillTint="99"/>
            <w:vAlign w:val="center"/>
            <w:hideMark/>
          </w:tcPr>
          <w:p w14:paraId="2B3C1501"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Ratio</w:t>
            </w:r>
          </w:p>
        </w:tc>
        <w:tc>
          <w:tcPr>
            <w:tcW w:w="0" w:type="auto"/>
            <w:shd w:val="clear" w:color="auto" w:fill="F1A983" w:themeFill="accent2" w:themeFillTint="99"/>
            <w:vAlign w:val="center"/>
            <w:hideMark/>
          </w:tcPr>
          <w:p w14:paraId="3AFE930B"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Formula &amp; Workings (2023/24)</w:t>
            </w:r>
          </w:p>
        </w:tc>
        <w:tc>
          <w:tcPr>
            <w:tcW w:w="0" w:type="auto"/>
            <w:shd w:val="clear" w:color="auto" w:fill="F1A983" w:themeFill="accent2" w:themeFillTint="99"/>
            <w:vAlign w:val="center"/>
            <w:hideMark/>
          </w:tcPr>
          <w:p w14:paraId="535BD201"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2022/23</w:t>
            </w:r>
          </w:p>
        </w:tc>
        <w:tc>
          <w:tcPr>
            <w:tcW w:w="0" w:type="auto"/>
            <w:shd w:val="clear" w:color="auto" w:fill="F1A983" w:themeFill="accent2" w:themeFillTint="99"/>
            <w:vAlign w:val="center"/>
            <w:hideMark/>
          </w:tcPr>
          <w:p w14:paraId="0494555F" w14:textId="77777777" w:rsidR="00BD794D" w:rsidRPr="00BD794D" w:rsidRDefault="00BD794D" w:rsidP="00BD794D">
            <w:pPr>
              <w:spacing w:after="0" w:line="240" w:lineRule="auto"/>
              <w:jc w:val="center"/>
              <w:rPr>
                <w:rFonts w:ascii="Times New Roman" w:eastAsia="Times New Roman" w:hAnsi="Times New Roman" w:cs="Times New Roman"/>
                <w:b/>
                <w:bCs/>
                <w:kern w:val="0"/>
                <w:lang w:eastAsia="en-GB"/>
                <w14:ligatures w14:val="none"/>
              </w:rPr>
            </w:pPr>
            <w:r w:rsidRPr="00BD794D">
              <w:rPr>
                <w:rFonts w:ascii="Times New Roman" w:eastAsia="Times New Roman" w:hAnsi="Times New Roman" w:cs="Times New Roman"/>
                <w:b/>
                <w:bCs/>
                <w:kern w:val="0"/>
                <w:lang w:eastAsia="en-GB"/>
                <w14:ligatures w14:val="none"/>
              </w:rPr>
              <w:t>2023/24</w:t>
            </w:r>
          </w:p>
        </w:tc>
      </w:tr>
      <w:tr w:rsidR="00BD794D" w:rsidRPr="00BD794D" w14:paraId="28F6C83B" w14:textId="77777777" w:rsidTr="00BD794D">
        <w:trPr>
          <w:tblCellSpacing w:w="15" w:type="dxa"/>
        </w:trPr>
        <w:tc>
          <w:tcPr>
            <w:tcW w:w="0" w:type="auto"/>
            <w:vAlign w:val="center"/>
            <w:hideMark/>
          </w:tcPr>
          <w:p w14:paraId="78D2D568"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Gross margin</w:t>
            </w:r>
          </w:p>
        </w:tc>
        <w:tc>
          <w:tcPr>
            <w:tcW w:w="0" w:type="auto"/>
            <w:vAlign w:val="center"/>
            <w:hideMark/>
          </w:tcPr>
          <w:p w14:paraId="4B51FCD4" w14:textId="59DA4B22"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(Revenue – Cost of sales)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Revenue × 100</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 (</w:t>
            </w:r>
            <w:r w:rsidRPr="00BD794D">
              <w:rPr>
                <w:rFonts w:ascii="Times New Roman" w:eastAsia="Times New Roman" w:hAnsi="Times New Roman" w:cs="Times New Roman"/>
                <w:kern w:val="0"/>
                <w:lang w:eastAsia="en-GB"/>
                <w14:ligatures w14:val="none"/>
              </w:rPr>
              <w:t xml:space="preserve">68 187 – 62 836)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68 187 × 100</w:t>
            </w:r>
          </w:p>
        </w:tc>
        <w:tc>
          <w:tcPr>
            <w:tcW w:w="0" w:type="auto"/>
            <w:vAlign w:val="center"/>
            <w:hideMark/>
          </w:tcPr>
          <w:p w14:paraId="235D2935"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5.8 %</w:t>
            </w:r>
          </w:p>
        </w:tc>
        <w:tc>
          <w:tcPr>
            <w:tcW w:w="0" w:type="auto"/>
            <w:vAlign w:val="center"/>
            <w:hideMark/>
          </w:tcPr>
          <w:p w14:paraId="4802A813"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7.85 %</w:t>
            </w:r>
          </w:p>
        </w:tc>
      </w:tr>
      <w:tr w:rsidR="00BD794D" w:rsidRPr="00BD794D" w14:paraId="0DF56A11" w14:textId="77777777" w:rsidTr="00BD794D">
        <w:trPr>
          <w:tblCellSpacing w:w="15" w:type="dxa"/>
        </w:trPr>
        <w:tc>
          <w:tcPr>
            <w:tcW w:w="0" w:type="auto"/>
            <w:vAlign w:val="center"/>
            <w:hideMark/>
          </w:tcPr>
          <w:p w14:paraId="1E6C456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Operating margin</w:t>
            </w:r>
          </w:p>
        </w:tc>
        <w:tc>
          <w:tcPr>
            <w:tcW w:w="0" w:type="auto"/>
            <w:vAlign w:val="center"/>
            <w:hideMark/>
          </w:tcPr>
          <w:p w14:paraId="3AAFE660" w14:textId="494226AA"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Operating profit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Revenue × 100=2 821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68 187 × 100</w:t>
            </w:r>
          </w:p>
        </w:tc>
        <w:tc>
          <w:tcPr>
            <w:tcW w:w="0" w:type="auto"/>
            <w:vAlign w:val="center"/>
            <w:hideMark/>
          </w:tcPr>
          <w:p w14:paraId="0925B5D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2.16 %</w:t>
            </w:r>
          </w:p>
        </w:tc>
        <w:tc>
          <w:tcPr>
            <w:tcW w:w="0" w:type="auto"/>
            <w:vAlign w:val="center"/>
            <w:hideMark/>
          </w:tcPr>
          <w:p w14:paraId="06BCA43D"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4.14 %</w:t>
            </w:r>
          </w:p>
        </w:tc>
      </w:tr>
      <w:tr w:rsidR="00BD794D" w:rsidRPr="00BD794D" w14:paraId="2005B1D2" w14:textId="77777777" w:rsidTr="00BD794D">
        <w:trPr>
          <w:tblCellSpacing w:w="15" w:type="dxa"/>
        </w:trPr>
        <w:tc>
          <w:tcPr>
            <w:tcW w:w="0" w:type="auto"/>
            <w:vAlign w:val="center"/>
            <w:hideMark/>
          </w:tcPr>
          <w:p w14:paraId="1AF2C09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Net profit margin</w:t>
            </w:r>
          </w:p>
        </w:tc>
        <w:tc>
          <w:tcPr>
            <w:tcW w:w="0" w:type="auto"/>
            <w:vAlign w:val="center"/>
            <w:hideMark/>
          </w:tcPr>
          <w:p w14:paraId="6DD3B726" w14:textId="0079C07E"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Net profit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Revenue × 100</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 xml:space="preserve">1 192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68 187 × 100</w:t>
            </w:r>
          </w:p>
        </w:tc>
        <w:tc>
          <w:tcPr>
            <w:tcW w:w="0" w:type="auto"/>
            <w:vAlign w:val="center"/>
            <w:hideMark/>
          </w:tcPr>
          <w:p w14:paraId="6E261986"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1.13 %</w:t>
            </w:r>
          </w:p>
        </w:tc>
        <w:tc>
          <w:tcPr>
            <w:tcW w:w="0" w:type="auto"/>
            <w:vAlign w:val="center"/>
            <w:hideMark/>
          </w:tcPr>
          <w:p w14:paraId="46AE1919"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1.75 %</w:t>
            </w:r>
          </w:p>
        </w:tc>
      </w:tr>
      <w:tr w:rsidR="00BD794D" w:rsidRPr="00BD794D" w14:paraId="0584DFB4" w14:textId="77777777" w:rsidTr="00BD794D">
        <w:trPr>
          <w:tblCellSpacing w:w="15" w:type="dxa"/>
        </w:trPr>
        <w:tc>
          <w:tcPr>
            <w:tcW w:w="0" w:type="auto"/>
            <w:vAlign w:val="center"/>
            <w:hideMark/>
          </w:tcPr>
          <w:p w14:paraId="158381AF"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Return on assets</w:t>
            </w:r>
          </w:p>
        </w:tc>
        <w:tc>
          <w:tcPr>
            <w:tcW w:w="0" w:type="auto"/>
            <w:vAlign w:val="center"/>
            <w:hideMark/>
          </w:tcPr>
          <w:p w14:paraId="7112D97C" w14:textId="24632E72"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Net profit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Total assets × 100</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 xml:space="preserve">1 192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47 039 × 100</w:t>
            </w:r>
          </w:p>
        </w:tc>
        <w:tc>
          <w:tcPr>
            <w:tcW w:w="0" w:type="auto"/>
            <w:vAlign w:val="center"/>
            <w:hideMark/>
          </w:tcPr>
          <w:p w14:paraId="7B2E4BC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1.52 %</w:t>
            </w:r>
          </w:p>
        </w:tc>
        <w:tc>
          <w:tcPr>
            <w:tcW w:w="0" w:type="auto"/>
            <w:vAlign w:val="center"/>
            <w:hideMark/>
          </w:tcPr>
          <w:p w14:paraId="3A1CFF8F"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2.53 %</w:t>
            </w:r>
          </w:p>
        </w:tc>
      </w:tr>
      <w:tr w:rsidR="00BD794D" w:rsidRPr="00BD794D" w14:paraId="1A02FBDD" w14:textId="77777777" w:rsidTr="00BD794D">
        <w:trPr>
          <w:tblCellSpacing w:w="15" w:type="dxa"/>
        </w:trPr>
        <w:tc>
          <w:tcPr>
            <w:tcW w:w="0" w:type="auto"/>
            <w:vAlign w:val="center"/>
            <w:hideMark/>
          </w:tcPr>
          <w:p w14:paraId="5586AC32"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Return on equity</w:t>
            </w:r>
          </w:p>
        </w:tc>
        <w:tc>
          <w:tcPr>
            <w:tcW w:w="0" w:type="auto"/>
            <w:vAlign w:val="center"/>
            <w:hideMark/>
          </w:tcPr>
          <w:p w14:paraId="2A88CFA9" w14:textId="6DA39973"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Net profit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Total equity × 100=1 192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11 665 × 100</w:t>
            </w:r>
          </w:p>
        </w:tc>
        <w:tc>
          <w:tcPr>
            <w:tcW w:w="0" w:type="auto"/>
            <w:vAlign w:val="center"/>
            <w:hideMark/>
          </w:tcPr>
          <w:p w14:paraId="5D934389"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4.53 %</w:t>
            </w:r>
          </w:p>
        </w:tc>
        <w:tc>
          <w:tcPr>
            <w:tcW w:w="0" w:type="auto"/>
            <w:vAlign w:val="center"/>
            <w:hideMark/>
          </w:tcPr>
          <w:p w14:paraId="7592C0FF"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10.22 %</w:t>
            </w:r>
          </w:p>
        </w:tc>
      </w:tr>
      <w:tr w:rsidR="00BD794D" w:rsidRPr="00BD794D" w14:paraId="5914634C" w14:textId="77777777" w:rsidTr="00BD794D">
        <w:trPr>
          <w:trHeight w:val="532"/>
          <w:tblCellSpacing w:w="15" w:type="dxa"/>
        </w:trPr>
        <w:tc>
          <w:tcPr>
            <w:tcW w:w="0" w:type="auto"/>
            <w:vAlign w:val="center"/>
            <w:hideMark/>
          </w:tcPr>
          <w:p w14:paraId="7F84FF42"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Asset turnover</w:t>
            </w:r>
          </w:p>
        </w:tc>
        <w:tc>
          <w:tcPr>
            <w:tcW w:w="0" w:type="auto"/>
            <w:vAlign w:val="center"/>
            <w:hideMark/>
          </w:tcPr>
          <w:p w14:paraId="2C418D1A" w14:textId="6D7913A8"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Revenue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Total assets=</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 xml:space="preserve">68 187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47 039</w:t>
            </w:r>
          </w:p>
        </w:tc>
        <w:tc>
          <w:tcPr>
            <w:tcW w:w="0" w:type="auto"/>
            <w:vAlign w:val="center"/>
            <w:hideMark/>
          </w:tcPr>
          <w:p w14:paraId="69CED75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1.42×</w:t>
            </w:r>
          </w:p>
        </w:tc>
        <w:tc>
          <w:tcPr>
            <w:tcW w:w="0" w:type="auto"/>
            <w:vAlign w:val="center"/>
            <w:hideMark/>
          </w:tcPr>
          <w:p w14:paraId="3F271318"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1.45×</w:t>
            </w:r>
          </w:p>
        </w:tc>
      </w:tr>
      <w:tr w:rsidR="00BD794D" w:rsidRPr="00BD794D" w14:paraId="275E461F" w14:textId="77777777" w:rsidTr="00BD794D">
        <w:trPr>
          <w:trHeight w:val="498"/>
          <w:tblCellSpacing w:w="15" w:type="dxa"/>
        </w:trPr>
        <w:tc>
          <w:tcPr>
            <w:tcW w:w="0" w:type="auto"/>
            <w:vAlign w:val="center"/>
            <w:hideMark/>
          </w:tcPr>
          <w:p w14:paraId="7E3243C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Current ratio</w:t>
            </w:r>
          </w:p>
        </w:tc>
        <w:tc>
          <w:tcPr>
            <w:tcW w:w="0" w:type="auto"/>
            <w:vAlign w:val="center"/>
            <w:hideMark/>
          </w:tcPr>
          <w:p w14:paraId="696036EF" w14:textId="1DD77390"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Current assets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Current liabilities=</w:t>
            </w:r>
            <w:r>
              <w:rPr>
                <w:rFonts w:ascii="Times New Roman" w:eastAsia="Times New Roman" w:hAnsi="Times New Roman" w:cs="Times New Roman"/>
                <w:kern w:val="0"/>
                <w:lang w:eastAsia="en-GB"/>
                <w14:ligatures w14:val="none"/>
              </w:rPr>
              <w:t xml:space="preserve"> </w:t>
            </w:r>
            <w:r w:rsidRPr="00BD794D">
              <w:rPr>
                <w:rFonts w:ascii="Times New Roman" w:eastAsia="Times New Roman" w:hAnsi="Times New Roman" w:cs="Times New Roman"/>
                <w:kern w:val="0"/>
                <w:lang w:eastAsia="en-GB"/>
                <w14:ligatures w14:val="none"/>
              </w:rPr>
              <w:t xml:space="preserve">8 823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13 350</w:t>
            </w:r>
          </w:p>
        </w:tc>
        <w:tc>
          <w:tcPr>
            <w:tcW w:w="0" w:type="auto"/>
            <w:vAlign w:val="center"/>
            <w:hideMark/>
          </w:tcPr>
          <w:p w14:paraId="2B286DD4"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0.78×</w:t>
            </w:r>
          </w:p>
        </w:tc>
        <w:tc>
          <w:tcPr>
            <w:tcW w:w="0" w:type="auto"/>
            <w:vAlign w:val="center"/>
            <w:hideMark/>
          </w:tcPr>
          <w:p w14:paraId="490A3349"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0.66×</w:t>
            </w:r>
          </w:p>
        </w:tc>
      </w:tr>
      <w:tr w:rsidR="00BD794D" w:rsidRPr="00BD794D" w14:paraId="5009A336" w14:textId="77777777" w:rsidTr="00BD794D">
        <w:trPr>
          <w:trHeight w:val="634"/>
          <w:tblCellSpacing w:w="15" w:type="dxa"/>
        </w:trPr>
        <w:tc>
          <w:tcPr>
            <w:tcW w:w="0" w:type="auto"/>
            <w:vAlign w:val="center"/>
            <w:hideMark/>
          </w:tcPr>
          <w:p w14:paraId="66B4DB7E"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Debt-to-equity</w:t>
            </w:r>
          </w:p>
        </w:tc>
        <w:tc>
          <w:tcPr>
            <w:tcW w:w="0" w:type="auto"/>
            <w:vAlign w:val="center"/>
            <w:hideMark/>
          </w:tcPr>
          <w:p w14:paraId="43554E82" w14:textId="693A47DE"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Total liabilities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Equity=35 374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11 665</w:t>
            </w:r>
          </w:p>
        </w:tc>
        <w:tc>
          <w:tcPr>
            <w:tcW w:w="0" w:type="auto"/>
            <w:vAlign w:val="center"/>
            <w:hideMark/>
          </w:tcPr>
          <w:p w14:paraId="3AB1B3FC"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2.75×</w:t>
            </w:r>
          </w:p>
        </w:tc>
        <w:tc>
          <w:tcPr>
            <w:tcW w:w="0" w:type="auto"/>
            <w:vAlign w:val="center"/>
            <w:hideMark/>
          </w:tcPr>
          <w:p w14:paraId="4E528D75"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3.03×</w:t>
            </w:r>
          </w:p>
        </w:tc>
      </w:tr>
      <w:tr w:rsidR="00BD794D" w:rsidRPr="00BD794D" w14:paraId="2416D6A7" w14:textId="77777777" w:rsidTr="00BD794D">
        <w:trPr>
          <w:tblCellSpacing w:w="15" w:type="dxa"/>
        </w:trPr>
        <w:tc>
          <w:tcPr>
            <w:tcW w:w="0" w:type="auto"/>
            <w:vAlign w:val="center"/>
            <w:hideMark/>
          </w:tcPr>
          <w:p w14:paraId="1CC72310"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b/>
                <w:bCs/>
                <w:kern w:val="0"/>
                <w:lang w:eastAsia="en-GB"/>
                <w14:ligatures w14:val="none"/>
              </w:rPr>
              <w:t>Interest coverage</w:t>
            </w:r>
          </w:p>
        </w:tc>
        <w:tc>
          <w:tcPr>
            <w:tcW w:w="0" w:type="auto"/>
            <w:vAlign w:val="center"/>
            <w:hideMark/>
          </w:tcPr>
          <w:p w14:paraId="1E98EB7D" w14:textId="324466B1"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 xml:space="preserve">Operating profit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(Finance costs – Finance </w:t>
            </w:r>
            <w:r w:rsidRPr="00BD794D">
              <w:rPr>
                <w:rFonts w:ascii="Times New Roman" w:eastAsia="Times New Roman" w:hAnsi="Times New Roman" w:cs="Times New Roman"/>
                <w:kern w:val="0"/>
                <w:lang w:eastAsia="en-GB"/>
                <w14:ligatures w14:val="none"/>
              </w:rPr>
              <w:t>income) =</w:t>
            </w:r>
            <w:r>
              <w:rPr>
                <w:rFonts w:ascii="Times New Roman" w:eastAsia="Times New Roman" w:hAnsi="Times New Roman" w:cs="Times New Roman"/>
                <w:kern w:val="0"/>
                <w:lang w:eastAsia="en-GB"/>
                <w14:ligatures w14:val="none"/>
              </w:rPr>
              <w:t xml:space="preserve"> 2</w:t>
            </w:r>
            <w:r w:rsidRPr="00BD794D">
              <w:rPr>
                <w:rFonts w:ascii="Times New Roman" w:eastAsia="Times New Roman" w:hAnsi="Times New Roman" w:cs="Times New Roman"/>
                <w:kern w:val="0"/>
                <w:lang w:eastAsia="en-GB"/>
                <w14:ligatures w14:val="none"/>
              </w:rPr>
              <w:t xml:space="preserve"> 821 </w:t>
            </w:r>
            <w:r>
              <w:rPr>
                <w:rFonts w:ascii="Times New Roman" w:eastAsia="Times New Roman" w:hAnsi="Times New Roman" w:cs="Times New Roman"/>
                <w:kern w:val="0"/>
                <w:lang w:eastAsia="en-GB"/>
                <w14:ligatures w14:val="none"/>
              </w:rPr>
              <w:t>/</w:t>
            </w:r>
            <w:r w:rsidRPr="00BD794D">
              <w:rPr>
                <w:rFonts w:ascii="Times New Roman" w:eastAsia="Times New Roman" w:hAnsi="Times New Roman" w:cs="Times New Roman"/>
                <w:kern w:val="0"/>
                <w:lang w:eastAsia="en-GB"/>
                <w14:ligatures w14:val="none"/>
              </w:rPr>
              <w:t xml:space="preserve"> (825 – 267)</w:t>
            </w:r>
          </w:p>
        </w:tc>
        <w:tc>
          <w:tcPr>
            <w:tcW w:w="0" w:type="auto"/>
            <w:vAlign w:val="center"/>
            <w:hideMark/>
          </w:tcPr>
          <w:p w14:paraId="6B8EE99B"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2.64×</w:t>
            </w:r>
          </w:p>
        </w:tc>
        <w:tc>
          <w:tcPr>
            <w:tcW w:w="0" w:type="auto"/>
            <w:vAlign w:val="center"/>
            <w:hideMark/>
          </w:tcPr>
          <w:p w14:paraId="64A4DF49" w14:textId="77777777" w:rsidR="00BD794D" w:rsidRPr="00BD794D" w:rsidRDefault="00BD794D" w:rsidP="00BD794D">
            <w:pPr>
              <w:spacing w:after="0" w:line="240" w:lineRule="auto"/>
              <w:rPr>
                <w:rFonts w:ascii="Times New Roman" w:eastAsia="Times New Roman" w:hAnsi="Times New Roman" w:cs="Times New Roman"/>
                <w:kern w:val="0"/>
                <w:lang w:eastAsia="en-GB"/>
                <w14:ligatures w14:val="none"/>
              </w:rPr>
            </w:pPr>
            <w:r w:rsidRPr="00BD794D">
              <w:rPr>
                <w:rFonts w:ascii="Times New Roman" w:eastAsia="Times New Roman" w:hAnsi="Times New Roman" w:cs="Times New Roman"/>
                <w:kern w:val="0"/>
                <w:lang w:eastAsia="en-GB"/>
                <w14:ligatures w14:val="none"/>
              </w:rPr>
              <w:t>5.05×</w:t>
            </w:r>
          </w:p>
        </w:tc>
      </w:tr>
    </w:tbl>
    <w:p w14:paraId="6C45E137" w14:textId="77777777" w:rsidR="00BD794D" w:rsidRPr="00BD794D" w:rsidRDefault="00BD794D" w:rsidP="00BD794D">
      <w:pPr>
        <w:spacing w:line="480" w:lineRule="auto"/>
        <w:rPr>
          <w:rFonts w:ascii="Times New Roman" w:hAnsi="Times New Roman" w:cs="Times New Roman"/>
        </w:rPr>
      </w:pPr>
    </w:p>
    <w:p w14:paraId="4FDDFE8E" w14:textId="77777777" w:rsidR="00BD794D" w:rsidRPr="00BD794D" w:rsidRDefault="00BD794D" w:rsidP="00BD794D">
      <w:pPr>
        <w:spacing w:line="480" w:lineRule="auto"/>
        <w:rPr>
          <w:rFonts w:ascii="Times New Roman" w:hAnsi="Times New Roman" w:cs="Times New Roman"/>
        </w:rPr>
      </w:pPr>
    </w:p>
    <w:p w14:paraId="127B65EE"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lastRenderedPageBreak/>
        <w:t>Sources: Revenue, cost of sales, profits, assets, liabilities, equity and finance costs: Tesco PLC (2024); comparative figures: Tesco PLC (2023).</w:t>
      </w:r>
    </w:p>
    <w:p w14:paraId="344424AD" w14:textId="77777777"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Key financial observations</w:t>
      </w:r>
    </w:p>
    <w:p w14:paraId="1D99354E" w14:textId="33E2A7AF" w:rsidR="007D3638" w:rsidRPr="007D3638" w:rsidRDefault="00BD794D" w:rsidP="007D3638">
      <w:pPr>
        <w:pStyle w:val="ListParagraph"/>
        <w:numPr>
          <w:ilvl w:val="0"/>
          <w:numId w:val="7"/>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Profitability</w:t>
      </w:r>
    </w:p>
    <w:p w14:paraId="63499F14" w14:textId="6B61AF91" w:rsidR="008C470D" w:rsidRPr="007D3638" w:rsidRDefault="00BD794D" w:rsidP="00BD794D">
      <w:pPr>
        <w:spacing w:line="480" w:lineRule="auto"/>
        <w:rPr>
          <w:rFonts w:ascii="Times New Roman" w:hAnsi="Times New Roman" w:cs="Times New Roman"/>
          <w:b/>
          <w:bCs/>
          <w:color w:val="BF4E14" w:themeColor="accent2" w:themeShade="BF"/>
        </w:rPr>
      </w:pPr>
      <w:r w:rsidRPr="00BD794D">
        <w:rPr>
          <w:rFonts w:ascii="Times New Roman" w:hAnsi="Times New Roman" w:cs="Times New Roman"/>
        </w:rPr>
        <w:t xml:space="preserve">There was an improvement in gross margin between 2023/24 to 2022/23, from 5.8 % to 7.85 %, attributed to efficiencies within the supply-chain and recovery of income from commercially and </w:t>
      </w:r>
      <w:r w:rsidR="008C470D" w:rsidRPr="00BD794D">
        <w:rPr>
          <w:rFonts w:ascii="Times New Roman" w:hAnsi="Times New Roman" w:cs="Times New Roman"/>
        </w:rPr>
        <w:t>operationally related</w:t>
      </w:r>
      <w:r w:rsidRPr="00BD794D">
        <w:rPr>
          <w:rFonts w:ascii="Times New Roman" w:hAnsi="Times New Roman" w:cs="Times New Roman"/>
        </w:rPr>
        <w:t xml:space="preserve"> income (Tesco PLC, 2024).</w:t>
      </w:r>
      <w:r w:rsidR="008C470D">
        <w:rPr>
          <w:rFonts w:ascii="Times New Roman" w:hAnsi="Times New Roman" w:cs="Times New Roman"/>
        </w:rPr>
        <w:t xml:space="preserve"> </w:t>
      </w:r>
      <w:r w:rsidRPr="00BD794D">
        <w:rPr>
          <w:rFonts w:ascii="Times New Roman" w:hAnsi="Times New Roman" w:cs="Times New Roman"/>
        </w:rPr>
        <w:t xml:space="preserve">Operating margin multiplied nearly two-fold with this result, with positive assistance from a lower-than-anticipated impairment charge recorded, and a strong retail trading performance during the fiscal </w:t>
      </w:r>
      <w:r w:rsidR="008C470D" w:rsidRPr="00BD794D">
        <w:rPr>
          <w:rFonts w:ascii="Times New Roman" w:hAnsi="Times New Roman" w:cs="Times New Roman"/>
        </w:rPr>
        <w:t>year (</w:t>
      </w:r>
      <w:r w:rsidRPr="00BD794D">
        <w:rPr>
          <w:rFonts w:ascii="Times New Roman" w:hAnsi="Times New Roman" w:cs="Times New Roman"/>
        </w:rPr>
        <w:t>Tesco PLC, 2024).</w:t>
      </w:r>
    </w:p>
    <w:p w14:paraId="6AA786C9" w14:textId="478226AC" w:rsidR="00BD794D" w:rsidRPr="007D3638" w:rsidRDefault="00BD794D" w:rsidP="007D3638">
      <w:pPr>
        <w:pStyle w:val="ListParagraph"/>
        <w:numPr>
          <w:ilvl w:val="0"/>
          <w:numId w:val="7"/>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Efficiency</w:t>
      </w:r>
    </w:p>
    <w:p w14:paraId="5B1CE713" w14:textId="77777777" w:rsidR="008C470D" w:rsidRDefault="00BD794D" w:rsidP="00BD794D">
      <w:pPr>
        <w:spacing w:line="480" w:lineRule="auto"/>
        <w:rPr>
          <w:rFonts w:ascii="Times New Roman" w:hAnsi="Times New Roman" w:cs="Times New Roman"/>
        </w:rPr>
      </w:pPr>
      <w:r w:rsidRPr="00BD794D">
        <w:rPr>
          <w:rFonts w:ascii="Times New Roman" w:hAnsi="Times New Roman" w:cs="Times New Roman"/>
        </w:rPr>
        <w:t>Asset turnover increased slightly (1.42× to 1.45×), meaning a slightly more efficient use of assets to produce sales, due to investment in digital initiatives and store-format optimisation (Tesco PLC, 2024).</w:t>
      </w:r>
    </w:p>
    <w:p w14:paraId="6D8DD404" w14:textId="4226C23D" w:rsidR="00BD794D" w:rsidRPr="007D3638" w:rsidRDefault="00BD794D" w:rsidP="007D3638">
      <w:pPr>
        <w:pStyle w:val="ListParagraph"/>
        <w:numPr>
          <w:ilvl w:val="0"/>
          <w:numId w:val="7"/>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Liquidity &amp; Working Capital</w:t>
      </w:r>
    </w:p>
    <w:p w14:paraId="750B9363"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The current ratio dropped from 0.78× to 0.66×, signalling tighter supplier-payment terms common in retail, but also close to the reduced liquidity available in the short-term (Tesco PLC, 2024).</w:t>
      </w:r>
    </w:p>
    <w:p w14:paraId="34077294" w14:textId="707A507F" w:rsidR="00BD794D" w:rsidRPr="007D3638" w:rsidRDefault="00BD794D" w:rsidP="007D3638">
      <w:pPr>
        <w:pStyle w:val="ListParagraph"/>
        <w:numPr>
          <w:ilvl w:val="0"/>
          <w:numId w:val="7"/>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Solvency &amp; Coverage</w:t>
      </w:r>
    </w:p>
    <w:p w14:paraId="1CC357C2"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Debt to equity grew moderately, while coverage more than doubled to 5.05×, showing ample capacity to meet debt obligations (Tesco PLC, 2024).</w:t>
      </w:r>
    </w:p>
    <w:p w14:paraId="0D0A659A" w14:textId="77777777" w:rsidR="00BD794D" w:rsidRPr="00BD794D" w:rsidRDefault="00BD794D" w:rsidP="00BD794D">
      <w:pPr>
        <w:spacing w:line="480" w:lineRule="auto"/>
        <w:rPr>
          <w:rFonts w:ascii="Times New Roman" w:hAnsi="Times New Roman" w:cs="Times New Roman"/>
        </w:rPr>
      </w:pPr>
    </w:p>
    <w:p w14:paraId="62E87A4B" w14:textId="77777777"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lastRenderedPageBreak/>
        <w:t>Sustainability Analysis</w:t>
      </w:r>
    </w:p>
    <w:p w14:paraId="511940D7" w14:textId="77777777" w:rsidR="008C470D" w:rsidRDefault="00BD794D" w:rsidP="00BD794D">
      <w:pPr>
        <w:spacing w:line="480" w:lineRule="auto"/>
        <w:rPr>
          <w:rFonts w:ascii="Times New Roman" w:hAnsi="Times New Roman" w:cs="Times New Roman"/>
        </w:rPr>
      </w:pPr>
      <w:r w:rsidRPr="00BD794D">
        <w:rPr>
          <w:rFonts w:ascii="Times New Roman" w:hAnsi="Times New Roman" w:cs="Times New Roman"/>
        </w:rPr>
        <w:t>Tesco's Planet Plan sets out a broad set of overarching principles to mitigate environmental impact, setting targets for six key strategic pillars, with all pillars verified through the Science Based Targets initiative. Tesco plans to achieve its net-zero Scope 1 and 2 emissions by 2035 then full value-chain net-zero by 2050, and provide more rigorous corporate assurance (Tesco PLC, 2024).</w:t>
      </w:r>
    </w:p>
    <w:p w14:paraId="14B513C0" w14:textId="77777777" w:rsidR="008C470D" w:rsidRDefault="00BD794D" w:rsidP="00BD794D">
      <w:pPr>
        <w:spacing w:line="480" w:lineRule="auto"/>
        <w:rPr>
          <w:rFonts w:ascii="Times New Roman" w:hAnsi="Times New Roman" w:cs="Times New Roman"/>
        </w:rPr>
      </w:pPr>
      <w:r w:rsidRPr="00BD794D">
        <w:rPr>
          <w:rFonts w:ascii="Times New Roman" w:hAnsi="Times New Roman" w:cs="Times New Roman"/>
        </w:rPr>
        <w:t>Between February 2023 and February 2024, Tesco was able to deliver a 13.2 % reduction in its Scope 1 and 2 greenhouse gas emissions, year on year, from 1 047 142 tCO</w:t>
      </w:r>
      <w:r w:rsidR="008C470D">
        <w:rPr>
          <w:rFonts w:ascii="Times New Roman" w:hAnsi="Times New Roman" w:cs="Times New Roman"/>
        </w:rPr>
        <w:t>2</w:t>
      </w:r>
      <w:r w:rsidRPr="00BD794D">
        <w:rPr>
          <w:rFonts w:ascii="Times New Roman" w:hAnsi="Times New Roman" w:cs="Times New Roman"/>
        </w:rPr>
        <w:t>e to 909 089 tCO</w:t>
      </w:r>
      <w:r w:rsidR="008C470D">
        <w:rPr>
          <w:rFonts w:ascii="Times New Roman" w:hAnsi="Times New Roman" w:cs="Times New Roman"/>
        </w:rPr>
        <w:t>2</w:t>
      </w:r>
      <w:r w:rsidRPr="00BD794D">
        <w:rPr>
          <w:rFonts w:ascii="Times New Roman" w:hAnsi="Times New Roman" w:cs="Times New Roman"/>
        </w:rPr>
        <w:t>e. This reduced impact is the outcome of substantive investment into energy efficiency, refrigeration replacement, and optimising logistics, and illustrates the company's carbon management strategy which is consistent with SBTi pathways (Tesco PLC, 2024).</w:t>
      </w:r>
    </w:p>
    <w:p w14:paraId="4F0C883F" w14:textId="094E88D3" w:rsidR="008C470D" w:rsidRDefault="00BD794D" w:rsidP="00BD794D">
      <w:pPr>
        <w:spacing w:line="480" w:lineRule="auto"/>
        <w:rPr>
          <w:rFonts w:ascii="Times New Roman" w:hAnsi="Times New Roman" w:cs="Times New Roman"/>
        </w:rPr>
      </w:pPr>
      <w:r w:rsidRPr="00BD794D">
        <w:rPr>
          <w:rFonts w:ascii="Times New Roman" w:hAnsi="Times New Roman" w:cs="Times New Roman"/>
        </w:rPr>
        <w:t xml:space="preserve">The pillar, "Improve Our Products" implemented trials of low-carbon fertiliser on 1 300 ha over farms within the UK, resulting in further greenhouse gas and nitrous oxide emissions reduction of up to 50 %, representing clear traction. Tesco intends, in 2024/25 to scale this trial to 13 000 ha, and to only source and subsequently sell </w:t>
      </w:r>
      <w:r w:rsidR="008C470D" w:rsidRPr="00BD794D">
        <w:rPr>
          <w:rFonts w:ascii="Times New Roman" w:hAnsi="Times New Roman" w:cs="Times New Roman"/>
        </w:rPr>
        <w:t>own brand</w:t>
      </w:r>
      <w:r w:rsidR="008C470D">
        <w:rPr>
          <w:rFonts w:ascii="Times New Roman" w:hAnsi="Times New Roman" w:cs="Times New Roman"/>
        </w:rPr>
        <w:t>, produce</w:t>
      </w:r>
      <w:r w:rsidRPr="00BD794D">
        <w:rPr>
          <w:rFonts w:ascii="Times New Roman" w:hAnsi="Times New Roman" w:cs="Times New Roman"/>
        </w:rPr>
        <w:t xml:space="preserve"> where the product has LEAF Marque certification by 2025 (Tesco PLC, 2024).</w:t>
      </w:r>
      <w:r w:rsidR="008C470D">
        <w:rPr>
          <w:rFonts w:ascii="Times New Roman" w:hAnsi="Times New Roman" w:cs="Times New Roman"/>
        </w:rPr>
        <w:t xml:space="preserve"> </w:t>
      </w:r>
      <w:r w:rsidRPr="00BD794D">
        <w:rPr>
          <w:rFonts w:ascii="Times New Roman" w:hAnsi="Times New Roman" w:cs="Times New Roman"/>
        </w:rPr>
        <w:t xml:space="preserve">In "Decarbonise Transport" pillar, it states that 11 percent of its home delivery fleet is now </w:t>
      </w:r>
      <w:r w:rsidR="008C470D" w:rsidRPr="00BD794D">
        <w:rPr>
          <w:rFonts w:ascii="Times New Roman" w:hAnsi="Times New Roman" w:cs="Times New Roman"/>
        </w:rPr>
        <w:t>electric,</w:t>
      </w:r>
      <w:r w:rsidRPr="00BD794D">
        <w:rPr>
          <w:rFonts w:ascii="Times New Roman" w:hAnsi="Times New Roman" w:cs="Times New Roman"/>
        </w:rPr>
        <w:t xml:space="preserve"> and </w:t>
      </w:r>
      <w:r w:rsidR="008C470D" w:rsidRPr="00BD794D">
        <w:rPr>
          <w:rFonts w:ascii="Times New Roman" w:hAnsi="Times New Roman" w:cs="Times New Roman"/>
        </w:rPr>
        <w:t>Tesco</w:t>
      </w:r>
      <w:r w:rsidRPr="00BD794D">
        <w:rPr>
          <w:rFonts w:ascii="Times New Roman" w:hAnsi="Times New Roman" w:cs="Times New Roman"/>
        </w:rPr>
        <w:t xml:space="preserve"> is operating 571 electric vans in the fleet. The rollout occurred at the same time as 2,500 charging points installed at stores and depots, that decreased diesel consumption and associated emissions intensity. The company </w:t>
      </w:r>
      <w:r w:rsidR="008C470D" w:rsidRPr="00BD794D">
        <w:rPr>
          <w:rFonts w:ascii="Times New Roman" w:hAnsi="Times New Roman" w:cs="Times New Roman"/>
        </w:rPr>
        <w:t>can</w:t>
      </w:r>
      <w:r w:rsidRPr="00BD794D">
        <w:rPr>
          <w:rFonts w:ascii="Times New Roman" w:hAnsi="Times New Roman" w:cs="Times New Roman"/>
        </w:rPr>
        <w:t xml:space="preserve"> find time to phase in EVs into its fleet by 2030 (Tesco PLC, 2024). </w:t>
      </w:r>
    </w:p>
    <w:p w14:paraId="7459B8CD" w14:textId="77777777" w:rsidR="008C470D" w:rsidRDefault="00BD794D" w:rsidP="00BD794D">
      <w:pPr>
        <w:spacing w:line="480" w:lineRule="auto"/>
        <w:rPr>
          <w:rFonts w:ascii="Times New Roman" w:hAnsi="Times New Roman" w:cs="Times New Roman"/>
        </w:rPr>
      </w:pPr>
      <w:r w:rsidRPr="00BD794D">
        <w:rPr>
          <w:rFonts w:ascii="Times New Roman" w:hAnsi="Times New Roman" w:cs="Times New Roman"/>
        </w:rPr>
        <w:t xml:space="preserve">With respect to the "Reduce Store Emissions" commitments, Tesco committed to using 100 percent renewable electricity for all its UK operations, covering more than 2,700 stores, and potential carbon footprint savings. The company undertook sites solar photovoltaic testing at </w:t>
      </w:r>
      <w:r w:rsidRPr="00BD794D">
        <w:rPr>
          <w:rFonts w:ascii="Times New Roman" w:hAnsi="Times New Roman" w:cs="Times New Roman"/>
        </w:rPr>
        <w:lastRenderedPageBreak/>
        <w:t xml:space="preserve">100 stores to generate 20 gigawatt-hours of energy per year to compensate for its grid consumption. Other initiatives included a £60 million funded investment in decarbonisation of refrigeration with improvement to heat pumps (Tesco PLC, 2024). </w:t>
      </w:r>
    </w:p>
    <w:p w14:paraId="7CCEF363" w14:textId="0273668D"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 xml:space="preserve">For the "Support Sustainable Consumption", Tesco initiated Future Farmer programme, where it trains 75 next generation growers every year in regenerative agricultural techniques; in addition, the Better Baskets campaign removed 96.9 billion calories from own brand products by means of nutrition reformulation and recipe innovation. All of which support sustainable consumption to support healthier </w:t>
      </w:r>
      <w:r w:rsidR="008C470D">
        <w:rPr>
          <w:rFonts w:ascii="Times New Roman" w:hAnsi="Times New Roman" w:cs="Times New Roman"/>
        </w:rPr>
        <w:t>objectives</w:t>
      </w:r>
      <w:r w:rsidRPr="00BD794D">
        <w:rPr>
          <w:rFonts w:ascii="Times New Roman" w:hAnsi="Times New Roman" w:cs="Times New Roman"/>
        </w:rPr>
        <w:t xml:space="preserve"> and reduce environmental cost across global sustainable supply chains (Tesco PLC, 2024). </w:t>
      </w:r>
    </w:p>
    <w:p w14:paraId="283FCA2B" w14:textId="53A6BE1C"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The "Eliminate Waste &amp; Protect Nature" pillar provides estimates of a 38 percent decline in operational food waste and diverted surplus product from wastage. There are estimates of achieving 86 percent recyclability in their own branded packaging, and expansion to offer LEAF Marque certification to all UK growers. The Nature programme offered a grant program for biodiversity and soil-health projects on 200 farms (Tesco PLC, 2024</w:t>
      </w:r>
      <w:r w:rsidR="00F43092" w:rsidRPr="00BD794D">
        <w:rPr>
          <w:rFonts w:ascii="Times New Roman" w:hAnsi="Times New Roman" w:cs="Times New Roman"/>
        </w:rPr>
        <w:t>). Governance</w:t>
      </w:r>
      <w:r w:rsidRPr="00BD794D">
        <w:rPr>
          <w:rFonts w:ascii="Times New Roman" w:hAnsi="Times New Roman" w:cs="Times New Roman"/>
        </w:rPr>
        <w:t xml:space="preserve"> of Tesco’s Planet Plan is maintained at board level through a Sustainability Committee, meeting four times a year to review progress. Executive leadership integrates environmental KPIs in remuneration and reviews for capital allocation. TCFD disclosures (Annual Report pages 39–45) cover scenario analysis on climate risk, climate risk management and metrics (Tesco PLC, 2024).</w:t>
      </w:r>
    </w:p>
    <w:p w14:paraId="3558069A" w14:textId="77777777"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Drivers of Performance</w:t>
      </w:r>
    </w:p>
    <w:p w14:paraId="0D021592" w14:textId="27E3AD18" w:rsidR="00BD794D" w:rsidRPr="007D3638" w:rsidRDefault="00BD794D" w:rsidP="007D3638">
      <w:pPr>
        <w:pStyle w:val="ListParagraph"/>
        <w:numPr>
          <w:ilvl w:val="0"/>
          <w:numId w:val="8"/>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Inflation &amp; Cost Discipline</w:t>
      </w:r>
    </w:p>
    <w:p w14:paraId="52C944DB" w14:textId="77777777" w:rsidR="00F43092" w:rsidRDefault="00BD794D" w:rsidP="00BD794D">
      <w:pPr>
        <w:spacing w:line="480" w:lineRule="auto"/>
        <w:rPr>
          <w:rFonts w:ascii="Times New Roman" w:hAnsi="Times New Roman" w:cs="Times New Roman"/>
        </w:rPr>
      </w:pPr>
      <w:r w:rsidRPr="00BD794D">
        <w:rPr>
          <w:rFonts w:ascii="Times New Roman" w:hAnsi="Times New Roman" w:cs="Times New Roman"/>
        </w:rPr>
        <w:t>Sustained food inflation was mitigated by large-scale procurement using scale, dynamic pricing, and "Save to Invest" savings of £550 m while not impacting margins (</w:t>
      </w:r>
      <w:proofErr w:type="spellStart"/>
      <w:r w:rsidRPr="00BD794D">
        <w:rPr>
          <w:rFonts w:ascii="Times New Roman" w:hAnsi="Times New Roman" w:cs="Times New Roman"/>
        </w:rPr>
        <w:t>Atrill</w:t>
      </w:r>
      <w:proofErr w:type="spellEnd"/>
      <w:r w:rsidRPr="00BD794D">
        <w:rPr>
          <w:rFonts w:ascii="Times New Roman" w:hAnsi="Times New Roman" w:cs="Times New Roman"/>
        </w:rPr>
        <w:t xml:space="preserve"> &amp; McLaney, 2023; Tesco PLC, 2024).</w:t>
      </w:r>
    </w:p>
    <w:p w14:paraId="7DD9CDB1" w14:textId="4031D927" w:rsidR="00BD794D" w:rsidRPr="007D3638" w:rsidRDefault="00BD794D" w:rsidP="007D3638">
      <w:pPr>
        <w:pStyle w:val="ListParagraph"/>
        <w:numPr>
          <w:ilvl w:val="0"/>
          <w:numId w:val="8"/>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lastRenderedPageBreak/>
        <w:t>Banking Disposal &amp; Classification</w:t>
      </w:r>
    </w:p>
    <w:p w14:paraId="27B5092C"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Sale of Tesco Bank (completed February 2024) allowed Tesco to classify its results as discontinued operations, removing volatility in credit-loss provisions and achieving greater focus on core retail income (Tesco PLC, 2024).</w:t>
      </w:r>
    </w:p>
    <w:p w14:paraId="5EC31A38" w14:textId="46FBF4D4" w:rsidR="00BD794D" w:rsidRPr="007D3638" w:rsidRDefault="00BD794D" w:rsidP="007D3638">
      <w:pPr>
        <w:pStyle w:val="ListParagraph"/>
        <w:numPr>
          <w:ilvl w:val="0"/>
          <w:numId w:val="8"/>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Non-core Impairments</w:t>
      </w:r>
    </w:p>
    <w:p w14:paraId="5FCDBE80" w14:textId="77777777" w:rsidR="00F43092" w:rsidRDefault="00BD794D" w:rsidP="00BD794D">
      <w:pPr>
        <w:spacing w:line="480" w:lineRule="auto"/>
        <w:rPr>
          <w:rFonts w:ascii="Times New Roman" w:hAnsi="Times New Roman" w:cs="Times New Roman"/>
        </w:rPr>
      </w:pPr>
      <w:r w:rsidRPr="00BD794D">
        <w:rPr>
          <w:rFonts w:ascii="Times New Roman" w:hAnsi="Times New Roman" w:cs="Times New Roman"/>
        </w:rPr>
        <w:t>A net reversal of impairments for charges (£28 m release vs £982 m charge in prior year) materially improved statutory profit comparisons (Tesco PLC, 2023; Tesco PLC, 2024).</w:t>
      </w:r>
    </w:p>
    <w:p w14:paraId="6B481002" w14:textId="08183768" w:rsidR="00BD794D" w:rsidRPr="007D3638" w:rsidRDefault="00BD794D" w:rsidP="007D3638">
      <w:pPr>
        <w:pStyle w:val="ListParagraph"/>
        <w:numPr>
          <w:ilvl w:val="0"/>
          <w:numId w:val="8"/>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Working Capital Optimi</w:t>
      </w:r>
      <w:r w:rsidR="00F43092" w:rsidRPr="007D3638">
        <w:rPr>
          <w:rFonts w:ascii="Times New Roman" w:hAnsi="Times New Roman" w:cs="Times New Roman"/>
          <w:b/>
          <w:bCs/>
          <w:color w:val="BF4E14" w:themeColor="accent2" w:themeShade="BF"/>
        </w:rPr>
        <w:t>s</w:t>
      </w:r>
      <w:r w:rsidRPr="007D3638">
        <w:rPr>
          <w:rFonts w:ascii="Times New Roman" w:hAnsi="Times New Roman" w:cs="Times New Roman"/>
          <w:b/>
          <w:bCs/>
          <w:color w:val="BF4E14" w:themeColor="accent2" w:themeShade="BF"/>
        </w:rPr>
        <w:t>ation</w:t>
      </w:r>
    </w:p>
    <w:p w14:paraId="469B1F07"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CDPs performed tight payables; whilst improved cash conversion weakened current ratio, elevating short-term liquidity risks in volatile circumstances (White, Sondhi &amp; Fried, 2021).</w:t>
      </w:r>
    </w:p>
    <w:p w14:paraId="15426E8E" w14:textId="47602139" w:rsidR="00BD794D" w:rsidRPr="007D3638" w:rsidRDefault="00BD794D" w:rsidP="007D3638">
      <w:pPr>
        <w:pStyle w:val="ListParagraph"/>
        <w:numPr>
          <w:ilvl w:val="0"/>
          <w:numId w:val="8"/>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Sustainability Investment</w:t>
      </w:r>
    </w:p>
    <w:p w14:paraId="3097EBD1" w14:textId="37462468"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 xml:space="preserve">Investments of £1.9 bn on low-carbon agriculture, renewables and waste reduction projects established stronger-long-term cost structures and enhanced brand </w:t>
      </w:r>
      <w:r w:rsidR="00F43092" w:rsidRPr="00BD794D">
        <w:rPr>
          <w:rFonts w:ascii="Times New Roman" w:hAnsi="Times New Roman" w:cs="Times New Roman"/>
        </w:rPr>
        <w:t>positioning but</w:t>
      </w:r>
      <w:r w:rsidRPr="00BD794D">
        <w:rPr>
          <w:rFonts w:ascii="Times New Roman" w:hAnsi="Times New Roman" w:cs="Times New Roman"/>
        </w:rPr>
        <w:t xml:space="preserve"> reduced free cash flow in the short term (Eccles, Ioannou &amp; Serafeim, 2014; Tesco PLC, 2024).</w:t>
      </w:r>
    </w:p>
    <w:p w14:paraId="2DC8AE17" w14:textId="67645701" w:rsidR="00BD794D" w:rsidRPr="007D3638" w:rsidRDefault="00BD794D" w:rsidP="007D3638">
      <w:pPr>
        <w:pStyle w:val="ListParagraph"/>
        <w:numPr>
          <w:ilvl w:val="0"/>
          <w:numId w:val="8"/>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Digital &amp; Convenience Expansion</w:t>
      </w:r>
    </w:p>
    <w:p w14:paraId="06CB82B9" w14:textId="77777777" w:rsidR="00BD794D" w:rsidRPr="00BD794D" w:rsidRDefault="00BD794D" w:rsidP="00BD794D">
      <w:pPr>
        <w:spacing w:line="480" w:lineRule="auto"/>
        <w:rPr>
          <w:rFonts w:ascii="Times New Roman" w:hAnsi="Times New Roman" w:cs="Times New Roman"/>
        </w:rPr>
      </w:pPr>
      <w:r w:rsidRPr="00BD794D">
        <w:rPr>
          <w:rFonts w:ascii="Times New Roman" w:hAnsi="Times New Roman" w:cs="Times New Roman"/>
        </w:rPr>
        <w:t>Investments in online grocery and convenience formats executed higher basket values and operating leverage and reinforced efficiency metrics (Tesco PLC, 2024).</w:t>
      </w:r>
    </w:p>
    <w:p w14:paraId="0BF7955F" w14:textId="77777777"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Recommendations</w:t>
      </w:r>
    </w:p>
    <w:p w14:paraId="342A07FF" w14:textId="35C32144" w:rsidR="00BD794D" w:rsidRPr="007D3638" w:rsidRDefault="00BD794D" w:rsidP="007D3638">
      <w:pPr>
        <w:pStyle w:val="ListParagraph"/>
        <w:numPr>
          <w:ilvl w:val="0"/>
          <w:numId w:val="9"/>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Improve Liquidity Management</w:t>
      </w:r>
    </w:p>
    <w:p w14:paraId="4B819B1A" w14:textId="77777777" w:rsidR="00BD794D" w:rsidRPr="00F43092" w:rsidRDefault="00BD794D" w:rsidP="00F43092">
      <w:pPr>
        <w:pStyle w:val="ListParagraph"/>
        <w:numPr>
          <w:ilvl w:val="0"/>
          <w:numId w:val="1"/>
        </w:numPr>
        <w:spacing w:line="480" w:lineRule="auto"/>
        <w:rPr>
          <w:rFonts w:ascii="Times New Roman" w:hAnsi="Times New Roman" w:cs="Times New Roman"/>
        </w:rPr>
      </w:pPr>
      <w:r w:rsidRPr="00F43092">
        <w:rPr>
          <w:rFonts w:ascii="Times New Roman" w:hAnsi="Times New Roman" w:cs="Times New Roman"/>
        </w:rPr>
        <w:t>Negotiate to former supplier terms to limit average payables days and align to peer-average current ratio (c. 0.8×), (Brigham &amp; Ehrhardt, 2022).</w:t>
      </w:r>
    </w:p>
    <w:p w14:paraId="462809A4" w14:textId="77777777" w:rsidR="00BD794D" w:rsidRPr="00F43092" w:rsidRDefault="00BD794D" w:rsidP="00F43092">
      <w:pPr>
        <w:pStyle w:val="ListParagraph"/>
        <w:numPr>
          <w:ilvl w:val="0"/>
          <w:numId w:val="1"/>
        </w:numPr>
        <w:spacing w:line="480" w:lineRule="auto"/>
        <w:rPr>
          <w:rFonts w:ascii="Times New Roman" w:hAnsi="Times New Roman" w:cs="Times New Roman"/>
        </w:rPr>
      </w:pPr>
      <w:r w:rsidRPr="00F43092">
        <w:rPr>
          <w:rFonts w:ascii="Times New Roman" w:hAnsi="Times New Roman" w:cs="Times New Roman"/>
        </w:rPr>
        <w:lastRenderedPageBreak/>
        <w:t>Maintain cash reserves of at least £5 bn and consider a revolving credit facility to provide backstop on market volatility.</w:t>
      </w:r>
    </w:p>
    <w:p w14:paraId="5E3D03F8" w14:textId="6C512A46" w:rsidR="00BD794D" w:rsidRPr="007D3638" w:rsidRDefault="00BD794D" w:rsidP="007D3638">
      <w:pPr>
        <w:pStyle w:val="ListParagraph"/>
        <w:numPr>
          <w:ilvl w:val="0"/>
          <w:numId w:val="9"/>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Maximi</w:t>
      </w:r>
      <w:r w:rsidR="00F43092" w:rsidRPr="007D3638">
        <w:rPr>
          <w:rFonts w:ascii="Times New Roman" w:hAnsi="Times New Roman" w:cs="Times New Roman"/>
          <w:b/>
          <w:bCs/>
          <w:color w:val="BF4E14" w:themeColor="accent2" w:themeShade="BF"/>
        </w:rPr>
        <w:t>s</w:t>
      </w:r>
      <w:r w:rsidRPr="007D3638">
        <w:rPr>
          <w:rFonts w:ascii="Times New Roman" w:hAnsi="Times New Roman" w:cs="Times New Roman"/>
          <w:b/>
          <w:bCs/>
          <w:color w:val="BF4E14" w:themeColor="accent2" w:themeShade="BF"/>
        </w:rPr>
        <w:t>e Capital Structure</w:t>
      </w:r>
    </w:p>
    <w:p w14:paraId="65CE1E74" w14:textId="77777777" w:rsidR="00BD794D" w:rsidRPr="00F43092" w:rsidRDefault="00BD794D" w:rsidP="00F43092">
      <w:pPr>
        <w:pStyle w:val="ListParagraph"/>
        <w:numPr>
          <w:ilvl w:val="0"/>
          <w:numId w:val="2"/>
        </w:numPr>
        <w:spacing w:line="480" w:lineRule="auto"/>
        <w:rPr>
          <w:rFonts w:ascii="Times New Roman" w:hAnsi="Times New Roman" w:cs="Times New Roman"/>
        </w:rPr>
      </w:pPr>
      <w:r w:rsidRPr="00F43092">
        <w:rPr>
          <w:rFonts w:ascii="Times New Roman" w:hAnsi="Times New Roman" w:cs="Times New Roman"/>
        </w:rPr>
        <w:t>Use surplus cash to retire high-cost lease obligations, targeting debt-to-equity ≤ 2.5×.</w:t>
      </w:r>
    </w:p>
    <w:p w14:paraId="2F732E6B" w14:textId="77777777" w:rsidR="00BD794D" w:rsidRPr="00F43092" w:rsidRDefault="00BD794D" w:rsidP="00F43092">
      <w:pPr>
        <w:pStyle w:val="ListParagraph"/>
        <w:numPr>
          <w:ilvl w:val="0"/>
          <w:numId w:val="2"/>
        </w:numPr>
        <w:spacing w:line="480" w:lineRule="auto"/>
        <w:rPr>
          <w:rFonts w:ascii="Times New Roman" w:hAnsi="Times New Roman" w:cs="Times New Roman"/>
        </w:rPr>
      </w:pPr>
      <w:r w:rsidRPr="00F43092">
        <w:rPr>
          <w:rFonts w:ascii="Times New Roman" w:hAnsi="Times New Roman" w:cs="Times New Roman"/>
        </w:rPr>
        <w:t>Raise green bonds to finance of renewable energy and low-carbon initiatives at favourable margins (Eccles et al., 2014).</w:t>
      </w:r>
    </w:p>
    <w:p w14:paraId="5A3E33CC" w14:textId="35DCCCD5" w:rsidR="00BD794D" w:rsidRPr="007D3638" w:rsidRDefault="00BD794D" w:rsidP="007D3638">
      <w:pPr>
        <w:pStyle w:val="ListParagraph"/>
        <w:numPr>
          <w:ilvl w:val="0"/>
          <w:numId w:val="9"/>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Drive Margin Protection Via Analytics</w:t>
      </w:r>
    </w:p>
    <w:p w14:paraId="1F55FF3D" w14:textId="77777777" w:rsidR="00BD794D" w:rsidRPr="00F43092" w:rsidRDefault="00BD794D" w:rsidP="00F43092">
      <w:pPr>
        <w:pStyle w:val="ListParagraph"/>
        <w:numPr>
          <w:ilvl w:val="0"/>
          <w:numId w:val="3"/>
        </w:numPr>
        <w:spacing w:line="480" w:lineRule="auto"/>
        <w:rPr>
          <w:rFonts w:ascii="Times New Roman" w:hAnsi="Times New Roman" w:cs="Times New Roman"/>
        </w:rPr>
      </w:pPr>
      <w:r w:rsidRPr="00F43092">
        <w:rPr>
          <w:rFonts w:ascii="Times New Roman" w:hAnsi="Times New Roman" w:cs="Times New Roman"/>
        </w:rPr>
        <w:t>Use scale-based AI-passive procurement and dynamic pricing tools to avoid inflation in input costs and adjust category profitability across stores.</w:t>
      </w:r>
    </w:p>
    <w:p w14:paraId="412D90BD" w14:textId="48591B56" w:rsidR="00BD794D" w:rsidRPr="00F43092" w:rsidRDefault="00BD794D" w:rsidP="00F43092">
      <w:pPr>
        <w:pStyle w:val="ListParagraph"/>
        <w:numPr>
          <w:ilvl w:val="0"/>
          <w:numId w:val="3"/>
        </w:numPr>
        <w:spacing w:line="480" w:lineRule="auto"/>
        <w:rPr>
          <w:rFonts w:ascii="Times New Roman" w:hAnsi="Times New Roman" w:cs="Times New Roman"/>
        </w:rPr>
      </w:pPr>
      <w:r w:rsidRPr="00F43092">
        <w:rPr>
          <w:rFonts w:ascii="Times New Roman" w:hAnsi="Times New Roman" w:cs="Times New Roman"/>
        </w:rPr>
        <w:t>Scale Clubcard-enabled personali</w:t>
      </w:r>
      <w:r w:rsidR="00F43092" w:rsidRPr="00F43092">
        <w:rPr>
          <w:rFonts w:ascii="Times New Roman" w:hAnsi="Times New Roman" w:cs="Times New Roman"/>
        </w:rPr>
        <w:t>s</w:t>
      </w:r>
      <w:r w:rsidRPr="00F43092">
        <w:rPr>
          <w:rFonts w:ascii="Times New Roman" w:hAnsi="Times New Roman" w:cs="Times New Roman"/>
        </w:rPr>
        <w:t>ed attrition promotions to ever-increasing gross margin per transaction (Tesco PLC, 2024).</w:t>
      </w:r>
    </w:p>
    <w:p w14:paraId="57D53399" w14:textId="78690C7F" w:rsidR="00BD794D" w:rsidRPr="007D3638" w:rsidRDefault="00BD794D" w:rsidP="007D3638">
      <w:pPr>
        <w:pStyle w:val="ListParagraph"/>
        <w:numPr>
          <w:ilvl w:val="0"/>
          <w:numId w:val="9"/>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Accelerate Sustainable Agriculture</w:t>
      </w:r>
    </w:p>
    <w:p w14:paraId="2929649A" w14:textId="77777777" w:rsidR="00BD794D" w:rsidRPr="00F43092" w:rsidRDefault="00BD794D" w:rsidP="00F43092">
      <w:pPr>
        <w:pStyle w:val="ListParagraph"/>
        <w:numPr>
          <w:ilvl w:val="0"/>
          <w:numId w:val="4"/>
        </w:numPr>
        <w:spacing w:line="480" w:lineRule="auto"/>
        <w:rPr>
          <w:rFonts w:ascii="Times New Roman" w:hAnsi="Times New Roman" w:cs="Times New Roman"/>
        </w:rPr>
      </w:pPr>
      <w:r w:rsidRPr="00F43092">
        <w:rPr>
          <w:rFonts w:ascii="Times New Roman" w:hAnsi="Times New Roman" w:cs="Times New Roman"/>
        </w:rPr>
        <w:t>Accelerate commercial availability of low-carbon fertiliser on an area equivalent 13 000 ha; and retailer regenerative agriculture incentives on a minimum of 50 % of own-brand supply.</w:t>
      </w:r>
    </w:p>
    <w:p w14:paraId="340530A0" w14:textId="77777777" w:rsidR="00BD794D" w:rsidRPr="00F43092" w:rsidRDefault="00BD794D" w:rsidP="00F43092">
      <w:pPr>
        <w:pStyle w:val="ListParagraph"/>
        <w:numPr>
          <w:ilvl w:val="0"/>
          <w:numId w:val="4"/>
        </w:numPr>
        <w:spacing w:line="480" w:lineRule="auto"/>
        <w:rPr>
          <w:rFonts w:ascii="Times New Roman" w:hAnsi="Times New Roman" w:cs="Times New Roman"/>
        </w:rPr>
      </w:pPr>
      <w:r w:rsidRPr="00F43092">
        <w:rPr>
          <w:rFonts w:ascii="Times New Roman" w:hAnsi="Times New Roman" w:cs="Times New Roman"/>
        </w:rPr>
        <w:t>Promote further capacity on site renewables (solar PV, heat pumps) to target a 30 % reduction in store emissions by 2027.</w:t>
      </w:r>
    </w:p>
    <w:p w14:paraId="6C80DFBA" w14:textId="20C12CA2" w:rsidR="00BD794D" w:rsidRPr="007D3638" w:rsidRDefault="00BD794D" w:rsidP="007D3638">
      <w:pPr>
        <w:pStyle w:val="ListParagraph"/>
        <w:numPr>
          <w:ilvl w:val="0"/>
          <w:numId w:val="9"/>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Amplify Growth-Sourced Revenues</w:t>
      </w:r>
    </w:p>
    <w:p w14:paraId="2713CE18" w14:textId="77777777" w:rsidR="00BD794D" w:rsidRPr="00F43092" w:rsidRDefault="00BD794D" w:rsidP="00F43092">
      <w:pPr>
        <w:pStyle w:val="ListParagraph"/>
        <w:numPr>
          <w:ilvl w:val="0"/>
          <w:numId w:val="5"/>
        </w:numPr>
        <w:spacing w:line="480" w:lineRule="auto"/>
        <w:rPr>
          <w:rFonts w:ascii="Times New Roman" w:hAnsi="Times New Roman" w:cs="Times New Roman"/>
        </w:rPr>
      </w:pPr>
      <w:r w:rsidRPr="00F43092">
        <w:rPr>
          <w:rFonts w:ascii="Times New Roman" w:hAnsi="Times New Roman" w:cs="Times New Roman"/>
        </w:rPr>
        <w:t>Expand margin-accretive channels, especially Tesco One Stop and data partnerships for revenue diversification.</w:t>
      </w:r>
    </w:p>
    <w:p w14:paraId="3942ACC2" w14:textId="77777777" w:rsidR="00F43092" w:rsidRDefault="00BD794D" w:rsidP="00BD794D">
      <w:pPr>
        <w:pStyle w:val="ListParagraph"/>
        <w:numPr>
          <w:ilvl w:val="0"/>
          <w:numId w:val="5"/>
        </w:numPr>
        <w:spacing w:line="480" w:lineRule="auto"/>
        <w:rPr>
          <w:rFonts w:ascii="Times New Roman" w:hAnsi="Times New Roman" w:cs="Times New Roman"/>
        </w:rPr>
      </w:pPr>
      <w:r w:rsidRPr="00F43092">
        <w:rPr>
          <w:rFonts w:ascii="Times New Roman" w:hAnsi="Times New Roman" w:cs="Times New Roman"/>
        </w:rPr>
        <w:t>Utilise loyalty data for targeted services products cross-buying opportunities, post-bank sale.</w:t>
      </w:r>
    </w:p>
    <w:p w14:paraId="334768E9" w14:textId="77777777" w:rsidR="007D3638" w:rsidRDefault="007D3638" w:rsidP="00F43092">
      <w:pPr>
        <w:spacing w:line="480" w:lineRule="auto"/>
        <w:rPr>
          <w:rFonts w:ascii="Times New Roman" w:hAnsi="Times New Roman" w:cs="Times New Roman"/>
        </w:rPr>
      </w:pPr>
    </w:p>
    <w:p w14:paraId="25F43C83" w14:textId="77777777" w:rsidR="007D3638" w:rsidRDefault="007D3638" w:rsidP="00F43092">
      <w:pPr>
        <w:spacing w:line="480" w:lineRule="auto"/>
        <w:rPr>
          <w:rFonts w:ascii="Times New Roman" w:hAnsi="Times New Roman" w:cs="Times New Roman"/>
        </w:rPr>
      </w:pPr>
    </w:p>
    <w:p w14:paraId="33ED4B65" w14:textId="46CD9F50" w:rsidR="00BD794D" w:rsidRPr="007D3638" w:rsidRDefault="00BD794D" w:rsidP="007D3638">
      <w:pPr>
        <w:pStyle w:val="ListParagraph"/>
        <w:numPr>
          <w:ilvl w:val="0"/>
          <w:numId w:val="9"/>
        </w:num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lastRenderedPageBreak/>
        <w:t>Embed ESG into Executive Incentives</w:t>
      </w:r>
    </w:p>
    <w:p w14:paraId="31723AB5" w14:textId="77777777" w:rsidR="00BD794D" w:rsidRPr="00F43092" w:rsidRDefault="00BD794D" w:rsidP="00F43092">
      <w:pPr>
        <w:pStyle w:val="ListParagraph"/>
        <w:numPr>
          <w:ilvl w:val="0"/>
          <w:numId w:val="6"/>
        </w:numPr>
        <w:spacing w:line="480" w:lineRule="auto"/>
        <w:rPr>
          <w:rFonts w:ascii="Times New Roman" w:hAnsi="Times New Roman" w:cs="Times New Roman"/>
        </w:rPr>
      </w:pPr>
      <w:r w:rsidRPr="00F43092">
        <w:rPr>
          <w:rFonts w:ascii="Times New Roman" w:hAnsi="Times New Roman" w:cs="Times New Roman"/>
        </w:rPr>
        <w:t>Link executive compensation and accountability into Planet Plan KPIs, on Scope 1 and 2 emissions; waste-reduction metrics.</w:t>
      </w:r>
    </w:p>
    <w:p w14:paraId="53EA25DB" w14:textId="77777777" w:rsidR="00BD794D" w:rsidRPr="007D3638" w:rsidRDefault="00BD794D"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t>Conclusion</w:t>
      </w:r>
    </w:p>
    <w:p w14:paraId="51D07DEC" w14:textId="3E28808A" w:rsidR="00BD794D" w:rsidRDefault="00BD794D" w:rsidP="00BD794D">
      <w:pPr>
        <w:spacing w:line="480" w:lineRule="auto"/>
        <w:rPr>
          <w:rFonts w:ascii="Times New Roman" w:hAnsi="Times New Roman" w:cs="Times New Roman"/>
        </w:rPr>
      </w:pPr>
      <w:r w:rsidRPr="00BD794D">
        <w:rPr>
          <w:rFonts w:ascii="Times New Roman" w:hAnsi="Times New Roman" w:cs="Times New Roman"/>
        </w:rPr>
        <w:t>Ratio analysis clarified Tesco's transformation over two years: both operating and net margins have doubled; returns on assets and equity have improved markedly; and interest cover achieved a comfortable position of 5×, regardless of ever-increasing leverage. It was integrated within sustainability metrics, and therefore nudged an easier, more comprehensive view</w:t>
      </w:r>
      <w:r w:rsidR="00AE4789">
        <w:rPr>
          <w:rFonts w:ascii="Times New Roman" w:hAnsi="Times New Roman" w:cs="Times New Roman"/>
        </w:rPr>
        <w:t>,</w:t>
      </w:r>
      <w:r w:rsidRPr="00BD794D">
        <w:rPr>
          <w:rFonts w:ascii="Times New Roman" w:hAnsi="Times New Roman" w:cs="Times New Roman"/>
        </w:rPr>
        <w:t xml:space="preserve"> linking performance across financial health and environmental guardianship. Disciplined thought led to actionable insights and targeted recommendations focused on improving liquidity health, maximi</w:t>
      </w:r>
      <w:r w:rsidR="00F43092">
        <w:rPr>
          <w:rFonts w:ascii="Times New Roman" w:hAnsi="Times New Roman" w:cs="Times New Roman"/>
        </w:rPr>
        <w:t>s</w:t>
      </w:r>
      <w:r w:rsidRPr="00BD794D">
        <w:rPr>
          <w:rFonts w:ascii="Times New Roman" w:hAnsi="Times New Roman" w:cs="Times New Roman"/>
        </w:rPr>
        <w:t>e capital, while fast-tracking the net-zero trajectory, positioning Tesco for sustainable resilience and long-term v</w:t>
      </w:r>
      <w:r w:rsidR="00F43092">
        <w:rPr>
          <w:rFonts w:ascii="Times New Roman" w:hAnsi="Times New Roman" w:cs="Times New Roman"/>
        </w:rPr>
        <w:t>alue.</w:t>
      </w:r>
    </w:p>
    <w:p w14:paraId="5514E845" w14:textId="77777777" w:rsidR="00F43092" w:rsidRDefault="00F43092" w:rsidP="00BD794D">
      <w:pPr>
        <w:spacing w:line="480" w:lineRule="auto"/>
        <w:rPr>
          <w:rFonts w:ascii="Times New Roman" w:hAnsi="Times New Roman" w:cs="Times New Roman"/>
        </w:rPr>
      </w:pPr>
    </w:p>
    <w:p w14:paraId="39D85DA9" w14:textId="77777777" w:rsidR="00F43092" w:rsidRDefault="00F43092" w:rsidP="00BD794D">
      <w:pPr>
        <w:spacing w:line="480" w:lineRule="auto"/>
        <w:rPr>
          <w:rFonts w:ascii="Times New Roman" w:hAnsi="Times New Roman" w:cs="Times New Roman"/>
        </w:rPr>
      </w:pPr>
    </w:p>
    <w:p w14:paraId="2A0751AE" w14:textId="77777777" w:rsidR="00F43092" w:rsidRDefault="00F43092" w:rsidP="00BD794D">
      <w:pPr>
        <w:spacing w:line="480" w:lineRule="auto"/>
        <w:rPr>
          <w:rFonts w:ascii="Times New Roman" w:hAnsi="Times New Roman" w:cs="Times New Roman"/>
        </w:rPr>
      </w:pPr>
    </w:p>
    <w:p w14:paraId="154E3200" w14:textId="77777777" w:rsidR="00F43092" w:rsidRDefault="00F43092" w:rsidP="00BD794D">
      <w:pPr>
        <w:spacing w:line="480" w:lineRule="auto"/>
        <w:rPr>
          <w:rFonts w:ascii="Times New Roman" w:hAnsi="Times New Roman" w:cs="Times New Roman"/>
        </w:rPr>
      </w:pPr>
    </w:p>
    <w:p w14:paraId="168BCCC0" w14:textId="77777777" w:rsidR="00F43092" w:rsidRDefault="00F43092" w:rsidP="00BD794D">
      <w:pPr>
        <w:spacing w:line="480" w:lineRule="auto"/>
        <w:rPr>
          <w:rFonts w:ascii="Times New Roman" w:hAnsi="Times New Roman" w:cs="Times New Roman"/>
        </w:rPr>
      </w:pPr>
    </w:p>
    <w:p w14:paraId="4172819A" w14:textId="77777777" w:rsidR="00F43092" w:rsidRDefault="00F43092" w:rsidP="00BD794D">
      <w:pPr>
        <w:spacing w:line="480" w:lineRule="auto"/>
        <w:rPr>
          <w:rFonts w:ascii="Times New Roman" w:hAnsi="Times New Roman" w:cs="Times New Roman"/>
        </w:rPr>
      </w:pPr>
    </w:p>
    <w:p w14:paraId="75682B43" w14:textId="77777777" w:rsidR="00F43092" w:rsidRDefault="00F43092" w:rsidP="00BD794D">
      <w:pPr>
        <w:spacing w:line="480" w:lineRule="auto"/>
        <w:rPr>
          <w:rFonts w:ascii="Times New Roman" w:hAnsi="Times New Roman" w:cs="Times New Roman"/>
        </w:rPr>
      </w:pPr>
    </w:p>
    <w:p w14:paraId="6A4F88EB" w14:textId="77777777" w:rsidR="00F43092" w:rsidRDefault="00F43092" w:rsidP="00BD794D">
      <w:pPr>
        <w:spacing w:line="480" w:lineRule="auto"/>
        <w:rPr>
          <w:rFonts w:ascii="Times New Roman" w:hAnsi="Times New Roman" w:cs="Times New Roman"/>
        </w:rPr>
      </w:pPr>
    </w:p>
    <w:p w14:paraId="0FA51120" w14:textId="77777777" w:rsidR="00F43092" w:rsidRDefault="00F43092" w:rsidP="00BD794D">
      <w:pPr>
        <w:spacing w:line="480" w:lineRule="auto"/>
        <w:rPr>
          <w:rFonts w:ascii="Times New Roman" w:hAnsi="Times New Roman" w:cs="Times New Roman"/>
        </w:rPr>
      </w:pPr>
    </w:p>
    <w:p w14:paraId="6C038C18" w14:textId="77777777" w:rsidR="007D3638" w:rsidRDefault="007D3638" w:rsidP="00BD794D">
      <w:pPr>
        <w:spacing w:line="480" w:lineRule="auto"/>
        <w:rPr>
          <w:rFonts w:ascii="Times New Roman" w:hAnsi="Times New Roman" w:cs="Times New Roman"/>
        </w:rPr>
      </w:pPr>
    </w:p>
    <w:p w14:paraId="6224A84F" w14:textId="3B81576C" w:rsidR="00F43092" w:rsidRPr="007D3638" w:rsidRDefault="00F43092" w:rsidP="00BD794D">
      <w:pPr>
        <w:spacing w:line="480" w:lineRule="auto"/>
        <w:rPr>
          <w:rFonts w:ascii="Times New Roman" w:hAnsi="Times New Roman" w:cs="Times New Roman"/>
          <w:b/>
          <w:bCs/>
          <w:color w:val="BF4E14" w:themeColor="accent2" w:themeShade="BF"/>
        </w:rPr>
      </w:pPr>
      <w:r w:rsidRPr="007D3638">
        <w:rPr>
          <w:rFonts w:ascii="Times New Roman" w:hAnsi="Times New Roman" w:cs="Times New Roman"/>
          <w:b/>
          <w:bCs/>
          <w:color w:val="BF4E14" w:themeColor="accent2" w:themeShade="BF"/>
        </w:rPr>
        <w:lastRenderedPageBreak/>
        <w:t xml:space="preserve">References </w:t>
      </w:r>
    </w:p>
    <w:p w14:paraId="218C437C" w14:textId="77777777" w:rsidR="00F43092" w:rsidRDefault="00F43092" w:rsidP="007D3638">
      <w:pPr>
        <w:spacing w:line="480" w:lineRule="auto"/>
        <w:ind w:left="720" w:hanging="720"/>
        <w:rPr>
          <w:rFonts w:ascii="Times New Roman" w:hAnsi="Times New Roman" w:cs="Times New Roman"/>
          <w:i/>
          <w:iCs/>
        </w:rPr>
      </w:pPr>
      <w:r w:rsidRPr="00F43092">
        <w:rPr>
          <w:rFonts w:ascii="Times New Roman" w:hAnsi="Times New Roman" w:cs="Times New Roman"/>
        </w:rPr>
        <w:t xml:space="preserve">Ajibola, E. B. (2022). </w:t>
      </w:r>
      <w:r w:rsidRPr="00F43092">
        <w:rPr>
          <w:rFonts w:ascii="Times New Roman" w:hAnsi="Times New Roman" w:cs="Times New Roman"/>
          <w:i/>
          <w:iCs/>
        </w:rPr>
        <w:t>An investigation into talent management in the Irish retail sector: A case of Tesco, Aldi and Super Valu [Doctoral dissertation, National College of Ireland].</w:t>
      </w:r>
    </w:p>
    <w:p w14:paraId="669F4C1F" w14:textId="6B99E46F" w:rsidR="007D3638" w:rsidRPr="007D3638" w:rsidRDefault="007D3638" w:rsidP="007D3638">
      <w:pPr>
        <w:spacing w:line="480" w:lineRule="auto"/>
        <w:ind w:left="720" w:hanging="720"/>
        <w:rPr>
          <w:rFonts w:ascii="Times New Roman" w:hAnsi="Times New Roman" w:cs="Times New Roman"/>
        </w:rPr>
      </w:pPr>
      <w:proofErr w:type="spellStart"/>
      <w:r w:rsidRPr="007D3638">
        <w:rPr>
          <w:rFonts w:ascii="Times New Roman" w:hAnsi="Times New Roman" w:cs="Times New Roman"/>
        </w:rPr>
        <w:t>Atrill</w:t>
      </w:r>
      <w:proofErr w:type="spellEnd"/>
      <w:r w:rsidRPr="007D3638">
        <w:rPr>
          <w:rFonts w:ascii="Times New Roman" w:hAnsi="Times New Roman" w:cs="Times New Roman"/>
        </w:rPr>
        <w:t xml:space="preserve">, P., &amp; McLaney, E. (2023). </w:t>
      </w:r>
      <w:r w:rsidRPr="007D3638">
        <w:rPr>
          <w:rFonts w:ascii="Times New Roman" w:hAnsi="Times New Roman" w:cs="Times New Roman"/>
          <w:i/>
          <w:iCs/>
        </w:rPr>
        <w:t>Accounting and Finance for Non-Specialists</w:t>
      </w:r>
      <w:r w:rsidRPr="007D3638">
        <w:rPr>
          <w:rFonts w:ascii="Times New Roman" w:hAnsi="Times New Roman" w:cs="Times New Roman"/>
        </w:rPr>
        <w:t xml:space="preserve"> (12th ed.). Pearson.</w:t>
      </w:r>
    </w:p>
    <w:p w14:paraId="7A03ED2B" w14:textId="08381C14" w:rsidR="007D3638" w:rsidRPr="007D3638" w:rsidRDefault="007D3638" w:rsidP="007D3638">
      <w:pPr>
        <w:spacing w:line="480" w:lineRule="auto"/>
        <w:ind w:left="720" w:hanging="720"/>
        <w:rPr>
          <w:rFonts w:ascii="Times New Roman" w:hAnsi="Times New Roman" w:cs="Times New Roman"/>
        </w:rPr>
      </w:pPr>
      <w:r w:rsidRPr="007D3638">
        <w:rPr>
          <w:rFonts w:ascii="Times New Roman" w:hAnsi="Times New Roman" w:cs="Times New Roman"/>
        </w:rPr>
        <w:t xml:space="preserve">Brigham, E. F., &amp; Ehrhardt, M. C. (2022). </w:t>
      </w:r>
      <w:r w:rsidRPr="007D3638">
        <w:rPr>
          <w:rFonts w:ascii="Times New Roman" w:hAnsi="Times New Roman" w:cs="Times New Roman"/>
          <w:i/>
          <w:iCs/>
        </w:rPr>
        <w:t>Financial Management: Theory and Practice</w:t>
      </w:r>
      <w:r w:rsidRPr="007D3638">
        <w:rPr>
          <w:rFonts w:ascii="Times New Roman" w:hAnsi="Times New Roman" w:cs="Times New Roman"/>
        </w:rPr>
        <w:t xml:space="preserve"> (16th ed.). Cengage.</w:t>
      </w:r>
    </w:p>
    <w:p w14:paraId="1D05A0F3"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Choi, J., &amp; Wang, H. (2009). Stakeholder relations and the persistence of corporate financial performance.</w:t>
      </w:r>
      <w:r w:rsidRPr="00F43092">
        <w:rPr>
          <w:rFonts w:ascii="Times New Roman" w:hAnsi="Times New Roman" w:cs="Times New Roman"/>
          <w:i/>
          <w:iCs/>
        </w:rPr>
        <w:t> Strategic Management Journal, 30(</w:t>
      </w:r>
      <w:r w:rsidRPr="00F43092">
        <w:rPr>
          <w:rFonts w:ascii="Times New Roman" w:hAnsi="Times New Roman" w:cs="Times New Roman"/>
        </w:rPr>
        <w:t>8), 895–907.</w:t>
      </w:r>
    </w:p>
    <w:p w14:paraId="7BFC46E4"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Dyson, J. R. (2010).</w:t>
      </w:r>
      <w:r w:rsidRPr="00F43092">
        <w:rPr>
          <w:rFonts w:ascii="Times New Roman" w:hAnsi="Times New Roman" w:cs="Times New Roman"/>
          <w:i/>
          <w:iCs/>
        </w:rPr>
        <w:t> Accounting for non‐accounting students</w:t>
      </w:r>
      <w:r w:rsidRPr="00F43092">
        <w:rPr>
          <w:rFonts w:ascii="Times New Roman" w:hAnsi="Times New Roman" w:cs="Times New Roman"/>
        </w:rPr>
        <w:t xml:space="preserve"> (8th ed.). Pearson.</w:t>
      </w:r>
    </w:p>
    <w:p w14:paraId="18389703" w14:textId="77777777" w:rsidR="00F43092" w:rsidRDefault="00F43092" w:rsidP="007D3638">
      <w:pPr>
        <w:spacing w:line="480" w:lineRule="auto"/>
        <w:ind w:left="720" w:hanging="720"/>
        <w:rPr>
          <w:rFonts w:ascii="Times New Roman" w:hAnsi="Times New Roman" w:cs="Times New Roman"/>
        </w:rPr>
      </w:pPr>
      <w:proofErr w:type="spellStart"/>
      <w:r w:rsidRPr="00F43092">
        <w:rPr>
          <w:rFonts w:ascii="Times New Roman" w:hAnsi="Times New Roman" w:cs="Times New Roman"/>
        </w:rPr>
        <w:t>Effendie</w:t>
      </w:r>
      <w:proofErr w:type="spellEnd"/>
      <w:r w:rsidRPr="00F43092">
        <w:rPr>
          <w:rFonts w:ascii="Times New Roman" w:hAnsi="Times New Roman" w:cs="Times New Roman"/>
        </w:rPr>
        <w:t xml:space="preserve">, J. M., </w:t>
      </w:r>
      <w:proofErr w:type="spellStart"/>
      <w:r w:rsidRPr="00F43092">
        <w:rPr>
          <w:rFonts w:ascii="Times New Roman" w:hAnsi="Times New Roman" w:cs="Times New Roman"/>
        </w:rPr>
        <w:t>Manafe</w:t>
      </w:r>
      <w:proofErr w:type="spellEnd"/>
      <w:r w:rsidRPr="00F43092">
        <w:rPr>
          <w:rFonts w:ascii="Times New Roman" w:hAnsi="Times New Roman" w:cs="Times New Roman"/>
        </w:rPr>
        <w:t>, H. A., &amp; Man, S. (2022). Analysis of the effect of liquidity ratios, solvency and activity on the financial performance of the company (Literature Review of Corporate Financial Management).</w:t>
      </w:r>
      <w:r w:rsidRPr="00F43092">
        <w:rPr>
          <w:rFonts w:ascii="Times New Roman" w:hAnsi="Times New Roman" w:cs="Times New Roman"/>
          <w:i/>
          <w:iCs/>
        </w:rPr>
        <w:t> Dinasti International Journal of Economics, Finance &amp; Accounting (DIJEFA), 3(</w:t>
      </w:r>
      <w:r w:rsidRPr="00F43092">
        <w:rPr>
          <w:rFonts w:ascii="Times New Roman" w:hAnsi="Times New Roman" w:cs="Times New Roman"/>
        </w:rPr>
        <w:t>5).</w:t>
      </w:r>
    </w:p>
    <w:p w14:paraId="0DC025E6" w14:textId="08DBF00B" w:rsidR="007D3638" w:rsidRPr="00F43092" w:rsidRDefault="007D3638" w:rsidP="007D3638">
      <w:pPr>
        <w:spacing w:line="480" w:lineRule="auto"/>
        <w:ind w:left="720" w:hanging="720"/>
        <w:rPr>
          <w:rFonts w:ascii="Times New Roman" w:hAnsi="Times New Roman" w:cs="Times New Roman"/>
        </w:rPr>
      </w:pPr>
      <w:r w:rsidRPr="007D3638">
        <w:rPr>
          <w:rFonts w:ascii="Times New Roman" w:hAnsi="Times New Roman" w:cs="Times New Roman"/>
        </w:rPr>
        <w:t>Eccles, R. G., Ioannou, I., &amp; Serafeim, G. (2014). “The Impact of Corporate Sustainability on Organi</w:t>
      </w:r>
      <w:r>
        <w:rPr>
          <w:rFonts w:ascii="Times New Roman" w:hAnsi="Times New Roman" w:cs="Times New Roman"/>
        </w:rPr>
        <w:t>s</w:t>
      </w:r>
      <w:r w:rsidRPr="007D3638">
        <w:rPr>
          <w:rFonts w:ascii="Times New Roman" w:hAnsi="Times New Roman" w:cs="Times New Roman"/>
        </w:rPr>
        <w:t xml:space="preserve">ational Processes and Performance.” </w:t>
      </w:r>
      <w:r w:rsidRPr="00AE4789">
        <w:rPr>
          <w:rFonts w:ascii="Times New Roman" w:hAnsi="Times New Roman" w:cs="Times New Roman"/>
          <w:i/>
          <w:iCs/>
        </w:rPr>
        <w:t>Management Science, 60(</w:t>
      </w:r>
      <w:r w:rsidRPr="007D3638">
        <w:rPr>
          <w:rFonts w:ascii="Times New Roman" w:hAnsi="Times New Roman" w:cs="Times New Roman"/>
        </w:rPr>
        <w:t>11), 2835–2857.</w:t>
      </w:r>
    </w:p>
    <w:p w14:paraId="4E05FD12" w14:textId="77777777" w:rsidR="00F43092" w:rsidRPr="00F43092" w:rsidRDefault="00F43092" w:rsidP="007D3638">
      <w:pPr>
        <w:spacing w:line="480" w:lineRule="auto"/>
        <w:ind w:left="720" w:hanging="720"/>
        <w:rPr>
          <w:rFonts w:ascii="Times New Roman" w:hAnsi="Times New Roman" w:cs="Times New Roman"/>
        </w:rPr>
      </w:pPr>
      <w:proofErr w:type="spellStart"/>
      <w:r w:rsidRPr="00F43092">
        <w:rPr>
          <w:rFonts w:ascii="Times New Roman" w:hAnsi="Times New Roman" w:cs="Times New Roman"/>
        </w:rPr>
        <w:t>Faccia</w:t>
      </w:r>
      <w:proofErr w:type="spellEnd"/>
      <w:r w:rsidRPr="00F43092">
        <w:rPr>
          <w:rFonts w:ascii="Times New Roman" w:hAnsi="Times New Roman" w:cs="Times New Roman"/>
        </w:rPr>
        <w:t>, A., McDonald, J., &amp; George, B. (2023). NLP sentiment analysis and accounting transparency: A new era of financial record keeping.</w:t>
      </w:r>
      <w:r w:rsidRPr="00F43092">
        <w:rPr>
          <w:rFonts w:ascii="Times New Roman" w:hAnsi="Times New Roman" w:cs="Times New Roman"/>
          <w:i/>
          <w:iCs/>
        </w:rPr>
        <w:t> Computers, 13(</w:t>
      </w:r>
      <w:r w:rsidRPr="00F43092">
        <w:rPr>
          <w:rFonts w:ascii="Times New Roman" w:hAnsi="Times New Roman" w:cs="Times New Roman"/>
        </w:rPr>
        <w:t>1), 5.</w:t>
      </w:r>
    </w:p>
    <w:p w14:paraId="56CA711B" w14:textId="77777777" w:rsidR="00F43092" w:rsidRPr="00F43092" w:rsidRDefault="00F43092" w:rsidP="007D3638">
      <w:pPr>
        <w:spacing w:line="480" w:lineRule="auto"/>
        <w:ind w:left="720" w:hanging="720"/>
        <w:rPr>
          <w:rFonts w:ascii="Times New Roman" w:hAnsi="Times New Roman" w:cs="Times New Roman"/>
          <w:i/>
          <w:iCs/>
        </w:rPr>
      </w:pPr>
      <w:proofErr w:type="spellStart"/>
      <w:r w:rsidRPr="00F43092">
        <w:rPr>
          <w:rFonts w:ascii="Times New Roman" w:hAnsi="Times New Roman" w:cs="Times New Roman"/>
        </w:rPr>
        <w:t>Hasidi</w:t>
      </w:r>
      <w:proofErr w:type="spellEnd"/>
      <w:r w:rsidRPr="00F43092">
        <w:rPr>
          <w:rFonts w:ascii="Times New Roman" w:hAnsi="Times New Roman" w:cs="Times New Roman"/>
        </w:rPr>
        <w:t xml:space="preserve">, M. H., </w:t>
      </w:r>
      <w:proofErr w:type="spellStart"/>
      <w:r w:rsidRPr="00F43092">
        <w:rPr>
          <w:rFonts w:ascii="Times New Roman" w:hAnsi="Times New Roman" w:cs="Times New Roman"/>
        </w:rPr>
        <w:t>Baheri</w:t>
      </w:r>
      <w:proofErr w:type="spellEnd"/>
      <w:r w:rsidRPr="00F43092">
        <w:rPr>
          <w:rFonts w:ascii="Times New Roman" w:hAnsi="Times New Roman" w:cs="Times New Roman"/>
        </w:rPr>
        <w:t xml:space="preserve">, J., &amp; Hajar, K. I. (2024). </w:t>
      </w:r>
      <w:r w:rsidRPr="00F43092">
        <w:rPr>
          <w:rFonts w:ascii="Times New Roman" w:hAnsi="Times New Roman" w:cs="Times New Roman"/>
          <w:i/>
          <w:iCs/>
        </w:rPr>
        <w:t>Financial performance evaluation using profitability and liquidity ratio analysis.</w:t>
      </w:r>
    </w:p>
    <w:p w14:paraId="2F620348" w14:textId="77777777" w:rsidR="00F43092" w:rsidRPr="00F43092" w:rsidRDefault="00F43092" w:rsidP="007D3638">
      <w:pPr>
        <w:spacing w:line="480" w:lineRule="auto"/>
        <w:ind w:left="720" w:hanging="720"/>
        <w:rPr>
          <w:rFonts w:ascii="Times New Roman" w:hAnsi="Times New Roman" w:cs="Times New Roman"/>
          <w:i/>
          <w:iCs/>
        </w:rPr>
      </w:pPr>
      <w:r w:rsidRPr="00F43092">
        <w:rPr>
          <w:rFonts w:ascii="Times New Roman" w:hAnsi="Times New Roman" w:cs="Times New Roman"/>
        </w:rPr>
        <w:lastRenderedPageBreak/>
        <w:t>Kumar, G. N., Reddy, P. S., &amp; Krishna, M. S. R. (n.d</w:t>
      </w:r>
      <w:r w:rsidRPr="00F43092">
        <w:rPr>
          <w:rFonts w:ascii="Times New Roman" w:hAnsi="Times New Roman" w:cs="Times New Roman"/>
          <w:i/>
          <w:iCs/>
        </w:rPr>
        <w:t>.). Performance analysis through financial modelling.</w:t>
      </w:r>
    </w:p>
    <w:p w14:paraId="5E24BF44"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Li, S. (2023). Analysis of Tesco's financial status quo-Based on financial ratio analysis.</w:t>
      </w:r>
      <w:r w:rsidRPr="00F43092">
        <w:rPr>
          <w:rFonts w:ascii="Times New Roman" w:hAnsi="Times New Roman" w:cs="Times New Roman"/>
          <w:i/>
          <w:iCs/>
        </w:rPr>
        <w:t xml:space="preserve"> Advances in Economics, Management and Political Sciences, </w:t>
      </w:r>
      <w:r w:rsidRPr="00F43092">
        <w:rPr>
          <w:rFonts w:ascii="Times New Roman" w:hAnsi="Times New Roman" w:cs="Times New Roman"/>
        </w:rPr>
        <w:t>30, 103–109.</w:t>
      </w:r>
    </w:p>
    <w:p w14:paraId="42CA72F0"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Lucey, T. (2009). </w:t>
      </w:r>
      <w:r w:rsidRPr="00F43092">
        <w:rPr>
          <w:rFonts w:ascii="Times New Roman" w:hAnsi="Times New Roman" w:cs="Times New Roman"/>
          <w:i/>
          <w:iCs/>
        </w:rPr>
        <w:t>Costing</w:t>
      </w:r>
      <w:r w:rsidRPr="00F43092">
        <w:rPr>
          <w:rFonts w:ascii="Times New Roman" w:hAnsi="Times New Roman" w:cs="Times New Roman"/>
        </w:rPr>
        <w:t xml:space="preserve"> (7th ed.). Cengage Learning.</w:t>
      </w:r>
    </w:p>
    <w:p w14:paraId="6BA835DB"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Madushanka, K. H., &amp; Jathurika, M. (2018). The impact of liquidity ratios on profitability.</w:t>
      </w:r>
      <w:r w:rsidRPr="00F43092">
        <w:rPr>
          <w:rFonts w:ascii="Times New Roman" w:hAnsi="Times New Roman" w:cs="Times New Roman"/>
          <w:i/>
          <w:iCs/>
        </w:rPr>
        <w:t> International Research Journal of Advanced Engineering and Science, 3(</w:t>
      </w:r>
      <w:r w:rsidRPr="00F43092">
        <w:rPr>
          <w:rFonts w:ascii="Times New Roman" w:hAnsi="Times New Roman" w:cs="Times New Roman"/>
        </w:rPr>
        <w:t>4), 157–161.</w:t>
      </w:r>
    </w:p>
    <w:p w14:paraId="2F26F624"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Rashid, C. A. (2018). Efficiency of financial ratios analysis for evaluating companies’ liquidity.</w:t>
      </w:r>
      <w:r w:rsidRPr="007D3638">
        <w:rPr>
          <w:rFonts w:ascii="Times New Roman" w:hAnsi="Times New Roman" w:cs="Times New Roman"/>
          <w:i/>
          <w:iCs/>
        </w:rPr>
        <w:t> International Journal of Social Sciences &amp; Educational Studies, 4(</w:t>
      </w:r>
      <w:r w:rsidRPr="00F43092">
        <w:rPr>
          <w:rFonts w:ascii="Times New Roman" w:hAnsi="Times New Roman" w:cs="Times New Roman"/>
        </w:rPr>
        <w:t>4), 110–123.</w:t>
      </w:r>
    </w:p>
    <w:p w14:paraId="04BD85FE" w14:textId="77777777"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 xml:space="preserve">Smith, D. (2023). Logistics in Tesco: Past, present and future. In </w:t>
      </w:r>
      <w:r w:rsidRPr="007D3638">
        <w:rPr>
          <w:rFonts w:ascii="Times New Roman" w:hAnsi="Times New Roman" w:cs="Times New Roman"/>
          <w:i/>
          <w:iCs/>
        </w:rPr>
        <w:t>Logistics and retail management insights into current practice and trends from leading expert</w:t>
      </w:r>
      <w:r w:rsidRPr="00F43092">
        <w:rPr>
          <w:rFonts w:ascii="Times New Roman" w:hAnsi="Times New Roman" w:cs="Times New Roman"/>
        </w:rPr>
        <w:t>s (pp. 154–183). CRC Press.</w:t>
      </w:r>
    </w:p>
    <w:p w14:paraId="75CA1C9D" w14:textId="7C16E6D2"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Tesco PLC. (2023).</w:t>
      </w:r>
      <w:r w:rsidRPr="007D3638">
        <w:rPr>
          <w:rFonts w:ascii="Times New Roman" w:hAnsi="Times New Roman" w:cs="Times New Roman"/>
          <w:i/>
          <w:iCs/>
        </w:rPr>
        <w:t> Tesco PLC Annual Report &amp; Financial Statements 2023</w:t>
      </w:r>
      <w:r w:rsidRPr="00F43092">
        <w:rPr>
          <w:rFonts w:ascii="Times New Roman" w:hAnsi="Times New Roman" w:cs="Times New Roman"/>
        </w:rPr>
        <w:t xml:space="preserve">. Tesco PLC. Retrieved from: </w:t>
      </w:r>
      <w:hyperlink r:id="rId8" w:history="1">
        <w:r w:rsidR="007D3638" w:rsidRPr="007672A4">
          <w:rPr>
            <w:rStyle w:val="Hyperlink"/>
            <w:rFonts w:ascii="Times New Roman" w:hAnsi="Times New Roman" w:cs="Times New Roman"/>
          </w:rPr>
          <w:t>https://www.tescoplc.com/media/u1wlq2qf/tesco-plc-annual-report-2023.pdf</w:t>
        </w:r>
      </w:hyperlink>
      <w:r w:rsidR="007D3638">
        <w:rPr>
          <w:rFonts w:ascii="Times New Roman" w:hAnsi="Times New Roman" w:cs="Times New Roman"/>
        </w:rPr>
        <w:t xml:space="preserve"> </w:t>
      </w:r>
    </w:p>
    <w:p w14:paraId="65B8ADD7" w14:textId="1F9C0614" w:rsidR="00F43092" w:rsidRPr="00F43092"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Tesco PLC. (2024).</w:t>
      </w:r>
      <w:r w:rsidRPr="007D3638">
        <w:rPr>
          <w:rFonts w:ascii="Times New Roman" w:hAnsi="Times New Roman" w:cs="Times New Roman"/>
          <w:i/>
          <w:iCs/>
        </w:rPr>
        <w:t> Tesco PLC Annual Report and Financial Statements 2024</w:t>
      </w:r>
      <w:r w:rsidRPr="00F43092">
        <w:rPr>
          <w:rFonts w:ascii="Times New Roman" w:hAnsi="Times New Roman" w:cs="Times New Roman"/>
        </w:rPr>
        <w:t xml:space="preserve">. Tesco PLC. Retrieved from: </w:t>
      </w:r>
      <w:hyperlink r:id="rId9" w:history="1">
        <w:r w:rsidR="007D3638" w:rsidRPr="007672A4">
          <w:rPr>
            <w:rStyle w:val="Hyperlink"/>
            <w:rFonts w:ascii="Times New Roman" w:hAnsi="Times New Roman" w:cs="Times New Roman"/>
          </w:rPr>
          <w:t>https://www.tescoplc.com/media/zgvhd0dn/tescos_ar24.pdf</w:t>
        </w:r>
      </w:hyperlink>
      <w:r w:rsidR="007D3638">
        <w:rPr>
          <w:rFonts w:ascii="Times New Roman" w:hAnsi="Times New Roman" w:cs="Times New Roman"/>
        </w:rPr>
        <w:t xml:space="preserve"> </w:t>
      </w:r>
    </w:p>
    <w:p w14:paraId="4D9261EF" w14:textId="78F20637" w:rsidR="00F43092" w:rsidRPr="00BD794D" w:rsidRDefault="00F43092" w:rsidP="007D3638">
      <w:pPr>
        <w:spacing w:line="480" w:lineRule="auto"/>
        <w:ind w:left="720" w:hanging="720"/>
        <w:rPr>
          <w:rFonts w:ascii="Times New Roman" w:hAnsi="Times New Roman" w:cs="Times New Roman"/>
        </w:rPr>
      </w:pPr>
      <w:r w:rsidRPr="00F43092">
        <w:rPr>
          <w:rFonts w:ascii="Times New Roman" w:hAnsi="Times New Roman" w:cs="Times New Roman"/>
        </w:rPr>
        <w:t>Wood, F. (2015).</w:t>
      </w:r>
      <w:r w:rsidRPr="007D3638">
        <w:rPr>
          <w:rFonts w:ascii="Times New Roman" w:hAnsi="Times New Roman" w:cs="Times New Roman"/>
          <w:i/>
          <w:iCs/>
        </w:rPr>
        <w:t> Frank Wood’s Business Accounting 1</w:t>
      </w:r>
      <w:r w:rsidRPr="00F43092">
        <w:rPr>
          <w:rFonts w:ascii="Times New Roman" w:hAnsi="Times New Roman" w:cs="Times New Roman"/>
        </w:rPr>
        <w:t xml:space="preserve"> (13th ed.). FT Pitman Publications.</w:t>
      </w:r>
    </w:p>
    <w:sectPr w:rsidR="00F43092" w:rsidRPr="00BD794D" w:rsidSect="007D3638">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627D7" w14:textId="77777777" w:rsidR="00DA17D1" w:rsidRDefault="00DA17D1" w:rsidP="007D3638">
      <w:pPr>
        <w:spacing w:after="0" w:line="240" w:lineRule="auto"/>
      </w:pPr>
      <w:r>
        <w:separator/>
      </w:r>
    </w:p>
  </w:endnote>
  <w:endnote w:type="continuationSeparator" w:id="0">
    <w:p w14:paraId="62F072B6" w14:textId="77777777" w:rsidR="00DA17D1" w:rsidRDefault="00DA17D1" w:rsidP="007D3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6A3B1" w14:textId="77777777" w:rsidR="00DA17D1" w:rsidRDefault="00DA17D1" w:rsidP="007D3638">
      <w:pPr>
        <w:spacing w:after="0" w:line="240" w:lineRule="auto"/>
      </w:pPr>
      <w:r>
        <w:separator/>
      </w:r>
    </w:p>
  </w:footnote>
  <w:footnote w:type="continuationSeparator" w:id="0">
    <w:p w14:paraId="77FF4394" w14:textId="77777777" w:rsidR="00DA17D1" w:rsidRDefault="00DA17D1" w:rsidP="007D3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309075"/>
      <w:docPartObj>
        <w:docPartGallery w:val="Page Numbers (Top of Page)"/>
        <w:docPartUnique/>
      </w:docPartObj>
    </w:sdtPr>
    <w:sdtEndPr>
      <w:rPr>
        <w:noProof/>
      </w:rPr>
    </w:sdtEndPr>
    <w:sdtContent>
      <w:p w14:paraId="5E92B6A1" w14:textId="3EA06E12" w:rsidR="007D3638" w:rsidRDefault="007D363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3D0716" w14:textId="77777777" w:rsidR="007D3638" w:rsidRDefault="007D3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A390D"/>
    <w:multiLevelType w:val="hybridMultilevel"/>
    <w:tmpl w:val="C5247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07779"/>
    <w:multiLevelType w:val="hybridMultilevel"/>
    <w:tmpl w:val="01AA3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100C4F"/>
    <w:multiLevelType w:val="hybridMultilevel"/>
    <w:tmpl w:val="DEFE5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550CC"/>
    <w:multiLevelType w:val="hybridMultilevel"/>
    <w:tmpl w:val="90E41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164E12"/>
    <w:multiLevelType w:val="hybridMultilevel"/>
    <w:tmpl w:val="BF964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A8086F"/>
    <w:multiLevelType w:val="hybridMultilevel"/>
    <w:tmpl w:val="761EF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B9547E"/>
    <w:multiLevelType w:val="hybridMultilevel"/>
    <w:tmpl w:val="6012F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F816B1"/>
    <w:multiLevelType w:val="hybridMultilevel"/>
    <w:tmpl w:val="85CC5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3958A1"/>
    <w:multiLevelType w:val="hybridMultilevel"/>
    <w:tmpl w:val="DBDAF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8330066">
    <w:abstractNumId w:val="8"/>
  </w:num>
  <w:num w:numId="2" w16cid:durableId="276448858">
    <w:abstractNumId w:val="2"/>
  </w:num>
  <w:num w:numId="3" w16cid:durableId="486748008">
    <w:abstractNumId w:val="6"/>
  </w:num>
  <w:num w:numId="4" w16cid:durableId="1551988857">
    <w:abstractNumId w:val="7"/>
  </w:num>
  <w:num w:numId="5" w16cid:durableId="1193885484">
    <w:abstractNumId w:val="4"/>
  </w:num>
  <w:num w:numId="6" w16cid:durableId="1488092488">
    <w:abstractNumId w:val="0"/>
  </w:num>
  <w:num w:numId="7" w16cid:durableId="162937662">
    <w:abstractNumId w:val="1"/>
  </w:num>
  <w:num w:numId="8" w16cid:durableId="1685327303">
    <w:abstractNumId w:val="5"/>
  </w:num>
  <w:num w:numId="9" w16cid:durableId="1905409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4D"/>
    <w:rsid w:val="007D3638"/>
    <w:rsid w:val="008C470D"/>
    <w:rsid w:val="008F6BEE"/>
    <w:rsid w:val="00AE4789"/>
    <w:rsid w:val="00BD794D"/>
    <w:rsid w:val="00DA17D1"/>
    <w:rsid w:val="00F43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52301"/>
  <w15:chartTrackingRefBased/>
  <w15:docId w15:val="{E80C9BC8-0C25-490C-8567-00EC41E50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9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9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9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9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9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9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9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9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9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9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9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9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9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9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9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9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9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94D"/>
    <w:rPr>
      <w:rFonts w:eastAsiaTheme="majorEastAsia" w:cstheme="majorBidi"/>
      <w:color w:val="272727" w:themeColor="text1" w:themeTint="D8"/>
    </w:rPr>
  </w:style>
  <w:style w:type="paragraph" w:styleId="Title">
    <w:name w:val="Title"/>
    <w:basedOn w:val="Normal"/>
    <w:next w:val="Normal"/>
    <w:link w:val="TitleChar"/>
    <w:uiPriority w:val="10"/>
    <w:qFormat/>
    <w:rsid w:val="00BD79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9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9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9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94D"/>
    <w:pPr>
      <w:spacing w:before="160"/>
      <w:jc w:val="center"/>
    </w:pPr>
    <w:rPr>
      <w:i/>
      <w:iCs/>
      <w:color w:val="404040" w:themeColor="text1" w:themeTint="BF"/>
    </w:rPr>
  </w:style>
  <w:style w:type="character" w:customStyle="1" w:styleId="QuoteChar">
    <w:name w:val="Quote Char"/>
    <w:basedOn w:val="DefaultParagraphFont"/>
    <w:link w:val="Quote"/>
    <w:uiPriority w:val="29"/>
    <w:rsid w:val="00BD794D"/>
    <w:rPr>
      <w:i/>
      <w:iCs/>
      <w:color w:val="404040" w:themeColor="text1" w:themeTint="BF"/>
    </w:rPr>
  </w:style>
  <w:style w:type="paragraph" w:styleId="ListParagraph">
    <w:name w:val="List Paragraph"/>
    <w:basedOn w:val="Normal"/>
    <w:uiPriority w:val="34"/>
    <w:qFormat/>
    <w:rsid w:val="00BD794D"/>
    <w:pPr>
      <w:ind w:left="720"/>
      <w:contextualSpacing/>
    </w:pPr>
  </w:style>
  <w:style w:type="character" w:styleId="IntenseEmphasis">
    <w:name w:val="Intense Emphasis"/>
    <w:basedOn w:val="DefaultParagraphFont"/>
    <w:uiPriority w:val="21"/>
    <w:qFormat/>
    <w:rsid w:val="00BD794D"/>
    <w:rPr>
      <w:i/>
      <w:iCs/>
      <w:color w:val="0F4761" w:themeColor="accent1" w:themeShade="BF"/>
    </w:rPr>
  </w:style>
  <w:style w:type="paragraph" w:styleId="IntenseQuote">
    <w:name w:val="Intense Quote"/>
    <w:basedOn w:val="Normal"/>
    <w:next w:val="Normal"/>
    <w:link w:val="IntenseQuoteChar"/>
    <w:uiPriority w:val="30"/>
    <w:qFormat/>
    <w:rsid w:val="00BD79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94D"/>
    <w:rPr>
      <w:i/>
      <w:iCs/>
      <w:color w:val="0F4761" w:themeColor="accent1" w:themeShade="BF"/>
    </w:rPr>
  </w:style>
  <w:style w:type="character" w:styleId="IntenseReference">
    <w:name w:val="Intense Reference"/>
    <w:basedOn w:val="DefaultParagraphFont"/>
    <w:uiPriority w:val="32"/>
    <w:qFormat/>
    <w:rsid w:val="00BD794D"/>
    <w:rPr>
      <w:b/>
      <w:bCs/>
      <w:smallCaps/>
      <w:color w:val="0F4761" w:themeColor="accent1" w:themeShade="BF"/>
      <w:spacing w:val="5"/>
    </w:rPr>
  </w:style>
  <w:style w:type="character" w:styleId="Hyperlink">
    <w:name w:val="Hyperlink"/>
    <w:basedOn w:val="DefaultParagraphFont"/>
    <w:uiPriority w:val="99"/>
    <w:unhideWhenUsed/>
    <w:rsid w:val="007D3638"/>
    <w:rPr>
      <w:color w:val="467886" w:themeColor="hyperlink"/>
      <w:u w:val="single"/>
    </w:rPr>
  </w:style>
  <w:style w:type="character" w:styleId="UnresolvedMention">
    <w:name w:val="Unresolved Mention"/>
    <w:basedOn w:val="DefaultParagraphFont"/>
    <w:uiPriority w:val="99"/>
    <w:semiHidden/>
    <w:unhideWhenUsed/>
    <w:rsid w:val="007D3638"/>
    <w:rPr>
      <w:color w:val="605E5C"/>
      <w:shd w:val="clear" w:color="auto" w:fill="E1DFDD"/>
    </w:rPr>
  </w:style>
  <w:style w:type="paragraph" w:styleId="Header">
    <w:name w:val="header"/>
    <w:basedOn w:val="Normal"/>
    <w:link w:val="HeaderChar"/>
    <w:uiPriority w:val="99"/>
    <w:unhideWhenUsed/>
    <w:rsid w:val="007D3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638"/>
  </w:style>
  <w:style w:type="paragraph" w:styleId="Footer">
    <w:name w:val="footer"/>
    <w:basedOn w:val="Normal"/>
    <w:link w:val="FooterChar"/>
    <w:uiPriority w:val="99"/>
    <w:unhideWhenUsed/>
    <w:rsid w:val="007D3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638"/>
  </w:style>
  <w:style w:type="paragraph" w:styleId="NoSpacing">
    <w:name w:val="No Spacing"/>
    <w:link w:val="NoSpacingChar"/>
    <w:uiPriority w:val="1"/>
    <w:qFormat/>
    <w:rsid w:val="007D363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D363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7029215">
      <w:bodyDiv w:val="1"/>
      <w:marLeft w:val="0"/>
      <w:marRight w:val="0"/>
      <w:marTop w:val="0"/>
      <w:marBottom w:val="0"/>
      <w:divBdr>
        <w:top w:val="none" w:sz="0" w:space="0" w:color="auto"/>
        <w:left w:val="none" w:sz="0" w:space="0" w:color="auto"/>
        <w:bottom w:val="none" w:sz="0" w:space="0" w:color="auto"/>
        <w:right w:val="none" w:sz="0" w:space="0" w:color="auto"/>
      </w:divBdr>
    </w:div>
    <w:div w:id="150215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media/u1wlq2qf/tesco-plc-annual-report-2023.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escoplc.com/media/zgvhd0dn/tescos_ar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BMSP4011D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Module: Financial Management For Business Sustainability</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Student name: Nicola Fabiola Stoian</dc:creator>
  <cp:keywords/>
  <dc:description/>
  <cp:lastModifiedBy>Mirabela Voican (1907947)</cp:lastModifiedBy>
  <cp:revision>1</cp:revision>
  <dcterms:created xsi:type="dcterms:W3CDTF">2025-07-07T13:55:00Z</dcterms:created>
  <dcterms:modified xsi:type="dcterms:W3CDTF">2025-07-07T14:38:00Z</dcterms:modified>
</cp:coreProperties>
</file>