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EBF3FB"/>
  <w:body>
    <w:p w14:paraId="2FA32946" w14:textId="77777777" w:rsidR="0019035D" w:rsidRDefault="0019035D" w:rsidP="00915E83"/>
    <w:p w14:paraId="1DA0C582" w14:textId="1BEBDA28" w:rsidR="00675684" w:rsidRPr="00A67F93" w:rsidRDefault="00A67F93" w:rsidP="00A67F93">
      <w:pPr>
        <w:pStyle w:val="Title"/>
        <w:jc w:val="center"/>
      </w:pPr>
      <w:r w:rsidRPr="00A67F93">
        <w:t>Enhancing Performance Through Coaching and Mentoring: A Reflective Evaluation</w:t>
      </w:r>
    </w:p>
    <w:p w14:paraId="585E2878" w14:textId="77777777" w:rsidR="0019035D" w:rsidRDefault="0019035D" w:rsidP="00915E83"/>
    <w:p w14:paraId="4624FFD7" w14:textId="77777777" w:rsidR="0019035D" w:rsidRDefault="0019035D" w:rsidP="00915E83"/>
    <w:p w14:paraId="3BE6F3C3" w14:textId="4275DF03" w:rsidR="00915E83" w:rsidRPr="0019035D" w:rsidRDefault="00915E83" w:rsidP="0019035D">
      <w:pPr>
        <w:jc w:val="center"/>
      </w:pPr>
      <w:r>
        <w:rPr>
          <w:noProof/>
        </w:rPr>
        <w:drawing>
          <wp:inline distT="0" distB="0" distL="0" distR="0" wp14:anchorId="0F04EAC2" wp14:editId="4B096509">
            <wp:extent cx="5943600" cy="3343275"/>
            <wp:effectExtent l="19050" t="0" r="19050" b="981075"/>
            <wp:docPr id="692216411" name="Picture 1" descr="A hand holding a blue sphe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216411" name="Picture 1" descr="A hand holding a blue spher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0019035D" w:rsidRPr="0019035D">
        <w:rPr>
          <w:rFonts w:ascii="Arial" w:hAnsi="Arial" w:cs="Arial"/>
          <w:color w:val="0A2F41" w:themeColor="accent1" w:themeShade="80"/>
        </w:rPr>
        <w:t xml:space="preserve">Source image: </w:t>
      </w:r>
      <w:r w:rsidRPr="0019035D">
        <w:rPr>
          <w:rFonts w:ascii="Arial" w:hAnsi="Arial" w:cs="Arial"/>
          <w:color w:val="0A2F41" w:themeColor="accent1" w:themeShade="80"/>
        </w:rPr>
        <w:t>Harvard Business Review Home</w:t>
      </w:r>
    </w:p>
    <w:p w14:paraId="1DDD0140" w14:textId="77777777" w:rsidR="009A234F" w:rsidRDefault="009A234F" w:rsidP="00915E83"/>
    <w:tbl>
      <w:tblPr>
        <w:tblStyle w:val="TableGrid"/>
        <w:tblpPr w:leftFromText="141" w:rightFromText="141" w:vertAnchor="text" w:horzAnchor="margin" w:tblpY="219"/>
        <w:tblW w:w="0" w:type="auto"/>
        <w:tblBorders>
          <w:top w:val="single" w:sz="4" w:space="0" w:color="0A2F41" w:themeColor="accent1" w:themeShade="80"/>
          <w:left w:val="single" w:sz="4" w:space="0" w:color="0A2F41" w:themeColor="accent1" w:themeShade="80"/>
          <w:bottom w:val="single" w:sz="4" w:space="0" w:color="0A2F41" w:themeColor="accent1" w:themeShade="80"/>
          <w:right w:val="single" w:sz="4" w:space="0" w:color="0A2F41" w:themeColor="accent1" w:themeShade="80"/>
          <w:insideH w:val="single" w:sz="4" w:space="0" w:color="0A2F41" w:themeColor="accent1" w:themeShade="80"/>
          <w:insideV w:val="single" w:sz="4" w:space="0" w:color="0A2F41" w:themeColor="accent1" w:themeShade="80"/>
        </w:tblBorders>
        <w:shd w:val="clear" w:color="auto" w:fill="A6BED2"/>
        <w:tblLook w:val="04A0" w:firstRow="1" w:lastRow="0" w:firstColumn="1" w:lastColumn="0" w:noHBand="0" w:noVBand="1"/>
      </w:tblPr>
      <w:tblGrid>
        <w:gridCol w:w="4615"/>
        <w:gridCol w:w="4615"/>
      </w:tblGrid>
      <w:tr w:rsidR="009A234F" w14:paraId="03E8BF0D" w14:textId="77777777" w:rsidTr="009A234F">
        <w:trPr>
          <w:trHeight w:val="373"/>
        </w:trPr>
        <w:tc>
          <w:tcPr>
            <w:tcW w:w="4615" w:type="dxa"/>
            <w:shd w:val="clear" w:color="auto" w:fill="A6BED2"/>
          </w:tcPr>
          <w:p w14:paraId="50B610F3" w14:textId="77777777" w:rsidR="009A234F" w:rsidRPr="009A234F" w:rsidRDefault="009A234F" w:rsidP="009A234F">
            <w:pPr>
              <w:rPr>
                <w:rFonts w:ascii="Arial" w:hAnsi="Arial" w:cs="Arial"/>
                <w:color w:val="0A2F41" w:themeColor="accent1" w:themeShade="80"/>
              </w:rPr>
            </w:pPr>
            <w:r w:rsidRPr="009A234F">
              <w:rPr>
                <w:rFonts w:ascii="Arial" w:hAnsi="Arial" w:cs="Arial"/>
                <w:color w:val="0A2F41" w:themeColor="accent1" w:themeShade="80"/>
              </w:rPr>
              <w:t>Student name</w:t>
            </w:r>
          </w:p>
        </w:tc>
        <w:tc>
          <w:tcPr>
            <w:tcW w:w="4615" w:type="dxa"/>
            <w:shd w:val="clear" w:color="auto" w:fill="A6BED2"/>
          </w:tcPr>
          <w:p w14:paraId="73B50E0B" w14:textId="77777777" w:rsidR="009A234F" w:rsidRPr="009A234F" w:rsidRDefault="009A234F" w:rsidP="009A234F">
            <w:pPr>
              <w:rPr>
                <w:rFonts w:ascii="Arial" w:hAnsi="Arial" w:cs="Arial"/>
                <w:color w:val="0A2F41" w:themeColor="accent1" w:themeShade="80"/>
              </w:rPr>
            </w:pPr>
            <w:r w:rsidRPr="009A234F">
              <w:rPr>
                <w:rFonts w:ascii="Arial" w:hAnsi="Arial" w:cs="Arial"/>
                <w:color w:val="0A2F41" w:themeColor="accent1" w:themeShade="80"/>
              </w:rPr>
              <w:t>Yordanka Kancheva</w:t>
            </w:r>
          </w:p>
        </w:tc>
      </w:tr>
      <w:tr w:rsidR="009A234F" w14:paraId="2A641232" w14:textId="77777777" w:rsidTr="009A234F">
        <w:trPr>
          <w:trHeight w:val="373"/>
        </w:trPr>
        <w:tc>
          <w:tcPr>
            <w:tcW w:w="4615" w:type="dxa"/>
            <w:shd w:val="clear" w:color="auto" w:fill="A6BED2"/>
          </w:tcPr>
          <w:p w14:paraId="12F5FD5D" w14:textId="77777777" w:rsidR="009A234F" w:rsidRPr="009A234F" w:rsidRDefault="009A234F" w:rsidP="009A234F">
            <w:pPr>
              <w:rPr>
                <w:rFonts w:ascii="Arial" w:hAnsi="Arial" w:cs="Arial"/>
                <w:color w:val="0A2F41" w:themeColor="accent1" w:themeShade="80"/>
              </w:rPr>
            </w:pPr>
            <w:r w:rsidRPr="009A234F">
              <w:rPr>
                <w:rFonts w:ascii="Arial" w:hAnsi="Arial" w:cs="Arial"/>
                <w:color w:val="0A2F41" w:themeColor="accent1" w:themeShade="80"/>
              </w:rPr>
              <w:t>Student number</w:t>
            </w:r>
          </w:p>
        </w:tc>
        <w:tc>
          <w:tcPr>
            <w:tcW w:w="4615" w:type="dxa"/>
            <w:shd w:val="clear" w:color="auto" w:fill="A6BED2"/>
          </w:tcPr>
          <w:p w14:paraId="02058FA3" w14:textId="77777777" w:rsidR="009A234F" w:rsidRPr="009A234F" w:rsidRDefault="009A234F" w:rsidP="009A234F">
            <w:pPr>
              <w:rPr>
                <w:rFonts w:ascii="Arial" w:hAnsi="Arial" w:cs="Arial"/>
                <w:color w:val="0A2F41" w:themeColor="accent1" w:themeShade="80"/>
              </w:rPr>
            </w:pPr>
            <w:r w:rsidRPr="009A234F">
              <w:rPr>
                <w:rFonts w:ascii="Arial" w:hAnsi="Arial" w:cs="Arial"/>
                <w:color w:val="0A2F41" w:themeColor="accent1" w:themeShade="80"/>
              </w:rPr>
              <w:t>2017633</w:t>
            </w:r>
          </w:p>
        </w:tc>
      </w:tr>
      <w:tr w:rsidR="009A234F" w14:paraId="21E31A4D" w14:textId="77777777" w:rsidTr="009A234F">
        <w:trPr>
          <w:trHeight w:val="712"/>
        </w:trPr>
        <w:tc>
          <w:tcPr>
            <w:tcW w:w="4615" w:type="dxa"/>
            <w:shd w:val="clear" w:color="auto" w:fill="A6BED2"/>
          </w:tcPr>
          <w:p w14:paraId="5C1AC18F" w14:textId="77777777" w:rsidR="009A234F" w:rsidRPr="009A234F" w:rsidRDefault="009A234F" w:rsidP="009A234F">
            <w:pPr>
              <w:rPr>
                <w:rFonts w:ascii="Arial" w:hAnsi="Arial" w:cs="Arial"/>
                <w:color w:val="0A2F41" w:themeColor="accent1" w:themeShade="80"/>
              </w:rPr>
            </w:pPr>
            <w:r w:rsidRPr="009A234F">
              <w:rPr>
                <w:rFonts w:ascii="Arial" w:hAnsi="Arial" w:cs="Arial"/>
                <w:color w:val="0A2F41" w:themeColor="accent1" w:themeShade="80"/>
              </w:rPr>
              <w:t>Module name</w:t>
            </w:r>
          </w:p>
        </w:tc>
        <w:tc>
          <w:tcPr>
            <w:tcW w:w="4615" w:type="dxa"/>
            <w:shd w:val="clear" w:color="auto" w:fill="A6BED2"/>
          </w:tcPr>
          <w:p w14:paraId="0980810A" w14:textId="77777777" w:rsidR="009A234F" w:rsidRPr="009A234F" w:rsidRDefault="009A234F" w:rsidP="009A234F">
            <w:pPr>
              <w:rPr>
                <w:rFonts w:ascii="Arial" w:hAnsi="Arial" w:cs="Arial"/>
                <w:bCs/>
                <w:color w:val="0A2F41" w:themeColor="accent1" w:themeShade="80"/>
              </w:rPr>
            </w:pPr>
            <w:r w:rsidRPr="009A234F">
              <w:rPr>
                <w:rFonts w:ascii="Arial" w:hAnsi="Arial" w:cs="Arial"/>
                <w:bCs/>
                <w:color w:val="0A2F41" w:themeColor="accent1" w:themeShade="80"/>
              </w:rPr>
              <w:t>Coaching and Mentoring Skills for the Workplace - BMSW6105</w:t>
            </w:r>
          </w:p>
        </w:tc>
      </w:tr>
      <w:tr w:rsidR="009A234F" w14:paraId="3BD107B9" w14:textId="77777777" w:rsidTr="009A234F">
        <w:trPr>
          <w:trHeight w:val="373"/>
        </w:trPr>
        <w:tc>
          <w:tcPr>
            <w:tcW w:w="4615" w:type="dxa"/>
            <w:shd w:val="clear" w:color="auto" w:fill="A6BED2"/>
          </w:tcPr>
          <w:p w14:paraId="2074C242" w14:textId="77777777" w:rsidR="009A234F" w:rsidRPr="009A234F" w:rsidRDefault="009A234F" w:rsidP="009A234F">
            <w:pPr>
              <w:rPr>
                <w:rFonts w:ascii="Arial" w:hAnsi="Arial" w:cs="Arial"/>
                <w:color w:val="0A2F41" w:themeColor="accent1" w:themeShade="80"/>
              </w:rPr>
            </w:pPr>
            <w:r w:rsidRPr="009A234F">
              <w:rPr>
                <w:rFonts w:ascii="Arial" w:hAnsi="Arial" w:cs="Arial"/>
                <w:color w:val="0A2F41" w:themeColor="accent1" w:themeShade="80"/>
              </w:rPr>
              <w:t>Lecture name</w:t>
            </w:r>
          </w:p>
        </w:tc>
        <w:tc>
          <w:tcPr>
            <w:tcW w:w="4615" w:type="dxa"/>
            <w:shd w:val="clear" w:color="auto" w:fill="A6BED2"/>
          </w:tcPr>
          <w:p w14:paraId="3A4D1FFD" w14:textId="77777777" w:rsidR="009A234F" w:rsidRPr="009A234F" w:rsidRDefault="009A234F" w:rsidP="009A234F">
            <w:pPr>
              <w:rPr>
                <w:rFonts w:ascii="Arial" w:hAnsi="Arial" w:cs="Arial"/>
                <w:color w:val="0A2F41" w:themeColor="accent1" w:themeShade="80"/>
              </w:rPr>
            </w:pPr>
            <w:r w:rsidRPr="009A234F">
              <w:rPr>
                <w:rFonts w:ascii="Arial" w:hAnsi="Arial" w:cs="Arial"/>
                <w:color w:val="0A2F41" w:themeColor="accent1" w:themeShade="80"/>
                <w:lang w:val="bg-BG"/>
              </w:rPr>
              <w:t>Dr Mudassar Hasan </w:t>
            </w:r>
          </w:p>
        </w:tc>
      </w:tr>
    </w:tbl>
    <w:p w14:paraId="6944E8F9" w14:textId="77777777" w:rsidR="001B17CF" w:rsidRDefault="001B17CF" w:rsidP="00915E83"/>
    <w:sdt>
      <w:sdtPr>
        <w:rPr>
          <w:rFonts w:ascii="Arial" w:eastAsiaTheme="minorEastAsia" w:hAnsi="Arial" w:cs="Arial"/>
          <w:color w:val="auto"/>
          <w:kern w:val="2"/>
          <w:sz w:val="22"/>
          <w:szCs w:val="22"/>
          <w:lang w:val="en-GB"/>
          <w14:ligatures w14:val="standardContextual"/>
        </w:rPr>
        <w:id w:val="823000976"/>
        <w:docPartObj>
          <w:docPartGallery w:val="Table of Contents"/>
          <w:docPartUnique/>
        </w:docPartObj>
      </w:sdtPr>
      <w:sdtEndPr>
        <w:rPr>
          <w:b/>
        </w:rPr>
      </w:sdtEndPr>
      <w:sdtContent>
        <w:p w14:paraId="268F18F4" w14:textId="69781C03" w:rsidR="009A234F" w:rsidRPr="000F4BB8" w:rsidRDefault="009A234F">
          <w:pPr>
            <w:pStyle w:val="TOCHeading"/>
            <w:rPr>
              <w:rFonts w:ascii="Arial" w:hAnsi="Arial" w:cs="Arial"/>
              <w:sz w:val="44"/>
              <w:szCs w:val="44"/>
            </w:rPr>
          </w:pPr>
          <w:r w:rsidRPr="000F4BB8">
            <w:rPr>
              <w:rFonts w:ascii="Arial" w:hAnsi="Arial" w:cs="Arial"/>
              <w:sz w:val="44"/>
              <w:szCs w:val="44"/>
            </w:rPr>
            <w:t>Table of Content</w:t>
          </w:r>
        </w:p>
        <w:p w14:paraId="4A523C98" w14:textId="77777777" w:rsidR="009A234F" w:rsidRPr="000F4BB8" w:rsidRDefault="009A234F" w:rsidP="009A234F">
          <w:pPr>
            <w:rPr>
              <w:rFonts w:ascii="Arial" w:hAnsi="Arial" w:cs="Arial"/>
              <w:lang w:val="en-US"/>
            </w:rPr>
          </w:pPr>
        </w:p>
        <w:p w14:paraId="18478D28" w14:textId="77777777" w:rsidR="009A234F" w:rsidRPr="000F4BB8" w:rsidRDefault="009A234F" w:rsidP="009A234F">
          <w:pPr>
            <w:rPr>
              <w:rFonts w:ascii="Arial" w:hAnsi="Arial" w:cs="Arial"/>
              <w:lang w:val="en-US"/>
            </w:rPr>
          </w:pPr>
        </w:p>
        <w:p w14:paraId="0337272E" w14:textId="5E8D3737" w:rsidR="000F4BB8" w:rsidRPr="000F4BB8" w:rsidRDefault="009A234F">
          <w:pPr>
            <w:pStyle w:val="TOC1"/>
            <w:tabs>
              <w:tab w:val="right" w:leader="dot" w:pos="9350"/>
            </w:tabs>
            <w:rPr>
              <w:rFonts w:ascii="Arial" w:eastAsiaTheme="minorEastAsia" w:hAnsi="Arial" w:cs="Arial"/>
              <w:noProof/>
              <w:lang w:val="bg-BG" w:eastAsia="bg-BG"/>
            </w:rPr>
          </w:pPr>
          <w:r w:rsidRPr="000F4BB8">
            <w:rPr>
              <w:rFonts w:ascii="Arial" w:hAnsi="Arial" w:cs="Arial"/>
            </w:rPr>
            <w:fldChar w:fldCharType="begin"/>
          </w:r>
          <w:r w:rsidRPr="000F4BB8">
            <w:rPr>
              <w:rFonts w:ascii="Arial" w:hAnsi="Arial" w:cs="Arial"/>
            </w:rPr>
            <w:instrText xml:space="preserve"> TOC \o "1-3" \h \z \u </w:instrText>
          </w:r>
          <w:r w:rsidRPr="000F4BB8">
            <w:rPr>
              <w:rFonts w:ascii="Arial" w:hAnsi="Arial" w:cs="Arial"/>
            </w:rPr>
            <w:fldChar w:fldCharType="separate"/>
          </w:r>
          <w:hyperlink w:anchor="_Toc182657461" w:history="1">
            <w:r w:rsidR="000F4BB8" w:rsidRPr="000F4BB8">
              <w:rPr>
                <w:rStyle w:val="Hyperlink"/>
                <w:rFonts w:ascii="Arial" w:hAnsi="Arial" w:cs="Arial"/>
                <w:noProof/>
              </w:rPr>
              <w:t>Introduction</w:t>
            </w:r>
            <w:r w:rsidR="000F4BB8" w:rsidRPr="000F4BB8">
              <w:rPr>
                <w:rFonts w:ascii="Arial" w:hAnsi="Arial" w:cs="Arial"/>
                <w:noProof/>
                <w:webHidden/>
              </w:rPr>
              <w:tab/>
            </w:r>
            <w:r w:rsidR="000F4BB8" w:rsidRPr="000F4BB8">
              <w:rPr>
                <w:rFonts w:ascii="Arial" w:hAnsi="Arial" w:cs="Arial"/>
                <w:noProof/>
                <w:webHidden/>
              </w:rPr>
              <w:fldChar w:fldCharType="begin"/>
            </w:r>
            <w:r w:rsidR="000F4BB8" w:rsidRPr="000F4BB8">
              <w:rPr>
                <w:rFonts w:ascii="Arial" w:hAnsi="Arial" w:cs="Arial"/>
                <w:noProof/>
                <w:webHidden/>
              </w:rPr>
              <w:instrText xml:space="preserve"> PAGEREF _Toc182657461 \h </w:instrText>
            </w:r>
            <w:r w:rsidR="000F4BB8" w:rsidRPr="000F4BB8">
              <w:rPr>
                <w:rFonts w:ascii="Arial" w:hAnsi="Arial" w:cs="Arial"/>
                <w:noProof/>
                <w:webHidden/>
              </w:rPr>
            </w:r>
            <w:r w:rsidR="000F4BB8" w:rsidRPr="000F4BB8">
              <w:rPr>
                <w:rFonts w:ascii="Arial" w:hAnsi="Arial" w:cs="Arial"/>
                <w:noProof/>
                <w:webHidden/>
              </w:rPr>
              <w:fldChar w:fldCharType="separate"/>
            </w:r>
            <w:r w:rsidR="00A67F93">
              <w:rPr>
                <w:rFonts w:ascii="Arial" w:hAnsi="Arial" w:cs="Arial"/>
                <w:noProof/>
                <w:webHidden/>
              </w:rPr>
              <w:t>3</w:t>
            </w:r>
            <w:r w:rsidR="000F4BB8" w:rsidRPr="000F4BB8">
              <w:rPr>
                <w:rFonts w:ascii="Arial" w:hAnsi="Arial" w:cs="Arial"/>
                <w:noProof/>
                <w:webHidden/>
              </w:rPr>
              <w:fldChar w:fldCharType="end"/>
            </w:r>
          </w:hyperlink>
        </w:p>
        <w:p w14:paraId="75E6BA0B" w14:textId="1D1F186B" w:rsidR="000F4BB8" w:rsidRPr="000F4BB8" w:rsidRDefault="000F4BB8">
          <w:pPr>
            <w:pStyle w:val="TOC1"/>
            <w:tabs>
              <w:tab w:val="right" w:leader="dot" w:pos="9350"/>
            </w:tabs>
            <w:rPr>
              <w:rFonts w:ascii="Arial" w:eastAsiaTheme="minorEastAsia" w:hAnsi="Arial" w:cs="Arial"/>
              <w:noProof/>
              <w:lang w:val="bg-BG" w:eastAsia="bg-BG"/>
            </w:rPr>
          </w:pPr>
          <w:hyperlink w:anchor="_Toc182657462" w:history="1">
            <w:r w:rsidRPr="000F4BB8">
              <w:rPr>
                <w:rStyle w:val="Hyperlink"/>
                <w:rFonts w:ascii="Arial" w:hAnsi="Arial" w:cs="Arial"/>
                <w:noProof/>
                <w:shd w:val="clear" w:color="auto" w:fill="A6BED2"/>
              </w:rPr>
              <w:t>Critical Evaluation of the Purpose of Coaching and Mentoring within a workplace</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_Toc182657462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4</w:t>
            </w:r>
            <w:r w:rsidRPr="000F4BB8">
              <w:rPr>
                <w:rFonts w:ascii="Arial" w:hAnsi="Arial" w:cs="Arial"/>
                <w:noProof/>
                <w:webHidden/>
              </w:rPr>
              <w:fldChar w:fldCharType="end"/>
            </w:r>
          </w:hyperlink>
        </w:p>
        <w:p w14:paraId="2F7C29E4" w14:textId="733264E3" w:rsidR="000F4BB8" w:rsidRPr="000F4BB8" w:rsidRDefault="000F4BB8">
          <w:pPr>
            <w:pStyle w:val="TOC2"/>
            <w:tabs>
              <w:tab w:val="right" w:leader="dot" w:pos="9350"/>
            </w:tabs>
            <w:rPr>
              <w:rFonts w:ascii="Arial" w:eastAsiaTheme="minorEastAsia" w:hAnsi="Arial" w:cs="Arial"/>
              <w:noProof/>
              <w:lang w:val="bg-BG" w:eastAsia="bg-BG"/>
            </w:rPr>
          </w:pPr>
          <w:hyperlink w:anchor="_Toc182657463" w:history="1">
            <w:r w:rsidRPr="000F4BB8">
              <w:rPr>
                <w:rStyle w:val="Hyperlink"/>
                <w:rFonts w:ascii="Arial" w:hAnsi="Arial" w:cs="Arial"/>
                <w:noProof/>
              </w:rPr>
              <w:t>Purposes of Coaching in the Workplace</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_Toc182657463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4</w:t>
            </w:r>
            <w:r w:rsidRPr="000F4BB8">
              <w:rPr>
                <w:rFonts w:ascii="Arial" w:hAnsi="Arial" w:cs="Arial"/>
                <w:noProof/>
                <w:webHidden/>
              </w:rPr>
              <w:fldChar w:fldCharType="end"/>
            </w:r>
          </w:hyperlink>
        </w:p>
        <w:p w14:paraId="495FDDFA" w14:textId="38AD447E" w:rsidR="000F4BB8" w:rsidRPr="000F4BB8" w:rsidRDefault="000F4BB8">
          <w:pPr>
            <w:pStyle w:val="TOC2"/>
            <w:tabs>
              <w:tab w:val="right" w:leader="dot" w:pos="9350"/>
            </w:tabs>
            <w:rPr>
              <w:rFonts w:ascii="Arial" w:eastAsiaTheme="minorEastAsia" w:hAnsi="Arial" w:cs="Arial"/>
              <w:noProof/>
              <w:lang w:val="bg-BG" w:eastAsia="bg-BG"/>
            </w:rPr>
          </w:pPr>
          <w:hyperlink w:anchor="_Toc182657464" w:history="1">
            <w:r w:rsidRPr="000F4BB8">
              <w:rPr>
                <w:rStyle w:val="Hyperlink"/>
                <w:rFonts w:ascii="Arial" w:hAnsi="Arial" w:cs="Arial"/>
                <w:noProof/>
              </w:rPr>
              <w:t>Purposes of Mentoring in the Workplace</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_Toc182657464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5</w:t>
            </w:r>
            <w:r w:rsidRPr="000F4BB8">
              <w:rPr>
                <w:rFonts w:ascii="Arial" w:hAnsi="Arial" w:cs="Arial"/>
                <w:noProof/>
                <w:webHidden/>
              </w:rPr>
              <w:fldChar w:fldCharType="end"/>
            </w:r>
          </w:hyperlink>
        </w:p>
        <w:p w14:paraId="7DD3AAF7" w14:textId="504A4720" w:rsidR="000F4BB8" w:rsidRPr="000F4BB8" w:rsidRDefault="000F4BB8">
          <w:pPr>
            <w:pStyle w:val="TOC2"/>
            <w:tabs>
              <w:tab w:val="right" w:leader="dot" w:pos="9350"/>
            </w:tabs>
            <w:rPr>
              <w:rFonts w:ascii="Arial" w:eastAsiaTheme="minorEastAsia" w:hAnsi="Arial" w:cs="Arial"/>
              <w:noProof/>
              <w:lang w:val="bg-BG" w:eastAsia="bg-BG"/>
            </w:rPr>
          </w:pPr>
          <w:hyperlink w:anchor="_Toc182657465" w:history="1">
            <w:r w:rsidRPr="000F4BB8">
              <w:rPr>
                <w:rStyle w:val="Hyperlink"/>
                <w:rFonts w:ascii="Arial" w:hAnsi="Arial" w:cs="Arial"/>
                <w:noProof/>
              </w:rPr>
              <w:t>Comparing and Contrasting Coaching and Mentoring</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_Toc182657465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5</w:t>
            </w:r>
            <w:r w:rsidRPr="000F4BB8">
              <w:rPr>
                <w:rFonts w:ascii="Arial" w:hAnsi="Arial" w:cs="Arial"/>
                <w:noProof/>
                <w:webHidden/>
              </w:rPr>
              <w:fldChar w:fldCharType="end"/>
            </w:r>
          </w:hyperlink>
        </w:p>
        <w:p w14:paraId="3C52BC31" w14:textId="6763A6AE" w:rsidR="000F4BB8" w:rsidRPr="000F4BB8" w:rsidRDefault="000F4BB8">
          <w:pPr>
            <w:pStyle w:val="TOC2"/>
            <w:tabs>
              <w:tab w:val="right" w:leader="dot" w:pos="9350"/>
            </w:tabs>
            <w:rPr>
              <w:rFonts w:ascii="Arial" w:eastAsiaTheme="minorEastAsia" w:hAnsi="Arial" w:cs="Arial"/>
              <w:noProof/>
              <w:lang w:val="bg-BG" w:eastAsia="bg-BG"/>
            </w:rPr>
          </w:pPr>
          <w:hyperlink w:anchor="_Toc182657466" w:history="1">
            <w:r w:rsidRPr="000F4BB8">
              <w:rPr>
                <w:rStyle w:val="Hyperlink"/>
                <w:rFonts w:ascii="Arial" w:hAnsi="Arial" w:cs="Arial"/>
                <w:noProof/>
              </w:rPr>
              <w:t>Integration of Coaching and Mentoring</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_Toc182657466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6</w:t>
            </w:r>
            <w:r w:rsidRPr="000F4BB8">
              <w:rPr>
                <w:rFonts w:ascii="Arial" w:hAnsi="Arial" w:cs="Arial"/>
                <w:noProof/>
                <w:webHidden/>
              </w:rPr>
              <w:fldChar w:fldCharType="end"/>
            </w:r>
          </w:hyperlink>
        </w:p>
        <w:p w14:paraId="4D0A8462" w14:textId="58B62D30" w:rsidR="000F4BB8" w:rsidRPr="000F4BB8" w:rsidRDefault="000F4BB8">
          <w:pPr>
            <w:pStyle w:val="TOC1"/>
            <w:tabs>
              <w:tab w:val="right" w:leader="dot" w:pos="9350"/>
            </w:tabs>
            <w:rPr>
              <w:rFonts w:ascii="Arial" w:eastAsiaTheme="minorEastAsia" w:hAnsi="Arial" w:cs="Arial"/>
              <w:noProof/>
              <w:lang w:val="bg-BG" w:eastAsia="bg-BG"/>
            </w:rPr>
          </w:pPr>
          <w:hyperlink w:anchor="_Toc182657467" w:history="1">
            <w:r w:rsidRPr="000F4BB8">
              <w:rPr>
                <w:rStyle w:val="Hyperlink"/>
                <w:rFonts w:ascii="Arial" w:hAnsi="Arial" w:cs="Arial"/>
                <w:noProof/>
              </w:rPr>
              <w:t>Critical Analysis of a Specific Model of Coaching</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_Toc182657467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6</w:t>
            </w:r>
            <w:r w:rsidRPr="000F4BB8">
              <w:rPr>
                <w:rFonts w:ascii="Arial" w:hAnsi="Arial" w:cs="Arial"/>
                <w:noProof/>
                <w:webHidden/>
              </w:rPr>
              <w:fldChar w:fldCharType="end"/>
            </w:r>
          </w:hyperlink>
        </w:p>
        <w:p w14:paraId="2785829D" w14:textId="23525455" w:rsidR="000F4BB8" w:rsidRPr="000F4BB8" w:rsidRDefault="000F4BB8">
          <w:pPr>
            <w:pStyle w:val="TOC2"/>
            <w:tabs>
              <w:tab w:val="right" w:leader="dot" w:pos="9350"/>
            </w:tabs>
            <w:rPr>
              <w:rFonts w:ascii="Arial" w:eastAsiaTheme="minorEastAsia" w:hAnsi="Arial" w:cs="Arial"/>
              <w:noProof/>
              <w:lang w:val="bg-BG" w:eastAsia="bg-BG"/>
            </w:rPr>
          </w:pPr>
          <w:hyperlink w:anchor="_Toc182657468" w:history="1">
            <w:r w:rsidRPr="000F4BB8">
              <w:rPr>
                <w:rStyle w:val="Hyperlink"/>
                <w:rFonts w:ascii="Arial" w:hAnsi="Arial" w:cs="Arial"/>
                <w:noProof/>
              </w:rPr>
              <w:t>Advantages of the GROW Model</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_Toc182657468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6</w:t>
            </w:r>
            <w:r w:rsidRPr="000F4BB8">
              <w:rPr>
                <w:rFonts w:ascii="Arial" w:hAnsi="Arial" w:cs="Arial"/>
                <w:noProof/>
                <w:webHidden/>
              </w:rPr>
              <w:fldChar w:fldCharType="end"/>
            </w:r>
          </w:hyperlink>
        </w:p>
        <w:p w14:paraId="47F080CD" w14:textId="69B157F4" w:rsidR="000F4BB8" w:rsidRPr="000F4BB8" w:rsidRDefault="000F4BB8">
          <w:pPr>
            <w:pStyle w:val="TOC2"/>
            <w:tabs>
              <w:tab w:val="right" w:leader="dot" w:pos="9350"/>
            </w:tabs>
            <w:rPr>
              <w:rFonts w:ascii="Arial" w:eastAsiaTheme="minorEastAsia" w:hAnsi="Arial" w:cs="Arial"/>
              <w:noProof/>
              <w:lang w:val="bg-BG" w:eastAsia="bg-BG"/>
            </w:rPr>
          </w:pPr>
          <w:hyperlink w:anchor="_Toc182657469" w:history="1">
            <w:r w:rsidRPr="000F4BB8">
              <w:rPr>
                <w:rStyle w:val="Hyperlink"/>
                <w:rFonts w:ascii="Arial" w:hAnsi="Arial" w:cs="Arial"/>
                <w:noProof/>
              </w:rPr>
              <w:t>Disadvantages of the GROW Model</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_Toc182657469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7</w:t>
            </w:r>
            <w:r w:rsidRPr="000F4BB8">
              <w:rPr>
                <w:rFonts w:ascii="Arial" w:hAnsi="Arial" w:cs="Arial"/>
                <w:noProof/>
                <w:webHidden/>
              </w:rPr>
              <w:fldChar w:fldCharType="end"/>
            </w:r>
          </w:hyperlink>
        </w:p>
        <w:p w14:paraId="708A020D" w14:textId="2640FA99" w:rsidR="000F4BB8" w:rsidRPr="000F4BB8" w:rsidRDefault="000F4BB8">
          <w:pPr>
            <w:pStyle w:val="TOC2"/>
            <w:tabs>
              <w:tab w:val="right" w:leader="dot" w:pos="9350"/>
            </w:tabs>
            <w:rPr>
              <w:rFonts w:ascii="Arial" w:eastAsiaTheme="minorEastAsia" w:hAnsi="Arial" w:cs="Arial"/>
              <w:noProof/>
              <w:lang w:val="bg-BG" w:eastAsia="bg-BG"/>
            </w:rPr>
          </w:pPr>
          <w:hyperlink w:anchor="_Toc182657470" w:history="1">
            <w:r w:rsidRPr="000F4BB8">
              <w:rPr>
                <w:rStyle w:val="Hyperlink"/>
                <w:rFonts w:ascii="Arial" w:hAnsi="Arial" w:cs="Arial"/>
                <w:noProof/>
              </w:rPr>
              <w:t>Situations Where the GROW Model is Most Useful</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_Toc182657470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7</w:t>
            </w:r>
            <w:r w:rsidRPr="000F4BB8">
              <w:rPr>
                <w:rFonts w:ascii="Arial" w:hAnsi="Arial" w:cs="Arial"/>
                <w:noProof/>
                <w:webHidden/>
              </w:rPr>
              <w:fldChar w:fldCharType="end"/>
            </w:r>
          </w:hyperlink>
        </w:p>
        <w:p w14:paraId="797D94CB" w14:textId="48F592B0" w:rsidR="000F4BB8" w:rsidRPr="000F4BB8" w:rsidRDefault="000F4BB8">
          <w:pPr>
            <w:pStyle w:val="TOC1"/>
            <w:tabs>
              <w:tab w:val="right" w:leader="dot" w:pos="9350"/>
            </w:tabs>
            <w:rPr>
              <w:rFonts w:ascii="Arial" w:eastAsiaTheme="minorEastAsia" w:hAnsi="Arial" w:cs="Arial"/>
              <w:noProof/>
              <w:lang w:val="bg-BG" w:eastAsia="bg-BG"/>
            </w:rPr>
          </w:pPr>
          <w:hyperlink w:anchor="_Toc182657471" w:history="1">
            <w:r w:rsidRPr="000F4BB8">
              <w:rPr>
                <w:rStyle w:val="Hyperlink"/>
                <w:rFonts w:ascii="Arial" w:hAnsi="Arial" w:cs="Arial"/>
                <w:noProof/>
                <w:shd w:val="clear" w:color="auto" w:fill="A6BED2"/>
              </w:rPr>
              <w:t>Reflection on Practical 1-Coaching and Goal Setting</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_Toc182657471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8</w:t>
            </w:r>
            <w:r w:rsidRPr="000F4BB8">
              <w:rPr>
                <w:rFonts w:ascii="Arial" w:hAnsi="Arial" w:cs="Arial"/>
                <w:noProof/>
                <w:webHidden/>
              </w:rPr>
              <w:fldChar w:fldCharType="end"/>
            </w:r>
          </w:hyperlink>
        </w:p>
        <w:p w14:paraId="61C23B7C" w14:textId="51375B69" w:rsidR="000F4BB8" w:rsidRPr="000F4BB8" w:rsidRDefault="000F4BB8">
          <w:pPr>
            <w:pStyle w:val="TOC1"/>
            <w:tabs>
              <w:tab w:val="right" w:leader="dot" w:pos="9350"/>
            </w:tabs>
            <w:rPr>
              <w:rFonts w:ascii="Arial" w:eastAsiaTheme="minorEastAsia" w:hAnsi="Arial" w:cs="Arial"/>
              <w:noProof/>
              <w:lang w:val="bg-BG" w:eastAsia="bg-BG"/>
            </w:rPr>
          </w:pPr>
          <w:hyperlink w:anchor="_Toc182657472" w:history="1">
            <w:r w:rsidRPr="000F4BB8">
              <w:rPr>
                <w:rStyle w:val="Hyperlink"/>
                <w:rFonts w:ascii="Arial" w:hAnsi="Arial" w:cs="Arial"/>
                <w:noProof/>
              </w:rPr>
              <w:t>Reflection on Practical 2-Mentoring Using Johari Window Model</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_Toc182657472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10</w:t>
            </w:r>
            <w:r w:rsidRPr="000F4BB8">
              <w:rPr>
                <w:rFonts w:ascii="Arial" w:hAnsi="Arial" w:cs="Arial"/>
                <w:noProof/>
                <w:webHidden/>
              </w:rPr>
              <w:fldChar w:fldCharType="end"/>
            </w:r>
          </w:hyperlink>
        </w:p>
        <w:p w14:paraId="7370FB1B" w14:textId="391077F6" w:rsidR="000F4BB8" w:rsidRPr="000F4BB8" w:rsidRDefault="000F4BB8">
          <w:pPr>
            <w:pStyle w:val="TOC1"/>
            <w:tabs>
              <w:tab w:val="right" w:leader="dot" w:pos="9350"/>
            </w:tabs>
            <w:rPr>
              <w:rFonts w:ascii="Arial" w:eastAsiaTheme="minorEastAsia" w:hAnsi="Arial" w:cs="Arial"/>
              <w:noProof/>
              <w:lang w:val="bg-BG" w:eastAsia="bg-BG"/>
            </w:rPr>
          </w:pPr>
          <w:hyperlink w:anchor="_Toc182657473" w:history="1">
            <w:r w:rsidRPr="000F4BB8">
              <w:rPr>
                <w:rStyle w:val="Hyperlink"/>
                <w:rFonts w:ascii="Arial" w:hAnsi="Arial" w:cs="Arial"/>
                <w:noProof/>
              </w:rPr>
              <w:t>Conclusion</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_Toc182657473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13</w:t>
            </w:r>
            <w:r w:rsidRPr="000F4BB8">
              <w:rPr>
                <w:rFonts w:ascii="Arial" w:hAnsi="Arial" w:cs="Arial"/>
                <w:noProof/>
                <w:webHidden/>
              </w:rPr>
              <w:fldChar w:fldCharType="end"/>
            </w:r>
          </w:hyperlink>
        </w:p>
        <w:p w14:paraId="505E2CB3" w14:textId="1D6F9D69" w:rsidR="000F4BB8" w:rsidRPr="000F4BB8" w:rsidRDefault="000F4BB8">
          <w:pPr>
            <w:pStyle w:val="TOC1"/>
            <w:tabs>
              <w:tab w:val="right" w:leader="dot" w:pos="9350"/>
            </w:tabs>
            <w:rPr>
              <w:rFonts w:ascii="Arial" w:eastAsiaTheme="minorEastAsia" w:hAnsi="Arial" w:cs="Arial"/>
              <w:noProof/>
              <w:lang w:val="bg-BG" w:eastAsia="bg-BG"/>
            </w:rPr>
          </w:pPr>
          <w:hyperlink w:anchor="_Toc182657474" w:history="1">
            <w:r w:rsidRPr="000F4BB8">
              <w:rPr>
                <w:rStyle w:val="Hyperlink"/>
                <w:rFonts w:ascii="Arial" w:hAnsi="Arial" w:cs="Arial"/>
                <w:noProof/>
              </w:rPr>
              <w:t>List of References</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_Toc182657474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14</w:t>
            </w:r>
            <w:r w:rsidRPr="000F4BB8">
              <w:rPr>
                <w:rFonts w:ascii="Arial" w:hAnsi="Arial" w:cs="Arial"/>
                <w:noProof/>
                <w:webHidden/>
              </w:rPr>
              <w:fldChar w:fldCharType="end"/>
            </w:r>
          </w:hyperlink>
        </w:p>
        <w:p w14:paraId="47E5AC76" w14:textId="540DF6F7" w:rsidR="000F4BB8" w:rsidRPr="000F4BB8" w:rsidRDefault="000F4BB8">
          <w:pPr>
            <w:pStyle w:val="TOC1"/>
            <w:tabs>
              <w:tab w:val="right" w:leader="dot" w:pos="9350"/>
            </w:tabs>
            <w:rPr>
              <w:rFonts w:ascii="Arial" w:eastAsiaTheme="minorEastAsia" w:hAnsi="Arial" w:cs="Arial"/>
              <w:noProof/>
              <w:lang w:val="bg-BG" w:eastAsia="bg-BG"/>
            </w:rPr>
          </w:pPr>
          <w:hyperlink w:anchor="_Toc182657475" w:history="1">
            <w:r w:rsidRPr="000F4BB8">
              <w:rPr>
                <w:rStyle w:val="Hyperlink"/>
                <w:rFonts w:ascii="Arial" w:hAnsi="Arial" w:cs="Arial"/>
                <w:noProof/>
              </w:rPr>
              <w:t>Appendix</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_Toc182657475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15</w:t>
            </w:r>
            <w:r w:rsidRPr="000F4BB8">
              <w:rPr>
                <w:rFonts w:ascii="Arial" w:hAnsi="Arial" w:cs="Arial"/>
                <w:noProof/>
                <w:webHidden/>
              </w:rPr>
              <w:fldChar w:fldCharType="end"/>
            </w:r>
          </w:hyperlink>
        </w:p>
        <w:p w14:paraId="5116181D" w14:textId="3E2E78D8" w:rsidR="000F4BB8" w:rsidRPr="000F4BB8" w:rsidRDefault="000F4BB8">
          <w:pPr>
            <w:pStyle w:val="TOC2"/>
            <w:tabs>
              <w:tab w:val="right" w:leader="dot" w:pos="9350"/>
            </w:tabs>
            <w:rPr>
              <w:rFonts w:ascii="Arial" w:eastAsiaTheme="minorEastAsia" w:hAnsi="Arial" w:cs="Arial"/>
              <w:noProof/>
              <w:lang w:val="bg-BG" w:eastAsia="bg-BG"/>
            </w:rPr>
          </w:pPr>
          <w:hyperlink w:anchor="_Toc182657476" w:history="1">
            <w:r w:rsidRPr="000F4BB8">
              <w:rPr>
                <w:rStyle w:val="Hyperlink"/>
                <w:rFonts w:ascii="Arial" w:hAnsi="Arial" w:cs="Arial"/>
                <w:noProof/>
              </w:rPr>
              <w:t>Appendix A: Feedback from Practical 1</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_Toc182657476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15</w:t>
            </w:r>
            <w:r w:rsidRPr="000F4BB8">
              <w:rPr>
                <w:rFonts w:ascii="Arial" w:hAnsi="Arial" w:cs="Arial"/>
                <w:noProof/>
                <w:webHidden/>
              </w:rPr>
              <w:fldChar w:fldCharType="end"/>
            </w:r>
          </w:hyperlink>
        </w:p>
        <w:p w14:paraId="57A7E3EE" w14:textId="5A297586" w:rsidR="000F4BB8" w:rsidRPr="000F4BB8" w:rsidRDefault="000F4BB8">
          <w:pPr>
            <w:pStyle w:val="TOC2"/>
            <w:tabs>
              <w:tab w:val="right" w:leader="dot" w:pos="9350"/>
            </w:tabs>
            <w:rPr>
              <w:rFonts w:ascii="Arial" w:eastAsiaTheme="minorEastAsia" w:hAnsi="Arial" w:cs="Arial"/>
              <w:noProof/>
              <w:lang w:val="bg-BG" w:eastAsia="bg-BG"/>
            </w:rPr>
          </w:pPr>
          <w:hyperlink w:anchor="_Toc182657477" w:history="1">
            <w:r w:rsidRPr="000F4BB8">
              <w:rPr>
                <w:rStyle w:val="Hyperlink"/>
                <w:rFonts w:ascii="Arial" w:hAnsi="Arial" w:cs="Arial"/>
                <w:noProof/>
              </w:rPr>
              <w:t>Appendix B: Feedback from Practical 2</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_Toc182657477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15</w:t>
            </w:r>
            <w:r w:rsidRPr="000F4BB8">
              <w:rPr>
                <w:rFonts w:ascii="Arial" w:hAnsi="Arial" w:cs="Arial"/>
                <w:noProof/>
                <w:webHidden/>
              </w:rPr>
              <w:fldChar w:fldCharType="end"/>
            </w:r>
          </w:hyperlink>
        </w:p>
        <w:p w14:paraId="5ABD1657" w14:textId="5EE001AB" w:rsidR="009A234F" w:rsidRPr="000F4BB8" w:rsidRDefault="009A234F">
          <w:pPr>
            <w:rPr>
              <w:rFonts w:ascii="Arial" w:hAnsi="Arial" w:cs="Arial"/>
            </w:rPr>
          </w:pPr>
          <w:r w:rsidRPr="000F4BB8">
            <w:rPr>
              <w:rFonts w:ascii="Arial" w:hAnsi="Arial" w:cs="Arial"/>
              <w:b/>
              <w:bCs/>
              <w:noProof/>
            </w:rPr>
            <w:fldChar w:fldCharType="end"/>
          </w:r>
        </w:p>
      </w:sdtContent>
    </w:sdt>
    <w:p w14:paraId="6437F24B" w14:textId="77777777" w:rsidR="00915E83" w:rsidRDefault="00915E83" w:rsidP="00915E83"/>
    <w:p w14:paraId="123EB5C1" w14:textId="77777777" w:rsidR="00915E83" w:rsidRDefault="00915E83" w:rsidP="00915E83"/>
    <w:p w14:paraId="502F58BC" w14:textId="77777777" w:rsidR="00915E83" w:rsidRDefault="00915E83" w:rsidP="00915E83"/>
    <w:p w14:paraId="21D60CD2" w14:textId="77777777" w:rsidR="00915E83" w:rsidRDefault="00915E83" w:rsidP="00915E83"/>
    <w:p w14:paraId="14BCB94B" w14:textId="77777777" w:rsidR="00915E83" w:rsidRDefault="00915E83" w:rsidP="00915E83"/>
    <w:p w14:paraId="2351467C" w14:textId="77777777" w:rsidR="00915E83" w:rsidRDefault="00915E83" w:rsidP="00915E83"/>
    <w:p w14:paraId="1440CF97" w14:textId="77777777" w:rsidR="00915E83" w:rsidRDefault="00915E83" w:rsidP="00915E83"/>
    <w:p w14:paraId="67085C9A" w14:textId="77777777" w:rsidR="00915E83" w:rsidRDefault="00915E83" w:rsidP="00915E83"/>
    <w:p w14:paraId="0213DB72" w14:textId="77777777" w:rsidR="00915E83" w:rsidRDefault="00915E83" w:rsidP="00915E83"/>
    <w:p w14:paraId="107AD18E" w14:textId="77777777" w:rsidR="00915E83" w:rsidRDefault="00915E83" w:rsidP="00915E83"/>
    <w:p w14:paraId="0DEBF36C" w14:textId="77777777" w:rsidR="00915E83" w:rsidRDefault="00915E83" w:rsidP="00915E83"/>
    <w:p w14:paraId="77058B40" w14:textId="77777777" w:rsidR="008405AE" w:rsidRDefault="00915E83" w:rsidP="008405AE">
      <w:pPr>
        <w:shd w:val="clear" w:color="auto" w:fill="A6BED2"/>
      </w:pPr>
      <w:bookmarkStart w:id="0" w:name="_Toc182657461"/>
      <w:r w:rsidRPr="009A234F">
        <w:rPr>
          <w:rStyle w:val="Heading1Char"/>
        </w:rPr>
        <w:lastRenderedPageBreak/>
        <w:t>Introduction</w:t>
      </w:r>
      <w:bookmarkEnd w:id="0"/>
      <w:r>
        <w:t xml:space="preserve"> </w:t>
      </w:r>
    </w:p>
    <w:p w14:paraId="782BF55C" w14:textId="77777777" w:rsidR="008405AE" w:rsidRDefault="008405AE" w:rsidP="008405AE">
      <w:pPr>
        <w:spacing w:line="360" w:lineRule="auto"/>
        <w:rPr>
          <w:rFonts w:ascii="Arial" w:hAnsi="Arial" w:cs="Arial"/>
          <w:color w:val="0A2F41" w:themeColor="accent1" w:themeShade="80"/>
        </w:rPr>
      </w:pPr>
    </w:p>
    <w:p w14:paraId="574BC651" w14:textId="0200E7D5" w:rsidR="007717A5" w:rsidRPr="007717A5" w:rsidRDefault="007717A5" w:rsidP="007717A5">
      <w:pPr>
        <w:spacing w:line="360" w:lineRule="auto"/>
        <w:rPr>
          <w:rFonts w:ascii="Arial" w:hAnsi="Arial" w:cs="Arial"/>
          <w:color w:val="0A2F41" w:themeColor="accent1" w:themeShade="80"/>
        </w:rPr>
      </w:pPr>
      <w:r w:rsidRPr="007717A5">
        <w:rPr>
          <w:rFonts w:ascii="Arial" w:hAnsi="Arial" w:cs="Arial"/>
          <w:color w:val="0A2F41" w:themeColor="accent1" w:themeShade="80"/>
        </w:rPr>
        <w:t>This report reflects on my learning journey within the Coaching and Mentoring module, examining key theories, models, and their practical applications. It explores the purpose and impact of coaching and mentoring in the workplace, with a focus on rapport-building, listening skills, and self-awareness. Using the Gibbs Reflective Cycle (1988), I reflect on assessed sessions, addressing feelings, evaluation, analysis, conclusions, and action planning. The Driscoll ‘What’ Model (1994) will further guide my evaluation of key practical moments.</w:t>
      </w:r>
    </w:p>
    <w:p w14:paraId="5DB04985" w14:textId="77CA8CEC" w:rsidR="007717A5" w:rsidRPr="007717A5" w:rsidRDefault="007717A5" w:rsidP="007717A5">
      <w:pPr>
        <w:spacing w:line="360" w:lineRule="auto"/>
        <w:rPr>
          <w:rFonts w:ascii="Arial" w:hAnsi="Arial" w:cs="Arial"/>
          <w:color w:val="0A2F41" w:themeColor="accent1" w:themeShade="80"/>
        </w:rPr>
      </w:pPr>
      <w:r w:rsidRPr="007717A5">
        <w:rPr>
          <w:rFonts w:ascii="Arial" w:hAnsi="Arial" w:cs="Arial"/>
          <w:color w:val="0A2F41" w:themeColor="accent1" w:themeShade="80"/>
        </w:rPr>
        <w:t>Coaching is a developmental process aimed at achieving specific personal or professional goals through structured questioning and reflective dialogue (Whitmore, 2009). It is short-term and goal-focused, unlocking potential and improving performance. In contrast, mentoring is a longer-term relationship, where an experienced individual provides guidance to support personal and professional growth (Connor, 2012). While both practices focus on development, coaching targets performance enhancement, while mentoring fosters self-awareness and confidence.</w:t>
      </w:r>
    </w:p>
    <w:p w14:paraId="04523728" w14:textId="308D42EF" w:rsidR="007717A5" w:rsidRPr="007717A5" w:rsidRDefault="007717A5" w:rsidP="007717A5">
      <w:pPr>
        <w:spacing w:line="360" w:lineRule="auto"/>
        <w:rPr>
          <w:rFonts w:ascii="Arial" w:hAnsi="Arial" w:cs="Arial"/>
          <w:color w:val="0A2F41" w:themeColor="accent1" w:themeShade="80"/>
        </w:rPr>
      </w:pPr>
      <w:r w:rsidRPr="007717A5">
        <w:rPr>
          <w:rFonts w:ascii="Arial" w:hAnsi="Arial" w:cs="Arial"/>
          <w:color w:val="0A2F41" w:themeColor="accent1" w:themeShade="80"/>
        </w:rPr>
        <w:t xml:space="preserve">Effective coaches demonstrate active listening, empathy, and the ability to ask insightful questions, creating a safe environment for growth (Downey, 2014). Mentors, on the other hand, require strong </w:t>
      </w:r>
      <w:proofErr w:type="gramStart"/>
      <w:r w:rsidRPr="007717A5">
        <w:rPr>
          <w:rFonts w:ascii="Arial" w:hAnsi="Arial" w:cs="Arial"/>
          <w:color w:val="0A2F41" w:themeColor="accent1" w:themeShade="80"/>
        </w:rPr>
        <w:t>interpersonal skills</w:t>
      </w:r>
      <w:proofErr w:type="gramEnd"/>
      <w:r w:rsidRPr="007717A5">
        <w:rPr>
          <w:rFonts w:ascii="Arial" w:hAnsi="Arial" w:cs="Arial"/>
          <w:color w:val="0A2F41" w:themeColor="accent1" w:themeShade="80"/>
        </w:rPr>
        <w:t>, self-awareness, and the ability to provide constructive feedback, often using frameworks like the Johari Window (Luft &amp; Ingham, 1955). This report also examines coaching models such as GROW (Whitmore, 2009) and OSCAR (Gilbert &amp; Whittleworth, 2009), evaluating their practical effectiveness.</w:t>
      </w:r>
    </w:p>
    <w:p w14:paraId="26702729" w14:textId="2494F828" w:rsidR="00A93F96" w:rsidRPr="007717A5" w:rsidRDefault="007717A5" w:rsidP="007717A5">
      <w:pPr>
        <w:spacing w:line="360" w:lineRule="auto"/>
        <w:rPr>
          <w:rFonts w:ascii="Arial" w:hAnsi="Arial" w:cs="Arial"/>
          <w:color w:val="0A2F41" w:themeColor="accent1" w:themeShade="80"/>
        </w:rPr>
      </w:pPr>
      <w:r w:rsidRPr="007717A5">
        <w:rPr>
          <w:rFonts w:ascii="Arial" w:hAnsi="Arial" w:cs="Arial"/>
          <w:color w:val="0A2F41" w:themeColor="accent1" w:themeShade="80"/>
        </w:rPr>
        <w:t>By reflecting on my experiences, this report aims to identify strengths, areas for improvement, and strategies to enhance my coaching and mentoring skills for future workplace scenarios.</w:t>
      </w:r>
    </w:p>
    <w:p w14:paraId="7EBA4C98" w14:textId="77777777" w:rsidR="00915E83" w:rsidRDefault="00915E83" w:rsidP="00915E83"/>
    <w:p w14:paraId="19DA72F5" w14:textId="77777777" w:rsidR="008405AE" w:rsidRDefault="008405AE" w:rsidP="00915E83"/>
    <w:p w14:paraId="5701557D" w14:textId="77777777" w:rsidR="007717A5" w:rsidRDefault="007717A5" w:rsidP="00915E83"/>
    <w:p w14:paraId="5BD94E2A" w14:textId="77777777" w:rsidR="007717A5" w:rsidRDefault="007717A5" w:rsidP="00915E83"/>
    <w:p w14:paraId="06BCFF80" w14:textId="77777777" w:rsidR="007717A5" w:rsidRDefault="007717A5" w:rsidP="00915E83"/>
    <w:p w14:paraId="6F23CCA4" w14:textId="77777777" w:rsidR="008405AE" w:rsidRDefault="008405AE" w:rsidP="00915E83"/>
    <w:p w14:paraId="08310142" w14:textId="2AAF2D74" w:rsidR="008405AE" w:rsidRDefault="00915E83" w:rsidP="00915E83">
      <w:pPr>
        <w:rPr>
          <w:rStyle w:val="Heading1Char"/>
        </w:rPr>
      </w:pPr>
      <w:bookmarkStart w:id="1" w:name="_Toc182657462"/>
      <w:r w:rsidRPr="008405AE">
        <w:rPr>
          <w:rStyle w:val="Heading1Char"/>
          <w:shd w:val="clear" w:color="auto" w:fill="A6BED2"/>
        </w:rPr>
        <w:lastRenderedPageBreak/>
        <w:t>Critical Evaluation of the Purpose of Coaching and Mentoring</w:t>
      </w:r>
      <w:r w:rsidR="00D37A96">
        <w:rPr>
          <w:rStyle w:val="Heading1Char"/>
          <w:shd w:val="clear" w:color="auto" w:fill="A6BED2"/>
        </w:rPr>
        <w:t xml:space="preserve"> within a workplace</w:t>
      </w:r>
      <w:bookmarkEnd w:id="1"/>
      <w:r w:rsidRPr="00550E66">
        <w:rPr>
          <w:rStyle w:val="Heading1Char"/>
        </w:rPr>
        <w:t xml:space="preserve"> </w:t>
      </w:r>
    </w:p>
    <w:p w14:paraId="1B93FA77" w14:textId="77777777" w:rsidR="000C0405" w:rsidRDefault="000C0405" w:rsidP="008405AE">
      <w:pPr>
        <w:spacing w:line="360" w:lineRule="auto"/>
      </w:pPr>
    </w:p>
    <w:p w14:paraId="2C7D9D9B" w14:textId="1C1A413E" w:rsidR="007717A5" w:rsidRPr="007717A5" w:rsidRDefault="007717A5" w:rsidP="007717A5">
      <w:pPr>
        <w:spacing w:line="360" w:lineRule="auto"/>
        <w:rPr>
          <w:rFonts w:ascii="Arial" w:hAnsi="Arial" w:cs="Arial"/>
          <w:color w:val="0A2F41" w:themeColor="accent1" w:themeShade="80"/>
        </w:rPr>
      </w:pPr>
      <w:r w:rsidRPr="007717A5">
        <w:rPr>
          <w:rFonts w:ascii="Arial" w:hAnsi="Arial" w:cs="Arial"/>
          <w:color w:val="0A2F41" w:themeColor="accent1" w:themeShade="80"/>
        </w:rPr>
        <w:t>Coaching and mentoring are vital for workplace development. Coaching helps individuals achieve specific goals and improve performance, aligning personal and organisational objectives (Brockbank &amp; McGill, 2012). Mentoring focuses on long-term growth, fostering self-awareness and career progression (Hawkins &amp; Smith, 2013). Coaching encourages independence, while mentoring offers career guidance and enhances engagement.</w:t>
      </w:r>
    </w:p>
    <w:p w14:paraId="610666E1" w14:textId="6A13FE93" w:rsidR="007717A5" w:rsidRPr="007717A5" w:rsidRDefault="007717A5" w:rsidP="007717A5">
      <w:pPr>
        <w:spacing w:line="360" w:lineRule="auto"/>
        <w:rPr>
          <w:rFonts w:ascii="Arial" w:hAnsi="Arial" w:cs="Arial"/>
          <w:color w:val="0A2F41" w:themeColor="accent1" w:themeShade="80"/>
        </w:rPr>
      </w:pPr>
      <w:r w:rsidRPr="007717A5">
        <w:rPr>
          <w:rFonts w:ascii="Arial" w:hAnsi="Arial" w:cs="Arial"/>
          <w:color w:val="0A2F41" w:themeColor="accent1" w:themeShade="80"/>
        </w:rPr>
        <w:t>The GROW model helps coachees set goals and take actionable steps (Dexter et al., 2011), while mentoring, using frameworks like CLEAR, supports personal growth and trust-building (Hawkins &amp; Smith, 2013). Both practices face challenges such as resistance to change, with effective listening, empathy, and feedback improving outcomes (Dexter et al., 2011).</w:t>
      </w:r>
    </w:p>
    <w:p w14:paraId="2C09AA9D" w14:textId="77777777" w:rsidR="007717A5" w:rsidRDefault="007717A5" w:rsidP="007717A5">
      <w:pPr>
        <w:spacing w:line="360" w:lineRule="auto"/>
        <w:rPr>
          <w:rFonts w:ascii="Arial" w:hAnsi="Arial" w:cs="Arial"/>
          <w:color w:val="0A2F41" w:themeColor="accent1" w:themeShade="80"/>
        </w:rPr>
      </w:pPr>
    </w:p>
    <w:p w14:paraId="58DDFD9A" w14:textId="4556A4EC" w:rsidR="000C0405" w:rsidRPr="000C0405" w:rsidRDefault="000C0405" w:rsidP="00EB5E79">
      <w:pPr>
        <w:pStyle w:val="Heading2"/>
      </w:pPr>
      <w:bookmarkStart w:id="2" w:name="_Toc182657463"/>
      <w:r w:rsidRPr="000C0405">
        <w:t>Purposes of Coaching in the Workplace</w:t>
      </w:r>
      <w:bookmarkEnd w:id="2"/>
    </w:p>
    <w:p w14:paraId="19767C70" w14:textId="77777777" w:rsidR="00EB5E79" w:rsidRDefault="00EB5E79" w:rsidP="009A3173">
      <w:pPr>
        <w:spacing w:line="360" w:lineRule="auto"/>
        <w:rPr>
          <w:rFonts w:ascii="Arial" w:hAnsi="Arial" w:cs="Arial"/>
          <w:color w:val="0A2F41" w:themeColor="accent1" w:themeShade="80"/>
        </w:rPr>
      </w:pPr>
    </w:p>
    <w:p w14:paraId="0AE44429" w14:textId="3E104D8F" w:rsidR="009A3173" w:rsidRPr="007717A5" w:rsidRDefault="009A3173" w:rsidP="009A3173">
      <w:pPr>
        <w:spacing w:line="360" w:lineRule="auto"/>
        <w:rPr>
          <w:rFonts w:ascii="Arial" w:hAnsi="Arial" w:cs="Arial"/>
          <w:color w:val="0A2F41" w:themeColor="accent1" w:themeShade="80"/>
        </w:rPr>
      </w:pPr>
      <w:r w:rsidRPr="007717A5">
        <w:rPr>
          <w:rFonts w:ascii="Arial" w:hAnsi="Arial" w:cs="Arial"/>
          <w:color w:val="0A2F41" w:themeColor="accent1" w:themeShade="80"/>
        </w:rPr>
        <w:t>Coaching is goal-oriented, aimed at enhancing performance, resolving issues, and fostering professional development. Whitmore (2009) defines coaching as unlocking an individual’s potential to maximise their performance, often using guided questioning, active listening, and reflection. In the workplace, coaching is typically used to develop leadership skills, address performance gaps, and aid career transitions (Garvey et al., 2018). For example, coaching can help employees improve problem-solving, build resilience, and align personal goals with organisational objectives.</w:t>
      </w:r>
    </w:p>
    <w:p w14:paraId="5DFB4FDF" w14:textId="72178E64" w:rsidR="00C009D6" w:rsidRPr="007717A5" w:rsidRDefault="009A3173" w:rsidP="009A3173">
      <w:pPr>
        <w:spacing w:line="360" w:lineRule="auto"/>
        <w:rPr>
          <w:rFonts w:ascii="Arial" w:hAnsi="Arial" w:cs="Arial"/>
          <w:color w:val="0A2F41" w:themeColor="accent1" w:themeShade="80"/>
        </w:rPr>
      </w:pPr>
      <w:r w:rsidRPr="007717A5">
        <w:rPr>
          <w:rFonts w:ascii="Arial" w:hAnsi="Arial" w:cs="Arial"/>
          <w:color w:val="0A2F41" w:themeColor="accent1" w:themeShade="80"/>
        </w:rPr>
        <w:t>Coaching also contributes to a culture of continuous improvement. Models like GROW (Goal, Reality, Options, Will) provide a structured approach, helping employees clarify objectives, assess their current situation, explore solutions, and commit to action (Whitmore, 2009). This method aligns with organisational needs for measurable outcomes, particularly in performance management and employee engagement.</w:t>
      </w:r>
    </w:p>
    <w:p w14:paraId="04421197" w14:textId="77777777" w:rsidR="009A3173" w:rsidRPr="000C0405" w:rsidRDefault="009A3173" w:rsidP="009A3173">
      <w:pPr>
        <w:spacing w:line="360" w:lineRule="auto"/>
        <w:rPr>
          <w:rFonts w:ascii="Arial" w:hAnsi="Arial" w:cs="Arial"/>
          <w:color w:val="0A2F41" w:themeColor="accent1" w:themeShade="80"/>
        </w:rPr>
      </w:pPr>
    </w:p>
    <w:p w14:paraId="0F38B0AD" w14:textId="77777777" w:rsidR="000C0405" w:rsidRPr="000C0405" w:rsidRDefault="000C0405" w:rsidP="00EB5E79">
      <w:pPr>
        <w:pStyle w:val="Heading2"/>
      </w:pPr>
      <w:bookmarkStart w:id="3" w:name="_Toc182657464"/>
      <w:r w:rsidRPr="000C0405">
        <w:lastRenderedPageBreak/>
        <w:t>Purposes of Mentoring in the Workplace</w:t>
      </w:r>
      <w:bookmarkEnd w:id="3"/>
    </w:p>
    <w:p w14:paraId="51937B9E" w14:textId="77777777" w:rsidR="00EB5E79" w:rsidRDefault="00EB5E79" w:rsidP="009A3173">
      <w:pPr>
        <w:spacing w:line="360" w:lineRule="auto"/>
        <w:rPr>
          <w:rFonts w:ascii="Arial" w:hAnsi="Arial" w:cs="Arial"/>
          <w:color w:val="0A2F41" w:themeColor="accent1" w:themeShade="80"/>
        </w:rPr>
      </w:pPr>
    </w:p>
    <w:p w14:paraId="703BF5E8" w14:textId="71908D8E" w:rsidR="009A3173" w:rsidRPr="007717A5" w:rsidRDefault="009A3173" w:rsidP="009A3173">
      <w:pPr>
        <w:spacing w:line="360" w:lineRule="auto"/>
        <w:rPr>
          <w:rFonts w:ascii="Arial" w:hAnsi="Arial" w:cs="Arial"/>
          <w:color w:val="0A2F41" w:themeColor="accent1" w:themeShade="80"/>
        </w:rPr>
      </w:pPr>
      <w:r w:rsidRPr="007717A5">
        <w:rPr>
          <w:rFonts w:ascii="Arial" w:hAnsi="Arial" w:cs="Arial"/>
          <w:color w:val="0A2F41" w:themeColor="accent1" w:themeShade="80"/>
        </w:rPr>
        <w:t>Mentoring, in contrast, is a long-term process focused on personal and professional development through a relationship based on trust and guidance. Connor (2012) defines mentoring as a supportive partnership, where a more experienced individual offers insight, encouragement, and feedback to help mentees navigate challenges and opportunities. This relationship often aids career progression, fosters self-awareness, and boosts confidence.</w:t>
      </w:r>
    </w:p>
    <w:p w14:paraId="4885ADE0" w14:textId="4755C316" w:rsidR="00C009D6" w:rsidRPr="007717A5" w:rsidRDefault="009A3173" w:rsidP="009A3173">
      <w:pPr>
        <w:spacing w:line="360" w:lineRule="auto"/>
        <w:rPr>
          <w:rFonts w:ascii="Arial" w:hAnsi="Arial" w:cs="Arial"/>
          <w:color w:val="0A2F41" w:themeColor="accent1" w:themeShade="80"/>
        </w:rPr>
      </w:pPr>
      <w:r w:rsidRPr="007717A5">
        <w:rPr>
          <w:rFonts w:ascii="Arial" w:hAnsi="Arial" w:cs="Arial"/>
          <w:color w:val="0A2F41" w:themeColor="accent1" w:themeShade="80"/>
        </w:rPr>
        <w:t>A key purpose of mentoring is knowledge transfer, particularly in organisations facing skills shortages or requiring succession planning. Mentoring can also address barriers to diversity and inclusion by offering tailored support for underrepresented groups (Clutterbuck, 2004). For instance, mentoring programmes can help new employees adjust to organisational culture or guide junior staff through complex decisions.</w:t>
      </w:r>
    </w:p>
    <w:p w14:paraId="57135A6C" w14:textId="77777777" w:rsidR="009A3173" w:rsidRDefault="009A3173" w:rsidP="009A3173">
      <w:pPr>
        <w:spacing w:line="360" w:lineRule="auto"/>
        <w:rPr>
          <w:rFonts w:ascii="Arial" w:hAnsi="Arial" w:cs="Arial"/>
          <w:color w:val="0A2F41" w:themeColor="accent1" w:themeShade="80"/>
        </w:rPr>
      </w:pPr>
    </w:p>
    <w:p w14:paraId="24AB124C" w14:textId="26F96433" w:rsidR="000C0405" w:rsidRPr="000C0405" w:rsidRDefault="000C0405" w:rsidP="00EB5E79">
      <w:pPr>
        <w:pStyle w:val="Heading2"/>
      </w:pPr>
      <w:bookmarkStart w:id="4" w:name="_Toc182657465"/>
      <w:r w:rsidRPr="000C0405">
        <w:t>Comparing and Contrasting Coaching and Mentoring</w:t>
      </w:r>
      <w:bookmarkEnd w:id="4"/>
    </w:p>
    <w:p w14:paraId="187B02C4" w14:textId="77777777" w:rsidR="00EB5E79" w:rsidRDefault="00EB5E79" w:rsidP="009A3173">
      <w:pPr>
        <w:spacing w:line="360" w:lineRule="auto"/>
        <w:rPr>
          <w:rFonts w:ascii="Arial" w:hAnsi="Arial" w:cs="Arial"/>
          <w:color w:val="0A2F41" w:themeColor="accent1" w:themeShade="80"/>
        </w:rPr>
      </w:pPr>
    </w:p>
    <w:p w14:paraId="4708DE62" w14:textId="08AB08B1" w:rsidR="009A3173" w:rsidRPr="007717A5" w:rsidRDefault="009A3173" w:rsidP="009A3173">
      <w:pPr>
        <w:spacing w:line="360" w:lineRule="auto"/>
        <w:rPr>
          <w:rFonts w:ascii="Arial" w:hAnsi="Arial" w:cs="Arial"/>
          <w:color w:val="0A2F41" w:themeColor="accent1" w:themeShade="80"/>
        </w:rPr>
      </w:pPr>
      <w:r w:rsidRPr="007717A5">
        <w:rPr>
          <w:rFonts w:ascii="Arial" w:hAnsi="Arial" w:cs="Arial"/>
          <w:color w:val="0A2F41" w:themeColor="accent1" w:themeShade="80"/>
        </w:rPr>
        <w:t xml:space="preserve">Coaching and mentoring, while both aimed at fostering personal and professional development, differ in approach, duration, and objectives. Coaching is typically task-oriented, short-term, and focused on achieving specific outcomes within a set </w:t>
      </w:r>
      <w:r w:rsidR="0A4A5A20" w:rsidRPr="590D60C9">
        <w:rPr>
          <w:rFonts w:ascii="Arial" w:hAnsi="Arial" w:cs="Arial"/>
          <w:color w:val="0A2F41" w:themeColor="accent1" w:themeShade="80"/>
        </w:rPr>
        <w:t>time</w:t>
      </w:r>
      <w:r w:rsidRPr="007717A5">
        <w:rPr>
          <w:rFonts w:ascii="Arial" w:hAnsi="Arial" w:cs="Arial"/>
          <w:color w:val="0A2F41" w:themeColor="accent1" w:themeShade="80"/>
        </w:rPr>
        <w:t xml:space="preserve"> (Garvey et al., 2018). In contrast, mentoring is a more relational, long-term process prioritising holistic development (Connor, 2012).</w:t>
      </w:r>
    </w:p>
    <w:p w14:paraId="001E2EEF" w14:textId="4225C556" w:rsidR="009A3173" w:rsidRPr="007717A5" w:rsidRDefault="009A3173" w:rsidP="009A3173">
      <w:pPr>
        <w:spacing w:line="360" w:lineRule="auto"/>
        <w:rPr>
          <w:rFonts w:ascii="Arial" w:hAnsi="Arial" w:cs="Arial"/>
          <w:color w:val="0A2F41" w:themeColor="accent1" w:themeShade="80"/>
        </w:rPr>
      </w:pPr>
      <w:r w:rsidRPr="007717A5">
        <w:rPr>
          <w:rFonts w:ascii="Arial" w:hAnsi="Arial" w:cs="Arial"/>
          <w:color w:val="0A2F41" w:themeColor="accent1" w:themeShade="80"/>
        </w:rPr>
        <w:t>A key distinction lies in the level of directive input. Coaches often use non-directive methods, such as open-ended questions, to help the coachee discover solutions and develop problem-solving skills. Mentors, however, may take a more directive approach, offering advice and sharing experiences (Downey, 2014). This difference reflects the varied roles of coaches and mentors in the development process.</w:t>
      </w:r>
    </w:p>
    <w:p w14:paraId="4505A1B0" w14:textId="71A51CDE" w:rsidR="009A3173" w:rsidRPr="007717A5" w:rsidRDefault="009A3173" w:rsidP="009A3173">
      <w:pPr>
        <w:spacing w:line="360" w:lineRule="auto"/>
        <w:rPr>
          <w:rFonts w:ascii="Arial" w:hAnsi="Arial" w:cs="Arial"/>
          <w:color w:val="0A2F41" w:themeColor="accent1" w:themeShade="80"/>
        </w:rPr>
      </w:pPr>
      <w:r w:rsidRPr="007717A5">
        <w:rPr>
          <w:rFonts w:ascii="Arial" w:hAnsi="Arial" w:cs="Arial"/>
          <w:color w:val="0A2F41" w:themeColor="accent1" w:themeShade="80"/>
        </w:rPr>
        <w:t>Another difference is the power dynamic. Coaching typically involves peers or external professionals, maintaining an egalitarian dynamic focused on collaboration and empowerment. Mentoring, however, often involves a more hierarchical relationship, where the mentor has more experience and authority, influencing the direction of the relationship (Clutterbuck, 2004). While this can be beneficial, it may limit the mentee’s autonomy if not managed carefully.</w:t>
      </w:r>
    </w:p>
    <w:p w14:paraId="24C7E7B3" w14:textId="703F3C9F" w:rsidR="000C0405" w:rsidRPr="000C0405" w:rsidRDefault="000C0405" w:rsidP="00EB5E79">
      <w:pPr>
        <w:pStyle w:val="Heading2"/>
      </w:pPr>
      <w:bookmarkStart w:id="5" w:name="_Toc182657466"/>
      <w:r w:rsidRPr="000C0405">
        <w:lastRenderedPageBreak/>
        <w:t>Integration of Coaching and Mentoring</w:t>
      </w:r>
      <w:bookmarkEnd w:id="5"/>
    </w:p>
    <w:p w14:paraId="41057721" w14:textId="77777777" w:rsidR="00EB5E79" w:rsidRDefault="00EB5E79" w:rsidP="000C0405">
      <w:pPr>
        <w:spacing w:line="360" w:lineRule="auto"/>
        <w:rPr>
          <w:rFonts w:ascii="Arial" w:hAnsi="Arial" w:cs="Arial"/>
          <w:color w:val="0A2F41" w:themeColor="accent1" w:themeShade="80"/>
        </w:rPr>
      </w:pPr>
    </w:p>
    <w:p w14:paraId="48314281" w14:textId="127C2E36" w:rsidR="008C0D9B" w:rsidRPr="00180029" w:rsidRDefault="00E6632B" w:rsidP="000C0405">
      <w:pPr>
        <w:spacing w:line="360" w:lineRule="auto"/>
        <w:rPr>
          <w:rFonts w:ascii="Arial" w:hAnsi="Arial" w:cs="Arial"/>
          <w:color w:val="0A2F41" w:themeColor="accent1" w:themeShade="80"/>
        </w:rPr>
      </w:pPr>
      <w:r w:rsidRPr="00180029">
        <w:rPr>
          <w:rFonts w:ascii="Arial" w:hAnsi="Arial" w:cs="Arial"/>
          <w:color w:val="0A2F41" w:themeColor="accent1" w:themeShade="80"/>
        </w:rPr>
        <w:t xml:space="preserve">In practice, coaching and mentoring are not mutually exclusive but rather complementary. The integration of both approaches can establish a comprehensive developmental framework that addresses immediate performance requirements while also fostering long-term growth. For instance, an organisation might </w:t>
      </w:r>
      <w:proofErr w:type="gramStart"/>
      <w:r w:rsidRPr="00180029">
        <w:rPr>
          <w:rFonts w:ascii="Arial" w:hAnsi="Arial" w:cs="Arial"/>
          <w:color w:val="0A2F41" w:themeColor="accent1" w:themeShade="80"/>
        </w:rPr>
        <w:t>utilise</w:t>
      </w:r>
      <w:proofErr w:type="gramEnd"/>
      <w:r w:rsidRPr="00180029">
        <w:rPr>
          <w:rFonts w:ascii="Arial" w:hAnsi="Arial" w:cs="Arial"/>
          <w:color w:val="0A2F41" w:themeColor="accent1" w:themeShade="80"/>
        </w:rPr>
        <w:t xml:space="preserve"> coaching to enhance specific competencies, followed by mentoring to support ongoing career development.</w:t>
      </w:r>
    </w:p>
    <w:p w14:paraId="70284717" w14:textId="77777777" w:rsidR="00D9765E" w:rsidRDefault="00D9765E" w:rsidP="00915E83"/>
    <w:p w14:paraId="21F0984A" w14:textId="77777777" w:rsidR="00D9765E" w:rsidRDefault="00D9765E" w:rsidP="00915E83"/>
    <w:p w14:paraId="2DC3CC7E" w14:textId="77777777" w:rsidR="000C0405" w:rsidRDefault="000C0405" w:rsidP="00915E83"/>
    <w:p w14:paraId="25789465" w14:textId="77777777" w:rsidR="008405AE" w:rsidRDefault="00915E83" w:rsidP="008405AE">
      <w:pPr>
        <w:shd w:val="clear" w:color="auto" w:fill="A6BED2"/>
      </w:pPr>
      <w:bookmarkStart w:id="6" w:name="_Toc182657467"/>
      <w:r w:rsidRPr="00550E66">
        <w:rPr>
          <w:rStyle w:val="Heading1Char"/>
        </w:rPr>
        <w:t>Critical Analysis of a Specific Model of Coaching</w:t>
      </w:r>
      <w:bookmarkEnd w:id="6"/>
      <w:r>
        <w:t xml:space="preserve"> </w:t>
      </w:r>
    </w:p>
    <w:p w14:paraId="7714650D" w14:textId="77777777" w:rsidR="008405AE" w:rsidRDefault="008405AE" w:rsidP="00915E83"/>
    <w:p w14:paraId="28FF7AFC" w14:textId="6821B27C" w:rsidR="007717A5" w:rsidRPr="00180029" w:rsidRDefault="007717A5" w:rsidP="007717A5">
      <w:pPr>
        <w:spacing w:line="360" w:lineRule="auto"/>
        <w:rPr>
          <w:rFonts w:ascii="Arial" w:hAnsi="Arial" w:cs="Arial"/>
          <w:color w:val="0A2F41" w:themeColor="accent1" w:themeShade="80"/>
        </w:rPr>
      </w:pPr>
      <w:r w:rsidRPr="00180029">
        <w:rPr>
          <w:rFonts w:ascii="Arial" w:hAnsi="Arial" w:cs="Arial"/>
          <w:color w:val="0A2F41" w:themeColor="accent1" w:themeShade="80"/>
        </w:rPr>
        <w:t>The GROW model is a well-known coaching framework that provides a structured approach to goal-setting and problem-solving. The acronym stands for Goal, Reality, Options, and Will, guiding the coach and coachee through a process that promotes clarity, motivation, and practical outcomes (Whitmore, 2009).</w:t>
      </w:r>
    </w:p>
    <w:p w14:paraId="52B2036E" w14:textId="6FC93236" w:rsidR="007717A5" w:rsidRPr="00180029" w:rsidRDefault="007717A5" w:rsidP="007717A5">
      <w:pPr>
        <w:spacing w:line="360" w:lineRule="auto"/>
        <w:rPr>
          <w:rFonts w:ascii="Arial" w:hAnsi="Arial" w:cs="Arial"/>
          <w:color w:val="0A2F41" w:themeColor="accent1" w:themeShade="80"/>
        </w:rPr>
      </w:pPr>
      <w:r w:rsidRPr="00180029">
        <w:rPr>
          <w:rFonts w:ascii="Arial" w:hAnsi="Arial" w:cs="Arial"/>
          <w:color w:val="0A2F41" w:themeColor="accent1" w:themeShade="80"/>
        </w:rPr>
        <w:t>Created by Sir John Whitmore in the 1980s, the model aims to improve performance by first defining the Goal, then exploring the current Reality to identify obstacles. The Options phase generates potential solutions, and the Will phase ensures commitment to specific actions, including accountability and timelines (Whitmore, 2009).</w:t>
      </w:r>
    </w:p>
    <w:p w14:paraId="4AED58A2" w14:textId="123A7831" w:rsidR="00DC5FE1" w:rsidRPr="00180029" w:rsidRDefault="007717A5" w:rsidP="007717A5">
      <w:pPr>
        <w:spacing w:line="360" w:lineRule="auto"/>
        <w:rPr>
          <w:rFonts w:ascii="Arial" w:hAnsi="Arial" w:cs="Arial"/>
          <w:color w:val="0A2F41" w:themeColor="accent1" w:themeShade="80"/>
        </w:rPr>
      </w:pPr>
      <w:r w:rsidRPr="00180029">
        <w:rPr>
          <w:rFonts w:ascii="Arial" w:hAnsi="Arial" w:cs="Arial"/>
          <w:color w:val="0A2F41" w:themeColor="accent1" w:themeShade="80"/>
        </w:rPr>
        <w:t>Thanks to its simplicity and effectiveness, the GROW model is widely used in management, education, and personal development to encourage self-reflection and action (Hawkins &amp; Smith, 2013).</w:t>
      </w:r>
    </w:p>
    <w:p w14:paraId="2B6D7D26" w14:textId="77777777" w:rsidR="007717A5" w:rsidRPr="00EB5E79" w:rsidRDefault="007717A5" w:rsidP="007717A5">
      <w:pPr>
        <w:spacing w:line="360" w:lineRule="auto"/>
        <w:rPr>
          <w:rFonts w:ascii="Arial" w:hAnsi="Arial" w:cs="Arial"/>
          <w:color w:val="0A2F41" w:themeColor="accent1" w:themeShade="80"/>
        </w:rPr>
      </w:pPr>
    </w:p>
    <w:p w14:paraId="0AB347DA" w14:textId="77777777" w:rsidR="00EB5E79" w:rsidRPr="00EB5E79" w:rsidRDefault="00EB5E79" w:rsidP="00EB5E79">
      <w:pPr>
        <w:pStyle w:val="Heading2"/>
      </w:pPr>
      <w:bookmarkStart w:id="7" w:name="_Toc182657468"/>
      <w:r w:rsidRPr="00EB5E79">
        <w:t>Advantages of the GROW Model</w:t>
      </w:r>
      <w:bookmarkEnd w:id="7"/>
    </w:p>
    <w:p w14:paraId="5B56004E" w14:textId="77777777" w:rsidR="00EB5E79" w:rsidRDefault="00EB5E79" w:rsidP="00EB5E79">
      <w:pPr>
        <w:spacing w:line="360" w:lineRule="auto"/>
        <w:rPr>
          <w:rFonts w:ascii="Arial" w:hAnsi="Arial" w:cs="Arial"/>
          <w:color w:val="0A2F41" w:themeColor="accent1" w:themeShade="80"/>
        </w:rPr>
      </w:pPr>
    </w:p>
    <w:p w14:paraId="1973EE1B" w14:textId="153C956A" w:rsidR="005719FF" w:rsidRPr="00180029" w:rsidRDefault="005719FF" w:rsidP="005719FF">
      <w:pPr>
        <w:spacing w:line="360" w:lineRule="auto"/>
        <w:rPr>
          <w:rFonts w:ascii="Arial" w:hAnsi="Arial" w:cs="Arial"/>
          <w:color w:val="0A2F41" w:themeColor="accent1" w:themeShade="80"/>
        </w:rPr>
      </w:pPr>
      <w:r w:rsidRPr="00180029">
        <w:rPr>
          <w:rFonts w:ascii="Arial" w:hAnsi="Arial" w:cs="Arial"/>
          <w:color w:val="0A2F41" w:themeColor="accent1" w:themeShade="80"/>
        </w:rPr>
        <w:t xml:space="preserve">One of the key advantages of the GROW model is its simplicity and clarity. Its straightforward structure makes it accessible to both novice and experienced coaches (Brockbank &amp; McGill, 2012). The model’s linear approach helps the coachee stay focused, while still allowing the </w:t>
      </w:r>
      <w:r w:rsidRPr="00180029">
        <w:rPr>
          <w:rFonts w:ascii="Arial" w:hAnsi="Arial" w:cs="Arial"/>
          <w:color w:val="0A2F41" w:themeColor="accent1" w:themeShade="80"/>
        </w:rPr>
        <w:lastRenderedPageBreak/>
        <w:t>coach to adapt questions based on the coachee’s responses (Dexter et al., 2011). By encouraging reflective questioning, the GROW model enables individuals to discover their own solutions, fostering greater self-awareness and personal responsibility.</w:t>
      </w:r>
    </w:p>
    <w:p w14:paraId="70F368CA" w14:textId="0F824FD0" w:rsidR="00EB5E79" w:rsidRPr="00180029" w:rsidRDefault="005719FF" w:rsidP="005719FF">
      <w:pPr>
        <w:spacing w:line="360" w:lineRule="auto"/>
        <w:rPr>
          <w:rFonts w:ascii="Arial" w:hAnsi="Arial" w:cs="Arial"/>
          <w:color w:val="0A2F41" w:themeColor="accent1" w:themeShade="80"/>
        </w:rPr>
      </w:pPr>
      <w:r w:rsidRPr="00180029">
        <w:rPr>
          <w:rFonts w:ascii="Arial" w:hAnsi="Arial" w:cs="Arial"/>
          <w:color w:val="0A2F41" w:themeColor="accent1" w:themeShade="80"/>
        </w:rPr>
        <w:t xml:space="preserve">Moreover, the GROW model is highly adaptable, suitable for both one-on-one coaching sessions and group settings, which makes it versatile in various workplace contexts (Hawkins &amp; Smith, 2013). It can </w:t>
      </w:r>
      <w:proofErr w:type="gramStart"/>
      <w:r w:rsidRPr="00180029">
        <w:rPr>
          <w:rFonts w:ascii="Arial" w:hAnsi="Arial" w:cs="Arial"/>
          <w:color w:val="0A2F41" w:themeColor="accent1" w:themeShade="80"/>
        </w:rPr>
        <w:t>be applied</w:t>
      </w:r>
      <w:proofErr w:type="gramEnd"/>
      <w:r w:rsidRPr="00180029">
        <w:rPr>
          <w:rFonts w:ascii="Arial" w:hAnsi="Arial" w:cs="Arial"/>
          <w:color w:val="0A2F41" w:themeColor="accent1" w:themeShade="80"/>
        </w:rPr>
        <w:t xml:space="preserve"> in leadership development, performance improvement, and career transitions, supporting the alignment of personal goals with organisational objectives.</w:t>
      </w:r>
    </w:p>
    <w:p w14:paraId="440B35CE" w14:textId="77777777" w:rsidR="005719FF" w:rsidRPr="00EB5E79" w:rsidRDefault="005719FF" w:rsidP="005719FF">
      <w:pPr>
        <w:spacing w:line="360" w:lineRule="auto"/>
        <w:rPr>
          <w:rFonts w:ascii="Arial" w:hAnsi="Arial" w:cs="Arial"/>
          <w:color w:val="0A2F41" w:themeColor="accent1" w:themeShade="80"/>
        </w:rPr>
      </w:pPr>
    </w:p>
    <w:p w14:paraId="4507F216" w14:textId="77777777" w:rsidR="00EB5E79" w:rsidRPr="00EB5E79" w:rsidRDefault="00EB5E79" w:rsidP="00EB5E79">
      <w:pPr>
        <w:pStyle w:val="Heading2"/>
      </w:pPr>
      <w:bookmarkStart w:id="8" w:name="_Toc182657469"/>
      <w:r w:rsidRPr="00EB5E79">
        <w:t>Disadvantages of the GROW Model</w:t>
      </w:r>
      <w:bookmarkEnd w:id="8"/>
    </w:p>
    <w:p w14:paraId="20C1AD31" w14:textId="77777777" w:rsidR="00EB5E79" w:rsidRDefault="00EB5E79" w:rsidP="00EB5E79">
      <w:pPr>
        <w:spacing w:line="360" w:lineRule="auto"/>
        <w:rPr>
          <w:rFonts w:ascii="Arial" w:hAnsi="Arial" w:cs="Arial"/>
          <w:color w:val="0A2F41" w:themeColor="accent1" w:themeShade="80"/>
        </w:rPr>
      </w:pPr>
    </w:p>
    <w:p w14:paraId="752727C5" w14:textId="411E04DF" w:rsidR="00EB5E79" w:rsidRPr="00180029" w:rsidRDefault="00EB5E79" w:rsidP="00EB5E79">
      <w:pPr>
        <w:spacing w:line="360" w:lineRule="auto"/>
        <w:rPr>
          <w:rFonts w:ascii="Arial" w:hAnsi="Arial" w:cs="Arial"/>
          <w:color w:val="0A2F41" w:themeColor="accent1" w:themeShade="80"/>
        </w:rPr>
      </w:pPr>
      <w:r w:rsidRPr="00180029">
        <w:rPr>
          <w:rFonts w:ascii="Arial" w:hAnsi="Arial" w:cs="Arial"/>
          <w:color w:val="0A2F41" w:themeColor="accent1" w:themeShade="80"/>
        </w:rPr>
        <w:t xml:space="preserve">However, there are also </w:t>
      </w:r>
      <w:proofErr w:type="gramStart"/>
      <w:r w:rsidRPr="00180029">
        <w:rPr>
          <w:rFonts w:ascii="Arial" w:hAnsi="Arial" w:cs="Arial"/>
          <w:color w:val="0A2F41" w:themeColor="accent1" w:themeShade="80"/>
        </w:rPr>
        <w:t>some</w:t>
      </w:r>
      <w:proofErr w:type="gramEnd"/>
      <w:r w:rsidRPr="00180029">
        <w:rPr>
          <w:rFonts w:ascii="Arial" w:hAnsi="Arial" w:cs="Arial"/>
          <w:color w:val="0A2F41" w:themeColor="accent1" w:themeShade="80"/>
        </w:rPr>
        <w:t xml:space="preserve"> limitations to the GROW model. One disadvantage is that the simplicity of the model can sometimes lead to oversimplification of complex issues. In situations where the coachee faces deep-rooted challenges or emotional barriers, the structured approach of GROW may not be sufficient to address the underlying issues (Brockbank &amp; McGill, 2012). For instance, when a coachee is dealing with a significant personal or professional setback, the focus on goal setting and actions may seem too narrow, and the coachee may require more in-depth emotional support.</w:t>
      </w:r>
    </w:p>
    <w:p w14:paraId="4689FFD0" w14:textId="0BD47496" w:rsidR="00EB5E79" w:rsidRDefault="00EB5E79" w:rsidP="00EB5E79">
      <w:pPr>
        <w:spacing w:line="360" w:lineRule="auto"/>
        <w:rPr>
          <w:rFonts w:ascii="Arial" w:hAnsi="Arial" w:cs="Arial"/>
          <w:color w:val="0A2F41" w:themeColor="accent1" w:themeShade="80"/>
        </w:rPr>
      </w:pPr>
      <w:r w:rsidRPr="00180029">
        <w:rPr>
          <w:rFonts w:ascii="Arial" w:hAnsi="Arial" w:cs="Arial"/>
          <w:color w:val="0A2F41" w:themeColor="accent1" w:themeShade="80"/>
        </w:rPr>
        <w:t>Another limitation is that the GROW model assumes that the coachee has a clear understanding of their goals and the reality of their situation. In cases where the coachee lacks clarity or self-awareness, the model’s effectiveness may be reduced unless supplemented by additional frameworks that help to develop self-reflection (Dexter et al., 2011).</w:t>
      </w:r>
    </w:p>
    <w:p w14:paraId="7261025D" w14:textId="77777777" w:rsidR="00180029" w:rsidRPr="00180029" w:rsidRDefault="00180029" w:rsidP="00EB5E79">
      <w:pPr>
        <w:spacing w:line="360" w:lineRule="auto"/>
        <w:rPr>
          <w:rFonts w:ascii="Arial" w:hAnsi="Arial" w:cs="Arial"/>
          <w:color w:val="0A2F41" w:themeColor="accent1" w:themeShade="80"/>
        </w:rPr>
      </w:pPr>
    </w:p>
    <w:p w14:paraId="3727A628" w14:textId="1D742210" w:rsidR="00EB5E79" w:rsidRPr="00EB5E79" w:rsidRDefault="00EB5E79" w:rsidP="00EB5E79">
      <w:pPr>
        <w:pStyle w:val="Heading2"/>
      </w:pPr>
      <w:bookmarkStart w:id="9" w:name="_Toc182657470"/>
      <w:r w:rsidRPr="00EB5E79">
        <w:t xml:space="preserve">Situations Where the GROW Model </w:t>
      </w:r>
      <w:r>
        <w:t>i</w:t>
      </w:r>
      <w:r w:rsidRPr="00EB5E79">
        <w:t>s Most Useful</w:t>
      </w:r>
      <w:bookmarkEnd w:id="9"/>
    </w:p>
    <w:p w14:paraId="2C2B7F00" w14:textId="77777777" w:rsidR="00EB5E79" w:rsidRDefault="00EB5E79" w:rsidP="00EB5E79">
      <w:pPr>
        <w:spacing w:line="360" w:lineRule="auto"/>
        <w:rPr>
          <w:rFonts w:ascii="Arial" w:hAnsi="Arial" w:cs="Arial"/>
          <w:color w:val="0A2F41" w:themeColor="accent1" w:themeShade="80"/>
        </w:rPr>
      </w:pPr>
    </w:p>
    <w:p w14:paraId="26E46807" w14:textId="1E10B43E" w:rsidR="00EB5E79" w:rsidRPr="00180029" w:rsidRDefault="00EB5E79" w:rsidP="00EB5E79">
      <w:pPr>
        <w:spacing w:line="360" w:lineRule="auto"/>
        <w:rPr>
          <w:rFonts w:ascii="Arial" w:hAnsi="Arial" w:cs="Arial"/>
          <w:color w:val="0A2F41" w:themeColor="accent1" w:themeShade="80"/>
        </w:rPr>
      </w:pPr>
      <w:r w:rsidRPr="00180029">
        <w:rPr>
          <w:rFonts w:ascii="Arial" w:hAnsi="Arial" w:cs="Arial"/>
          <w:color w:val="0A2F41" w:themeColor="accent1" w:themeShade="80"/>
        </w:rPr>
        <w:t>Despite its limitations, the GROW model can be particularly useful in workplace settings where clarity, focus, and actionable steps are needed. For example, it is highly effective in performance management, where employees need to improve specific aspects of their work. The model’s structure allows for clear goal setting and the development of concrete action plans (Whitmore, 2009).</w:t>
      </w:r>
    </w:p>
    <w:p w14:paraId="3DFCFEB8" w14:textId="316E0C50" w:rsidR="00EB5E79" w:rsidRPr="00180029" w:rsidRDefault="00EB5E79" w:rsidP="00EB5E79">
      <w:pPr>
        <w:spacing w:line="360" w:lineRule="auto"/>
        <w:rPr>
          <w:rFonts w:ascii="Arial" w:hAnsi="Arial" w:cs="Arial"/>
          <w:color w:val="0A2F41" w:themeColor="accent1" w:themeShade="80"/>
        </w:rPr>
      </w:pPr>
      <w:r w:rsidRPr="00180029">
        <w:rPr>
          <w:rFonts w:ascii="Arial" w:hAnsi="Arial" w:cs="Arial"/>
          <w:color w:val="0A2F41" w:themeColor="accent1" w:themeShade="80"/>
        </w:rPr>
        <w:lastRenderedPageBreak/>
        <w:t>Additionally, the GROW model is beneficial in leadership development, as it helps individuals reflect on their leadership goals and identify areas for growth. For instance, a manager seeking to improve their communication skills could use the GROW model to identify the desired outcome, assess their current communication style, explore options for improvement, and commit to taking specific actions.</w:t>
      </w:r>
    </w:p>
    <w:p w14:paraId="76478CE6" w14:textId="7D1BFEEB" w:rsidR="008405AE" w:rsidRPr="00180029" w:rsidRDefault="00EB5E79" w:rsidP="005719FF">
      <w:pPr>
        <w:spacing w:line="360" w:lineRule="auto"/>
        <w:rPr>
          <w:rFonts w:ascii="Arial" w:hAnsi="Arial" w:cs="Arial"/>
          <w:color w:val="0A2F41" w:themeColor="accent1" w:themeShade="80"/>
        </w:rPr>
      </w:pPr>
      <w:r w:rsidRPr="00180029">
        <w:rPr>
          <w:rFonts w:ascii="Arial" w:hAnsi="Arial" w:cs="Arial"/>
          <w:color w:val="0A2F41" w:themeColor="accent1" w:themeShade="80"/>
        </w:rPr>
        <w:t>The model is also useful during career coaching, particularly for individuals navigating career transitions. In these scenarios, the GROW model can help individuals assess their current reality, explore various career options, and commit to actions that align with their long-term goals (Hawkins &amp; Smith, 2013).</w:t>
      </w:r>
    </w:p>
    <w:p w14:paraId="159EFD4C" w14:textId="77777777" w:rsidR="001A24FF" w:rsidRPr="005719FF" w:rsidRDefault="001A24FF" w:rsidP="005719FF">
      <w:pPr>
        <w:spacing w:line="360" w:lineRule="auto"/>
        <w:rPr>
          <w:rFonts w:ascii="Arial" w:hAnsi="Arial" w:cs="Arial"/>
          <w:color w:val="0A2F41" w:themeColor="accent1" w:themeShade="80"/>
        </w:rPr>
      </w:pPr>
    </w:p>
    <w:p w14:paraId="7D8F81E4" w14:textId="77777777" w:rsidR="008405AE" w:rsidRDefault="008405AE" w:rsidP="00915E83"/>
    <w:p w14:paraId="0FA8B23A" w14:textId="09E3262D" w:rsidR="008405AE" w:rsidRDefault="00915E83" w:rsidP="00915E83">
      <w:bookmarkStart w:id="10" w:name="_Toc182657471"/>
      <w:r w:rsidRPr="008405AE">
        <w:rPr>
          <w:rStyle w:val="Heading1Char"/>
          <w:shd w:val="clear" w:color="auto" w:fill="A6BED2"/>
        </w:rPr>
        <w:t>Reflection on Practical</w:t>
      </w:r>
      <w:r w:rsidR="00550E66" w:rsidRPr="008405AE">
        <w:rPr>
          <w:rStyle w:val="Heading1Char"/>
          <w:shd w:val="clear" w:color="auto" w:fill="A6BED2"/>
        </w:rPr>
        <w:t xml:space="preserve"> 1</w:t>
      </w:r>
      <w:r w:rsidR="007717A5">
        <w:rPr>
          <w:rStyle w:val="Heading1Char"/>
          <w:shd w:val="clear" w:color="auto" w:fill="A6BED2"/>
        </w:rPr>
        <w:t>-</w:t>
      </w:r>
      <w:r w:rsidR="00CA1433">
        <w:rPr>
          <w:rStyle w:val="Heading1Char"/>
          <w:shd w:val="clear" w:color="auto" w:fill="A6BED2"/>
        </w:rPr>
        <w:t>Coaching and Goal Setting</w:t>
      </w:r>
      <w:bookmarkEnd w:id="10"/>
      <w:r>
        <w:t xml:space="preserve"> </w:t>
      </w:r>
    </w:p>
    <w:p w14:paraId="7AF101C3" w14:textId="360F6A78" w:rsidR="004C6801" w:rsidRDefault="004C6801" w:rsidP="00915E83"/>
    <w:p w14:paraId="7D6D1017" w14:textId="77777777" w:rsidR="004C6801" w:rsidRPr="009B4CA6" w:rsidRDefault="004C6801" w:rsidP="009B4CA6">
      <w:pPr>
        <w:spacing w:line="360" w:lineRule="auto"/>
        <w:rPr>
          <w:rFonts w:ascii="Arial" w:hAnsi="Arial" w:cs="Arial"/>
          <w:color w:val="0A2F41" w:themeColor="accent1" w:themeShade="80"/>
        </w:rPr>
      </w:pPr>
    </w:p>
    <w:p w14:paraId="649DF411" w14:textId="015D0190" w:rsidR="00521AC0" w:rsidRPr="00180029" w:rsidRDefault="00521AC0"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For my first assessed coaching session, I used Gibbs' Reflective Cycle (1988) to structure my reflection. This model is particularly useful as it encourages a thorough examination of my actions and thoughts throughout the session, allowing me to identify areas of strength and those requiring improvement. The session focused on goal setting, and the feedback provided by my lecturer offered valuable insights that helped me refine my approach.</w:t>
      </w:r>
    </w:p>
    <w:p w14:paraId="1AA913FC" w14:textId="77777777" w:rsidR="00521AC0" w:rsidRPr="00180029" w:rsidRDefault="00521AC0" w:rsidP="009B4CA6">
      <w:pPr>
        <w:spacing w:line="360" w:lineRule="auto"/>
        <w:rPr>
          <w:rFonts w:ascii="Arial" w:hAnsi="Arial" w:cs="Arial"/>
          <w:b/>
          <w:bCs/>
          <w:color w:val="0A2F41" w:themeColor="accent1" w:themeShade="80"/>
        </w:rPr>
      </w:pPr>
      <w:r w:rsidRPr="00180029">
        <w:rPr>
          <w:rFonts w:ascii="Arial" w:hAnsi="Arial" w:cs="Arial"/>
          <w:b/>
          <w:bCs/>
          <w:color w:val="0A2F41" w:themeColor="accent1" w:themeShade="80"/>
        </w:rPr>
        <w:t>Description</w:t>
      </w:r>
    </w:p>
    <w:p w14:paraId="1F67002B" w14:textId="413D369E" w:rsidR="009B4CA6" w:rsidRPr="00180029" w:rsidRDefault="009B4CA6"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During the coaching session, the coachee, a team leader, explained his frustration with a supervisor who was not providing adequate training and was consistently assigning him tasks that interfered with his responsibilities. This left him feeling unsupported and unable to perform his role effectively. The coachee expressed that the supervisor’s behaviour was also impacting team morale, as the supervisor was rude and unwilling to communicate effectively.</w:t>
      </w:r>
    </w:p>
    <w:p w14:paraId="38D7935D" w14:textId="77777777" w:rsidR="009B4CA6" w:rsidRPr="00180029" w:rsidRDefault="009B4CA6"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Using the GROW model (Whitmore, 2009), I guided the coachee through the process of identifying the Goal, Reality, Options, and Will.</w:t>
      </w:r>
    </w:p>
    <w:p w14:paraId="133F38A6" w14:textId="7BE91BAC" w:rsidR="00521AC0" w:rsidRPr="00180029" w:rsidRDefault="00521AC0" w:rsidP="009B4CA6">
      <w:pPr>
        <w:spacing w:line="360" w:lineRule="auto"/>
        <w:rPr>
          <w:rFonts w:ascii="Arial" w:hAnsi="Arial" w:cs="Arial"/>
          <w:b/>
          <w:bCs/>
          <w:color w:val="0A2F41" w:themeColor="accent1" w:themeShade="80"/>
        </w:rPr>
      </w:pPr>
      <w:r w:rsidRPr="00180029">
        <w:rPr>
          <w:rFonts w:ascii="Arial" w:hAnsi="Arial" w:cs="Arial"/>
          <w:b/>
          <w:bCs/>
          <w:color w:val="0A2F41" w:themeColor="accent1" w:themeShade="80"/>
        </w:rPr>
        <w:t>Feelings</w:t>
      </w:r>
    </w:p>
    <w:p w14:paraId="63ACFB6A" w14:textId="43448F4A" w:rsidR="00AC7D7A" w:rsidRPr="00180029" w:rsidRDefault="00AC7D7A"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lastRenderedPageBreak/>
        <w:t xml:space="preserve">At the beginning of the session, I felt a bit nervous as it was my first assessed coaching session, but I quickly recognised that it was essential to create a calm and supportive atmosphere for the coachee. I empathised with his frustration, as being in a leadership position and not having the support needed to perform effectively can be incredibly challenging. </w:t>
      </w:r>
      <w:r w:rsidR="3138B2FF" w:rsidRPr="590D60C9">
        <w:rPr>
          <w:rFonts w:ascii="Arial" w:hAnsi="Arial" w:cs="Arial"/>
          <w:color w:val="0A2F41" w:themeColor="accent1" w:themeShade="80"/>
        </w:rPr>
        <w:t>My</w:t>
      </w:r>
      <w:r w:rsidRPr="00180029">
        <w:rPr>
          <w:rFonts w:ascii="Arial" w:hAnsi="Arial" w:cs="Arial"/>
          <w:color w:val="0A2F41" w:themeColor="accent1" w:themeShade="80"/>
        </w:rPr>
        <w:t xml:space="preserve"> role was to listen actively, validate his concerns, and help him develop a practical strategy to improve his situation.</w:t>
      </w:r>
    </w:p>
    <w:p w14:paraId="3A5AC622" w14:textId="64F8B099" w:rsidR="00AC7D7A" w:rsidRPr="00180029" w:rsidRDefault="00AC7D7A"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 xml:space="preserve">As the session progressed, I began to feel more confident in guiding the coachee. It was rewarding to see him engage with the process and </w:t>
      </w:r>
      <w:r w:rsidR="009B4CA6" w:rsidRPr="00180029">
        <w:rPr>
          <w:rFonts w:ascii="Arial" w:hAnsi="Arial" w:cs="Arial"/>
          <w:color w:val="0A2F41" w:themeColor="accent1" w:themeShade="80"/>
        </w:rPr>
        <w:t>open</w:t>
      </w:r>
      <w:r w:rsidRPr="00180029">
        <w:rPr>
          <w:rFonts w:ascii="Arial" w:hAnsi="Arial" w:cs="Arial"/>
          <w:color w:val="0A2F41" w:themeColor="accent1" w:themeShade="80"/>
        </w:rPr>
        <w:t xml:space="preserve"> about </w:t>
      </w:r>
      <w:r w:rsidR="1C0A3571" w:rsidRPr="590D60C9">
        <w:rPr>
          <w:rFonts w:ascii="Arial" w:hAnsi="Arial" w:cs="Arial"/>
          <w:color w:val="0A2F41" w:themeColor="accent1" w:themeShade="80"/>
        </w:rPr>
        <w:t>viable</w:t>
      </w:r>
      <w:r w:rsidRPr="00180029">
        <w:rPr>
          <w:rFonts w:ascii="Arial" w:hAnsi="Arial" w:cs="Arial"/>
          <w:color w:val="0A2F41" w:themeColor="accent1" w:themeShade="80"/>
        </w:rPr>
        <w:t xml:space="preserve"> solutions. By the end of the session, I felt positive about the action plan we had developed together.</w:t>
      </w:r>
    </w:p>
    <w:p w14:paraId="74541740" w14:textId="777E10E3" w:rsidR="00521AC0" w:rsidRPr="00180029" w:rsidRDefault="00521AC0" w:rsidP="009B4CA6">
      <w:pPr>
        <w:spacing w:line="360" w:lineRule="auto"/>
        <w:rPr>
          <w:rFonts w:ascii="Arial" w:hAnsi="Arial" w:cs="Arial"/>
          <w:b/>
          <w:bCs/>
          <w:color w:val="0A2F41" w:themeColor="accent1" w:themeShade="80"/>
        </w:rPr>
      </w:pPr>
      <w:r w:rsidRPr="00180029">
        <w:rPr>
          <w:rFonts w:ascii="Arial" w:hAnsi="Arial" w:cs="Arial"/>
          <w:b/>
          <w:bCs/>
          <w:color w:val="0A2F41" w:themeColor="accent1" w:themeShade="80"/>
        </w:rPr>
        <w:t>Evaluation</w:t>
      </w:r>
    </w:p>
    <w:p w14:paraId="215AC33F" w14:textId="77777777" w:rsidR="0067587C" w:rsidRPr="00180029" w:rsidRDefault="0067587C"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From the feedback provided (Appendix A), it was clear that my strengths lay in the implementation of the GROW model and the rapport I created with my client. The lecturer praised my use of open-ended questions, which helped the client find solutions themselves and feel empowered in the decision-making process. I was particularly pleased with my ability to create a supportive environment where the client felt heard and understood. However, there were areas where I could improve. My communication skills could be further developed to ensure I ask correct questions and facilitate a more in-depth exploration of the coachee’s thoughts and feelings.</w:t>
      </w:r>
    </w:p>
    <w:p w14:paraId="0A49E3CE" w14:textId="5B9FED2D" w:rsidR="00521AC0" w:rsidRPr="00180029" w:rsidRDefault="00521AC0" w:rsidP="009B4CA6">
      <w:pPr>
        <w:spacing w:line="360" w:lineRule="auto"/>
        <w:rPr>
          <w:rFonts w:ascii="Arial" w:hAnsi="Arial" w:cs="Arial"/>
          <w:b/>
          <w:bCs/>
          <w:color w:val="0A2F41" w:themeColor="accent1" w:themeShade="80"/>
        </w:rPr>
      </w:pPr>
      <w:r w:rsidRPr="00180029">
        <w:rPr>
          <w:rFonts w:ascii="Arial" w:hAnsi="Arial" w:cs="Arial"/>
          <w:b/>
          <w:bCs/>
          <w:color w:val="0A2F41" w:themeColor="accent1" w:themeShade="80"/>
        </w:rPr>
        <w:t>Analysis</w:t>
      </w:r>
    </w:p>
    <w:p w14:paraId="6FE56112" w14:textId="6A54860A" w:rsidR="00AC7D7A" w:rsidRPr="00180029" w:rsidRDefault="00521AC0"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 xml:space="preserve">The session demonstrated the importance of building rapport as a foundation for a successful coaching experience. By establishing trust, I was able to create an open space for discussion. </w:t>
      </w:r>
      <w:r w:rsidR="00AC7D7A" w:rsidRPr="00180029">
        <w:rPr>
          <w:rFonts w:ascii="Arial" w:hAnsi="Arial" w:cs="Arial"/>
          <w:color w:val="0A2F41" w:themeColor="accent1" w:themeShade="80"/>
        </w:rPr>
        <w:t xml:space="preserve">The feedback I received from my lecturer was valuable in highlighting both my strengths and areas for improvement. </w:t>
      </w:r>
      <w:r w:rsidR="009B4CA6" w:rsidRPr="00180029">
        <w:rPr>
          <w:rFonts w:ascii="Arial" w:hAnsi="Arial" w:cs="Arial"/>
          <w:color w:val="0A2F41" w:themeColor="accent1" w:themeShade="80"/>
        </w:rPr>
        <w:t>M</w:t>
      </w:r>
      <w:r w:rsidR="00AC7D7A" w:rsidRPr="00180029">
        <w:rPr>
          <w:rFonts w:ascii="Arial" w:hAnsi="Arial" w:cs="Arial"/>
          <w:color w:val="0A2F41" w:themeColor="accent1" w:themeShade="80"/>
        </w:rPr>
        <w:t>y lecturer pointed out that I could further develop my communication skills, especially in terms of asking more probing questions to encourage deeper reflection from the coachee.</w:t>
      </w:r>
    </w:p>
    <w:p w14:paraId="71EAB46F" w14:textId="1926F1C1" w:rsidR="00521AC0" w:rsidRPr="00180029" w:rsidRDefault="00AC7D7A"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 xml:space="preserve">One key lesson I learned was the importance of balancing structure with flexibility. While the GROW model provided a helpful framework, I realised that the success of the session also depended on being able to adapt the process to meet the coachee’s needs. This was particularly important in this case, as the coachee’s situation was urgent and required practical </w:t>
      </w:r>
      <w:r w:rsidR="009B4CA6" w:rsidRPr="00180029">
        <w:rPr>
          <w:rFonts w:ascii="Arial" w:hAnsi="Arial" w:cs="Arial"/>
          <w:color w:val="0A2F41" w:themeColor="accent1" w:themeShade="80"/>
        </w:rPr>
        <w:t>solutions.</w:t>
      </w:r>
    </w:p>
    <w:p w14:paraId="5419063A" w14:textId="77777777" w:rsidR="00521AC0" w:rsidRPr="00180029" w:rsidRDefault="00521AC0" w:rsidP="009B4CA6">
      <w:pPr>
        <w:spacing w:line="360" w:lineRule="auto"/>
        <w:rPr>
          <w:rFonts w:ascii="Arial" w:hAnsi="Arial" w:cs="Arial"/>
          <w:b/>
          <w:bCs/>
          <w:color w:val="0A2F41" w:themeColor="accent1" w:themeShade="80"/>
        </w:rPr>
      </w:pPr>
      <w:r w:rsidRPr="00180029">
        <w:rPr>
          <w:rFonts w:ascii="Arial" w:hAnsi="Arial" w:cs="Arial"/>
          <w:b/>
          <w:bCs/>
          <w:color w:val="0A2F41" w:themeColor="accent1" w:themeShade="80"/>
        </w:rPr>
        <w:t>Conclusion</w:t>
      </w:r>
    </w:p>
    <w:p w14:paraId="51F9A96B" w14:textId="77777777" w:rsidR="0067587C" w:rsidRPr="00180029" w:rsidRDefault="0067587C"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lastRenderedPageBreak/>
        <w:t>In conclusion, this coaching session was a valuable learning experience. It emphasised the importance of building rapport and empathy, while also highlighting areas for improvement in my questioning and communication. While the GROW model was effective, I recognised the need to probe deeper into the coachee’s motivations and barriers. Moving forward, I will focus on refining my questioning techniques to better explore the coachee’s challenges and solutions.</w:t>
      </w:r>
    </w:p>
    <w:p w14:paraId="1E1DFD52" w14:textId="61854D77" w:rsidR="00521AC0" w:rsidRPr="00180029" w:rsidRDefault="00521AC0" w:rsidP="009B4CA6">
      <w:pPr>
        <w:spacing w:line="360" w:lineRule="auto"/>
        <w:rPr>
          <w:rFonts w:ascii="Arial" w:hAnsi="Arial" w:cs="Arial"/>
          <w:b/>
          <w:bCs/>
          <w:color w:val="0A2F41" w:themeColor="accent1" w:themeShade="80"/>
        </w:rPr>
      </w:pPr>
      <w:r w:rsidRPr="00180029">
        <w:rPr>
          <w:rFonts w:ascii="Arial" w:hAnsi="Arial" w:cs="Arial"/>
          <w:b/>
          <w:bCs/>
          <w:color w:val="0A2F41" w:themeColor="accent1" w:themeShade="80"/>
        </w:rPr>
        <w:t>Action Plan</w:t>
      </w:r>
    </w:p>
    <w:p w14:paraId="2A32C03B" w14:textId="77777777" w:rsidR="009B4CA6" w:rsidRPr="00180029" w:rsidRDefault="009B4CA6"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I will continue to use the GROW model but aim to ask more open-ended and probing questions to encourage deeper reflection from the coachee.</w:t>
      </w:r>
    </w:p>
    <w:p w14:paraId="78055852" w14:textId="77777777" w:rsidR="009B4CA6" w:rsidRPr="00180029" w:rsidRDefault="009B4CA6"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I will practice active listening to improve my communication skills, focusing on both verbal and non-verbal cues.</w:t>
      </w:r>
    </w:p>
    <w:p w14:paraId="001A272C" w14:textId="77777777" w:rsidR="009B4CA6" w:rsidRPr="00180029" w:rsidRDefault="009B4CA6"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I will seek further training or resources to improve my coaching techniques and enhance my ability to address emotional responses during coaching sessions.</w:t>
      </w:r>
    </w:p>
    <w:p w14:paraId="68D4FBF8" w14:textId="065D6D53" w:rsidR="008405AE" w:rsidRPr="00180029" w:rsidRDefault="009B4CA6" w:rsidP="009B4CA6">
      <w:pPr>
        <w:spacing w:line="360" w:lineRule="auto"/>
        <w:rPr>
          <w:rStyle w:val="Heading1Char"/>
          <w:color w:val="0A2F41" w:themeColor="accent1" w:themeShade="80"/>
        </w:rPr>
      </w:pPr>
      <w:r w:rsidRPr="00180029">
        <w:rPr>
          <w:rFonts w:ascii="Arial" w:hAnsi="Arial" w:cs="Arial"/>
          <w:color w:val="0A2F41" w:themeColor="accent1" w:themeShade="80"/>
        </w:rPr>
        <w:t xml:space="preserve">In future coaching sessions, I will ensure that action plans </w:t>
      </w:r>
      <w:proofErr w:type="gramStart"/>
      <w:r w:rsidRPr="00180029">
        <w:rPr>
          <w:rFonts w:ascii="Arial" w:hAnsi="Arial" w:cs="Arial"/>
          <w:color w:val="0A2F41" w:themeColor="accent1" w:themeShade="80"/>
        </w:rPr>
        <w:t>are clearly defined</w:t>
      </w:r>
      <w:proofErr w:type="gramEnd"/>
      <w:r w:rsidRPr="00180029">
        <w:rPr>
          <w:rFonts w:ascii="Arial" w:hAnsi="Arial" w:cs="Arial"/>
          <w:color w:val="0A2F41" w:themeColor="accent1" w:themeShade="80"/>
        </w:rPr>
        <w:t>, with specific timelines, to ensure the coachee feels empowered and accountable.</w:t>
      </w:r>
    </w:p>
    <w:p w14:paraId="5FA9DEE0" w14:textId="77777777" w:rsidR="008405AE" w:rsidRDefault="008405AE" w:rsidP="00915E83">
      <w:pPr>
        <w:rPr>
          <w:rStyle w:val="Heading1Char"/>
        </w:rPr>
      </w:pPr>
    </w:p>
    <w:p w14:paraId="5B066200" w14:textId="77777777" w:rsidR="00DD47F7" w:rsidRDefault="00DD47F7" w:rsidP="00915E83">
      <w:pPr>
        <w:rPr>
          <w:rStyle w:val="Heading1Char"/>
        </w:rPr>
      </w:pPr>
    </w:p>
    <w:p w14:paraId="4153914F" w14:textId="57D1D049" w:rsidR="008405AE" w:rsidRDefault="00915E83" w:rsidP="008405AE">
      <w:pPr>
        <w:shd w:val="clear" w:color="auto" w:fill="A6BED2"/>
      </w:pPr>
      <w:bookmarkStart w:id="11" w:name="_Toc182657472"/>
      <w:r w:rsidRPr="00550E66">
        <w:rPr>
          <w:rStyle w:val="Heading1Char"/>
        </w:rPr>
        <w:t>Reflection on Practical 2</w:t>
      </w:r>
      <w:r w:rsidR="00DD47F7">
        <w:rPr>
          <w:rStyle w:val="Heading1Char"/>
        </w:rPr>
        <w:t>-Mentoring Using Johari Window Model</w:t>
      </w:r>
      <w:bookmarkEnd w:id="11"/>
    </w:p>
    <w:p w14:paraId="495C035F" w14:textId="77777777" w:rsidR="008405AE" w:rsidRDefault="008405AE" w:rsidP="00915E83"/>
    <w:p w14:paraId="2B30DEC5" w14:textId="5F1EF241" w:rsidR="008405AE" w:rsidRPr="00180029" w:rsidRDefault="00DD47F7"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In this reflection, I will critically examine my experience of mentoring Radoslav during Practical 2, using Driscoll’s (2007) Model of Reflection.</w:t>
      </w:r>
    </w:p>
    <w:p w14:paraId="62935E10" w14:textId="77777777" w:rsidR="00DD47F7" w:rsidRPr="00180029" w:rsidRDefault="00DD47F7" w:rsidP="00180029">
      <w:pPr>
        <w:spacing w:line="360" w:lineRule="auto"/>
        <w:rPr>
          <w:rFonts w:ascii="Arial" w:hAnsi="Arial" w:cs="Arial"/>
          <w:b/>
          <w:bCs/>
          <w:color w:val="0A2F41" w:themeColor="accent1" w:themeShade="80"/>
        </w:rPr>
      </w:pPr>
      <w:r w:rsidRPr="00180029">
        <w:rPr>
          <w:rFonts w:ascii="Arial" w:hAnsi="Arial" w:cs="Arial"/>
          <w:b/>
          <w:bCs/>
          <w:color w:val="0A2F41" w:themeColor="accent1" w:themeShade="80"/>
        </w:rPr>
        <w:t>What Happened?</w:t>
      </w:r>
    </w:p>
    <w:p w14:paraId="06E26C51" w14:textId="157BA013" w:rsidR="00DD47F7" w:rsidRPr="00180029" w:rsidRDefault="00DD47F7"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 xml:space="preserve">The mentoring session with Radoslav was structured around the Johari Window model, which encourages self-awareness through exploration of the 'Open Area', 'Blind Spot', 'Hidden Area', and 'Unknown Area'. The goal was to help Radoslav understand how he </w:t>
      </w:r>
      <w:proofErr w:type="gramStart"/>
      <w:r w:rsidRPr="00180029">
        <w:rPr>
          <w:rFonts w:ascii="Arial" w:hAnsi="Arial" w:cs="Arial"/>
          <w:color w:val="0A2F41" w:themeColor="accent1" w:themeShade="80"/>
        </w:rPr>
        <w:t>was perceived</w:t>
      </w:r>
      <w:proofErr w:type="gramEnd"/>
      <w:r w:rsidRPr="00180029">
        <w:rPr>
          <w:rFonts w:ascii="Arial" w:hAnsi="Arial" w:cs="Arial"/>
          <w:color w:val="0A2F41" w:themeColor="accent1" w:themeShade="80"/>
        </w:rPr>
        <w:t xml:space="preserve"> by his team and to identify areas for personal and professional growth. The conversation began with discussing Radoslav's strengths. </w:t>
      </w:r>
    </w:p>
    <w:p w14:paraId="065485B2" w14:textId="6A765C32" w:rsidR="00DD47F7" w:rsidRPr="00180029" w:rsidRDefault="00DD47F7"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lastRenderedPageBreak/>
        <w:t>Next, I introduced the 'Blind Spot' area by providing feedback. Radoslav acknowledged this feedback and agreed to adjust his approach. We then moved to the 'Hidden Area', where Radoslav shared that he often kept his openness to feedback private. Finally, we explored the 'Unknown Area', focusing on how Radoslav could uncover new strengths and strategies over time.</w:t>
      </w:r>
    </w:p>
    <w:p w14:paraId="3A56EB25" w14:textId="77777777" w:rsidR="00DD47F7" w:rsidRPr="00180029" w:rsidRDefault="00DD47F7" w:rsidP="00180029">
      <w:pPr>
        <w:spacing w:line="360" w:lineRule="auto"/>
        <w:rPr>
          <w:rFonts w:ascii="Arial" w:hAnsi="Arial" w:cs="Arial"/>
          <w:b/>
          <w:bCs/>
          <w:color w:val="0A2F41" w:themeColor="accent1" w:themeShade="80"/>
        </w:rPr>
      </w:pPr>
      <w:r w:rsidRPr="00180029">
        <w:rPr>
          <w:rFonts w:ascii="Arial" w:hAnsi="Arial" w:cs="Arial"/>
          <w:b/>
          <w:bCs/>
          <w:color w:val="0A2F41" w:themeColor="accent1" w:themeShade="80"/>
        </w:rPr>
        <w:t>What Was Good?</w:t>
      </w:r>
    </w:p>
    <w:p w14:paraId="76CA5AA2" w14:textId="6C3B3E61" w:rsidR="00DD47F7" w:rsidRPr="00180029" w:rsidRDefault="00DD47F7"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From the feedback I received, I effectively implemented the Johari Window model in my session. I was commended for my good questioning and summarizing techniques, which helped guide Radoslav through each quadrant of the model. My use of follow-up questions also enabled a deeper exploration of Radoslav's thoughts, while ensuring that the conversation remained relevant to the Johari Window framework. One of the positives highlighted in the feedback was my use of time management, as I was able to cover all key areas within the session.</w:t>
      </w:r>
    </w:p>
    <w:p w14:paraId="7EE166FC" w14:textId="59BBDDC7" w:rsidR="008405AE" w:rsidRPr="00180029" w:rsidRDefault="00DD47F7"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 xml:space="preserve">Additionally, my ability to listen actively and non-verbally communicate </w:t>
      </w:r>
      <w:proofErr w:type="gramStart"/>
      <w:r w:rsidRPr="00180029">
        <w:rPr>
          <w:rFonts w:ascii="Arial" w:hAnsi="Arial" w:cs="Arial"/>
          <w:color w:val="0A2F41" w:themeColor="accent1" w:themeShade="80"/>
        </w:rPr>
        <w:t>was recognised</w:t>
      </w:r>
      <w:proofErr w:type="gramEnd"/>
      <w:r w:rsidRPr="00180029">
        <w:rPr>
          <w:rFonts w:ascii="Arial" w:hAnsi="Arial" w:cs="Arial"/>
          <w:color w:val="0A2F41" w:themeColor="accent1" w:themeShade="80"/>
        </w:rPr>
        <w:t>. I was aware of the importance of maintaining positive body language and an engaged tone to encourage openness from Radoslav. This feedback reassured me that my interpersonal communication skills were strengthening, which is a key transferable skill for both mentoring and coaching (Hawkins &amp; Smith, 2013).</w:t>
      </w:r>
    </w:p>
    <w:p w14:paraId="2D2DF190" w14:textId="77777777" w:rsidR="00030604" w:rsidRPr="00180029" w:rsidRDefault="00030604" w:rsidP="00180029">
      <w:pPr>
        <w:spacing w:line="360" w:lineRule="auto"/>
        <w:rPr>
          <w:rFonts w:ascii="Arial" w:hAnsi="Arial" w:cs="Arial"/>
          <w:b/>
          <w:bCs/>
          <w:color w:val="0A2F41" w:themeColor="accent1" w:themeShade="80"/>
        </w:rPr>
      </w:pPr>
      <w:r w:rsidRPr="00180029">
        <w:rPr>
          <w:rFonts w:ascii="Arial" w:hAnsi="Arial" w:cs="Arial"/>
          <w:b/>
          <w:bCs/>
          <w:color w:val="0A2F41" w:themeColor="accent1" w:themeShade="80"/>
        </w:rPr>
        <w:t>What Could Have Been Better?</w:t>
      </w:r>
    </w:p>
    <w:p w14:paraId="464C7450" w14:textId="1737FF8D" w:rsidR="00030604" w:rsidRPr="00180029" w:rsidRDefault="00030604"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 xml:space="preserve">One of the key pieces of feedback was that I did not make it clear which quadrant of the Johari Window I was aiming to expand. The Johari Window </w:t>
      </w:r>
      <w:proofErr w:type="gramStart"/>
      <w:r w:rsidRPr="00180029">
        <w:rPr>
          <w:rFonts w:ascii="Arial" w:hAnsi="Arial" w:cs="Arial"/>
          <w:color w:val="0A2F41" w:themeColor="accent1" w:themeShade="80"/>
        </w:rPr>
        <w:t>is intended</w:t>
      </w:r>
      <w:proofErr w:type="gramEnd"/>
      <w:r w:rsidRPr="00180029">
        <w:rPr>
          <w:rFonts w:ascii="Arial" w:hAnsi="Arial" w:cs="Arial"/>
          <w:color w:val="0A2F41" w:themeColor="accent1" w:themeShade="80"/>
        </w:rPr>
        <w:t xml:space="preserve"> to bring awareness to the areas where self-awareness is limited, such as the 'Blind Spot' or the 'Hidden Area'. In hindsight, I could have been more explicit about how exploring these quadrants would benefit Radoslav’s development and contribute to his understanding of his team dynamics.</w:t>
      </w:r>
    </w:p>
    <w:p w14:paraId="4D62C4C5" w14:textId="5A53790C" w:rsidR="00030604" w:rsidRPr="00180029" w:rsidRDefault="00030604"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 xml:space="preserve">Furthermore, I could have spent more time on the 'Unknown Area'. </w:t>
      </w:r>
    </w:p>
    <w:p w14:paraId="17390DC0" w14:textId="77777777" w:rsidR="00180029" w:rsidRDefault="00030604" w:rsidP="00180029">
      <w:pPr>
        <w:spacing w:line="360" w:lineRule="auto"/>
        <w:rPr>
          <w:rFonts w:ascii="Arial" w:hAnsi="Arial" w:cs="Arial"/>
          <w:b/>
          <w:bCs/>
          <w:color w:val="0A2F41" w:themeColor="accent1" w:themeShade="80"/>
        </w:rPr>
      </w:pPr>
      <w:r w:rsidRPr="00180029">
        <w:rPr>
          <w:rFonts w:ascii="Arial" w:hAnsi="Arial" w:cs="Arial"/>
          <w:b/>
          <w:bCs/>
          <w:color w:val="0A2F41" w:themeColor="accent1" w:themeShade="80"/>
        </w:rPr>
        <w:t>What Did I Learn?</w:t>
      </w:r>
    </w:p>
    <w:p w14:paraId="6EBCF344" w14:textId="6F3D2172" w:rsidR="00030604" w:rsidRPr="00180029" w:rsidRDefault="00030604" w:rsidP="00180029">
      <w:pPr>
        <w:spacing w:line="360" w:lineRule="auto"/>
        <w:rPr>
          <w:rFonts w:ascii="Arial" w:hAnsi="Arial" w:cs="Arial"/>
          <w:b/>
          <w:bCs/>
          <w:color w:val="0A2F41" w:themeColor="accent1" w:themeShade="80"/>
        </w:rPr>
      </w:pPr>
      <w:r w:rsidRPr="00180029">
        <w:rPr>
          <w:rFonts w:ascii="Arial" w:hAnsi="Arial" w:cs="Arial"/>
          <w:color w:val="0A2F41" w:themeColor="accent1" w:themeShade="80"/>
        </w:rPr>
        <w:t xml:space="preserve">Reflecting on this session, I have learned that mentoring requires a delicate balance of empathy, patience, and structure. The Johari Window model provided a clear framework, but I recognise that I need to be more intentional in guiding the mentee through it. </w:t>
      </w:r>
    </w:p>
    <w:p w14:paraId="28D2BBE6" w14:textId="61CD6A7E" w:rsidR="00030604" w:rsidRPr="00180029" w:rsidRDefault="00030604"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lastRenderedPageBreak/>
        <w:t xml:space="preserve">Additionally, I have learned the importance of providing actionable feedback. While I did offer </w:t>
      </w:r>
      <w:proofErr w:type="gramStart"/>
      <w:r w:rsidRPr="00180029">
        <w:rPr>
          <w:rFonts w:ascii="Arial" w:hAnsi="Arial" w:cs="Arial"/>
          <w:color w:val="0A2F41" w:themeColor="accent1" w:themeShade="80"/>
        </w:rPr>
        <w:t>some</w:t>
      </w:r>
      <w:proofErr w:type="gramEnd"/>
      <w:r w:rsidRPr="00180029">
        <w:rPr>
          <w:rFonts w:ascii="Arial" w:hAnsi="Arial" w:cs="Arial"/>
          <w:color w:val="0A2F41" w:themeColor="accent1" w:themeShade="80"/>
        </w:rPr>
        <w:t xml:space="preserve"> feedback regarding Radoslav’s communication style, I could have gone further by suggesting specific ways to adjust his approach, such as practicing more inclusive language or offering opportunities for team members to give feedback.</w:t>
      </w:r>
    </w:p>
    <w:p w14:paraId="2B8D5D75" w14:textId="207B481B" w:rsidR="00030604" w:rsidRPr="00180029" w:rsidRDefault="00030604"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 xml:space="preserve">One of the most important lessons I took from this session is the value of building trust through open communication. </w:t>
      </w:r>
      <w:bookmarkStart w:id="12" w:name="_Int_cDzF6lVA"/>
      <w:r w:rsidRPr="00180029">
        <w:rPr>
          <w:rFonts w:ascii="Arial" w:hAnsi="Arial" w:cs="Arial"/>
          <w:color w:val="0A2F41" w:themeColor="accent1" w:themeShade="80"/>
        </w:rPr>
        <w:t>As a mentor, my role</w:t>
      </w:r>
      <w:bookmarkEnd w:id="12"/>
      <w:r w:rsidRPr="00180029">
        <w:rPr>
          <w:rFonts w:ascii="Arial" w:hAnsi="Arial" w:cs="Arial"/>
          <w:color w:val="0A2F41" w:themeColor="accent1" w:themeShade="80"/>
        </w:rPr>
        <w:t xml:space="preserve"> is not only to provide guidance but also to create a space where the mentee feels comfortable exploring their strengths and areas for improvement. </w:t>
      </w:r>
    </w:p>
    <w:p w14:paraId="3848ACE8" w14:textId="58470E2C" w:rsidR="008405AE" w:rsidRPr="00180029" w:rsidRDefault="00030604"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In conclusion, this reflection has deepened my understanding of mentoring and the Johari Window model. While the session promoted self-awareness, I need to improve clarity in explaining the quadrants and providing actionable feedback. Moving forward, I will focus on guiding mentees through structured frameworks to enhance self-awareness.</w:t>
      </w:r>
    </w:p>
    <w:p w14:paraId="053CA67D" w14:textId="77777777" w:rsidR="008405AE" w:rsidRPr="00180029" w:rsidRDefault="008405AE" w:rsidP="00180029">
      <w:pPr>
        <w:spacing w:line="360" w:lineRule="auto"/>
        <w:rPr>
          <w:rFonts w:ascii="Arial" w:hAnsi="Arial" w:cs="Arial"/>
          <w:color w:val="0A2F41" w:themeColor="accent1" w:themeShade="80"/>
        </w:rPr>
      </w:pPr>
    </w:p>
    <w:p w14:paraId="79315A23" w14:textId="77777777" w:rsidR="00F30AE6" w:rsidRDefault="00F30AE6" w:rsidP="00180029">
      <w:pPr>
        <w:spacing w:line="360" w:lineRule="auto"/>
        <w:rPr>
          <w:rFonts w:ascii="Arial" w:hAnsi="Arial" w:cs="Arial"/>
          <w:color w:val="0A2F41" w:themeColor="accent1" w:themeShade="80"/>
        </w:rPr>
      </w:pPr>
    </w:p>
    <w:p w14:paraId="64D4267E" w14:textId="77777777" w:rsidR="00F30AE6" w:rsidRDefault="00F30AE6" w:rsidP="00180029">
      <w:pPr>
        <w:spacing w:line="360" w:lineRule="auto"/>
        <w:rPr>
          <w:rFonts w:ascii="Arial" w:hAnsi="Arial" w:cs="Arial"/>
          <w:color w:val="0A2F41" w:themeColor="accent1" w:themeShade="80"/>
        </w:rPr>
      </w:pPr>
    </w:p>
    <w:p w14:paraId="5417EF26" w14:textId="77777777" w:rsidR="00F30AE6" w:rsidRDefault="00F30AE6" w:rsidP="00180029">
      <w:pPr>
        <w:spacing w:line="360" w:lineRule="auto"/>
        <w:rPr>
          <w:rFonts w:ascii="Arial" w:hAnsi="Arial" w:cs="Arial"/>
          <w:color w:val="0A2F41" w:themeColor="accent1" w:themeShade="80"/>
        </w:rPr>
      </w:pPr>
    </w:p>
    <w:p w14:paraId="36935CAA" w14:textId="77777777" w:rsidR="00F30AE6" w:rsidRDefault="00F30AE6" w:rsidP="00180029">
      <w:pPr>
        <w:spacing w:line="360" w:lineRule="auto"/>
        <w:rPr>
          <w:rFonts w:ascii="Arial" w:hAnsi="Arial" w:cs="Arial"/>
          <w:color w:val="0A2F41" w:themeColor="accent1" w:themeShade="80"/>
        </w:rPr>
      </w:pPr>
    </w:p>
    <w:p w14:paraId="6E9FBDAB" w14:textId="77777777" w:rsidR="00F30AE6" w:rsidRDefault="00F30AE6" w:rsidP="00180029">
      <w:pPr>
        <w:spacing w:line="360" w:lineRule="auto"/>
        <w:rPr>
          <w:rFonts w:ascii="Arial" w:hAnsi="Arial" w:cs="Arial"/>
          <w:color w:val="0A2F41" w:themeColor="accent1" w:themeShade="80"/>
        </w:rPr>
      </w:pPr>
    </w:p>
    <w:p w14:paraId="7F7716AC" w14:textId="77777777" w:rsidR="00F30AE6" w:rsidRDefault="00F30AE6" w:rsidP="00180029">
      <w:pPr>
        <w:spacing w:line="360" w:lineRule="auto"/>
        <w:rPr>
          <w:rFonts w:ascii="Arial" w:hAnsi="Arial" w:cs="Arial"/>
          <w:color w:val="0A2F41" w:themeColor="accent1" w:themeShade="80"/>
        </w:rPr>
      </w:pPr>
    </w:p>
    <w:p w14:paraId="24F4BEEA" w14:textId="77777777" w:rsidR="00F30AE6" w:rsidRDefault="00F30AE6" w:rsidP="00180029">
      <w:pPr>
        <w:spacing w:line="360" w:lineRule="auto"/>
        <w:rPr>
          <w:rFonts w:ascii="Arial" w:hAnsi="Arial" w:cs="Arial"/>
          <w:color w:val="0A2F41" w:themeColor="accent1" w:themeShade="80"/>
        </w:rPr>
      </w:pPr>
    </w:p>
    <w:p w14:paraId="0DAF72CB" w14:textId="77777777" w:rsidR="00F30AE6" w:rsidRDefault="00F30AE6" w:rsidP="00180029">
      <w:pPr>
        <w:spacing w:line="360" w:lineRule="auto"/>
        <w:rPr>
          <w:rFonts w:ascii="Arial" w:hAnsi="Arial" w:cs="Arial"/>
          <w:color w:val="0A2F41" w:themeColor="accent1" w:themeShade="80"/>
        </w:rPr>
      </w:pPr>
    </w:p>
    <w:p w14:paraId="3560B494" w14:textId="77777777" w:rsidR="00F30AE6" w:rsidRDefault="00F30AE6" w:rsidP="00180029">
      <w:pPr>
        <w:spacing w:line="360" w:lineRule="auto"/>
        <w:rPr>
          <w:rFonts w:ascii="Arial" w:hAnsi="Arial" w:cs="Arial"/>
          <w:color w:val="0A2F41" w:themeColor="accent1" w:themeShade="80"/>
        </w:rPr>
      </w:pPr>
    </w:p>
    <w:p w14:paraId="400175CA" w14:textId="77777777" w:rsidR="00F30AE6" w:rsidRDefault="00F30AE6" w:rsidP="00180029">
      <w:pPr>
        <w:spacing w:line="360" w:lineRule="auto"/>
        <w:rPr>
          <w:rFonts w:ascii="Arial" w:hAnsi="Arial" w:cs="Arial"/>
          <w:color w:val="0A2F41" w:themeColor="accent1" w:themeShade="80"/>
        </w:rPr>
      </w:pPr>
    </w:p>
    <w:p w14:paraId="7D41BA82" w14:textId="77777777" w:rsidR="00F30AE6" w:rsidRDefault="00F30AE6" w:rsidP="00180029">
      <w:pPr>
        <w:spacing w:line="360" w:lineRule="auto"/>
        <w:rPr>
          <w:rFonts w:ascii="Arial" w:hAnsi="Arial" w:cs="Arial"/>
          <w:color w:val="0A2F41" w:themeColor="accent1" w:themeShade="80"/>
        </w:rPr>
      </w:pPr>
    </w:p>
    <w:p w14:paraId="6D32E577" w14:textId="77777777" w:rsidR="00F30AE6" w:rsidRPr="00180029" w:rsidRDefault="00F30AE6" w:rsidP="00180029">
      <w:pPr>
        <w:spacing w:line="360" w:lineRule="auto"/>
        <w:rPr>
          <w:rFonts w:ascii="Arial" w:hAnsi="Arial" w:cs="Arial"/>
          <w:color w:val="0A2F41" w:themeColor="accent1" w:themeShade="80"/>
        </w:rPr>
      </w:pPr>
    </w:p>
    <w:p w14:paraId="3C81C18D" w14:textId="0E16FB00" w:rsidR="00180029" w:rsidRDefault="00180029" w:rsidP="00915E83"/>
    <w:p w14:paraId="2AD5EF54" w14:textId="684F5B78" w:rsidR="590D60C9" w:rsidRDefault="590D60C9" w:rsidP="590D60C9"/>
    <w:p w14:paraId="04F81505" w14:textId="109D62F6" w:rsidR="007717A5" w:rsidRDefault="007717A5" w:rsidP="007717A5">
      <w:pPr>
        <w:shd w:val="clear" w:color="auto" w:fill="A6BED2"/>
      </w:pPr>
      <w:bookmarkStart w:id="13" w:name="_Toc182657473"/>
      <w:r>
        <w:rPr>
          <w:rStyle w:val="Heading1Char"/>
        </w:rPr>
        <w:lastRenderedPageBreak/>
        <w:t>Conclusion</w:t>
      </w:r>
      <w:bookmarkEnd w:id="13"/>
    </w:p>
    <w:p w14:paraId="57822588" w14:textId="77777777" w:rsidR="008405AE" w:rsidRDefault="008405AE" w:rsidP="00915E83"/>
    <w:p w14:paraId="7D78603D" w14:textId="6518DE98" w:rsidR="007717A5" w:rsidRPr="00180029" w:rsidRDefault="007717A5"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 xml:space="preserve">In conclusion, this report has explored the distinct but complementary roles of coaching and mentoring in the workplace, reflecting on my practical experiences and the associated learning. Coaching, as a </w:t>
      </w:r>
      <w:proofErr w:type="gramStart"/>
      <w:r w:rsidRPr="00180029">
        <w:rPr>
          <w:rFonts w:ascii="Arial" w:hAnsi="Arial" w:cs="Arial"/>
          <w:color w:val="0A2F41" w:themeColor="accent1" w:themeShade="80"/>
        </w:rPr>
        <w:t>goal-oriented</w:t>
      </w:r>
      <w:proofErr w:type="gramEnd"/>
      <w:r w:rsidRPr="00180029">
        <w:rPr>
          <w:rFonts w:ascii="Arial" w:hAnsi="Arial" w:cs="Arial"/>
          <w:color w:val="0A2F41" w:themeColor="accent1" w:themeShade="80"/>
        </w:rPr>
        <w:t xml:space="preserve"> and performance-driven process, helps individuals achieve specific objectives through structured frameworks like the GROW model (Whitmore, 2009). Mentoring, on the other hand, fosters personal and professional development over a longer term, with a focus on nurturing self-awareness and career progression (Connor, 2012). The Johari Window (Luft &amp; Ingham, 1955) was particularly valuable in my mentoring practice, guiding reflective discussions and helping mentees gain deeper self-insight.</w:t>
      </w:r>
    </w:p>
    <w:p w14:paraId="3EE3E9E5" w14:textId="06206508" w:rsidR="007717A5" w:rsidRPr="00180029" w:rsidRDefault="007717A5"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Through these experiences, I have developed a stronger understanding of the importance of active listening, empathy, and adaptability in both coaching and mentoring. I have learned that the balance of structure and flexibility, as well as the need for clear, actionable feedback, are key to supporting meaningful development in individuals. These practices are enhanced by models such as GROW and the Johari Window, which provide both structure and depth to the reflective process.</w:t>
      </w:r>
    </w:p>
    <w:p w14:paraId="1F631C25" w14:textId="73AC958E" w:rsidR="008405AE" w:rsidRPr="00180029" w:rsidRDefault="007717A5"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Moving forward, these insights will inform my approach to coaching and mentoring in the workplace. I will focus on creating strong rapport, adapting my approach to individual needs, and continuing to develop my reflective practice to ensure effective, client-centred support.</w:t>
      </w:r>
    </w:p>
    <w:p w14:paraId="3E053A0E" w14:textId="77777777" w:rsidR="008405AE" w:rsidRDefault="008405AE" w:rsidP="00915E83"/>
    <w:p w14:paraId="16D8DEEB" w14:textId="77777777" w:rsidR="00180029" w:rsidRDefault="00180029" w:rsidP="00915E83"/>
    <w:p w14:paraId="49F5DE8B" w14:textId="77777777" w:rsidR="00180029" w:rsidRDefault="00180029" w:rsidP="00915E83"/>
    <w:p w14:paraId="7BACD70D" w14:textId="77777777" w:rsidR="00180029" w:rsidRDefault="00180029" w:rsidP="00915E83"/>
    <w:p w14:paraId="75590213" w14:textId="77777777" w:rsidR="00180029" w:rsidRDefault="00180029" w:rsidP="00915E83"/>
    <w:p w14:paraId="789BBE05" w14:textId="77777777" w:rsidR="00180029" w:rsidRDefault="00180029" w:rsidP="00915E83"/>
    <w:p w14:paraId="7D9373DF" w14:textId="77777777" w:rsidR="00180029" w:rsidRDefault="00180029" w:rsidP="00915E83"/>
    <w:p w14:paraId="17D31F88" w14:textId="77777777" w:rsidR="00180029" w:rsidRDefault="00180029" w:rsidP="00915E83"/>
    <w:p w14:paraId="0BE77659" w14:textId="77777777" w:rsidR="00180029" w:rsidRDefault="00180029" w:rsidP="00915E83"/>
    <w:p w14:paraId="78F90337" w14:textId="4CC31203" w:rsidR="00915E83" w:rsidRDefault="00550E66" w:rsidP="008405AE">
      <w:pPr>
        <w:pStyle w:val="Heading1"/>
        <w:shd w:val="clear" w:color="auto" w:fill="A6BED2"/>
      </w:pPr>
      <w:bookmarkStart w:id="14" w:name="_Toc182657474"/>
      <w:r>
        <w:lastRenderedPageBreak/>
        <w:t xml:space="preserve">List of </w:t>
      </w:r>
      <w:r w:rsidR="00915E83">
        <w:t>References</w:t>
      </w:r>
      <w:bookmarkEnd w:id="14"/>
    </w:p>
    <w:p w14:paraId="61657D06" w14:textId="77777777" w:rsidR="008405AE" w:rsidRDefault="008405AE" w:rsidP="00550E66">
      <w:pPr>
        <w:spacing w:line="360" w:lineRule="auto"/>
        <w:rPr>
          <w:rFonts w:ascii="Arial" w:hAnsi="Arial" w:cs="Arial"/>
          <w:color w:val="0A2F41" w:themeColor="accent1" w:themeShade="80"/>
        </w:rPr>
      </w:pPr>
    </w:p>
    <w:p w14:paraId="2610CDA0" w14:textId="23738D35" w:rsidR="008405AE" w:rsidRDefault="002E2E91" w:rsidP="00550E66">
      <w:pPr>
        <w:spacing w:line="360" w:lineRule="auto"/>
        <w:rPr>
          <w:rFonts w:ascii="Arial" w:hAnsi="Arial" w:cs="Arial"/>
          <w:color w:val="0A2F41" w:themeColor="accent1" w:themeShade="80"/>
        </w:rPr>
      </w:pPr>
      <w:r w:rsidRPr="002E2E91">
        <w:rPr>
          <w:rFonts w:ascii="Arial" w:hAnsi="Arial" w:cs="Arial"/>
          <w:color w:val="0A2F41" w:themeColor="accent1" w:themeShade="80"/>
        </w:rPr>
        <w:t>Brockbank, A. &amp; McGill, I. (2012). Facilitating Reflective Learning: Coaching, Mentoring and Supervision. 2nd ed. Philadelphia, Pa.: Kogan Page Ltd.</w:t>
      </w:r>
    </w:p>
    <w:p w14:paraId="03FD5C61" w14:textId="0D7A40B3" w:rsidR="00915E83" w:rsidRDefault="00915E83" w:rsidP="00550E66">
      <w:pPr>
        <w:spacing w:line="360" w:lineRule="auto"/>
        <w:rPr>
          <w:rFonts w:ascii="Arial" w:hAnsi="Arial" w:cs="Arial"/>
          <w:color w:val="0A2F41" w:themeColor="accent1" w:themeShade="80"/>
        </w:rPr>
      </w:pPr>
      <w:r w:rsidRPr="00550E66">
        <w:rPr>
          <w:rFonts w:ascii="Arial" w:hAnsi="Arial" w:cs="Arial"/>
          <w:color w:val="0A2F41" w:themeColor="accent1" w:themeShade="80"/>
        </w:rPr>
        <w:t>Connor, M. (2012). Coaching and mentoring at work: Developing effective practice. 2nd ed. Berkshire: McGraw-Hill.</w:t>
      </w:r>
    </w:p>
    <w:p w14:paraId="0F4926B5" w14:textId="60771F0F" w:rsidR="002E2E91" w:rsidRPr="00550E66" w:rsidRDefault="002E2E91" w:rsidP="00550E66">
      <w:pPr>
        <w:spacing w:line="360" w:lineRule="auto"/>
        <w:rPr>
          <w:rFonts w:ascii="Arial" w:hAnsi="Arial" w:cs="Arial"/>
          <w:color w:val="0A2F41" w:themeColor="accent1" w:themeShade="80"/>
        </w:rPr>
      </w:pPr>
      <w:r w:rsidRPr="002E2E91">
        <w:rPr>
          <w:rFonts w:ascii="Arial" w:hAnsi="Arial" w:cs="Arial"/>
          <w:color w:val="0A2F41" w:themeColor="accent1" w:themeShade="80"/>
        </w:rPr>
        <w:t>Dexter, J., Dexter, G. &amp; Irving, J. (2011). An Introduction to Coaching. Los Angeles, Calif. &amp; London: SAGE.</w:t>
      </w:r>
    </w:p>
    <w:p w14:paraId="29CDB168" w14:textId="77777777" w:rsidR="00915E83" w:rsidRDefault="00915E83" w:rsidP="00550E66">
      <w:pPr>
        <w:spacing w:line="360" w:lineRule="auto"/>
        <w:rPr>
          <w:rFonts w:ascii="Arial" w:hAnsi="Arial" w:cs="Arial"/>
          <w:color w:val="0A2F41" w:themeColor="accent1" w:themeShade="80"/>
        </w:rPr>
      </w:pPr>
      <w:r w:rsidRPr="00550E66">
        <w:rPr>
          <w:rFonts w:ascii="Arial" w:hAnsi="Arial" w:cs="Arial"/>
          <w:color w:val="0A2F41" w:themeColor="accent1" w:themeShade="80"/>
        </w:rPr>
        <w:t>Downey, M. (2014). Effective Coaching: Lessons from the Coach's Coach. London: Cengage Learning.</w:t>
      </w:r>
    </w:p>
    <w:p w14:paraId="307CE7B6" w14:textId="1564515F" w:rsidR="00DD47F7" w:rsidRPr="00550E66" w:rsidRDefault="00DD47F7" w:rsidP="00550E66">
      <w:pPr>
        <w:spacing w:line="360" w:lineRule="auto"/>
        <w:rPr>
          <w:rFonts w:ascii="Arial" w:hAnsi="Arial" w:cs="Arial"/>
          <w:color w:val="0A2F41" w:themeColor="accent1" w:themeShade="80"/>
        </w:rPr>
      </w:pPr>
      <w:r w:rsidRPr="00DD47F7">
        <w:rPr>
          <w:rFonts w:ascii="Arial" w:hAnsi="Arial" w:cs="Arial"/>
          <w:color w:val="0A2F41" w:themeColor="accent1" w:themeShade="80"/>
        </w:rPr>
        <w:t>Driscoll, J. (2007). Practicing Clinical Supervision: A Reflective Approach for Healthcare Professionals. 2nd ed. Maidenhead: Open University Press.</w:t>
      </w:r>
    </w:p>
    <w:p w14:paraId="531BB726" w14:textId="77777777" w:rsidR="00915E83" w:rsidRDefault="00915E83" w:rsidP="00550E66">
      <w:pPr>
        <w:spacing w:line="360" w:lineRule="auto"/>
        <w:rPr>
          <w:rFonts w:ascii="Arial" w:hAnsi="Arial" w:cs="Arial"/>
          <w:color w:val="0A2F41" w:themeColor="accent1" w:themeShade="80"/>
        </w:rPr>
      </w:pPr>
      <w:r w:rsidRPr="00550E66">
        <w:rPr>
          <w:rFonts w:ascii="Arial" w:hAnsi="Arial" w:cs="Arial"/>
          <w:color w:val="0A2F41" w:themeColor="accent1" w:themeShade="80"/>
        </w:rPr>
        <w:t>Garvey, B., Stokes, P. &amp; Megginson, D. (2018). Coaching and Mentoring: Theory and Practice. 3rd ed. London: Sage.</w:t>
      </w:r>
    </w:p>
    <w:p w14:paraId="7F653B9B" w14:textId="676D5BF9" w:rsidR="00521AC0" w:rsidRDefault="00521AC0" w:rsidP="00521AC0">
      <w:pPr>
        <w:rPr>
          <w:rFonts w:ascii="Arial" w:hAnsi="Arial" w:cs="Arial"/>
          <w:color w:val="0A2F41" w:themeColor="accent1" w:themeShade="80"/>
        </w:rPr>
      </w:pPr>
      <w:r w:rsidRPr="00521AC0">
        <w:rPr>
          <w:rFonts w:ascii="Arial" w:hAnsi="Arial" w:cs="Arial"/>
          <w:color w:val="0A2F41" w:themeColor="accent1" w:themeShade="80"/>
        </w:rPr>
        <w:t>Gibbs, G. (1988). Learning by Doing: A Guide to Teaching and Learning Methods. Oxford: Oxford Polytechnic.</w:t>
      </w:r>
    </w:p>
    <w:p w14:paraId="7EFDBC2F" w14:textId="5ACE22D6" w:rsidR="00A93F96" w:rsidRDefault="00A93F96" w:rsidP="00550E66">
      <w:pPr>
        <w:spacing w:line="360" w:lineRule="auto"/>
        <w:rPr>
          <w:rFonts w:ascii="Arial" w:hAnsi="Arial" w:cs="Arial"/>
          <w:color w:val="0A2F41" w:themeColor="accent1" w:themeShade="80"/>
        </w:rPr>
      </w:pPr>
      <w:r w:rsidRPr="00A93F96">
        <w:rPr>
          <w:rFonts w:ascii="Arial" w:hAnsi="Arial" w:cs="Arial"/>
          <w:color w:val="0A2F41" w:themeColor="accent1" w:themeShade="80"/>
        </w:rPr>
        <w:t>Gilbert, A. &amp; Whittleworth, K. (2009). The OSCAR Coaching Model. London: Worth Consulting Ltd.</w:t>
      </w:r>
    </w:p>
    <w:p w14:paraId="3AA1D36E" w14:textId="00726BC9" w:rsidR="002E2E91" w:rsidRPr="00550E66" w:rsidRDefault="002E2E91" w:rsidP="00550E66">
      <w:pPr>
        <w:spacing w:line="360" w:lineRule="auto"/>
        <w:rPr>
          <w:rFonts w:ascii="Arial" w:hAnsi="Arial" w:cs="Arial"/>
          <w:color w:val="0A2F41" w:themeColor="accent1" w:themeShade="80"/>
        </w:rPr>
      </w:pPr>
      <w:r w:rsidRPr="002E2E91">
        <w:rPr>
          <w:rFonts w:ascii="Arial" w:hAnsi="Arial" w:cs="Arial"/>
          <w:color w:val="0A2F41" w:themeColor="accent1" w:themeShade="80"/>
        </w:rPr>
        <w:t>Hawkins, P. &amp; Smith, N. (2013). Coaching, Mentoring and Organizational Consultancy: Supervision, Skills</w:t>
      </w:r>
      <w:r w:rsidR="24A5F296" w:rsidRPr="590D60C9">
        <w:rPr>
          <w:rFonts w:ascii="Arial" w:hAnsi="Arial" w:cs="Arial"/>
          <w:color w:val="0A2F41" w:themeColor="accent1" w:themeShade="80"/>
        </w:rPr>
        <w:t>,</w:t>
      </w:r>
      <w:r w:rsidRPr="002E2E91">
        <w:rPr>
          <w:rFonts w:ascii="Arial" w:hAnsi="Arial" w:cs="Arial"/>
          <w:color w:val="0A2F41" w:themeColor="accent1" w:themeShade="80"/>
        </w:rPr>
        <w:t xml:space="preserve"> and Development. 2nd ed. Maidenhead, Berkshire, England: McGraw-Hill Education Open University Press.</w:t>
      </w:r>
    </w:p>
    <w:p w14:paraId="75DC40FA" w14:textId="77777777" w:rsidR="002E2E91" w:rsidRDefault="002E2E91" w:rsidP="00550E66">
      <w:pPr>
        <w:spacing w:line="360" w:lineRule="auto"/>
        <w:rPr>
          <w:rFonts w:ascii="Arial" w:hAnsi="Arial" w:cs="Arial"/>
          <w:color w:val="0A2F41" w:themeColor="accent1" w:themeShade="80"/>
        </w:rPr>
      </w:pPr>
      <w:r w:rsidRPr="002E2E91">
        <w:rPr>
          <w:rFonts w:ascii="Arial" w:hAnsi="Arial" w:cs="Arial"/>
          <w:color w:val="0A2F41" w:themeColor="accent1" w:themeShade="80"/>
        </w:rPr>
        <w:t>Luft, J. &amp; Ingham, H. (2004). The Johari Window: A graphic model of interpersonal awareness. In: The Handbook of Group Communication Theory and Research. Thousand Oaks, CA: Sage.</w:t>
      </w:r>
    </w:p>
    <w:p w14:paraId="03EA6571" w14:textId="61D65087" w:rsidR="00FF36E2" w:rsidRDefault="00915E83" w:rsidP="00550E66">
      <w:pPr>
        <w:spacing w:line="360" w:lineRule="auto"/>
        <w:rPr>
          <w:rFonts w:ascii="Arial" w:hAnsi="Arial" w:cs="Arial"/>
          <w:color w:val="0A2F41" w:themeColor="accent1" w:themeShade="80"/>
        </w:rPr>
      </w:pPr>
      <w:r w:rsidRPr="00550E66">
        <w:rPr>
          <w:rFonts w:ascii="Arial" w:hAnsi="Arial" w:cs="Arial"/>
          <w:color w:val="0A2F41" w:themeColor="accent1" w:themeShade="80"/>
        </w:rPr>
        <w:t>Whitmore, J. (2009). Coaching for Performance: Growing Human Potential and Purpose. 4th ed. London: Nicholas Brealey.</w:t>
      </w:r>
    </w:p>
    <w:p w14:paraId="63065A01" w14:textId="707ED5A1" w:rsidR="00F514D1" w:rsidRDefault="00F514D1" w:rsidP="00550E66">
      <w:pPr>
        <w:spacing w:line="360" w:lineRule="auto"/>
        <w:rPr>
          <w:rFonts w:ascii="Arial" w:hAnsi="Arial" w:cs="Arial"/>
          <w:color w:val="0A2F41" w:themeColor="accent1" w:themeShade="80"/>
        </w:rPr>
      </w:pPr>
      <w:r w:rsidRPr="00F514D1">
        <w:rPr>
          <w:rFonts w:ascii="Arial" w:hAnsi="Arial" w:cs="Arial"/>
          <w:color w:val="0A2F41" w:themeColor="accent1" w:themeShade="80"/>
        </w:rPr>
        <w:t xml:space="preserve">University of Cambridge Libraries (n.d.) Reflective practice toolkit: Models of reflection. Available </w:t>
      </w:r>
      <w:proofErr w:type="gramStart"/>
      <w:r w:rsidR="00435A81" w:rsidRPr="00F514D1">
        <w:rPr>
          <w:rFonts w:ascii="Arial" w:hAnsi="Arial" w:cs="Arial"/>
          <w:color w:val="0A2F41" w:themeColor="accent1" w:themeShade="80"/>
        </w:rPr>
        <w:t>at:https</w:t>
      </w:r>
      <w:r w:rsidRPr="00F514D1">
        <w:rPr>
          <w:rFonts w:ascii="Arial" w:hAnsi="Arial" w:cs="Arial"/>
          <w:color w:val="0A2F41" w:themeColor="accent1" w:themeShade="80"/>
        </w:rPr>
        <w:t>://libguides.cam.ac.uk/reflectivepracticetoolkit/models</w:t>
      </w:r>
      <w:proofErr w:type="gramEnd"/>
      <w:r w:rsidRPr="00F514D1">
        <w:rPr>
          <w:rFonts w:ascii="Arial" w:hAnsi="Arial" w:cs="Arial"/>
          <w:color w:val="0A2F41" w:themeColor="accent1" w:themeShade="80"/>
        </w:rPr>
        <w:t xml:space="preserve"> (Accessed: 15 November 2024).</w:t>
      </w:r>
    </w:p>
    <w:p w14:paraId="12FC8AF5" w14:textId="21CADD05" w:rsidR="590D60C9" w:rsidRDefault="590D60C9" w:rsidP="590D60C9">
      <w:pPr>
        <w:spacing w:line="360" w:lineRule="auto"/>
        <w:rPr>
          <w:rFonts w:ascii="Arial" w:hAnsi="Arial" w:cs="Arial"/>
          <w:color w:val="0A2F41" w:themeColor="accent1" w:themeShade="80"/>
        </w:rPr>
      </w:pPr>
    </w:p>
    <w:p w14:paraId="76093FFD" w14:textId="163CFA17" w:rsidR="004C6801" w:rsidRPr="004C6801" w:rsidRDefault="004C6801" w:rsidP="004C6801">
      <w:pPr>
        <w:pStyle w:val="Heading1"/>
        <w:shd w:val="clear" w:color="auto" w:fill="A6BED2"/>
        <w:rPr>
          <w:color w:val="0A2F41" w:themeColor="accent1" w:themeShade="80"/>
        </w:rPr>
      </w:pPr>
      <w:bookmarkStart w:id="15" w:name="_Toc182657475"/>
      <w:r w:rsidRPr="004C6801">
        <w:rPr>
          <w:color w:val="0A2F41" w:themeColor="accent1" w:themeShade="80"/>
        </w:rPr>
        <w:lastRenderedPageBreak/>
        <w:t>Appendix</w:t>
      </w:r>
      <w:bookmarkEnd w:id="15"/>
    </w:p>
    <w:p w14:paraId="5A476685" w14:textId="77777777" w:rsidR="004C6801" w:rsidRDefault="004C6801" w:rsidP="00550E66">
      <w:pPr>
        <w:spacing w:line="360" w:lineRule="auto"/>
        <w:rPr>
          <w:rFonts w:ascii="Arial" w:hAnsi="Arial" w:cs="Arial"/>
          <w:color w:val="0A2F41" w:themeColor="accent1" w:themeShade="80"/>
        </w:rPr>
      </w:pPr>
    </w:p>
    <w:p w14:paraId="7C825A9C" w14:textId="2FDB053D" w:rsidR="002E09D4" w:rsidRDefault="004C6801" w:rsidP="002E09D4">
      <w:pPr>
        <w:pStyle w:val="Heading2"/>
      </w:pPr>
      <w:bookmarkStart w:id="16" w:name="_Toc182657476"/>
      <w:r w:rsidRPr="004C6801">
        <w:t>Appendix A: Feedback from Practical 1</w:t>
      </w:r>
      <w:bookmarkEnd w:id="16"/>
    </w:p>
    <w:p w14:paraId="15BD6FE3" w14:textId="77777777" w:rsidR="002E09D4" w:rsidRDefault="002E09D4" w:rsidP="002E09D4"/>
    <w:p w14:paraId="7CFA25A7" w14:textId="1315FF44" w:rsidR="004605DC" w:rsidRPr="004605DC" w:rsidRDefault="004605DC" w:rsidP="004605DC">
      <w:pPr>
        <w:rPr>
          <w:lang w:val="bg-BG"/>
        </w:rPr>
      </w:pPr>
      <w:r w:rsidRPr="004605DC">
        <w:rPr>
          <w:noProof/>
          <w:lang w:val="bg-BG"/>
        </w:rPr>
        <w:drawing>
          <wp:inline distT="0" distB="0" distL="0" distR="0" wp14:anchorId="5542C130" wp14:editId="6F672D6D">
            <wp:extent cx="5943600" cy="2791460"/>
            <wp:effectExtent l="0" t="0" r="0" b="8890"/>
            <wp:docPr id="1080910091"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910091" name="Picture 7" descr="A screenshot of a compu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2791460"/>
                    </a:xfrm>
                    <a:prstGeom prst="rect">
                      <a:avLst/>
                    </a:prstGeom>
                    <a:noFill/>
                    <a:ln>
                      <a:noFill/>
                    </a:ln>
                  </pic:spPr>
                </pic:pic>
              </a:graphicData>
            </a:graphic>
          </wp:inline>
        </w:drawing>
      </w:r>
    </w:p>
    <w:p w14:paraId="2BC585E6" w14:textId="77777777" w:rsidR="002E09D4" w:rsidRDefault="002E09D4" w:rsidP="002E09D4"/>
    <w:p w14:paraId="00009FEE" w14:textId="77777777" w:rsidR="002E09D4" w:rsidRPr="002E09D4" w:rsidRDefault="002E09D4" w:rsidP="002E09D4"/>
    <w:p w14:paraId="0525786C" w14:textId="6AC60663" w:rsidR="004C6801" w:rsidRDefault="004C6801" w:rsidP="004C6801">
      <w:pPr>
        <w:pStyle w:val="Heading2"/>
      </w:pPr>
      <w:bookmarkStart w:id="17" w:name="_Toc182657477"/>
      <w:r w:rsidRPr="004C6801">
        <w:t>Appendix B: Feedback from Practical 2</w:t>
      </w:r>
      <w:bookmarkEnd w:id="17"/>
    </w:p>
    <w:p w14:paraId="57BDBCDD" w14:textId="77777777" w:rsidR="004605DC" w:rsidRDefault="004605DC" w:rsidP="004605DC"/>
    <w:p w14:paraId="1A523C92" w14:textId="4D1E683F" w:rsidR="00625A2E" w:rsidRDefault="00625A2E" w:rsidP="00625A2E">
      <w:r w:rsidRPr="00625A2E">
        <w:rPr>
          <w:noProof/>
          <w:lang w:val="bg-BG"/>
        </w:rPr>
        <w:drawing>
          <wp:inline distT="0" distB="0" distL="0" distR="0" wp14:anchorId="0320BF29" wp14:editId="3BD37F4E">
            <wp:extent cx="5943600" cy="2733040"/>
            <wp:effectExtent l="0" t="0" r="0" b="0"/>
            <wp:docPr id="1129430995"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430995" name="Picture 9" descr="A screenshot of a comput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733040"/>
                    </a:xfrm>
                    <a:prstGeom prst="rect">
                      <a:avLst/>
                    </a:prstGeom>
                    <a:noFill/>
                    <a:ln>
                      <a:noFill/>
                    </a:ln>
                  </pic:spPr>
                </pic:pic>
              </a:graphicData>
            </a:graphic>
          </wp:inline>
        </w:drawing>
      </w:r>
    </w:p>
    <w:p w14:paraId="407BEBC4" w14:textId="77777777" w:rsidR="00625A2E" w:rsidRDefault="00625A2E" w:rsidP="00625A2E"/>
    <w:p w14:paraId="36A8245C" w14:textId="5BBC86EB" w:rsidR="00625A2E" w:rsidRPr="00625A2E" w:rsidRDefault="00625A2E" w:rsidP="00625A2E">
      <w:pPr>
        <w:rPr>
          <w:lang w:val="bg-BG"/>
        </w:rPr>
      </w:pPr>
      <w:r w:rsidRPr="00625A2E">
        <w:rPr>
          <w:noProof/>
          <w:lang w:val="bg-BG"/>
        </w:rPr>
        <w:drawing>
          <wp:inline distT="0" distB="0" distL="0" distR="0" wp14:anchorId="5D8AF364" wp14:editId="55230714">
            <wp:extent cx="5943600" cy="2694940"/>
            <wp:effectExtent l="0" t="0" r="0" b="0"/>
            <wp:docPr id="504905285"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905285" name="Picture 13" descr="A screenshot of a comput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694940"/>
                    </a:xfrm>
                    <a:prstGeom prst="rect">
                      <a:avLst/>
                    </a:prstGeom>
                    <a:noFill/>
                    <a:ln>
                      <a:noFill/>
                    </a:ln>
                  </pic:spPr>
                </pic:pic>
              </a:graphicData>
            </a:graphic>
          </wp:inline>
        </w:drawing>
      </w:r>
    </w:p>
    <w:p w14:paraId="32F8B4E6" w14:textId="77777777" w:rsidR="00625A2E" w:rsidRPr="00625A2E" w:rsidRDefault="00625A2E" w:rsidP="00625A2E"/>
    <w:p w14:paraId="0C13D1E0" w14:textId="77777777" w:rsidR="004605DC" w:rsidRDefault="004605DC" w:rsidP="004605DC"/>
    <w:p w14:paraId="77A56AB7" w14:textId="482E99E7" w:rsidR="00625A2E" w:rsidRPr="00625A2E" w:rsidRDefault="00625A2E" w:rsidP="00625A2E">
      <w:pPr>
        <w:rPr>
          <w:lang w:val="bg-BG"/>
        </w:rPr>
      </w:pPr>
      <w:r w:rsidRPr="00625A2E">
        <w:rPr>
          <w:noProof/>
          <w:lang w:val="bg-BG"/>
        </w:rPr>
        <w:drawing>
          <wp:inline distT="0" distB="0" distL="0" distR="0" wp14:anchorId="69081F4B" wp14:editId="1B382D00">
            <wp:extent cx="5943600" cy="2647950"/>
            <wp:effectExtent l="0" t="0" r="0" b="0"/>
            <wp:docPr id="108685537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855371" name="Picture 11" descr="A screenshot of a comput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647950"/>
                    </a:xfrm>
                    <a:prstGeom prst="rect">
                      <a:avLst/>
                    </a:prstGeom>
                    <a:noFill/>
                    <a:ln>
                      <a:noFill/>
                    </a:ln>
                  </pic:spPr>
                </pic:pic>
              </a:graphicData>
            </a:graphic>
          </wp:inline>
        </w:drawing>
      </w:r>
    </w:p>
    <w:p w14:paraId="5ECA2069" w14:textId="77777777" w:rsidR="00625A2E" w:rsidRPr="004605DC" w:rsidRDefault="00625A2E" w:rsidP="004605DC"/>
    <w:sectPr w:rsidR="00625A2E" w:rsidRPr="004605DC">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76A59A" w14:textId="77777777" w:rsidR="00DE768B" w:rsidRDefault="00DE768B" w:rsidP="00550E66">
      <w:pPr>
        <w:spacing w:after="0" w:line="240" w:lineRule="auto"/>
      </w:pPr>
      <w:r>
        <w:separator/>
      </w:r>
    </w:p>
  </w:endnote>
  <w:endnote w:type="continuationSeparator" w:id="0">
    <w:p w14:paraId="3C7595A8" w14:textId="77777777" w:rsidR="00DE768B" w:rsidRDefault="00DE768B" w:rsidP="00550E66">
      <w:pPr>
        <w:spacing w:after="0" w:line="240" w:lineRule="auto"/>
      </w:pPr>
      <w:r>
        <w:continuationSeparator/>
      </w:r>
    </w:p>
  </w:endnote>
  <w:endnote w:type="continuationNotice" w:id="1">
    <w:p w14:paraId="0FF31F27" w14:textId="77777777" w:rsidR="00DE768B" w:rsidRDefault="00DE76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0886045"/>
      <w:docPartObj>
        <w:docPartGallery w:val="Page Numbers (Bottom of Page)"/>
        <w:docPartUnique/>
      </w:docPartObj>
    </w:sdtPr>
    <w:sdtContent>
      <w:p w14:paraId="6C4A85E0" w14:textId="1BB328B6" w:rsidR="00550E66" w:rsidRDefault="00550E66">
        <w:pPr>
          <w:pStyle w:val="Footer"/>
          <w:jc w:val="center"/>
        </w:pPr>
        <w:r>
          <w:rPr>
            <w:noProof/>
          </w:rPr>
          <mc:AlternateContent>
            <mc:Choice Requires="wpg">
              <w:drawing>
                <wp:inline distT="0" distB="0" distL="0" distR="0" wp14:anchorId="58D321B3" wp14:editId="363E9EF2">
                  <wp:extent cx="418465" cy="221615"/>
                  <wp:effectExtent l="0" t="0" r="635" b="0"/>
                  <wp:docPr id="1594419408"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1852615737"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30B6A" w14:textId="77777777" w:rsidR="00550E66" w:rsidRDefault="00550E66">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wps:txbx>
                          <wps:bodyPr rot="0" vert="horz" wrap="square" lIns="0" tIns="0" rIns="0" bIns="0" anchor="ctr" anchorCtr="0" upright="1">
                            <a:noAutofit/>
                          </wps:bodyPr>
                        </wps:wsp>
                        <wpg:grpSp>
                          <wpg:cNvPr id="1719309349" name="Group 64"/>
                          <wpg:cNvGrpSpPr>
                            <a:grpSpLocks/>
                          </wpg:cNvGrpSpPr>
                          <wpg:grpSpPr bwMode="auto">
                            <a:xfrm>
                              <a:off x="5494" y="739"/>
                              <a:ext cx="372" cy="72"/>
                              <a:chOff x="5486" y="739"/>
                              <a:chExt cx="372" cy="72"/>
                            </a:xfrm>
                          </wpg:grpSpPr>
                          <wps:wsp>
                            <wps:cNvPr id="726771508"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7566860"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708943"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58D321B3" id="Group 5"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" filled="f" stroked="f">
                    <v:textbox inset="0,0,0,0">
                      <w:txbxContent>
                        <w:p w14:paraId="19A30B6A" w14:textId="77777777" w:rsidR="00550E66" w:rsidRDefault="00550E66">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v:textbox>
                  </v:shape>
                  <v:group id="Group 64"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">
                    <v:oval id="Oval 65"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" fillcolor="#84a2c6" stroked="f"/>
                    <v:oval id="Oval 66"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" fillcolor="#84a2c6" stroked="f"/>
                    <v:oval id="Oval 67"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" fillcolor="#84a2c6" stroked="f"/>
                  </v:group>
                  <w10:anchorlock/>
                </v:group>
              </w:pict>
            </mc:Fallback>
          </mc:AlternateContent>
        </w:r>
      </w:p>
    </w:sdtContent>
  </w:sdt>
  <w:p w14:paraId="26D047AF" w14:textId="77777777" w:rsidR="00550E66" w:rsidRDefault="00550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387CCD" w14:textId="77777777" w:rsidR="00DE768B" w:rsidRDefault="00DE768B" w:rsidP="00550E66">
      <w:pPr>
        <w:spacing w:after="0" w:line="240" w:lineRule="auto"/>
      </w:pPr>
      <w:r>
        <w:separator/>
      </w:r>
    </w:p>
  </w:footnote>
  <w:footnote w:type="continuationSeparator" w:id="0">
    <w:p w14:paraId="5CA87951" w14:textId="77777777" w:rsidR="00DE768B" w:rsidRDefault="00DE768B" w:rsidP="00550E66">
      <w:pPr>
        <w:spacing w:after="0" w:line="240" w:lineRule="auto"/>
      </w:pPr>
      <w:r>
        <w:continuationSeparator/>
      </w:r>
    </w:p>
  </w:footnote>
  <w:footnote w:type="continuationNotice" w:id="1">
    <w:p w14:paraId="15B03A33" w14:textId="77777777" w:rsidR="00DE768B" w:rsidRDefault="00DE768B">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1eH56wthC2gs0O" int2:id="FsFGxJRA">
      <int2:state int2:value="Rejected" int2:type="AugLoop_Text_Critique"/>
    </int2:textHash>
    <int2:textHash int2:hashCode="JCk9JOQHpMagbj" int2:id="Gb9vzxoW">
      <int2:state int2:value="Rejected" int2:type="AugLoop_Text_Critique"/>
    </int2:textHash>
    <int2:textHash int2:hashCode="YTazXOLTJzVOgC" int2:id="Qjar9D2n">
      <int2:state int2:value="Rejected" int2:type="AugLoop_Text_Critique"/>
    </int2:textHash>
    <int2:textHash int2:hashCode="tJsLeIHMJdSqia" int2:id="Td3ne3fp">
      <int2:state int2:value="Rejected" int2:type="AugLoop_Text_Critique"/>
    </int2:textHash>
    <int2:textHash int2:hashCode="B4MaYNZhMc68E0" int2:id="VZez6A9T">
      <int2:state int2:value="Rejected" int2:type="AugLoop_Text_Critique"/>
    </int2:textHash>
    <int2:textHash int2:hashCode="uHSn2Bi5HfAWJE" int2:id="pTqa2Zib">
      <int2:state int2:value="Rejected" int2:type="AugLoop_Text_Critique"/>
    </int2:textHash>
    <int2:textHash int2:hashCode="o8nQIfy/GyFsU+" int2:id="qGL6oBv9">
      <int2:state int2:value="Rejected" int2:type="AugLoop_Text_Critique"/>
    </int2:textHash>
    <int2:textHash int2:hashCode="4LqVacKDjjv1Oe" int2:id="vKrhiymV">
      <int2:state int2:value="Rejected" int2:type="AugLoop_Text_Critique"/>
    </int2:textHash>
    <int2:bookmark int2:bookmarkName="_Int_cDzF6lVA" int2:invalidationBookmarkName="" int2:hashCode="b6aBEh1BxSEP6J" int2:id="kyLNIz8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isplayBackgroundShape/>
  <w:proofState w:spelling="clean" w:grammar="clean"/>
  <w:defaultTabStop w:val="720"/>
  <w:hyphenationZone w:val="425"/>
  <w:characterSpacingControl w:val="doNotCompress"/>
  <w:hdrShapeDefaults>
    <o:shapedefaults v:ext="edit" spidmax="2050">
      <o:colormru v:ext="edit" colors="#ebf3fb"/>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4A1"/>
    <w:rsid w:val="00030604"/>
    <w:rsid w:val="000339FF"/>
    <w:rsid w:val="000402AB"/>
    <w:rsid w:val="00063104"/>
    <w:rsid w:val="000A1281"/>
    <w:rsid w:val="000A1E9C"/>
    <w:rsid w:val="000C0405"/>
    <w:rsid w:val="000F4BB8"/>
    <w:rsid w:val="000F55D9"/>
    <w:rsid w:val="00137237"/>
    <w:rsid w:val="00151E74"/>
    <w:rsid w:val="001605D9"/>
    <w:rsid w:val="00180029"/>
    <w:rsid w:val="001801D0"/>
    <w:rsid w:val="0019035D"/>
    <w:rsid w:val="00195D5D"/>
    <w:rsid w:val="001A24FF"/>
    <w:rsid w:val="001B17CF"/>
    <w:rsid w:val="001B6DFA"/>
    <w:rsid w:val="001F0B90"/>
    <w:rsid w:val="00263A76"/>
    <w:rsid w:val="002776F6"/>
    <w:rsid w:val="002910B0"/>
    <w:rsid w:val="002E09D4"/>
    <w:rsid w:val="002E2E91"/>
    <w:rsid w:val="0031336E"/>
    <w:rsid w:val="00334A3D"/>
    <w:rsid w:val="003F44C2"/>
    <w:rsid w:val="004154A1"/>
    <w:rsid w:val="00435A81"/>
    <w:rsid w:val="004605DC"/>
    <w:rsid w:val="00466E13"/>
    <w:rsid w:val="00492654"/>
    <w:rsid w:val="00492A58"/>
    <w:rsid w:val="004C6801"/>
    <w:rsid w:val="004F347A"/>
    <w:rsid w:val="004F3DD7"/>
    <w:rsid w:val="005045BD"/>
    <w:rsid w:val="00521AC0"/>
    <w:rsid w:val="005300F5"/>
    <w:rsid w:val="005404E6"/>
    <w:rsid w:val="00550E66"/>
    <w:rsid w:val="0055315D"/>
    <w:rsid w:val="005719FF"/>
    <w:rsid w:val="00580754"/>
    <w:rsid w:val="005A6783"/>
    <w:rsid w:val="005C5711"/>
    <w:rsid w:val="00625A2E"/>
    <w:rsid w:val="006377CE"/>
    <w:rsid w:val="00675684"/>
    <w:rsid w:val="0067587C"/>
    <w:rsid w:val="006D7B45"/>
    <w:rsid w:val="00710F19"/>
    <w:rsid w:val="007717A5"/>
    <w:rsid w:val="007768BD"/>
    <w:rsid w:val="00785BDD"/>
    <w:rsid w:val="00795E8E"/>
    <w:rsid w:val="00812042"/>
    <w:rsid w:val="00822DDE"/>
    <w:rsid w:val="00833052"/>
    <w:rsid w:val="008372C7"/>
    <w:rsid w:val="008405AE"/>
    <w:rsid w:val="008444BA"/>
    <w:rsid w:val="008456E0"/>
    <w:rsid w:val="00872B8C"/>
    <w:rsid w:val="00877714"/>
    <w:rsid w:val="00887558"/>
    <w:rsid w:val="008909EF"/>
    <w:rsid w:val="008A0176"/>
    <w:rsid w:val="008C0D9B"/>
    <w:rsid w:val="008F0ED7"/>
    <w:rsid w:val="008F65C2"/>
    <w:rsid w:val="00905139"/>
    <w:rsid w:val="00915E83"/>
    <w:rsid w:val="009727AF"/>
    <w:rsid w:val="009A234F"/>
    <w:rsid w:val="009A3173"/>
    <w:rsid w:val="009B4CA6"/>
    <w:rsid w:val="009D616E"/>
    <w:rsid w:val="009E65C3"/>
    <w:rsid w:val="009E7CFC"/>
    <w:rsid w:val="009F1AE0"/>
    <w:rsid w:val="009F4A27"/>
    <w:rsid w:val="00A319A4"/>
    <w:rsid w:val="00A35AF7"/>
    <w:rsid w:val="00A67F93"/>
    <w:rsid w:val="00A700E1"/>
    <w:rsid w:val="00A76165"/>
    <w:rsid w:val="00A81DD3"/>
    <w:rsid w:val="00A84FE6"/>
    <w:rsid w:val="00A93F96"/>
    <w:rsid w:val="00AA7F42"/>
    <w:rsid w:val="00AB10E5"/>
    <w:rsid w:val="00AC7D7A"/>
    <w:rsid w:val="00B00C5E"/>
    <w:rsid w:val="00B45745"/>
    <w:rsid w:val="00B470B7"/>
    <w:rsid w:val="00BC78D8"/>
    <w:rsid w:val="00BD3D93"/>
    <w:rsid w:val="00BF5789"/>
    <w:rsid w:val="00C009D6"/>
    <w:rsid w:val="00C20A29"/>
    <w:rsid w:val="00C83DA2"/>
    <w:rsid w:val="00CA1433"/>
    <w:rsid w:val="00CC2708"/>
    <w:rsid w:val="00D0266C"/>
    <w:rsid w:val="00D14D1F"/>
    <w:rsid w:val="00D37A96"/>
    <w:rsid w:val="00D66D9F"/>
    <w:rsid w:val="00D9765E"/>
    <w:rsid w:val="00DC5EBE"/>
    <w:rsid w:val="00DC5FE1"/>
    <w:rsid w:val="00DD47F7"/>
    <w:rsid w:val="00DE768B"/>
    <w:rsid w:val="00DF055C"/>
    <w:rsid w:val="00E1260C"/>
    <w:rsid w:val="00E6632B"/>
    <w:rsid w:val="00E81AA9"/>
    <w:rsid w:val="00E82A00"/>
    <w:rsid w:val="00EB0EE2"/>
    <w:rsid w:val="00EB5E79"/>
    <w:rsid w:val="00EC0044"/>
    <w:rsid w:val="00F30AE6"/>
    <w:rsid w:val="00F30BB3"/>
    <w:rsid w:val="00F514D1"/>
    <w:rsid w:val="00F716D9"/>
    <w:rsid w:val="00F7176A"/>
    <w:rsid w:val="00F74A93"/>
    <w:rsid w:val="00F97E79"/>
    <w:rsid w:val="00FD33E6"/>
    <w:rsid w:val="00FE34E7"/>
    <w:rsid w:val="00FE4BC6"/>
    <w:rsid w:val="00FF36E2"/>
    <w:rsid w:val="01493194"/>
    <w:rsid w:val="03156B87"/>
    <w:rsid w:val="09B388CA"/>
    <w:rsid w:val="0A4A5A20"/>
    <w:rsid w:val="0CEA6DE9"/>
    <w:rsid w:val="0E972F0A"/>
    <w:rsid w:val="0F29F8EE"/>
    <w:rsid w:val="1029004C"/>
    <w:rsid w:val="1C0A3571"/>
    <w:rsid w:val="1DAF7C32"/>
    <w:rsid w:val="24A5F296"/>
    <w:rsid w:val="30025427"/>
    <w:rsid w:val="30BC2EF9"/>
    <w:rsid w:val="3138B2FF"/>
    <w:rsid w:val="446EEC5C"/>
    <w:rsid w:val="48711BC9"/>
    <w:rsid w:val="49CAACBD"/>
    <w:rsid w:val="4B45D04D"/>
    <w:rsid w:val="590D60C9"/>
    <w:rsid w:val="5D89EE72"/>
    <w:rsid w:val="67B4DF7A"/>
    <w:rsid w:val="68DE4236"/>
    <w:rsid w:val="6EDD0EE3"/>
    <w:rsid w:val="753CA640"/>
    <w:rsid w:val="77730B71"/>
    <w:rsid w:val="7E1F8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ebf3fb"/>
    </o:shapedefaults>
    <o:shapelayout v:ext="edit">
      <o:idmap v:ext="edit" data="2"/>
    </o:shapelayout>
  </w:shapeDefaults>
  <w:decimalSymbol w:val="."/>
  <w:listSeparator w:val=","/>
  <w14:docId w14:val="0A5FDBA6"/>
  <w15:chartTrackingRefBased/>
  <w15:docId w15:val="{361617ED-C121-4CFA-9516-A4614D8E6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7A5"/>
    <w:rPr>
      <w:lang w:val="en-GB"/>
    </w:rPr>
  </w:style>
  <w:style w:type="paragraph" w:styleId="Heading1">
    <w:name w:val="heading 1"/>
    <w:basedOn w:val="Normal"/>
    <w:next w:val="Normal"/>
    <w:link w:val="Heading1Char"/>
    <w:uiPriority w:val="9"/>
    <w:qFormat/>
    <w:rsid w:val="00415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5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5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5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5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5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5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5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5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4A1"/>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4154A1"/>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4154A1"/>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4154A1"/>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4154A1"/>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4154A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4154A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4154A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4154A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15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54A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15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54A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154A1"/>
    <w:pPr>
      <w:spacing w:before="160"/>
      <w:jc w:val="center"/>
    </w:pPr>
    <w:rPr>
      <w:i/>
      <w:iCs/>
      <w:color w:val="404040" w:themeColor="text1" w:themeTint="BF"/>
    </w:rPr>
  </w:style>
  <w:style w:type="character" w:customStyle="1" w:styleId="QuoteChar">
    <w:name w:val="Quote Char"/>
    <w:basedOn w:val="DefaultParagraphFont"/>
    <w:link w:val="Quote"/>
    <w:uiPriority w:val="29"/>
    <w:rsid w:val="004154A1"/>
    <w:rPr>
      <w:i/>
      <w:iCs/>
      <w:color w:val="404040" w:themeColor="text1" w:themeTint="BF"/>
      <w:lang w:val="en-GB"/>
    </w:rPr>
  </w:style>
  <w:style w:type="paragraph" w:styleId="ListParagraph">
    <w:name w:val="List Paragraph"/>
    <w:basedOn w:val="Normal"/>
    <w:uiPriority w:val="34"/>
    <w:qFormat/>
    <w:rsid w:val="004154A1"/>
    <w:pPr>
      <w:ind w:left="720"/>
      <w:contextualSpacing/>
    </w:pPr>
  </w:style>
  <w:style w:type="character" w:styleId="IntenseEmphasis">
    <w:name w:val="Intense Emphasis"/>
    <w:basedOn w:val="DefaultParagraphFont"/>
    <w:uiPriority w:val="21"/>
    <w:qFormat/>
    <w:rsid w:val="004154A1"/>
    <w:rPr>
      <w:i/>
      <w:iCs/>
      <w:color w:val="0F4761" w:themeColor="accent1" w:themeShade="BF"/>
    </w:rPr>
  </w:style>
  <w:style w:type="paragraph" w:styleId="IntenseQuote">
    <w:name w:val="Intense Quote"/>
    <w:basedOn w:val="Normal"/>
    <w:next w:val="Normal"/>
    <w:link w:val="IntenseQuoteChar"/>
    <w:uiPriority w:val="30"/>
    <w:qFormat/>
    <w:rsid w:val="00415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54A1"/>
    <w:rPr>
      <w:i/>
      <w:iCs/>
      <w:color w:val="0F4761" w:themeColor="accent1" w:themeShade="BF"/>
      <w:lang w:val="en-GB"/>
    </w:rPr>
  </w:style>
  <w:style w:type="character" w:styleId="IntenseReference">
    <w:name w:val="Intense Reference"/>
    <w:basedOn w:val="DefaultParagraphFont"/>
    <w:uiPriority w:val="32"/>
    <w:qFormat/>
    <w:rsid w:val="004154A1"/>
    <w:rPr>
      <w:b/>
      <w:bCs/>
      <w:smallCaps/>
      <w:color w:val="0F4761" w:themeColor="accent1" w:themeShade="BF"/>
      <w:spacing w:val="5"/>
    </w:rPr>
  </w:style>
  <w:style w:type="table" w:styleId="TableGrid">
    <w:name w:val="Table Grid"/>
    <w:basedOn w:val="TableNormal"/>
    <w:uiPriority w:val="39"/>
    <w:rsid w:val="00190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A234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50E66"/>
    <w:pPr>
      <w:spacing w:after="100"/>
    </w:pPr>
  </w:style>
  <w:style w:type="character" w:styleId="Hyperlink">
    <w:name w:val="Hyperlink"/>
    <w:basedOn w:val="DefaultParagraphFont"/>
    <w:uiPriority w:val="99"/>
    <w:unhideWhenUsed/>
    <w:rsid w:val="00550E66"/>
    <w:rPr>
      <w:color w:val="467886" w:themeColor="hyperlink"/>
      <w:u w:val="single"/>
    </w:rPr>
  </w:style>
  <w:style w:type="paragraph" w:styleId="Header">
    <w:name w:val="header"/>
    <w:basedOn w:val="Normal"/>
    <w:link w:val="HeaderChar"/>
    <w:uiPriority w:val="99"/>
    <w:unhideWhenUsed/>
    <w:rsid w:val="00550E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E66"/>
    <w:rPr>
      <w:lang w:val="en-GB"/>
    </w:rPr>
  </w:style>
  <w:style w:type="paragraph" w:styleId="Footer">
    <w:name w:val="footer"/>
    <w:basedOn w:val="Normal"/>
    <w:link w:val="FooterChar"/>
    <w:uiPriority w:val="99"/>
    <w:unhideWhenUsed/>
    <w:rsid w:val="00550E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E66"/>
    <w:rPr>
      <w:lang w:val="en-GB"/>
    </w:rPr>
  </w:style>
  <w:style w:type="paragraph" w:styleId="TOC2">
    <w:name w:val="toc 2"/>
    <w:basedOn w:val="Normal"/>
    <w:next w:val="Normal"/>
    <w:autoRedefine/>
    <w:uiPriority w:val="39"/>
    <w:unhideWhenUsed/>
    <w:rsid w:val="008909E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727475">
      <w:bodyDiv w:val="1"/>
      <w:marLeft w:val="0"/>
      <w:marRight w:val="0"/>
      <w:marTop w:val="0"/>
      <w:marBottom w:val="0"/>
      <w:divBdr>
        <w:top w:val="none" w:sz="0" w:space="0" w:color="auto"/>
        <w:left w:val="none" w:sz="0" w:space="0" w:color="auto"/>
        <w:bottom w:val="none" w:sz="0" w:space="0" w:color="auto"/>
        <w:right w:val="none" w:sz="0" w:space="0" w:color="auto"/>
      </w:divBdr>
    </w:div>
    <w:div w:id="48068897">
      <w:bodyDiv w:val="1"/>
      <w:marLeft w:val="0"/>
      <w:marRight w:val="0"/>
      <w:marTop w:val="0"/>
      <w:marBottom w:val="0"/>
      <w:divBdr>
        <w:top w:val="none" w:sz="0" w:space="0" w:color="auto"/>
        <w:left w:val="none" w:sz="0" w:space="0" w:color="auto"/>
        <w:bottom w:val="none" w:sz="0" w:space="0" w:color="auto"/>
        <w:right w:val="none" w:sz="0" w:space="0" w:color="auto"/>
      </w:divBdr>
    </w:div>
    <w:div w:id="82924547">
      <w:bodyDiv w:val="1"/>
      <w:marLeft w:val="0"/>
      <w:marRight w:val="0"/>
      <w:marTop w:val="0"/>
      <w:marBottom w:val="0"/>
      <w:divBdr>
        <w:top w:val="none" w:sz="0" w:space="0" w:color="auto"/>
        <w:left w:val="none" w:sz="0" w:space="0" w:color="auto"/>
        <w:bottom w:val="none" w:sz="0" w:space="0" w:color="auto"/>
        <w:right w:val="none" w:sz="0" w:space="0" w:color="auto"/>
      </w:divBdr>
    </w:div>
    <w:div w:id="135421361">
      <w:bodyDiv w:val="1"/>
      <w:marLeft w:val="0"/>
      <w:marRight w:val="0"/>
      <w:marTop w:val="0"/>
      <w:marBottom w:val="0"/>
      <w:divBdr>
        <w:top w:val="none" w:sz="0" w:space="0" w:color="auto"/>
        <w:left w:val="none" w:sz="0" w:space="0" w:color="auto"/>
        <w:bottom w:val="none" w:sz="0" w:space="0" w:color="auto"/>
        <w:right w:val="none" w:sz="0" w:space="0" w:color="auto"/>
      </w:divBdr>
    </w:div>
    <w:div w:id="201092123">
      <w:bodyDiv w:val="1"/>
      <w:marLeft w:val="0"/>
      <w:marRight w:val="0"/>
      <w:marTop w:val="0"/>
      <w:marBottom w:val="0"/>
      <w:divBdr>
        <w:top w:val="none" w:sz="0" w:space="0" w:color="auto"/>
        <w:left w:val="none" w:sz="0" w:space="0" w:color="auto"/>
        <w:bottom w:val="none" w:sz="0" w:space="0" w:color="auto"/>
        <w:right w:val="none" w:sz="0" w:space="0" w:color="auto"/>
      </w:divBdr>
    </w:div>
    <w:div w:id="268633061">
      <w:bodyDiv w:val="1"/>
      <w:marLeft w:val="0"/>
      <w:marRight w:val="0"/>
      <w:marTop w:val="0"/>
      <w:marBottom w:val="0"/>
      <w:divBdr>
        <w:top w:val="none" w:sz="0" w:space="0" w:color="auto"/>
        <w:left w:val="none" w:sz="0" w:space="0" w:color="auto"/>
        <w:bottom w:val="none" w:sz="0" w:space="0" w:color="auto"/>
        <w:right w:val="none" w:sz="0" w:space="0" w:color="auto"/>
      </w:divBdr>
      <w:divsChild>
        <w:div w:id="1447429995">
          <w:marLeft w:val="0"/>
          <w:marRight w:val="0"/>
          <w:marTop w:val="0"/>
          <w:marBottom w:val="0"/>
          <w:divBdr>
            <w:top w:val="none" w:sz="0" w:space="0" w:color="auto"/>
            <w:left w:val="single" w:sz="6" w:space="15" w:color="D5D7D8"/>
            <w:bottom w:val="none" w:sz="0" w:space="0" w:color="auto"/>
            <w:right w:val="none" w:sz="0" w:space="0" w:color="auto"/>
          </w:divBdr>
        </w:div>
      </w:divsChild>
    </w:div>
    <w:div w:id="312682516">
      <w:bodyDiv w:val="1"/>
      <w:marLeft w:val="0"/>
      <w:marRight w:val="0"/>
      <w:marTop w:val="0"/>
      <w:marBottom w:val="0"/>
      <w:divBdr>
        <w:top w:val="none" w:sz="0" w:space="0" w:color="auto"/>
        <w:left w:val="none" w:sz="0" w:space="0" w:color="auto"/>
        <w:bottom w:val="none" w:sz="0" w:space="0" w:color="auto"/>
        <w:right w:val="none" w:sz="0" w:space="0" w:color="auto"/>
      </w:divBdr>
    </w:div>
    <w:div w:id="329337816">
      <w:bodyDiv w:val="1"/>
      <w:marLeft w:val="0"/>
      <w:marRight w:val="0"/>
      <w:marTop w:val="0"/>
      <w:marBottom w:val="0"/>
      <w:divBdr>
        <w:top w:val="none" w:sz="0" w:space="0" w:color="auto"/>
        <w:left w:val="none" w:sz="0" w:space="0" w:color="auto"/>
        <w:bottom w:val="none" w:sz="0" w:space="0" w:color="auto"/>
        <w:right w:val="none" w:sz="0" w:space="0" w:color="auto"/>
      </w:divBdr>
    </w:div>
    <w:div w:id="490407747">
      <w:bodyDiv w:val="1"/>
      <w:marLeft w:val="0"/>
      <w:marRight w:val="0"/>
      <w:marTop w:val="0"/>
      <w:marBottom w:val="0"/>
      <w:divBdr>
        <w:top w:val="none" w:sz="0" w:space="0" w:color="auto"/>
        <w:left w:val="none" w:sz="0" w:space="0" w:color="auto"/>
        <w:bottom w:val="none" w:sz="0" w:space="0" w:color="auto"/>
        <w:right w:val="none" w:sz="0" w:space="0" w:color="auto"/>
      </w:divBdr>
    </w:div>
    <w:div w:id="505942078">
      <w:bodyDiv w:val="1"/>
      <w:marLeft w:val="0"/>
      <w:marRight w:val="0"/>
      <w:marTop w:val="0"/>
      <w:marBottom w:val="0"/>
      <w:divBdr>
        <w:top w:val="none" w:sz="0" w:space="0" w:color="auto"/>
        <w:left w:val="none" w:sz="0" w:space="0" w:color="auto"/>
        <w:bottom w:val="none" w:sz="0" w:space="0" w:color="auto"/>
        <w:right w:val="none" w:sz="0" w:space="0" w:color="auto"/>
      </w:divBdr>
      <w:divsChild>
        <w:div w:id="1650398197">
          <w:marLeft w:val="0"/>
          <w:marRight w:val="0"/>
          <w:marTop w:val="0"/>
          <w:marBottom w:val="0"/>
          <w:divBdr>
            <w:top w:val="none" w:sz="0" w:space="0" w:color="auto"/>
            <w:left w:val="single" w:sz="6" w:space="15" w:color="D5D7D8"/>
            <w:bottom w:val="none" w:sz="0" w:space="0" w:color="auto"/>
            <w:right w:val="none" w:sz="0" w:space="0" w:color="auto"/>
          </w:divBdr>
        </w:div>
      </w:divsChild>
    </w:div>
    <w:div w:id="515313430">
      <w:bodyDiv w:val="1"/>
      <w:marLeft w:val="0"/>
      <w:marRight w:val="0"/>
      <w:marTop w:val="0"/>
      <w:marBottom w:val="0"/>
      <w:divBdr>
        <w:top w:val="none" w:sz="0" w:space="0" w:color="auto"/>
        <w:left w:val="none" w:sz="0" w:space="0" w:color="auto"/>
        <w:bottom w:val="none" w:sz="0" w:space="0" w:color="auto"/>
        <w:right w:val="none" w:sz="0" w:space="0" w:color="auto"/>
      </w:divBdr>
    </w:div>
    <w:div w:id="516699622">
      <w:bodyDiv w:val="1"/>
      <w:marLeft w:val="0"/>
      <w:marRight w:val="0"/>
      <w:marTop w:val="0"/>
      <w:marBottom w:val="0"/>
      <w:divBdr>
        <w:top w:val="none" w:sz="0" w:space="0" w:color="auto"/>
        <w:left w:val="none" w:sz="0" w:space="0" w:color="auto"/>
        <w:bottom w:val="none" w:sz="0" w:space="0" w:color="auto"/>
        <w:right w:val="none" w:sz="0" w:space="0" w:color="auto"/>
      </w:divBdr>
    </w:div>
    <w:div w:id="533810064">
      <w:bodyDiv w:val="1"/>
      <w:marLeft w:val="0"/>
      <w:marRight w:val="0"/>
      <w:marTop w:val="0"/>
      <w:marBottom w:val="0"/>
      <w:divBdr>
        <w:top w:val="none" w:sz="0" w:space="0" w:color="auto"/>
        <w:left w:val="none" w:sz="0" w:space="0" w:color="auto"/>
        <w:bottom w:val="none" w:sz="0" w:space="0" w:color="auto"/>
        <w:right w:val="none" w:sz="0" w:space="0" w:color="auto"/>
      </w:divBdr>
    </w:div>
    <w:div w:id="725909196">
      <w:bodyDiv w:val="1"/>
      <w:marLeft w:val="0"/>
      <w:marRight w:val="0"/>
      <w:marTop w:val="0"/>
      <w:marBottom w:val="0"/>
      <w:divBdr>
        <w:top w:val="none" w:sz="0" w:space="0" w:color="auto"/>
        <w:left w:val="none" w:sz="0" w:space="0" w:color="auto"/>
        <w:bottom w:val="none" w:sz="0" w:space="0" w:color="auto"/>
        <w:right w:val="none" w:sz="0" w:space="0" w:color="auto"/>
      </w:divBdr>
    </w:div>
    <w:div w:id="738869355">
      <w:bodyDiv w:val="1"/>
      <w:marLeft w:val="0"/>
      <w:marRight w:val="0"/>
      <w:marTop w:val="0"/>
      <w:marBottom w:val="0"/>
      <w:divBdr>
        <w:top w:val="none" w:sz="0" w:space="0" w:color="auto"/>
        <w:left w:val="none" w:sz="0" w:space="0" w:color="auto"/>
        <w:bottom w:val="none" w:sz="0" w:space="0" w:color="auto"/>
        <w:right w:val="none" w:sz="0" w:space="0" w:color="auto"/>
      </w:divBdr>
    </w:div>
    <w:div w:id="765613621">
      <w:bodyDiv w:val="1"/>
      <w:marLeft w:val="0"/>
      <w:marRight w:val="0"/>
      <w:marTop w:val="0"/>
      <w:marBottom w:val="0"/>
      <w:divBdr>
        <w:top w:val="none" w:sz="0" w:space="0" w:color="auto"/>
        <w:left w:val="none" w:sz="0" w:space="0" w:color="auto"/>
        <w:bottom w:val="none" w:sz="0" w:space="0" w:color="auto"/>
        <w:right w:val="none" w:sz="0" w:space="0" w:color="auto"/>
      </w:divBdr>
    </w:div>
    <w:div w:id="826357207">
      <w:bodyDiv w:val="1"/>
      <w:marLeft w:val="0"/>
      <w:marRight w:val="0"/>
      <w:marTop w:val="0"/>
      <w:marBottom w:val="0"/>
      <w:divBdr>
        <w:top w:val="none" w:sz="0" w:space="0" w:color="auto"/>
        <w:left w:val="none" w:sz="0" w:space="0" w:color="auto"/>
        <w:bottom w:val="none" w:sz="0" w:space="0" w:color="auto"/>
        <w:right w:val="none" w:sz="0" w:space="0" w:color="auto"/>
      </w:divBdr>
    </w:div>
    <w:div w:id="838271677">
      <w:bodyDiv w:val="1"/>
      <w:marLeft w:val="0"/>
      <w:marRight w:val="0"/>
      <w:marTop w:val="0"/>
      <w:marBottom w:val="0"/>
      <w:divBdr>
        <w:top w:val="none" w:sz="0" w:space="0" w:color="auto"/>
        <w:left w:val="none" w:sz="0" w:space="0" w:color="auto"/>
        <w:bottom w:val="none" w:sz="0" w:space="0" w:color="auto"/>
        <w:right w:val="none" w:sz="0" w:space="0" w:color="auto"/>
      </w:divBdr>
    </w:div>
    <w:div w:id="868877991">
      <w:bodyDiv w:val="1"/>
      <w:marLeft w:val="0"/>
      <w:marRight w:val="0"/>
      <w:marTop w:val="0"/>
      <w:marBottom w:val="0"/>
      <w:divBdr>
        <w:top w:val="none" w:sz="0" w:space="0" w:color="auto"/>
        <w:left w:val="none" w:sz="0" w:space="0" w:color="auto"/>
        <w:bottom w:val="none" w:sz="0" w:space="0" w:color="auto"/>
        <w:right w:val="none" w:sz="0" w:space="0" w:color="auto"/>
      </w:divBdr>
    </w:div>
    <w:div w:id="890463427">
      <w:bodyDiv w:val="1"/>
      <w:marLeft w:val="0"/>
      <w:marRight w:val="0"/>
      <w:marTop w:val="0"/>
      <w:marBottom w:val="0"/>
      <w:divBdr>
        <w:top w:val="none" w:sz="0" w:space="0" w:color="auto"/>
        <w:left w:val="none" w:sz="0" w:space="0" w:color="auto"/>
        <w:bottom w:val="none" w:sz="0" w:space="0" w:color="auto"/>
        <w:right w:val="none" w:sz="0" w:space="0" w:color="auto"/>
      </w:divBdr>
    </w:div>
    <w:div w:id="917058731">
      <w:bodyDiv w:val="1"/>
      <w:marLeft w:val="0"/>
      <w:marRight w:val="0"/>
      <w:marTop w:val="0"/>
      <w:marBottom w:val="0"/>
      <w:divBdr>
        <w:top w:val="none" w:sz="0" w:space="0" w:color="auto"/>
        <w:left w:val="none" w:sz="0" w:space="0" w:color="auto"/>
        <w:bottom w:val="none" w:sz="0" w:space="0" w:color="auto"/>
        <w:right w:val="none" w:sz="0" w:space="0" w:color="auto"/>
      </w:divBdr>
    </w:div>
    <w:div w:id="922303661">
      <w:bodyDiv w:val="1"/>
      <w:marLeft w:val="0"/>
      <w:marRight w:val="0"/>
      <w:marTop w:val="0"/>
      <w:marBottom w:val="0"/>
      <w:divBdr>
        <w:top w:val="none" w:sz="0" w:space="0" w:color="auto"/>
        <w:left w:val="none" w:sz="0" w:space="0" w:color="auto"/>
        <w:bottom w:val="none" w:sz="0" w:space="0" w:color="auto"/>
        <w:right w:val="none" w:sz="0" w:space="0" w:color="auto"/>
      </w:divBdr>
    </w:div>
    <w:div w:id="967974202">
      <w:bodyDiv w:val="1"/>
      <w:marLeft w:val="0"/>
      <w:marRight w:val="0"/>
      <w:marTop w:val="0"/>
      <w:marBottom w:val="0"/>
      <w:divBdr>
        <w:top w:val="none" w:sz="0" w:space="0" w:color="auto"/>
        <w:left w:val="none" w:sz="0" w:space="0" w:color="auto"/>
        <w:bottom w:val="none" w:sz="0" w:space="0" w:color="auto"/>
        <w:right w:val="none" w:sz="0" w:space="0" w:color="auto"/>
      </w:divBdr>
    </w:div>
    <w:div w:id="1043019030">
      <w:bodyDiv w:val="1"/>
      <w:marLeft w:val="0"/>
      <w:marRight w:val="0"/>
      <w:marTop w:val="0"/>
      <w:marBottom w:val="0"/>
      <w:divBdr>
        <w:top w:val="none" w:sz="0" w:space="0" w:color="auto"/>
        <w:left w:val="none" w:sz="0" w:space="0" w:color="auto"/>
        <w:bottom w:val="none" w:sz="0" w:space="0" w:color="auto"/>
        <w:right w:val="none" w:sz="0" w:space="0" w:color="auto"/>
      </w:divBdr>
    </w:div>
    <w:div w:id="1161190572">
      <w:bodyDiv w:val="1"/>
      <w:marLeft w:val="0"/>
      <w:marRight w:val="0"/>
      <w:marTop w:val="0"/>
      <w:marBottom w:val="0"/>
      <w:divBdr>
        <w:top w:val="none" w:sz="0" w:space="0" w:color="auto"/>
        <w:left w:val="none" w:sz="0" w:space="0" w:color="auto"/>
        <w:bottom w:val="none" w:sz="0" w:space="0" w:color="auto"/>
        <w:right w:val="none" w:sz="0" w:space="0" w:color="auto"/>
      </w:divBdr>
    </w:div>
    <w:div w:id="1477457742">
      <w:bodyDiv w:val="1"/>
      <w:marLeft w:val="0"/>
      <w:marRight w:val="0"/>
      <w:marTop w:val="0"/>
      <w:marBottom w:val="0"/>
      <w:divBdr>
        <w:top w:val="none" w:sz="0" w:space="0" w:color="auto"/>
        <w:left w:val="none" w:sz="0" w:space="0" w:color="auto"/>
        <w:bottom w:val="none" w:sz="0" w:space="0" w:color="auto"/>
        <w:right w:val="none" w:sz="0" w:space="0" w:color="auto"/>
      </w:divBdr>
    </w:div>
    <w:div w:id="1480610961">
      <w:bodyDiv w:val="1"/>
      <w:marLeft w:val="0"/>
      <w:marRight w:val="0"/>
      <w:marTop w:val="0"/>
      <w:marBottom w:val="0"/>
      <w:divBdr>
        <w:top w:val="none" w:sz="0" w:space="0" w:color="auto"/>
        <w:left w:val="none" w:sz="0" w:space="0" w:color="auto"/>
        <w:bottom w:val="none" w:sz="0" w:space="0" w:color="auto"/>
        <w:right w:val="none" w:sz="0" w:space="0" w:color="auto"/>
      </w:divBdr>
    </w:div>
    <w:div w:id="1546719235">
      <w:bodyDiv w:val="1"/>
      <w:marLeft w:val="0"/>
      <w:marRight w:val="0"/>
      <w:marTop w:val="0"/>
      <w:marBottom w:val="0"/>
      <w:divBdr>
        <w:top w:val="none" w:sz="0" w:space="0" w:color="auto"/>
        <w:left w:val="none" w:sz="0" w:space="0" w:color="auto"/>
        <w:bottom w:val="none" w:sz="0" w:space="0" w:color="auto"/>
        <w:right w:val="none" w:sz="0" w:space="0" w:color="auto"/>
      </w:divBdr>
    </w:div>
    <w:div w:id="1593389691">
      <w:bodyDiv w:val="1"/>
      <w:marLeft w:val="0"/>
      <w:marRight w:val="0"/>
      <w:marTop w:val="0"/>
      <w:marBottom w:val="0"/>
      <w:divBdr>
        <w:top w:val="none" w:sz="0" w:space="0" w:color="auto"/>
        <w:left w:val="none" w:sz="0" w:space="0" w:color="auto"/>
        <w:bottom w:val="none" w:sz="0" w:space="0" w:color="auto"/>
        <w:right w:val="none" w:sz="0" w:space="0" w:color="auto"/>
      </w:divBdr>
    </w:div>
    <w:div w:id="1788699224">
      <w:bodyDiv w:val="1"/>
      <w:marLeft w:val="0"/>
      <w:marRight w:val="0"/>
      <w:marTop w:val="0"/>
      <w:marBottom w:val="0"/>
      <w:divBdr>
        <w:top w:val="none" w:sz="0" w:space="0" w:color="auto"/>
        <w:left w:val="none" w:sz="0" w:space="0" w:color="auto"/>
        <w:bottom w:val="none" w:sz="0" w:space="0" w:color="auto"/>
        <w:right w:val="none" w:sz="0" w:space="0" w:color="auto"/>
      </w:divBdr>
    </w:div>
    <w:div w:id="1789002743">
      <w:bodyDiv w:val="1"/>
      <w:marLeft w:val="0"/>
      <w:marRight w:val="0"/>
      <w:marTop w:val="0"/>
      <w:marBottom w:val="0"/>
      <w:divBdr>
        <w:top w:val="none" w:sz="0" w:space="0" w:color="auto"/>
        <w:left w:val="none" w:sz="0" w:space="0" w:color="auto"/>
        <w:bottom w:val="none" w:sz="0" w:space="0" w:color="auto"/>
        <w:right w:val="none" w:sz="0" w:space="0" w:color="auto"/>
      </w:divBdr>
    </w:div>
    <w:div w:id="1829055129">
      <w:bodyDiv w:val="1"/>
      <w:marLeft w:val="0"/>
      <w:marRight w:val="0"/>
      <w:marTop w:val="0"/>
      <w:marBottom w:val="0"/>
      <w:divBdr>
        <w:top w:val="none" w:sz="0" w:space="0" w:color="auto"/>
        <w:left w:val="none" w:sz="0" w:space="0" w:color="auto"/>
        <w:bottom w:val="none" w:sz="0" w:space="0" w:color="auto"/>
        <w:right w:val="none" w:sz="0" w:space="0" w:color="auto"/>
      </w:divBdr>
    </w:div>
    <w:div w:id="1967618054">
      <w:bodyDiv w:val="1"/>
      <w:marLeft w:val="0"/>
      <w:marRight w:val="0"/>
      <w:marTop w:val="0"/>
      <w:marBottom w:val="0"/>
      <w:divBdr>
        <w:top w:val="none" w:sz="0" w:space="0" w:color="auto"/>
        <w:left w:val="none" w:sz="0" w:space="0" w:color="auto"/>
        <w:bottom w:val="none" w:sz="0" w:space="0" w:color="auto"/>
        <w:right w:val="none" w:sz="0" w:space="0" w:color="auto"/>
      </w:divBdr>
    </w:div>
    <w:div w:id="2059936274">
      <w:bodyDiv w:val="1"/>
      <w:marLeft w:val="0"/>
      <w:marRight w:val="0"/>
      <w:marTop w:val="0"/>
      <w:marBottom w:val="0"/>
      <w:divBdr>
        <w:top w:val="none" w:sz="0" w:space="0" w:color="auto"/>
        <w:left w:val="none" w:sz="0" w:space="0" w:color="auto"/>
        <w:bottom w:val="none" w:sz="0" w:space="0" w:color="auto"/>
        <w:right w:val="none" w:sz="0" w:space="0" w:color="auto"/>
      </w:divBdr>
    </w:div>
    <w:div w:id="207403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5" ma:contentTypeDescription="Create a new document." ma:contentTypeScope="" ma:versionID="a4031dda8815c6b278da84f54263ef19">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54aa6ad2f159743ff10af28a7a001a59"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6730e359-ea60-4bf4-a90a-e4633981635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2D13AB-698B-42CC-B255-2686BD6226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B96FE4-211D-4DB0-A327-920B631EB32C}">
  <ds:schemaRefs>
    <ds:schemaRef ds:uri="http://schemas.openxmlformats.org/officeDocument/2006/bibliography"/>
  </ds:schemaRefs>
</ds:datastoreItem>
</file>

<file path=customXml/itemProps3.xml><?xml version="1.0" encoding="utf-8"?>
<ds:datastoreItem xmlns:ds="http://schemas.openxmlformats.org/officeDocument/2006/customXml" ds:itemID="{9755437A-6F2E-4F59-B9E7-7CC8F3880BB7}">
  <ds:schemaRefs>
    <ds:schemaRef ds:uri="http://schemas.microsoft.com/office/2006/metadata/properties"/>
    <ds:schemaRef ds:uri="http://schemas.microsoft.com/office/infopath/2007/PartnerControls"/>
    <ds:schemaRef ds:uri="6730e359-ea60-4bf4-a90a-e46339816358"/>
  </ds:schemaRefs>
</ds:datastoreItem>
</file>

<file path=customXml/itemProps4.xml><?xml version="1.0" encoding="utf-8"?>
<ds:datastoreItem xmlns:ds="http://schemas.openxmlformats.org/officeDocument/2006/customXml" ds:itemID="{575E5779-BB44-4F80-A4BE-58E8D404FA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3550</Words>
  <Characters>20238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 Kancheva (2017633)</dc:creator>
  <cp:keywords/>
  <dc:description/>
  <cp:lastModifiedBy>Yordanka Kancheva (2017633)</cp:lastModifiedBy>
  <cp:revision>7</cp:revision>
  <dcterms:created xsi:type="dcterms:W3CDTF">2024-11-16T14:13:00Z</dcterms:created>
  <dcterms:modified xsi:type="dcterms:W3CDTF">2024-11-16T14:32:00Z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