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47B68D" w14:textId="77777777" w:rsidR="009D5C70" w:rsidRDefault="009D5C70"/>
    <w:sdt>
      <w:sdtPr>
        <w:id w:val="239062681"/>
        <w:docPartObj>
          <w:docPartGallery w:val="Cover Pages"/>
          <w:docPartUnique/>
        </w:docPartObj>
      </w:sdtPr>
      <w:sdtEndPr>
        <w:rPr>
          <w:b/>
          <w:bCs/>
          <w:sz w:val="40"/>
          <w:szCs w:val="40"/>
        </w:rPr>
      </w:sdtEndPr>
      <w:sdtContent>
        <w:p w14:paraId="2CB97EDA" w14:textId="32FC5B4F" w:rsidR="008F4FEF" w:rsidRDefault="008F4FEF">
          <w:r>
            <w:rPr>
              <w:noProof/>
            </w:rPr>
            <mc:AlternateContent>
              <mc:Choice Requires="wpg">
                <w:drawing>
                  <wp:anchor distT="0" distB="0" distL="114300" distR="114300" simplePos="0" relativeHeight="251659264" behindDoc="1" locked="0" layoutInCell="1" allowOverlap="1" wp14:anchorId="63442904" wp14:editId="2847D692">
                    <wp:simplePos x="0" y="0"/>
                    <wp:positionH relativeFrom="page">
                      <wp:align>center</wp:align>
                    </wp:positionH>
                    <wp:positionV relativeFrom="page">
                      <wp:align>center</wp:align>
                    </wp:positionV>
                    <wp:extent cx="6852920" cy="9142730"/>
                    <wp:effectExtent l="0" t="0" r="0" b="135890"/>
                    <wp:wrapNone/>
                    <wp:docPr id="119" name="Group 4"/>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1B60BFA" w14:textId="54CDD15F" w:rsidR="008F4FEF" w:rsidRDefault="008F4FEF">
                                      <w:pPr>
                                        <w:pStyle w:val="NoSpacing"/>
                                        <w:rPr>
                                          <w:color w:val="FFFFFF" w:themeColor="background1"/>
                                          <w:sz w:val="32"/>
                                          <w:szCs w:val="32"/>
                                        </w:rPr>
                                      </w:pPr>
                                      <w:r>
                                        <w:rPr>
                                          <w:color w:val="FFFFFF" w:themeColor="background1"/>
                                          <w:sz w:val="32"/>
                                          <w:szCs w:val="32"/>
                                        </w:rPr>
                                        <w:t>Kelly Jones</w:t>
                                      </w:r>
                                    </w:p>
                                  </w:sdtContent>
                                </w:sdt>
                                <w:p w14:paraId="2FF65428" w14:textId="39B0E3E4" w:rsidR="008F4FEF"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77E99">
                                        <w:rPr>
                                          <w:caps/>
                                          <w:color w:val="FFFFFF" w:themeColor="background1"/>
                                        </w:rPr>
                                        <w:t>Textiles</w:t>
                                      </w:r>
                                    </w:sdtContent>
                                  </w:sdt>
                                  <w:r w:rsidR="008F4FEF">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8F4FEF">
                                        <w:rPr>
                                          <w:caps/>
                                          <w:color w:val="FFFFFF" w:themeColor="background1"/>
                                        </w:rPr>
                                        <w:t>1804366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BA0AF01" w14:textId="1213EEEE" w:rsidR="008F4FEF" w:rsidRDefault="00B20B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Title here</w:t>
                                      </w:r>
                                    </w:p>
                                  </w:sdtContent>
                                </w:sdt>
                                <w:p w14:paraId="0E669E12" w14:textId="7746D25B" w:rsidR="008F4FEF" w:rsidRDefault="00000000">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8F4FEF">
                                        <w:rPr>
                                          <w:caps/>
                                          <w:color w:val="0E2841" w:themeColor="text2"/>
                                          <w:sz w:val="36"/>
                                          <w:szCs w:val="36"/>
                                        </w:rPr>
                                        <w:t xml:space="preserve">Confirmative praxis </w:t>
                                      </w:r>
                                      <w:r w:rsidR="00D82375">
                                        <w:rPr>
                                          <w:caps/>
                                          <w:color w:val="0E2841" w:themeColor="text2"/>
                                          <w:sz w:val="36"/>
                                          <w:szCs w:val="36"/>
                                        </w:rPr>
                                        <w:t>AD</w:t>
                                      </w:r>
                                      <w:r w:rsidR="00B20BA6">
                                        <w:rPr>
                                          <w:caps/>
                                          <w:color w:val="0E2841" w:themeColor="text2"/>
                                          <w:sz w:val="36"/>
                                          <w:szCs w:val="36"/>
                                        </w:rPr>
                                        <w:t>AA7002</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442904" id="Group 4"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156082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1B60BFA" w14:textId="54CDD15F" w:rsidR="008F4FEF" w:rsidRDefault="008F4FEF">
                                <w:pPr>
                                  <w:pStyle w:val="NoSpacing"/>
                                  <w:rPr>
                                    <w:color w:val="FFFFFF" w:themeColor="background1"/>
                                    <w:sz w:val="32"/>
                                    <w:szCs w:val="32"/>
                                  </w:rPr>
                                </w:pPr>
                                <w:r>
                                  <w:rPr>
                                    <w:color w:val="FFFFFF" w:themeColor="background1"/>
                                    <w:sz w:val="32"/>
                                    <w:szCs w:val="32"/>
                                  </w:rPr>
                                  <w:t>Kelly Jones</w:t>
                                </w:r>
                              </w:p>
                            </w:sdtContent>
                          </w:sdt>
                          <w:p w14:paraId="2FF65428" w14:textId="39B0E3E4" w:rsidR="008F4FEF"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77E99">
                                  <w:rPr>
                                    <w:caps/>
                                    <w:color w:val="FFFFFF" w:themeColor="background1"/>
                                  </w:rPr>
                                  <w:t>Textiles</w:t>
                                </w:r>
                              </w:sdtContent>
                            </w:sdt>
                            <w:r w:rsidR="008F4FEF">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8F4FEF">
                                  <w:rPr>
                                    <w:caps/>
                                    <w:color w:val="FFFFFF" w:themeColor="background1"/>
                                  </w:rPr>
                                  <w:t>1804366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BA0AF01" w14:textId="1213EEEE" w:rsidR="008F4FEF" w:rsidRDefault="00B20B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Title here</w:t>
                                </w:r>
                              </w:p>
                            </w:sdtContent>
                          </w:sdt>
                          <w:p w14:paraId="0E669E12" w14:textId="7746D25B" w:rsidR="008F4FEF" w:rsidRDefault="00000000">
                            <w:pPr>
                              <w:pStyle w:val="NoSpacing"/>
                              <w:spacing w:before="240"/>
                              <w:rPr>
                                <w:caps/>
                                <w:color w:val="0E2841" w:themeColor="text2"/>
                                <w:sz w:val="36"/>
                                <w:szCs w:val="36"/>
                              </w:rPr>
                            </w:pPr>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r w:rsidR="008F4FEF">
                                  <w:rPr>
                                    <w:caps/>
                                    <w:color w:val="0E2841" w:themeColor="text2"/>
                                    <w:sz w:val="36"/>
                                    <w:szCs w:val="36"/>
                                  </w:rPr>
                                  <w:t xml:space="preserve">Confirmative praxis </w:t>
                                </w:r>
                                <w:r w:rsidR="00D82375">
                                  <w:rPr>
                                    <w:caps/>
                                    <w:color w:val="0E2841" w:themeColor="text2"/>
                                    <w:sz w:val="36"/>
                                    <w:szCs w:val="36"/>
                                  </w:rPr>
                                  <w:t>AD</w:t>
                                </w:r>
                                <w:r w:rsidR="00B20BA6">
                                  <w:rPr>
                                    <w:caps/>
                                    <w:color w:val="0E2841" w:themeColor="text2"/>
                                    <w:sz w:val="36"/>
                                    <w:szCs w:val="36"/>
                                  </w:rPr>
                                  <w:t>AA7002</w:t>
                                </w:r>
                              </w:sdtContent>
                            </w:sdt>
                          </w:p>
                        </w:txbxContent>
                      </v:textbox>
                    </v:shape>
                    <w10:wrap anchorx="page" anchory="page"/>
                  </v:group>
                </w:pict>
              </mc:Fallback>
            </mc:AlternateContent>
          </w:r>
        </w:p>
        <w:p w14:paraId="6900D996" w14:textId="21A83E86" w:rsidR="008F4FEF" w:rsidRDefault="008F4FEF">
          <w:pPr>
            <w:rPr>
              <w:rFonts w:asciiTheme="majorHAnsi" w:eastAsiaTheme="majorEastAsia" w:hAnsiTheme="majorHAnsi" w:cstheme="majorBidi"/>
              <w:color w:val="0F4761" w:themeColor="accent1" w:themeShade="BF"/>
              <w:sz w:val="40"/>
              <w:szCs w:val="40"/>
            </w:rPr>
          </w:pPr>
          <w:r>
            <w:rPr>
              <w:b/>
              <w:bCs/>
              <w:sz w:val="40"/>
              <w:szCs w:val="40"/>
            </w:rP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294654"/>
        <w:docPartObj>
          <w:docPartGallery w:val="Table of Contents"/>
          <w:docPartUnique/>
        </w:docPartObj>
      </w:sdtPr>
      <w:sdtEndPr>
        <w:rPr>
          <w:noProof/>
        </w:rPr>
      </w:sdtEndPr>
      <w:sdtContent>
        <w:p w14:paraId="3A447C67" w14:textId="73283832" w:rsidR="008F4FEF" w:rsidRDefault="008F4FEF">
          <w:pPr>
            <w:pStyle w:val="TOCHeading"/>
          </w:pPr>
          <w:r>
            <w:t>Table of Contents</w:t>
          </w:r>
        </w:p>
        <w:p w14:paraId="43A9FF23" w14:textId="60F0E14D" w:rsidR="004871F1" w:rsidRDefault="008F4FEF">
          <w:pPr>
            <w:pStyle w:val="TOC1"/>
            <w:tabs>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6446084" w:history="1">
            <w:r w:rsidR="004871F1" w:rsidRPr="0020168D">
              <w:rPr>
                <w:rStyle w:val="Hyperlink"/>
                <w:noProof/>
              </w:rPr>
              <w:t>Introduction</w:t>
            </w:r>
            <w:r w:rsidR="004871F1">
              <w:rPr>
                <w:noProof/>
                <w:webHidden/>
              </w:rPr>
              <w:tab/>
            </w:r>
            <w:r w:rsidR="004871F1">
              <w:rPr>
                <w:noProof/>
                <w:webHidden/>
              </w:rPr>
              <w:fldChar w:fldCharType="begin"/>
            </w:r>
            <w:r w:rsidR="004871F1">
              <w:rPr>
                <w:noProof/>
                <w:webHidden/>
              </w:rPr>
              <w:instrText xml:space="preserve"> PAGEREF _Toc196446084 \h </w:instrText>
            </w:r>
            <w:r w:rsidR="004871F1">
              <w:rPr>
                <w:noProof/>
                <w:webHidden/>
              </w:rPr>
            </w:r>
            <w:r w:rsidR="004871F1">
              <w:rPr>
                <w:noProof/>
                <w:webHidden/>
              </w:rPr>
              <w:fldChar w:fldCharType="separate"/>
            </w:r>
            <w:r w:rsidR="004871F1">
              <w:rPr>
                <w:noProof/>
                <w:webHidden/>
              </w:rPr>
              <w:t>2</w:t>
            </w:r>
            <w:r w:rsidR="004871F1">
              <w:rPr>
                <w:noProof/>
                <w:webHidden/>
              </w:rPr>
              <w:fldChar w:fldCharType="end"/>
            </w:r>
          </w:hyperlink>
        </w:p>
        <w:p w14:paraId="6BADC31F" w14:textId="6A5E6CFB" w:rsidR="004871F1" w:rsidRDefault="004871F1">
          <w:pPr>
            <w:pStyle w:val="TOC1"/>
            <w:tabs>
              <w:tab w:val="right" w:leader="dot" w:pos="9016"/>
            </w:tabs>
            <w:rPr>
              <w:rFonts w:eastAsiaTheme="minorEastAsia"/>
              <w:b w:val="0"/>
              <w:bCs w:val="0"/>
              <w:caps w:val="0"/>
              <w:noProof/>
              <w:sz w:val="24"/>
              <w:szCs w:val="24"/>
              <w:lang w:eastAsia="en-GB"/>
            </w:rPr>
          </w:pPr>
          <w:hyperlink w:anchor="_Toc196446085" w:history="1">
            <w:r w:rsidRPr="0020168D">
              <w:rPr>
                <w:rStyle w:val="Hyperlink"/>
                <w:noProof/>
              </w:rPr>
              <w:t>Legacy &amp; Loss</w:t>
            </w:r>
            <w:r>
              <w:rPr>
                <w:noProof/>
                <w:webHidden/>
              </w:rPr>
              <w:tab/>
            </w:r>
            <w:r>
              <w:rPr>
                <w:noProof/>
                <w:webHidden/>
              </w:rPr>
              <w:fldChar w:fldCharType="begin"/>
            </w:r>
            <w:r>
              <w:rPr>
                <w:noProof/>
                <w:webHidden/>
              </w:rPr>
              <w:instrText xml:space="preserve"> PAGEREF _Toc196446085 \h </w:instrText>
            </w:r>
            <w:r>
              <w:rPr>
                <w:noProof/>
                <w:webHidden/>
              </w:rPr>
            </w:r>
            <w:r>
              <w:rPr>
                <w:noProof/>
                <w:webHidden/>
              </w:rPr>
              <w:fldChar w:fldCharType="separate"/>
            </w:r>
            <w:r>
              <w:rPr>
                <w:noProof/>
                <w:webHidden/>
              </w:rPr>
              <w:t>4</w:t>
            </w:r>
            <w:r>
              <w:rPr>
                <w:noProof/>
                <w:webHidden/>
              </w:rPr>
              <w:fldChar w:fldCharType="end"/>
            </w:r>
          </w:hyperlink>
        </w:p>
        <w:p w14:paraId="04235B33" w14:textId="3357F58A" w:rsidR="004871F1" w:rsidRDefault="004871F1">
          <w:pPr>
            <w:pStyle w:val="TOC2"/>
            <w:tabs>
              <w:tab w:val="right" w:leader="dot" w:pos="9016"/>
            </w:tabs>
            <w:rPr>
              <w:rFonts w:eastAsiaTheme="minorEastAsia"/>
              <w:smallCaps w:val="0"/>
              <w:noProof/>
              <w:sz w:val="24"/>
              <w:szCs w:val="24"/>
              <w:lang w:eastAsia="en-GB"/>
            </w:rPr>
          </w:pPr>
          <w:hyperlink w:anchor="_Toc196446086" w:history="1">
            <w:r w:rsidRPr="0020168D">
              <w:rPr>
                <w:rStyle w:val="Hyperlink"/>
                <w:noProof/>
              </w:rPr>
              <w:t>The Intersection of Personal &amp; Historical</w:t>
            </w:r>
            <w:r>
              <w:rPr>
                <w:noProof/>
                <w:webHidden/>
              </w:rPr>
              <w:tab/>
            </w:r>
            <w:r>
              <w:rPr>
                <w:noProof/>
                <w:webHidden/>
              </w:rPr>
              <w:fldChar w:fldCharType="begin"/>
            </w:r>
            <w:r>
              <w:rPr>
                <w:noProof/>
                <w:webHidden/>
              </w:rPr>
              <w:instrText xml:space="preserve"> PAGEREF _Toc196446086 \h </w:instrText>
            </w:r>
            <w:r>
              <w:rPr>
                <w:noProof/>
                <w:webHidden/>
              </w:rPr>
            </w:r>
            <w:r>
              <w:rPr>
                <w:noProof/>
                <w:webHidden/>
              </w:rPr>
              <w:fldChar w:fldCharType="separate"/>
            </w:r>
            <w:r>
              <w:rPr>
                <w:noProof/>
                <w:webHidden/>
              </w:rPr>
              <w:t>4</w:t>
            </w:r>
            <w:r>
              <w:rPr>
                <w:noProof/>
                <w:webHidden/>
              </w:rPr>
              <w:fldChar w:fldCharType="end"/>
            </w:r>
          </w:hyperlink>
        </w:p>
        <w:p w14:paraId="5B6E6C66" w14:textId="421CC703" w:rsidR="004871F1" w:rsidRDefault="004871F1">
          <w:pPr>
            <w:pStyle w:val="TOC1"/>
            <w:tabs>
              <w:tab w:val="right" w:leader="dot" w:pos="9016"/>
            </w:tabs>
            <w:rPr>
              <w:rFonts w:eastAsiaTheme="minorEastAsia"/>
              <w:b w:val="0"/>
              <w:bCs w:val="0"/>
              <w:caps w:val="0"/>
              <w:noProof/>
              <w:sz w:val="24"/>
              <w:szCs w:val="24"/>
              <w:lang w:eastAsia="en-GB"/>
            </w:rPr>
          </w:pPr>
          <w:hyperlink w:anchor="_Toc196446087" w:history="1">
            <w:r w:rsidRPr="0020168D">
              <w:rPr>
                <w:rStyle w:val="Hyperlink"/>
                <w:noProof/>
              </w:rPr>
              <w:t>Reconstructing the Erased</w:t>
            </w:r>
            <w:r>
              <w:rPr>
                <w:noProof/>
                <w:webHidden/>
              </w:rPr>
              <w:tab/>
            </w:r>
            <w:r>
              <w:rPr>
                <w:noProof/>
                <w:webHidden/>
              </w:rPr>
              <w:fldChar w:fldCharType="begin"/>
            </w:r>
            <w:r>
              <w:rPr>
                <w:noProof/>
                <w:webHidden/>
              </w:rPr>
              <w:instrText xml:space="preserve"> PAGEREF _Toc196446087 \h </w:instrText>
            </w:r>
            <w:r>
              <w:rPr>
                <w:noProof/>
                <w:webHidden/>
              </w:rPr>
            </w:r>
            <w:r>
              <w:rPr>
                <w:noProof/>
                <w:webHidden/>
              </w:rPr>
              <w:fldChar w:fldCharType="separate"/>
            </w:r>
            <w:r>
              <w:rPr>
                <w:noProof/>
                <w:webHidden/>
              </w:rPr>
              <w:t>9</w:t>
            </w:r>
            <w:r>
              <w:rPr>
                <w:noProof/>
                <w:webHidden/>
              </w:rPr>
              <w:fldChar w:fldCharType="end"/>
            </w:r>
          </w:hyperlink>
        </w:p>
        <w:p w14:paraId="364159B9" w14:textId="12073FE8" w:rsidR="004871F1" w:rsidRDefault="004871F1">
          <w:pPr>
            <w:pStyle w:val="TOC2"/>
            <w:tabs>
              <w:tab w:val="right" w:leader="dot" w:pos="9016"/>
            </w:tabs>
            <w:rPr>
              <w:rFonts w:eastAsiaTheme="minorEastAsia"/>
              <w:smallCaps w:val="0"/>
              <w:noProof/>
              <w:sz w:val="24"/>
              <w:szCs w:val="24"/>
              <w:lang w:eastAsia="en-GB"/>
            </w:rPr>
          </w:pPr>
          <w:hyperlink w:anchor="_Toc196446088" w:history="1">
            <w:r w:rsidRPr="0020168D">
              <w:rPr>
                <w:rStyle w:val="Hyperlink"/>
                <w:noProof/>
              </w:rPr>
              <w:t>Threads of Existing</w:t>
            </w:r>
            <w:r>
              <w:rPr>
                <w:noProof/>
                <w:webHidden/>
              </w:rPr>
              <w:tab/>
            </w:r>
            <w:r>
              <w:rPr>
                <w:noProof/>
                <w:webHidden/>
              </w:rPr>
              <w:fldChar w:fldCharType="begin"/>
            </w:r>
            <w:r>
              <w:rPr>
                <w:noProof/>
                <w:webHidden/>
              </w:rPr>
              <w:instrText xml:space="preserve"> PAGEREF _Toc196446088 \h </w:instrText>
            </w:r>
            <w:r>
              <w:rPr>
                <w:noProof/>
                <w:webHidden/>
              </w:rPr>
            </w:r>
            <w:r>
              <w:rPr>
                <w:noProof/>
                <w:webHidden/>
              </w:rPr>
              <w:fldChar w:fldCharType="separate"/>
            </w:r>
            <w:r>
              <w:rPr>
                <w:noProof/>
                <w:webHidden/>
              </w:rPr>
              <w:t>9</w:t>
            </w:r>
            <w:r>
              <w:rPr>
                <w:noProof/>
                <w:webHidden/>
              </w:rPr>
              <w:fldChar w:fldCharType="end"/>
            </w:r>
          </w:hyperlink>
        </w:p>
        <w:p w14:paraId="041BF1CA" w14:textId="2BF2A3EF" w:rsidR="004871F1" w:rsidRDefault="004871F1">
          <w:pPr>
            <w:pStyle w:val="TOC1"/>
            <w:tabs>
              <w:tab w:val="right" w:leader="dot" w:pos="9016"/>
            </w:tabs>
            <w:rPr>
              <w:rFonts w:eastAsiaTheme="minorEastAsia"/>
              <w:b w:val="0"/>
              <w:bCs w:val="0"/>
              <w:caps w:val="0"/>
              <w:noProof/>
              <w:sz w:val="24"/>
              <w:szCs w:val="24"/>
              <w:lang w:eastAsia="en-GB"/>
            </w:rPr>
          </w:pPr>
          <w:hyperlink w:anchor="_Toc196446089" w:history="1">
            <w:r w:rsidRPr="0020168D">
              <w:rPr>
                <w:rStyle w:val="Hyperlink"/>
                <w:noProof/>
              </w:rPr>
              <w:t>Collective Strength</w:t>
            </w:r>
            <w:r>
              <w:rPr>
                <w:noProof/>
                <w:webHidden/>
              </w:rPr>
              <w:tab/>
            </w:r>
            <w:r>
              <w:rPr>
                <w:noProof/>
                <w:webHidden/>
              </w:rPr>
              <w:fldChar w:fldCharType="begin"/>
            </w:r>
            <w:r>
              <w:rPr>
                <w:noProof/>
                <w:webHidden/>
              </w:rPr>
              <w:instrText xml:space="preserve"> PAGEREF _Toc196446089 \h </w:instrText>
            </w:r>
            <w:r>
              <w:rPr>
                <w:noProof/>
                <w:webHidden/>
              </w:rPr>
            </w:r>
            <w:r>
              <w:rPr>
                <w:noProof/>
                <w:webHidden/>
              </w:rPr>
              <w:fldChar w:fldCharType="separate"/>
            </w:r>
            <w:r>
              <w:rPr>
                <w:noProof/>
                <w:webHidden/>
              </w:rPr>
              <w:t>11</w:t>
            </w:r>
            <w:r>
              <w:rPr>
                <w:noProof/>
                <w:webHidden/>
              </w:rPr>
              <w:fldChar w:fldCharType="end"/>
            </w:r>
          </w:hyperlink>
        </w:p>
        <w:p w14:paraId="3F179538" w14:textId="0E265DF9" w:rsidR="004871F1" w:rsidRDefault="004871F1">
          <w:pPr>
            <w:pStyle w:val="TOC2"/>
            <w:tabs>
              <w:tab w:val="right" w:leader="dot" w:pos="9016"/>
            </w:tabs>
            <w:rPr>
              <w:rFonts w:eastAsiaTheme="minorEastAsia"/>
              <w:smallCaps w:val="0"/>
              <w:noProof/>
              <w:sz w:val="24"/>
              <w:szCs w:val="24"/>
              <w:lang w:eastAsia="en-GB"/>
            </w:rPr>
          </w:pPr>
          <w:hyperlink w:anchor="_Toc196446090" w:history="1">
            <w:r w:rsidRPr="0020168D">
              <w:rPr>
                <w:rStyle w:val="Hyperlink"/>
                <w:noProof/>
              </w:rPr>
              <w:t>Cyanotype</w:t>
            </w:r>
            <w:r>
              <w:rPr>
                <w:noProof/>
                <w:webHidden/>
              </w:rPr>
              <w:tab/>
            </w:r>
            <w:r>
              <w:rPr>
                <w:noProof/>
                <w:webHidden/>
              </w:rPr>
              <w:fldChar w:fldCharType="begin"/>
            </w:r>
            <w:r>
              <w:rPr>
                <w:noProof/>
                <w:webHidden/>
              </w:rPr>
              <w:instrText xml:space="preserve"> PAGEREF _Toc196446090 \h </w:instrText>
            </w:r>
            <w:r>
              <w:rPr>
                <w:noProof/>
                <w:webHidden/>
              </w:rPr>
            </w:r>
            <w:r>
              <w:rPr>
                <w:noProof/>
                <w:webHidden/>
              </w:rPr>
              <w:fldChar w:fldCharType="separate"/>
            </w:r>
            <w:r>
              <w:rPr>
                <w:noProof/>
                <w:webHidden/>
              </w:rPr>
              <w:t>11</w:t>
            </w:r>
            <w:r>
              <w:rPr>
                <w:noProof/>
                <w:webHidden/>
              </w:rPr>
              <w:fldChar w:fldCharType="end"/>
            </w:r>
          </w:hyperlink>
        </w:p>
        <w:p w14:paraId="06C46016" w14:textId="7FFB677F" w:rsidR="004871F1" w:rsidRDefault="004871F1">
          <w:pPr>
            <w:pStyle w:val="TOC2"/>
            <w:tabs>
              <w:tab w:val="right" w:leader="dot" w:pos="9016"/>
            </w:tabs>
            <w:rPr>
              <w:rFonts w:eastAsiaTheme="minorEastAsia"/>
              <w:smallCaps w:val="0"/>
              <w:noProof/>
              <w:sz w:val="24"/>
              <w:szCs w:val="24"/>
              <w:lang w:eastAsia="en-GB"/>
            </w:rPr>
          </w:pPr>
          <w:hyperlink w:anchor="_Toc196446091" w:history="1">
            <w:r w:rsidRPr="0020168D">
              <w:rPr>
                <w:rStyle w:val="Hyperlink"/>
                <w:noProof/>
              </w:rPr>
              <w:t>Welsh Love Spoons</w:t>
            </w:r>
            <w:r>
              <w:rPr>
                <w:noProof/>
                <w:webHidden/>
              </w:rPr>
              <w:tab/>
            </w:r>
            <w:r>
              <w:rPr>
                <w:noProof/>
                <w:webHidden/>
              </w:rPr>
              <w:fldChar w:fldCharType="begin"/>
            </w:r>
            <w:r>
              <w:rPr>
                <w:noProof/>
                <w:webHidden/>
              </w:rPr>
              <w:instrText xml:space="preserve"> PAGEREF _Toc196446091 \h </w:instrText>
            </w:r>
            <w:r>
              <w:rPr>
                <w:noProof/>
                <w:webHidden/>
              </w:rPr>
            </w:r>
            <w:r>
              <w:rPr>
                <w:noProof/>
                <w:webHidden/>
              </w:rPr>
              <w:fldChar w:fldCharType="separate"/>
            </w:r>
            <w:r>
              <w:rPr>
                <w:noProof/>
                <w:webHidden/>
              </w:rPr>
              <w:t>12</w:t>
            </w:r>
            <w:r>
              <w:rPr>
                <w:noProof/>
                <w:webHidden/>
              </w:rPr>
              <w:fldChar w:fldCharType="end"/>
            </w:r>
          </w:hyperlink>
        </w:p>
        <w:p w14:paraId="36A6DE32" w14:textId="1B3EF1FA" w:rsidR="004871F1" w:rsidRDefault="004871F1">
          <w:pPr>
            <w:pStyle w:val="TOC2"/>
            <w:tabs>
              <w:tab w:val="right" w:leader="dot" w:pos="9016"/>
            </w:tabs>
            <w:rPr>
              <w:rFonts w:eastAsiaTheme="minorEastAsia"/>
              <w:smallCaps w:val="0"/>
              <w:noProof/>
              <w:sz w:val="24"/>
              <w:szCs w:val="24"/>
              <w:lang w:eastAsia="en-GB"/>
            </w:rPr>
          </w:pPr>
          <w:hyperlink w:anchor="_Toc196446092" w:history="1">
            <w:r w:rsidRPr="0020168D">
              <w:rPr>
                <w:rStyle w:val="Hyperlink"/>
                <w:noProof/>
              </w:rPr>
              <w:t>Lace</w:t>
            </w:r>
            <w:r>
              <w:rPr>
                <w:noProof/>
                <w:webHidden/>
              </w:rPr>
              <w:tab/>
            </w:r>
            <w:r>
              <w:rPr>
                <w:noProof/>
                <w:webHidden/>
              </w:rPr>
              <w:fldChar w:fldCharType="begin"/>
            </w:r>
            <w:r>
              <w:rPr>
                <w:noProof/>
                <w:webHidden/>
              </w:rPr>
              <w:instrText xml:space="preserve"> PAGEREF _Toc196446092 \h </w:instrText>
            </w:r>
            <w:r>
              <w:rPr>
                <w:noProof/>
                <w:webHidden/>
              </w:rPr>
            </w:r>
            <w:r>
              <w:rPr>
                <w:noProof/>
                <w:webHidden/>
              </w:rPr>
              <w:fldChar w:fldCharType="separate"/>
            </w:r>
            <w:r>
              <w:rPr>
                <w:noProof/>
                <w:webHidden/>
              </w:rPr>
              <w:t>13</w:t>
            </w:r>
            <w:r>
              <w:rPr>
                <w:noProof/>
                <w:webHidden/>
              </w:rPr>
              <w:fldChar w:fldCharType="end"/>
            </w:r>
          </w:hyperlink>
        </w:p>
        <w:p w14:paraId="3AA6F277" w14:textId="71C60C7E" w:rsidR="004871F1" w:rsidRDefault="004871F1">
          <w:pPr>
            <w:pStyle w:val="TOC1"/>
            <w:tabs>
              <w:tab w:val="right" w:leader="dot" w:pos="9016"/>
            </w:tabs>
            <w:rPr>
              <w:rFonts w:eastAsiaTheme="minorEastAsia"/>
              <w:b w:val="0"/>
              <w:bCs w:val="0"/>
              <w:caps w:val="0"/>
              <w:noProof/>
              <w:sz w:val="24"/>
              <w:szCs w:val="24"/>
              <w:lang w:eastAsia="en-GB"/>
            </w:rPr>
          </w:pPr>
          <w:hyperlink w:anchor="_Toc196446093" w:history="1">
            <w:r w:rsidRPr="0020168D">
              <w:rPr>
                <w:rStyle w:val="Hyperlink"/>
                <w:noProof/>
              </w:rPr>
              <w:t>Craft, Identity &amp; Praxis</w:t>
            </w:r>
            <w:r>
              <w:rPr>
                <w:noProof/>
                <w:webHidden/>
              </w:rPr>
              <w:tab/>
            </w:r>
            <w:r>
              <w:rPr>
                <w:noProof/>
                <w:webHidden/>
              </w:rPr>
              <w:fldChar w:fldCharType="begin"/>
            </w:r>
            <w:r>
              <w:rPr>
                <w:noProof/>
                <w:webHidden/>
              </w:rPr>
              <w:instrText xml:space="preserve"> PAGEREF _Toc196446093 \h </w:instrText>
            </w:r>
            <w:r>
              <w:rPr>
                <w:noProof/>
                <w:webHidden/>
              </w:rPr>
            </w:r>
            <w:r>
              <w:rPr>
                <w:noProof/>
                <w:webHidden/>
              </w:rPr>
              <w:fldChar w:fldCharType="separate"/>
            </w:r>
            <w:r>
              <w:rPr>
                <w:noProof/>
                <w:webHidden/>
              </w:rPr>
              <w:t>16</w:t>
            </w:r>
            <w:r>
              <w:rPr>
                <w:noProof/>
                <w:webHidden/>
              </w:rPr>
              <w:fldChar w:fldCharType="end"/>
            </w:r>
          </w:hyperlink>
        </w:p>
        <w:p w14:paraId="31B091F4" w14:textId="40ECAFCB" w:rsidR="004871F1" w:rsidRDefault="004871F1">
          <w:pPr>
            <w:pStyle w:val="TOC2"/>
            <w:tabs>
              <w:tab w:val="right" w:leader="dot" w:pos="9016"/>
            </w:tabs>
            <w:rPr>
              <w:rFonts w:eastAsiaTheme="minorEastAsia"/>
              <w:smallCaps w:val="0"/>
              <w:noProof/>
              <w:sz w:val="24"/>
              <w:szCs w:val="24"/>
              <w:lang w:eastAsia="en-GB"/>
            </w:rPr>
          </w:pPr>
          <w:hyperlink w:anchor="_Toc196446094" w:history="1">
            <w:r w:rsidRPr="0020168D">
              <w:rPr>
                <w:rStyle w:val="Hyperlink"/>
                <w:noProof/>
              </w:rPr>
              <w:t>Stitching Stories</w:t>
            </w:r>
            <w:r>
              <w:rPr>
                <w:noProof/>
                <w:webHidden/>
              </w:rPr>
              <w:tab/>
            </w:r>
            <w:r>
              <w:rPr>
                <w:noProof/>
                <w:webHidden/>
              </w:rPr>
              <w:fldChar w:fldCharType="begin"/>
            </w:r>
            <w:r>
              <w:rPr>
                <w:noProof/>
                <w:webHidden/>
              </w:rPr>
              <w:instrText xml:space="preserve"> PAGEREF _Toc196446094 \h </w:instrText>
            </w:r>
            <w:r>
              <w:rPr>
                <w:noProof/>
                <w:webHidden/>
              </w:rPr>
            </w:r>
            <w:r>
              <w:rPr>
                <w:noProof/>
                <w:webHidden/>
              </w:rPr>
              <w:fldChar w:fldCharType="separate"/>
            </w:r>
            <w:r>
              <w:rPr>
                <w:noProof/>
                <w:webHidden/>
              </w:rPr>
              <w:t>16</w:t>
            </w:r>
            <w:r>
              <w:rPr>
                <w:noProof/>
                <w:webHidden/>
              </w:rPr>
              <w:fldChar w:fldCharType="end"/>
            </w:r>
          </w:hyperlink>
        </w:p>
        <w:p w14:paraId="5DDC057F" w14:textId="139619CF" w:rsidR="004871F1" w:rsidRDefault="004871F1">
          <w:pPr>
            <w:pStyle w:val="TOC2"/>
            <w:tabs>
              <w:tab w:val="right" w:leader="dot" w:pos="9016"/>
            </w:tabs>
            <w:rPr>
              <w:rFonts w:eastAsiaTheme="minorEastAsia"/>
              <w:smallCaps w:val="0"/>
              <w:noProof/>
              <w:sz w:val="24"/>
              <w:szCs w:val="24"/>
              <w:lang w:eastAsia="en-GB"/>
            </w:rPr>
          </w:pPr>
          <w:hyperlink w:anchor="_Toc196446095" w:history="1">
            <w:r w:rsidRPr="0020168D">
              <w:rPr>
                <w:rStyle w:val="Hyperlink"/>
                <w:noProof/>
              </w:rPr>
              <w:t>Invisible Threads</w:t>
            </w:r>
            <w:r>
              <w:rPr>
                <w:noProof/>
                <w:webHidden/>
              </w:rPr>
              <w:tab/>
            </w:r>
            <w:r>
              <w:rPr>
                <w:noProof/>
                <w:webHidden/>
              </w:rPr>
              <w:fldChar w:fldCharType="begin"/>
            </w:r>
            <w:r>
              <w:rPr>
                <w:noProof/>
                <w:webHidden/>
              </w:rPr>
              <w:instrText xml:space="preserve"> PAGEREF _Toc196446095 \h </w:instrText>
            </w:r>
            <w:r>
              <w:rPr>
                <w:noProof/>
                <w:webHidden/>
              </w:rPr>
            </w:r>
            <w:r>
              <w:rPr>
                <w:noProof/>
                <w:webHidden/>
              </w:rPr>
              <w:fldChar w:fldCharType="separate"/>
            </w:r>
            <w:r>
              <w:rPr>
                <w:noProof/>
                <w:webHidden/>
              </w:rPr>
              <w:t>18</w:t>
            </w:r>
            <w:r>
              <w:rPr>
                <w:noProof/>
                <w:webHidden/>
              </w:rPr>
              <w:fldChar w:fldCharType="end"/>
            </w:r>
          </w:hyperlink>
        </w:p>
        <w:p w14:paraId="5CCBBA64" w14:textId="18296B72" w:rsidR="004871F1" w:rsidRDefault="004871F1">
          <w:pPr>
            <w:pStyle w:val="TOC1"/>
            <w:tabs>
              <w:tab w:val="right" w:leader="dot" w:pos="9016"/>
            </w:tabs>
            <w:rPr>
              <w:rFonts w:eastAsiaTheme="minorEastAsia"/>
              <w:b w:val="0"/>
              <w:bCs w:val="0"/>
              <w:caps w:val="0"/>
              <w:noProof/>
              <w:sz w:val="24"/>
              <w:szCs w:val="24"/>
              <w:lang w:eastAsia="en-GB"/>
            </w:rPr>
          </w:pPr>
          <w:hyperlink w:anchor="_Toc196446096" w:history="1">
            <w:r w:rsidRPr="0020168D">
              <w:rPr>
                <w:rStyle w:val="Hyperlink"/>
                <w:noProof/>
              </w:rPr>
              <w:t>Conclusion</w:t>
            </w:r>
            <w:r>
              <w:rPr>
                <w:noProof/>
                <w:webHidden/>
              </w:rPr>
              <w:tab/>
            </w:r>
            <w:r>
              <w:rPr>
                <w:noProof/>
                <w:webHidden/>
              </w:rPr>
              <w:fldChar w:fldCharType="begin"/>
            </w:r>
            <w:r>
              <w:rPr>
                <w:noProof/>
                <w:webHidden/>
              </w:rPr>
              <w:instrText xml:space="preserve"> PAGEREF _Toc196446096 \h </w:instrText>
            </w:r>
            <w:r>
              <w:rPr>
                <w:noProof/>
                <w:webHidden/>
              </w:rPr>
            </w:r>
            <w:r>
              <w:rPr>
                <w:noProof/>
                <w:webHidden/>
              </w:rPr>
              <w:fldChar w:fldCharType="separate"/>
            </w:r>
            <w:r>
              <w:rPr>
                <w:noProof/>
                <w:webHidden/>
              </w:rPr>
              <w:t>20</w:t>
            </w:r>
            <w:r>
              <w:rPr>
                <w:noProof/>
                <w:webHidden/>
              </w:rPr>
              <w:fldChar w:fldCharType="end"/>
            </w:r>
          </w:hyperlink>
        </w:p>
        <w:p w14:paraId="0EBA85B1" w14:textId="10D64C84" w:rsidR="004871F1" w:rsidRDefault="004871F1">
          <w:pPr>
            <w:pStyle w:val="TOC1"/>
            <w:tabs>
              <w:tab w:val="right" w:leader="dot" w:pos="9016"/>
            </w:tabs>
            <w:rPr>
              <w:rFonts w:eastAsiaTheme="minorEastAsia"/>
              <w:b w:val="0"/>
              <w:bCs w:val="0"/>
              <w:caps w:val="0"/>
              <w:noProof/>
              <w:sz w:val="24"/>
              <w:szCs w:val="24"/>
              <w:lang w:eastAsia="en-GB"/>
            </w:rPr>
          </w:pPr>
          <w:hyperlink w:anchor="_Toc196446097" w:history="1">
            <w:r w:rsidRPr="0020168D">
              <w:rPr>
                <w:rStyle w:val="Hyperlink"/>
                <w:noProof/>
              </w:rPr>
              <w:t>Figures</w:t>
            </w:r>
            <w:r>
              <w:rPr>
                <w:noProof/>
                <w:webHidden/>
              </w:rPr>
              <w:tab/>
            </w:r>
            <w:r>
              <w:rPr>
                <w:noProof/>
                <w:webHidden/>
              </w:rPr>
              <w:fldChar w:fldCharType="begin"/>
            </w:r>
            <w:r>
              <w:rPr>
                <w:noProof/>
                <w:webHidden/>
              </w:rPr>
              <w:instrText xml:space="preserve"> PAGEREF _Toc196446097 \h </w:instrText>
            </w:r>
            <w:r>
              <w:rPr>
                <w:noProof/>
                <w:webHidden/>
              </w:rPr>
            </w:r>
            <w:r>
              <w:rPr>
                <w:noProof/>
                <w:webHidden/>
              </w:rPr>
              <w:fldChar w:fldCharType="separate"/>
            </w:r>
            <w:r>
              <w:rPr>
                <w:noProof/>
                <w:webHidden/>
              </w:rPr>
              <w:t>22</w:t>
            </w:r>
            <w:r>
              <w:rPr>
                <w:noProof/>
                <w:webHidden/>
              </w:rPr>
              <w:fldChar w:fldCharType="end"/>
            </w:r>
          </w:hyperlink>
        </w:p>
        <w:p w14:paraId="24A79857" w14:textId="7D42D350" w:rsidR="004871F1" w:rsidRDefault="004871F1">
          <w:pPr>
            <w:pStyle w:val="TOC1"/>
            <w:tabs>
              <w:tab w:val="right" w:leader="dot" w:pos="9016"/>
            </w:tabs>
            <w:rPr>
              <w:rFonts w:eastAsiaTheme="minorEastAsia"/>
              <w:b w:val="0"/>
              <w:bCs w:val="0"/>
              <w:caps w:val="0"/>
              <w:noProof/>
              <w:sz w:val="24"/>
              <w:szCs w:val="24"/>
              <w:lang w:eastAsia="en-GB"/>
            </w:rPr>
          </w:pPr>
          <w:hyperlink w:anchor="_Toc196446098" w:history="1">
            <w:r w:rsidRPr="0020168D">
              <w:rPr>
                <w:rStyle w:val="Hyperlink"/>
                <w:noProof/>
              </w:rPr>
              <w:t>References</w:t>
            </w:r>
            <w:r>
              <w:rPr>
                <w:noProof/>
                <w:webHidden/>
              </w:rPr>
              <w:tab/>
            </w:r>
            <w:r>
              <w:rPr>
                <w:noProof/>
                <w:webHidden/>
              </w:rPr>
              <w:fldChar w:fldCharType="begin"/>
            </w:r>
            <w:r>
              <w:rPr>
                <w:noProof/>
                <w:webHidden/>
              </w:rPr>
              <w:instrText xml:space="preserve"> PAGEREF _Toc196446098 \h </w:instrText>
            </w:r>
            <w:r>
              <w:rPr>
                <w:noProof/>
                <w:webHidden/>
              </w:rPr>
            </w:r>
            <w:r>
              <w:rPr>
                <w:noProof/>
                <w:webHidden/>
              </w:rPr>
              <w:fldChar w:fldCharType="separate"/>
            </w:r>
            <w:r>
              <w:rPr>
                <w:noProof/>
                <w:webHidden/>
              </w:rPr>
              <w:t>23</w:t>
            </w:r>
            <w:r>
              <w:rPr>
                <w:noProof/>
                <w:webHidden/>
              </w:rPr>
              <w:fldChar w:fldCharType="end"/>
            </w:r>
          </w:hyperlink>
        </w:p>
        <w:p w14:paraId="4C8C0E8E" w14:textId="6D5F9C79" w:rsidR="004871F1" w:rsidRDefault="004871F1">
          <w:pPr>
            <w:pStyle w:val="TOC1"/>
            <w:tabs>
              <w:tab w:val="right" w:leader="dot" w:pos="9016"/>
            </w:tabs>
            <w:rPr>
              <w:rFonts w:eastAsiaTheme="minorEastAsia"/>
              <w:b w:val="0"/>
              <w:bCs w:val="0"/>
              <w:caps w:val="0"/>
              <w:noProof/>
              <w:sz w:val="24"/>
              <w:szCs w:val="24"/>
              <w:lang w:eastAsia="en-GB"/>
            </w:rPr>
          </w:pPr>
          <w:hyperlink w:anchor="_Toc196446099" w:history="1">
            <w:r w:rsidRPr="0020168D">
              <w:rPr>
                <w:rStyle w:val="Hyperlink"/>
                <w:noProof/>
              </w:rPr>
              <w:t>Bibliography</w:t>
            </w:r>
            <w:r>
              <w:rPr>
                <w:noProof/>
                <w:webHidden/>
              </w:rPr>
              <w:tab/>
            </w:r>
            <w:r>
              <w:rPr>
                <w:noProof/>
                <w:webHidden/>
              </w:rPr>
              <w:fldChar w:fldCharType="begin"/>
            </w:r>
            <w:r>
              <w:rPr>
                <w:noProof/>
                <w:webHidden/>
              </w:rPr>
              <w:instrText xml:space="preserve"> PAGEREF _Toc196446099 \h </w:instrText>
            </w:r>
            <w:r>
              <w:rPr>
                <w:noProof/>
                <w:webHidden/>
              </w:rPr>
            </w:r>
            <w:r>
              <w:rPr>
                <w:noProof/>
                <w:webHidden/>
              </w:rPr>
              <w:fldChar w:fldCharType="separate"/>
            </w:r>
            <w:r>
              <w:rPr>
                <w:noProof/>
                <w:webHidden/>
              </w:rPr>
              <w:t>24</w:t>
            </w:r>
            <w:r>
              <w:rPr>
                <w:noProof/>
                <w:webHidden/>
              </w:rPr>
              <w:fldChar w:fldCharType="end"/>
            </w:r>
          </w:hyperlink>
        </w:p>
        <w:p w14:paraId="70653D94" w14:textId="34174C55" w:rsidR="008F4FEF" w:rsidRDefault="008F4FEF">
          <w:r>
            <w:rPr>
              <w:b/>
              <w:bCs/>
              <w:noProof/>
            </w:rPr>
            <w:fldChar w:fldCharType="end"/>
          </w:r>
        </w:p>
      </w:sdtContent>
    </w:sdt>
    <w:p w14:paraId="39591400" w14:textId="2EECB87C" w:rsidR="008F4FEF" w:rsidRDefault="008F4FEF">
      <w:r>
        <w:br w:type="page"/>
      </w:r>
    </w:p>
    <w:p w14:paraId="577E806D" w14:textId="4B0BE1A3" w:rsidR="00350386" w:rsidRDefault="008F4FEF" w:rsidP="005A4AF1">
      <w:pPr>
        <w:pStyle w:val="Heading1"/>
      </w:pPr>
      <w:bookmarkStart w:id="0" w:name="_Toc196446084"/>
      <w:r>
        <w:lastRenderedPageBreak/>
        <w:t>Introduction</w:t>
      </w:r>
      <w:bookmarkEnd w:id="0"/>
    </w:p>
    <w:p w14:paraId="11551318" w14:textId="77777777" w:rsidR="005A4AF1" w:rsidRDefault="005A4AF1" w:rsidP="005A4AF1">
      <w:pPr>
        <w:spacing w:line="360" w:lineRule="auto"/>
      </w:pPr>
    </w:p>
    <w:p w14:paraId="4D25EF53" w14:textId="656290AC" w:rsidR="005A4AF1" w:rsidRDefault="005A4AF1" w:rsidP="005A4AF1">
      <w:pPr>
        <w:spacing w:line="360" w:lineRule="auto"/>
      </w:pPr>
      <w:r>
        <w:t>This report</w:t>
      </w:r>
      <w:r>
        <w:t xml:space="preserve"> investigates the intersection of textile-based craft, personal narrative, and feminist historiography through a practice-led approach. It positions quiltmaking as a methodology and medium that enables memory work, critical reflection, and socio-political resistance. Situated within the broader discourse of textile culture, this research draws upon autoethnographic methods to contextualise personal experience</w:t>
      </w:r>
      <w:r>
        <w:t xml:space="preserve"> – p</w:t>
      </w:r>
      <w:r>
        <w:t>articularly with chronic illness and genealogical los</w:t>
      </w:r>
      <w:r>
        <w:t>s – w</w:t>
      </w:r>
      <w:r>
        <w:t>ithin wider cultural and historical frameworks. Through the making of a quilt that incorporates archival documents and textile techniques, the work constructs a space in which individual and collective histories can co-exist, be re-examined, and reclaimed.</w:t>
      </w:r>
    </w:p>
    <w:p w14:paraId="435B1460" w14:textId="77777777" w:rsidR="005A4AF1" w:rsidRDefault="005A4AF1" w:rsidP="005A4AF1">
      <w:pPr>
        <w:spacing w:line="360" w:lineRule="auto"/>
      </w:pPr>
    </w:p>
    <w:p w14:paraId="18297CD2" w14:textId="7E09179E" w:rsidR="005A4AF1" w:rsidRDefault="005A4AF1" w:rsidP="005A4AF1">
      <w:pPr>
        <w:spacing w:line="360" w:lineRule="auto"/>
      </w:pPr>
      <w:r>
        <w:t>The decision to use the quilt as both material object and conceptual framework is grounded in its historical significance. Long associated with domesticity and female labour, quilting has functioned as a mode of storytelling and preservation, particularly among women excluded from dominant artistic and academic narratives. As Loretta Pettway Bennett reflects: “my mother, her mother, my aunts... had hand sewn the foundation, and all I had to do now was thread my own needle and piece a quilt together” (Houston, 2006, p. 163). This intergenerational continuity is central to the project. The quilt becomes a palimpsest of inherited and embodied knowledge, challenging distinctions between public history and private memory, fine art and craft, the visible and the invisible.</w:t>
      </w:r>
    </w:p>
    <w:p w14:paraId="0AA644E1" w14:textId="77777777" w:rsidR="005A4AF1" w:rsidRDefault="005A4AF1" w:rsidP="005A4AF1">
      <w:pPr>
        <w:spacing w:line="360" w:lineRule="auto"/>
      </w:pPr>
    </w:p>
    <w:p w14:paraId="27AD353F" w14:textId="74C930D0" w:rsidR="005A4AF1" w:rsidRDefault="005A4AF1" w:rsidP="005A4AF1">
      <w:pPr>
        <w:spacing w:line="360" w:lineRule="auto"/>
      </w:pPr>
      <w:r>
        <w:t>The use of autoethnography is critical to this investigation, enabling the articulation of lived experience as a legitimate source of research and insight. Chronic illness</w:t>
      </w:r>
      <w:r>
        <w:t xml:space="preserve"> – </w:t>
      </w:r>
      <w:r>
        <w:t>specifically endometriosis and adenomyosis</w:t>
      </w:r>
      <w:r>
        <w:t xml:space="preserve"> – h</w:t>
      </w:r>
      <w:r>
        <w:t xml:space="preserve">as shaped not only the content of this work, but also its pace, form, and structure. The quilt is an apt metaphor and materialisation of this experience; its slow construction process mirrors the nonlinear rhythms of illness, while its tactility offers a counterpoint to clinical and disembodied medical discourse. As Hunter (2019, p. 94) observes, “Sewing not only traps memory; it can also help to rekindle it.” Through making, this project engages with experiences of </w:t>
      </w:r>
      <w:r>
        <w:lastRenderedPageBreak/>
        <w:t>being unheard, misdiagnosed, and silenced, and transforms them into a visible and tangible archive of survival.</w:t>
      </w:r>
    </w:p>
    <w:p w14:paraId="3AE06CA2" w14:textId="77777777" w:rsidR="005A4AF1" w:rsidRDefault="005A4AF1" w:rsidP="005A4AF1">
      <w:pPr>
        <w:spacing w:line="360" w:lineRule="auto"/>
      </w:pPr>
    </w:p>
    <w:p w14:paraId="73514215" w14:textId="6AFE4706" w:rsidR="005A4AF1" w:rsidRDefault="005A4AF1" w:rsidP="005A4AF1">
      <w:pPr>
        <w:spacing w:line="360" w:lineRule="auto"/>
      </w:pPr>
      <w:r>
        <w:t>Furthermore, this project explores the erasure of women’s histories within the canon of art and design. It draws on feminist theory to interrogate the undervaluation of craft and to argue for its re-evaluation as a valid epistemological framework. Showalter’s analogy between quiltmaking and literary production (Hemmings, 2010, p. 158) reinforces the conceptual alignment of this practice with acts of authorship and resistance. Each stitched patch, much like a sentence or paragraph, contributes to a broader narrative</w:t>
      </w:r>
      <w:r>
        <w:t xml:space="preserve"> – </w:t>
      </w:r>
      <w:r>
        <w:t>one that is assembled, layered, and materially grounded.</w:t>
      </w:r>
      <w:r>
        <w:t xml:space="preserve"> </w:t>
      </w:r>
      <w:r>
        <w:t>In navigating themes of legacy, loss, chronic illness, and identity, this research seeks to position craft not only as a tool for personal expression, but as a vital mode of cultural continuity and scholarly critique.</w:t>
      </w:r>
    </w:p>
    <w:p w14:paraId="49184EAB" w14:textId="102635E1" w:rsidR="008F4FEF" w:rsidRDefault="008F4FEF" w:rsidP="005A4AF1">
      <w:pPr>
        <w:spacing w:line="360" w:lineRule="auto"/>
      </w:pPr>
      <w:r>
        <w:br w:type="page"/>
      </w:r>
    </w:p>
    <w:p w14:paraId="15588C53" w14:textId="16483150" w:rsidR="00577E99" w:rsidRDefault="008F4FEF" w:rsidP="00A7603F">
      <w:pPr>
        <w:pStyle w:val="Heading1"/>
        <w:spacing w:after="0"/>
      </w:pPr>
      <w:bookmarkStart w:id="1" w:name="_Toc196446085"/>
      <w:r>
        <w:lastRenderedPageBreak/>
        <w:t>Legacy &amp; Loss</w:t>
      </w:r>
      <w:bookmarkEnd w:id="1"/>
    </w:p>
    <w:p w14:paraId="0EE4B69B" w14:textId="11A9072C" w:rsidR="00762BEE" w:rsidRDefault="00577E99" w:rsidP="00A7603F">
      <w:pPr>
        <w:pStyle w:val="Heading2"/>
        <w:spacing w:before="360" w:after="0"/>
      </w:pPr>
      <w:bookmarkStart w:id="2" w:name="_Toc196446086"/>
      <w:r>
        <w:t>The Intersection of Personal &amp; Historical</w:t>
      </w:r>
      <w:bookmarkEnd w:id="2"/>
    </w:p>
    <w:p w14:paraId="6DF7228C" w14:textId="77777777" w:rsidR="00144D82" w:rsidRDefault="00144D82" w:rsidP="00144D82"/>
    <w:p w14:paraId="2809F860" w14:textId="6DDEB0A0" w:rsidR="00144D82" w:rsidRPr="00144D82" w:rsidRDefault="00144D82" w:rsidP="00144D82">
      <w:r w:rsidRPr="00144D82">
        <w:rPr>
          <w:highlight w:val="green"/>
        </w:rPr>
        <w:t>Quote about endometriosis?</w:t>
      </w:r>
    </w:p>
    <w:p w14:paraId="2245B078" w14:textId="1C84E107" w:rsidR="00762BEE" w:rsidRDefault="00577E99" w:rsidP="00A7603F">
      <w:pPr>
        <w:spacing w:before="360" w:line="360" w:lineRule="auto"/>
        <w:jc w:val="both"/>
      </w:pPr>
      <w:r>
        <w:t xml:space="preserve">In October 2023 I had my (first) laparoscopic surgery for endometriosis. The median operative time for laparoscopic endometrioma surgery is 70 minutes (Gambadauro, Campo and Campo, 2015.) My surgery took over four hours. During my post-surgery consultation, it was confirmed that my endometriosis was extensive, they had removed as much as they could without causing further damage, but they also found I had adenomyosis. It is a condition where cells similar to those in the lining of the womb grow into the muscle of the womb wall. They were unable to do anything to help this condition, due to the length of time I had already been anesthetised for. Due to the severity of both conditions, it confirmed something I had long suspected; that I would not be able to conceive or carry a child. </w:t>
      </w:r>
    </w:p>
    <w:p w14:paraId="37F1004F" w14:textId="30B98C4E" w:rsidR="00577E99" w:rsidRDefault="00577E99" w:rsidP="00A7603F">
      <w:pPr>
        <w:spacing w:before="360" w:line="360" w:lineRule="auto"/>
        <w:jc w:val="both"/>
      </w:pPr>
      <w:r>
        <w:t>I had first gone to a doctor at age 16, in 2006, complaining that my periods were unmanageable, affecting my ability to live normally, and that none of my peers seemed to be suffering in the same way.</w:t>
      </w:r>
    </w:p>
    <w:p w14:paraId="7261DE9E" w14:textId="5948601B" w:rsidR="00577E99" w:rsidRPr="005B4CF9" w:rsidRDefault="00577E99" w:rsidP="00A7603F">
      <w:pPr>
        <w:spacing w:before="360" w:line="360" w:lineRule="auto"/>
        <w:ind w:firstLine="720"/>
        <w:rPr>
          <w:rFonts w:ascii="Courier" w:hAnsi="Courier"/>
        </w:rPr>
      </w:pPr>
      <w:r w:rsidRPr="005B4CF9">
        <w:rPr>
          <w:rFonts w:ascii="Courier" w:hAnsi="Courier"/>
        </w:rPr>
        <w:t>Well, periods are painful.</w:t>
      </w:r>
    </w:p>
    <w:p w14:paraId="1A2A14F9" w14:textId="489BC87F" w:rsidR="00577E99" w:rsidRPr="005B4CF9" w:rsidRDefault="00577E99" w:rsidP="00A7603F">
      <w:pPr>
        <w:spacing w:before="360" w:line="360" w:lineRule="auto"/>
        <w:ind w:left="720"/>
        <w:rPr>
          <w:rFonts w:ascii="Courier" w:hAnsi="Courier"/>
        </w:rPr>
      </w:pPr>
      <w:r w:rsidRPr="005B4CF9">
        <w:rPr>
          <w:rFonts w:ascii="Courier" w:hAnsi="Courier"/>
        </w:rPr>
        <w:t>Have you tried having hot baths?</w:t>
      </w:r>
    </w:p>
    <w:p w14:paraId="70DD8A85" w14:textId="1B677E11" w:rsidR="00577E99" w:rsidRPr="005B4CF9" w:rsidRDefault="00577E99" w:rsidP="00A7603F">
      <w:pPr>
        <w:spacing w:before="360" w:line="360" w:lineRule="auto"/>
        <w:ind w:left="720"/>
        <w:rPr>
          <w:rFonts w:ascii="Courier" w:hAnsi="Courier"/>
        </w:rPr>
      </w:pPr>
      <w:r w:rsidRPr="005B4CF9">
        <w:rPr>
          <w:rFonts w:ascii="Courier" w:hAnsi="Courier"/>
        </w:rPr>
        <w:t>Some women don’t know how to cope with pain.</w:t>
      </w:r>
    </w:p>
    <w:p w14:paraId="79788FEE" w14:textId="6C5C020D" w:rsidR="00577E99" w:rsidRPr="005B4CF9" w:rsidRDefault="00577E99" w:rsidP="00A7603F">
      <w:pPr>
        <w:spacing w:before="360" w:line="360" w:lineRule="auto"/>
        <w:ind w:left="720"/>
        <w:rPr>
          <w:rFonts w:ascii="Courier" w:hAnsi="Courier"/>
        </w:rPr>
      </w:pPr>
      <w:r w:rsidRPr="005B4CF9">
        <w:rPr>
          <w:rFonts w:ascii="Courier" w:hAnsi="Courier"/>
        </w:rPr>
        <w:t>Have you tried going to bed earlier?</w:t>
      </w:r>
    </w:p>
    <w:p w14:paraId="448DF40F" w14:textId="20C7AF8D" w:rsidR="00577E99" w:rsidRPr="005B4CF9" w:rsidRDefault="00577E99" w:rsidP="00A7603F">
      <w:pPr>
        <w:spacing w:before="360" w:line="360" w:lineRule="auto"/>
        <w:ind w:left="720"/>
        <w:rPr>
          <w:rFonts w:ascii="Courier" w:hAnsi="Courier"/>
        </w:rPr>
      </w:pPr>
      <w:r w:rsidRPr="005B4CF9">
        <w:rPr>
          <w:rFonts w:ascii="Courier" w:hAnsi="Courier"/>
        </w:rPr>
        <w:t>Let’s get you a prescription for the pill.</w:t>
      </w:r>
    </w:p>
    <w:p w14:paraId="5C131856" w14:textId="27A66D3F" w:rsidR="00577E99" w:rsidRPr="005B4CF9" w:rsidRDefault="00577E99" w:rsidP="00A7603F">
      <w:pPr>
        <w:spacing w:before="360" w:line="360" w:lineRule="auto"/>
        <w:ind w:left="720"/>
        <w:rPr>
          <w:rFonts w:ascii="Courier" w:hAnsi="Courier"/>
        </w:rPr>
      </w:pPr>
      <w:r w:rsidRPr="005B4CF9">
        <w:rPr>
          <w:rFonts w:ascii="Courier" w:hAnsi="Courier"/>
        </w:rPr>
        <w:t>Have you tried cutting out chocolate?</w:t>
      </w:r>
    </w:p>
    <w:p w14:paraId="1169D597" w14:textId="36B9C621" w:rsidR="00577E99" w:rsidRPr="005B4CF9" w:rsidRDefault="00577E99" w:rsidP="00A7603F">
      <w:pPr>
        <w:spacing w:before="360" w:line="360" w:lineRule="auto"/>
        <w:ind w:left="720" w:right="804"/>
        <w:rPr>
          <w:rFonts w:ascii="Courier" w:hAnsi="Courier"/>
        </w:rPr>
      </w:pPr>
      <w:r w:rsidRPr="005B4CF9">
        <w:rPr>
          <w:rFonts w:ascii="Courier" w:hAnsi="Courier"/>
        </w:rPr>
        <w:t>You don’t look like you weigh enough to even be having periods.</w:t>
      </w:r>
    </w:p>
    <w:p w14:paraId="6D368144" w14:textId="75463E23" w:rsidR="00577E99" w:rsidRPr="00A7603F" w:rsidRDefault="00577E99" w:rsidP="00A7603F">
      <w:pPr>
        <w:spacing w:before="360" w:line="360" w:lineRule="auto"/>
        <w:ind w:left="720"/>
        <w:rPr>
          <w:rFonts w:ascii="Courier" w:hAnsi="Courier"/>
        </w:rPr>
      </w:pPr>
      <w:r w:rsidRPr="005B4CF9">
        <w:rPr>
          <w:rFonts w:ascii="Courier" w:hAnsi="Courier"/>
        </w:rPr>
        <w:lastRenderedPageBreak/>
        <w:t>Do you exercise enough</w:t>
      </w:r>
      <w:r w:rsidR="00A7603F">
        <w:rPr>
          <w:rFonts w:ascii="Courier" w:hAnsi="Courier"/>
        </w:rPr>
        <w:t>?</w:t>
      </w:r>
    </w:p>
    <w:p w14:paraId="1E12427C" w14:textId="22CAC0E0" w:rsidR="00577E99" w:rsidRPr="005B4CF9" w:rsidRDefault="00577E99" w:rsidP="00A7603F">
      <w:pPr>
        <w:spacing w:before="360" w:line="360" w:lineRule="auto"/>
        <w:ind w:firstLine="720"/>
        <w:rPr>
          <w:rFonts w:ascii="Courier" w:hAnsi="Courier"/>
        </w:rPr>
      </w:pPr>
      <w:r w:rsidRPr="005B4CF9">
        <w:rPr>
          <w:rFonts w:ascii="Courier" w:hAnsi="Courier"/>
        </w:rPr>
        <w:t>Maybe you’re just stressed about other things.</w:t>
      </w:r>
    </w:p>
    <w:p w14:paraId="70717283" w14:textId="5756041A" w:rsidR="00577E99" w:rsidRPr="005B4CF9" w:rsidRDefault="00577E99" w:rsidP="00A7603F">
      <w:pPr>
        <w:spacing w:before="360" w:line="360" w:lineRule="auto"/>
        <w:ind w:left="720" w:right="662"/>
        <w:rPr>
          <w:rFonts w:ascii="Courier" w:hAnsi="Courier"/>
        </w:rPr>
      </w:pPr>
      <w:r w:rsidRPr="005B4CF9">
        <w:rPr>
          <w:rFonts w:ascii="Courier" w:hAnsi="Courier"/>
        </w:rPr>
        <w:t>Have you tried taking paracetamol and ibuprofen in tandem?</w:t>
      </w:r>
    </w:p>
    <w:p w14:paraId="633FBDE9" w14:textId="19E8322A" w:rsidR="00577E99" w:rsidRPr="005B4CF9" w:rsidRDefault="00577E99" w:rsidP="00A7603F">
      <w:pPr>
        <w:spacing w:before="360" w:line="360" w:lineRule="auto"/>
        <w:ind w:firstLine="720"/>
        <w:rPr>
          <w:rFonts w:ascii="Courier" w:hAnsi="Courier"/>
        </w:rPr>
      </w:pPr>
      <w:r w:rsidRPr="005B4CF9">
        <w:rPr>
          <w:rFonts w:ascii="Courier" w:hAnsi="Courier"/>
        </w:rPr>
        <w:t>Have you tried hot water bottles?</w:t>
      </w:r>
    </w:p>
    <w:p w14:paraId="15CEEA0D" w14:textId="7BD92B21" w:rsidR="00577E99" w:rsidRPr="005B4CF9" w:rsidRDefault="00577E99" w:rsidP="00A7603F">
      <w:pPr>
        <w:spacing w:before="360" w:line="360" w:lineRule="auto"/>
        <w:ind w:firstLine="720"/>
        <w:rPr>
          <w:rFonts w:ascii="Courier" w:hAnsi="Courier"/>
        </w:rPr>
      </w:pPr>
      <w:r w:rsidRPr="005B4CF9">
        <w:rPr>
          <w:rFonts w:ascii="Courier" w:hAnsi="Courier"/>
        </w:rPr>
        <w:t>Have you tried heat patches?</w:t>
      </w:r>
    </w:p>
    <w:p w14:paraId="169B432C" w14:textId="555881D4" w:rsidR="00577E99" w:rsidRPr="005B4CF9" w:rsidRDefault="00577E99" w:rsidP="00A7603F">
      <w:pPr>
        <w:spacing w:before="360" w:line="360" w:lineRule="auto"/>
        <w:ind w:firstLine="720"/>
        <w:rPr>
          <w:rFonts w:ascii="Courier" w:hAnsi="Courier"/>
        </w:rPr>
      </w:pPr>
      <w:r w:rsidRPr="005B4CF9">
        <w:rPr>
          <w:rFonts w:ascii="Courier" w:hAnsi="Courier"/>
        </w:rPr>
        <w:t>Have you really tried?</w:t>
      </w:r>
    </w:p>
    <w:p w14:paraId="2EB7D6FA" w14:textId="3F7990FC" w:rsidR="00577E99" w:rsidRPr="00A7603F" w:rsidRDefault="00577E99" w:rsidP="00A7603F">
      <w:pPr>
        <w:spacing w:before="360" w:line="360" w:lineRule="auto"/>
        <w:ind w:firstLine="720"/>
        <w:rPr>
          <w:rFonts w:ascii="Courier" w:hAnsi="Courier"/>
        </w:rPr>
      </w:pPr>
      <w:r w:rsidRPr="005B4CF9">
        <w:rPr>
          <w:rFonts w:ascii="Courier" w:hAnsi="Courier"/>
        </w:rPr>
        <w:t>Have you?</w:t>
      </w:r>
    </w:p>
    <w:p w14:paraId="32799D4F" w14:textId="35BBEDC3" w:rsidR="00762BEE" w:rsidRDefault="00577E99" w:rsidP="00A7603F">
      <w:pPr>
        <w:spacing w:before="360" w:line="360" w:lineRule="auto"/>
        <w:jc w:val="both"/>
      </w:pPr>
      <w:r>
        <w:t>I was rigid in my sleep schedule; the brain fog and fatigue did not shift.</w:t>
      </w:r>
    </w:p>
    <w:p w14:paraId="2BACE8A6" w14:textId="059D1FFE" w:rsidR="00762BEE" w:rsidRDefault="00577E99" w:rsidP="00A7603F">
      <w:pPr>
        <w:spacing w:before="360" w:line="360" w:lineRule="auto"/>
        <w:jc w:val="both"/>
      </w:pPr>
      <w:r>
        <w:t>I had blisters on my abdomen from hot water bottles and heat patches.</w:t>
      </w:r>
    </w:p>
    <w:p w14:paraId="1ACC1E5C" w14:textId="77E1180E" w:rsidR="00762BEE" w:rsidRDefault="00577E99" w:rsidP="00A7603F">
      <w:pPr>
        <w:spacing w:before="360" w:line="360" w:lineRule="auto"/>
        <w:jc w:val="both"/>
      </w:pPr>
      <w:r>
        <w:t>I was active; hiking, surfing, yoga was weekly. My diet was balanced.</w:t>
      </w:r>
    </w:p>
    <w:p w14:paraId="00A5A2F9" w14:textId="1164C78D" w:rsidR="00762BEE" w:rsidRDefault="00577E99" w:rsidP="00A7603F">
      <w:pPr>
        <w:spacing w:before="360" w:line="360" w:lineRule="auto"/>
        <w:jc w:val="both"/>
      </w:pPr>
      <w:r>
        <w:t xml:space="preserve">I had tried four different types of hormonal birth controls by the time I refused to have more at age 26; they only made things worse. </w:t>
      </w:r>
    </w:p>
    <w:p w14:paraId="5045253C" w14:textId="62482671" w:rsidR="00577E99" w:rsidRDefault="00577E99" w:rsidP="00A7603F">
      <w:pPr>
        <w:spacing w:before="360" w:line="360" w:lineRule="auto"/>
        <w:jc w:val="both"/>
      </w:pPr>
      <w:r>
        <w:t>Finally, during lockdown of 2020 I found my breaking point. I could no longer do simple things such as go to the loo without experiencing pain. I called my GP surgery in such deep distress that the doctor I spoke to had me sneak into the surgery for an emergency appointment. After reviewing my notes, spanning 14 years of GP visits, referrals, inconclusive tests, and frustration, she asked if I had heard of a condition called endometriosis.</w:t>
      </w:r>
    </w:p>
    <w:p w14:paraId="07B2577A" w14:textId="77777777" w:rsidR="00577E99" w:rsidRPr="005B4CF9" w:rsidRDefault="00577E99" w:rsidP="00A7603F">
      <w:pPr>
        <w:spacing w:before="360" w:line="360" w:lineRule="auto"/>
        <w:ind w:left="1440" w:right="662" w:hanging="720"/>
        <w:rPr>
          <w:rFonts w:ascii="Courier" w:hAnsi="Courier"/>
        </w:rPr>
      </w:pPr>
      <w:r>
        <w:rPr>
          <w:rFonts w:ascii="Courier" w:hAnsi="Courier"/>
        </w:rPr>
        <w:t xml:space="preserve">Me: </w:t>
      </w:r>
      <w:r>
        <w:rPr>
          <w:rFonts w:ascii="Courier" w:hAnsi="Courier"/>
        </w:rPr>
        <w:tab/>
      </w:r>
      <w:r w:rsidRPr="005B4CF9">
        <w:rPr>
          <w:rFonts w:ascii="Courier" w:hAnsi="Courier"/>
        </w:rPr>
        <w:t xml:space="preserve">Yes, they sent me for an ultrasound scan. They said they found some small cysts on my ovaries, but nothing that would be a cause for concern. </w:t>
      </w:r>
    </w:p>
    <w:p w14:paraId="10267A81" w14:textId="04F79C10" w:rsidR="00762BEE" w:rsidRPr="00A7603F" w:rsidRDefault="00577E99" w:rsidP="00A7603F">
      <w:pPr>
        <w:spacing w:before="360" w:line="360" w:lineRule="auto"/>
        <w:ind w:left="1440" w:right="662" w:hanging="720"/>
        <w:rPr>
          <w:rFonts w:ascii="Courier" w:hAnsi="Courier"/>
        </w:rPr>
      </w:pPr>
      <w:r>
        <w:rPr>
          <w:rFonts w:ascii="Courier" w:hAnsi="Courier"/>
        </w:rPr>
        <w:lastRenderedPageBreak/>
        <w:t>GP:</w:t>
      </w:r>
      <w:r>
        <w:rPr>
          <w:rFonts w:ascii="Courier" w:hAnsi="Courier"/>
        </w:rPr>
        <w:tab/>
      </w:r>
      <w:r w:rsidRPr="005B4CF9">
        <w:rPr>
          <w:rFonts w:ascii="Courier" w:hAnsi="Courier"/>
        </w:rPr>
        <w:t>Ridiculous! You can’t always see endometriosis on an ultrasound, they should know better than that. I’m referring you to for an MRI &amp; to Professor Bunkheila. Urgently. You should not have had to live like this for this long.</w:t>
      </w:r>
    </w:p>
    <w:p w14:paraId="51C49DD5" w14:textId="2A2AD194" w:rsidR="00762BEE" w:rsidRDefault="00577E99" w:rsidP="00A7603F">
      <w:pPr>
        <w:spacing w:before="360" w:line="360" w:lineRule="auto"/>
        <w:jc w:val="both"/>
      </w:pPr>
      <w:r>
        <w:t xml:space="preserve">Within six months I had my MRI and a consultation with Professor Bunkheila. I was finally getting somewhere. The MRI showed the endometriosis was extensive. I finally had evidence of what had been happening in my body, I was being heard. The news was bad, but those I told said I seemed euphoric. I was being heard. </w:t>
      </w:r>
    </w:p>
    <w:p w14:paraId="1C5DDD59" w14:textId="47B6E458" w:rsidR="00762BEE" w:rsidRDefault="00577E99" w:rsidP="00A7603F">
      <w:pPr>
        <w:spacing w:before="360" w:line="360" w:lineRule="auto"/>
        <w:jc w:val="both"/>
      </w:pPr>
      <w:r>
        <w:t>Professor Bunkheila placed me as ‘urgent’ on his NHS waiting list, however he did warn me that even at the top of his waiting list there was a two-year delay. Add in the complications of Covid-19, there was no real guess on what the wait could be. It didn’t matter, there was a light at the end of it all. I was realistic that one surgery wasn’t going to fix everything, but at least I was being heard and something, something, something was being done.</w:t>
      </w:r>
    </w:p>
    <w:p w14:paraId="19FC2EC0" w14:textId="0EA197C7" w:rsidR="00577E99" w:rsidRDefault="00577E99" w:rsidP="00A7603F">
      <w:pPr>
        <w:spacing w:before="360" w:line="360" w:lineRule="auto"/>
        <w:jc w:val="both"/>
      </w:pPr>
      <w:r>
        <w:t xml:space="preserve">I had already sailed through the average wait time for a diagnosis, 9 years and 11 months in Wales (endometriosis-uk.org, 2025). </w:t>
      </w:r>
    </w:p>
    <w:p w14:paraId="011A3E52" w14:textId="68487931" w:rsidR="00762BEE" w:rsidRDefault="00577E99" w:rsidP="00A7603F">
      <w:pPr>
        <w:spacing w:before="360" w:line="360" w:lineRule="auto"/>
        <w:ind w:left="567"/>
        <w:rPr>
          <w:rFonts w:ascii="Courier" w:hAnsi="Courier"/>
        </w:rPr>
      </w:pPr>
      <w:r w:rsidRPr="00300C0E">
        <w:rPr>
          <w:rFonts w:ascii="Courier" w:hAnsi="Courier"/>
        </w:rPr>
        <w:t xml:space="preserve">2006 – 2021 = 15 years + 2 years = 17 years. </w:t>
      </w:r>
    </w:p>
    <w:p w14:paraId="373785C8" w14:textId="1CBE298D" w:rsidR="00577E99" w:rsidRDefault="00577E99" w:rsidP="00A7603F">
      <w:pPr>
        <w:spacing w:before="360" w:line="360" w:lineRule="auto"/>
        <w:jc w:val="both"/>
      </w:pPr>
      <w:r>
        <w:t>By June 2023 I had entered a different cycle, not in time with my menstrual cycle, but certainly because of it.</w:t>
      </w:r>
    </w:p>
    <w:p w14:paraId="68140A9E" w14:textId="6A6DDC1A" w:rsidR="00577E99" w:rsidRDefault="00577E99" w:rsidP="00A7603F">
      <w:pPr>
        <w:spacing w:before="360" w:line="360" w:lineRule="auto"/>
        <w:ind w:left="2160" w:right="662" w:hanging="1436"/>
        <w:rPr>
          <w:rFonts w:ascii="Courier" w:hAnsi="Courier"/>
        </w:rPr>
      </w:pPr>
      <w:r>
        <w:rPr>
          <w:rFonts w:ascii="Courier" w:hAnsi="Courier"/>
        </w:rPr>
        <w:t>Me:</w:t>
      </w:r>
      <w:r>
        <w:rPr>
          <w:rFonts w:ascii="Courier" w:hAnsi="Courier"/>
        </w:rPr>
        <w:tab/>
        <w:t>Hi Suzanne (Professor Bunkheila’s medical secretary),</w:t>
      </w:r>
      <w:r w:rsidR="00831C47">
        <w:rPr>
          <w:rFonts w:ascii="Courier" w:hAnsi="Courier"/>
        </w:rPr>
        <w:t xml:space="preserve"> it’s Kelly.</w:t>
      </w:r>
      <w:r>
        <w:rPr>
          <w:rFonts w:ascii="Courier" w:hAnsi="Courier"/>
        </w:rPr>
        <w:t xml:space="preserve"> </w:t>
      </w:r>
      <w:r w:rsidR="00831C47">
        <w:rPr>
          <w:rFonts w:ascii="Courier" w:hAnsi="Courier"/>
        </w:rPr>
        <w:t>H</w:t>
      </w:r>
      <w:r>
        <w:rPr>
          <w:rFonts w:ascii="Courier" w:hAnsi="Courier"/>
        </w:rPr>
        <w:t>ow is the waiting list looking?</w:t>
      </w:r>
    </w:p>
    <w:p w14:paraId="5F48DAE3" w14:textId="464CD4D3" w:rsidR="00577E99" w:rsidRDefault="00577E99" w:rsidP="00A7603F">
      <w:pPr>
        <w:spacing w:before="360" w:line="360" w:lineRule="auto"/>
        <w:ind w:left="2160" w:right="662" w:hanging="1436"/>
        <w:rPr>
          <w:rFonts w:ascii="Courier" w:hAnsi="Courier"/>
        </w:rPr>
      </w:pPr>
      <w:r>
        <w:rPr>
          <w:rFonts w:ascii="Courier" w:hAnsi="Courier"/>
        </w:rPr>
        <w:t>Suzanne:</w:t>
      </w:r>
      <w:r>
        <w:rPr>
          <w:rFonts w:ascii="Courier" w:hAnsi="Courier"/>
        </w:rPr>
        <w:tab/>
        <w:t>Hi Kelly, there’s still very little movement. Surgeries are still being delayed because of covid… Did you call his private practice, like you said you might?</w:t>
      </w:r>
    </w:p>
    <w:p w14:paraId="31D613E0" w14:textId="43331D7F" w:rsidR="00577E99" w:rsidRDefault="00577E99" w:rsidP="00A7603F">
      <w:pPr>
        <w:spacing w:before="360" w:line="360" w:lineRule="auto"/>
        <w:jc w:val="both"/>
      </w:pPr>
      <w:r>
        <w:lastRenderedPageBreak/>
        <w:t xml:space="preserve">Two weeks later my parents had booked and paid for my surgery with Professor Bunkheila. I could not process my privilege. Still cannot. </w:t>
      </w:r>
    </w:p>
    <w:p w14:paraId="7CC550A3" w14:textId="77777777" w:rsidR="00577E99" w:rsidRPr="0058205A" w:rsidRDefault="00577E99" w:rsidP="00A7603F">
      <w:pPr>
        <w:spacing w:before="360" w:line="360" w:lineRule="auto"/>
        <w:jc w:val="center"/>
        <w:rPr>
          <w:rFonts w:ascii="Courier" w:hAnsi="Courier"/>
        </w:rPr>
      </w:pPr>
      <w:r w:rsidRPr="0058205A">
        <w:rPr>
          <w:rFonts w:ascii="Courier" w:hAnsi="Courier"/>
        </w:rPr>
        <w:t>April 2006 to October 2023 = 6,392 days.</w:t>
      </w:r>
    </w:p>
    <w:p w14:paraId="64ED46AA" w14:textId="098952A5" w:rsidR="00762BEE" w:rsidRPr="00A7603F" w:rsidRDefault="00577E99" w:rsidP="00A7603F">
      <w:pPr>
        <w:spacing w:before="360" w:line="360" w:lineRule="auto"/>
        <w:jc w:val="center"/>
        <w:rPr>
          <w:rFonts w:ascii="Courier" w:hAnsi="Courier"/>
        </w:rPr>
      </w:pPr>
      <w:r w:rsidRPr="0058205A">
        <w:rPr>
          <w:rFonts w:ascii="Courier" w:hAnsi="Courier"/>
        </w:rPr>
        <w:t>4 hours, 3 incisions, 2 weeks recovery.</w:t>
      </w:r>
    </w:p>
    <w:p w14:paraId="50C894CF" w14:textId="74342C40" w:rsidR="00762BEE" w:rsidRDefault="00577E99" w:rsidP="00A7603F">
      <w:pPr>
        <w:spacing w:before="360" w:line="360" w:lineRule="auto"/>
        <w:jc w:val="both"/>
      </w:pPr>
      <w:r>
        <w:t xml:space="preserve">I had been warned by nurses, Instagram posts, friends, forums, colleagues, doctors, that recovery from a laparoscopy was brutal. I had taken heed of the advice. I had gone back to my </w:t>
      </w:r>
      <w:r w:rsidR="00831C47">
        <w:t>parents’</w:t>
      </w:r>
      <w:r>
        <w:t xml:space="preserve"> house for recovery, they are both </w:t>
      </w:r>
      <w:proofErr w:type="gramStart"/>
      <w:r>
        <w:t>retired</w:t>
      </w:r>
      <w:proofErr w:type="gramEnd"/>
      <w:r>
        <w:t xml:space="preserve"> and my husband works full time. A list of easy-to-consume TV, films, podcasts &amp; books were at the ready. Medication, heat patches, comfort food was lined up. I had not even considered planning any knitting or sewing, my usual safety nets for pain. The reality was that the recovery was no more painful than my least painful period. </w:t>
      </w:r>
    </w:p>
    <w:p w14:paraId="6D25F94D" w14:textId="109288D1" w:rsidR="00762BEE" w:rsidRDefault="00577E99" w:rsidP="00A7603F">
      <w:pPr>
        <w:spacing w:before="360" w:line="360" w:lineRule="auto"/>
        <w:jc w:val="both"/>
      </w:pPr>
      <w:r>
        <w:t>Having recently relocated to Cornwall after 30+ years in Swansea, my parents were still unpacking and finding things. Organising and re-organising. Among these forgotten things were my grandparents’ birth, marriage and death certificates. Four lives reduced to ten documents, but with a wealth of information &amp; a display of technologies.</w:t>
      </w:r>
    </w:p>
    <w:p w14:paraId="17679265" w14:textId="60976D40" w:rsidR="00762BEE" w:rsidRDefault="00577E99" w:rsidP="00A7603F">
      <w:pPr>
        <w:spacing w:before="360" w:line="360" w:lineRule="auto"/>
        <w:jc w:val="both"/>
      </w:pPr>
      <w:r>
        <w:t>Handwritten dates and names, places and occupations, births and marriages. The revolution of the typewriter had skipped their generation, a computer had documented their deaths, as it had my marriage. I hated it. It felt like a lost skill, the forgotten craft of penmanship. It felt clinical, sterile, un-human.</w:t>
      </w:r>
    </w:p>
    <w:p w14:paraId="2664E221" w14:textId="64D9ED0A" w:rsidR="00577E99" w:rsidRDefault="00577E99" w:rsidP="00A7603F">
      <w:pPr>
        <w:spacing w:before="360" w:line="360" w:lineRule="auto"/>
        <w:jc w:val="both"/>
      </w:pPr>
      <w:r>
        <w:t xml:space="preserve">This began my journey into researching my family tree. It wasn’t going to grow beyond me biologically, so maybe I could look backwards instead. Reveal truths and myths, legends and lies. </w:t>
      </w:r>
    </w:p>
    <w:p w14:paraId="4620B58C" w14:textId="2C471A5A" w:rsidR="00762BEE" w:rsidRDefault="00577E99" w:rsidP="00A7603F">
      <w:pPr>
        <w:spacing w:before="360" w:line="360" w:lineRule="auto"/>
        <w:jc w:val="both"/>
      </w:pPr>
      <w:r>
        <w:t xml:space="preserve">It gave me something to focus on, even when the pain I had suffered almost daily for nearly 19 years, was not as present as it once was. I had long suspected that childbearing was not in my future, whether by choice or circumstance, however having it confirmed </w:t>
      </w:r>
      <w:r>
        <w:lastRenderedPageBreak/>
        <w:t>was a new pain. It was not re-opening a well-scabbed wound; it was the dull ache of something that was no longer there.</w:t>
      </w:r>
    </w:p>
    <w:p w14:paraId="3AA09810" w14:textId="3ECAA9F7" w:rsidR="00762BEE" w:rsidRDefault="00577E99" w:rsidP="00A7603F">
      <w:pPr>
        <w:spacing w:before="360" w:line="360" w:lineRule="auto"/>
        <w:jc w:val="both"/>
      </w:pPr>
      <w:r>
        <w:t>Through my research I found that more ancestors had been craftspeople than had not. My maternal line saw a wealth of toolmakers, carpenters, potters, perambulator makers, basket weavers, wool weavers, framework knitters and a glass cutter to the royal family, my 5</w:t>
      </w:r>
      <w:r w:rsidRPr="00E93706">
        <w:rPr>
          <w:vertAlign w:val="superscript"/>
        </w:rPr>
        <w:t>th</w:t>
      </w:r>
      <w:r>
        <w:t xml:space="preserve"> great grandfather (</w:t>
      </w:r>
      <w:r w:rsidRPr="00155705">
        <w:rPr>
          <w:highlight w:val="green"/>
        </w:rPr>
        <w:t>Fig. 1 &amp; 2.)</w:t>
      </w:r>
      <w:r w:rsidR="00155705">
        <w:t>.</w:t>
      </w:r>
      <w:r>
        <w:t xml:space="preserve"> Similar occupations were discovered on my paternal side: felters; milliners; bakers; saddlers; collar and harness makers; copperworkers.</w:t>
      </w:r>
    </w:p>
    <w:p w14:paraId="34BD834E" w14:textId="7FE73634" w:rsidR="00762BEE" w:rsidRDefault="00577E99" w:rsidP="00A7603F">
      <w:pPr>
        <w:spacing w:before="360" w:line="360" w:lineRule="auto"/>
        <w:jc w:val="both"/>
      </w:pPr>
      <w:r>
        <w:t>All of this was collated through census records, marriage, birth and death certificates, and meticulous double-, triple-, quadruple-checking of dates and addresses.</w:t>
      </w:r>
    </w:p>
    <w:p w14:paraId="3E956926" w14:textId="17DCC6DE" w:rsidR="00577E99" w:rsidRDefault="00577E99" w:rsidP="00A7603F">
      <w:pPr>
        <w:spacing w:before="360" w:line="360" w:lineRule="auto"/>
        <w:jc w:val="both"/>
      </w:pPr>
      <w:r>
        <w:t>Genealogy became a way for me to anchor myself simultaneously in the future and the past. My role as an educator, teaching Textiles &amp; 3D Design, felt the link between the two dimensions. The family tree became more than a chart of descent; it became a map of identity, tracing threads of inheritance and belonging. My loss of biological continuation broke the threads I could follow back over 15 generations; however, my occupation of teaching is allowing me to pass the threads on in other ways.</w:t>
      </w:r>
    </w:p>
    <w:p w14:paraId="13627239" w14:textId="77777777" w:rsidR="00577E99" w:rsidRPr="00300C0E" w:rsidRDefault="00577E99" w:rsidP="00577E99">
      <w:pPr>
        <w:spacing w:line="360" w:lineRule="auto"/>
      </w:pPr>
    </w:p>
    <w:p w14:paraId="36DB95FF" w14:textId="21162245" w:rsidR="008F4FEF" w:rsidRDefault="008F4FEF">
      <w:r>
        <w:br w:type="page"/>
      </w:r>
    </w:p>
    <w:p w14:paraId="692D783F" w14:textId="053DD24A" w:rsidR="008F4FEF" w:rsidRDefault="008F4FEF" w:rsidP="008F4FEF">
      <w:pPr>
        <w:pStyle w:val="Heading1"/>
      </w:pPr>
      <w:bookmarkStart w:id="3" w:name="_Toc196446087"/>
      <w:r>
        <w:lastRenderedPageBreak/>
        <w:t>Reconstructing the Erased</w:t>
      </w:r>
      <w:bookmarkEnd w:id="3"/>
    </w:p>
    <w:p w14:paraId="289FDE75" w14:textId="77777777" w:rsidR="00035D98" w:rsidRDefault="00035D98" w:rsidP="00035D98">
      <w:pPr>
        <w:pStyle w:val="Heading2"/>
        <w:spacing w:before="360" w:after="0"/>
      </w:pPr>
      <w:bookmarkStart w:id="4" w:name="_Toc196446088"/>
      <w:r>
        <w:t>Threads of Existing</w:t>
      </w:r>
      <w:bookmarkEnd w:id="4"/>
    </w:p>
    <w:p w14:paraId="1825F3D1" w14:textId="77777777" w:rsidR="00035D98" w:rsidRDefault="00035D98" w:rsidP="00035D98">
      <w:pPr>
        <w:spacing w:before="360" w:line="360" w:lineRule="auto"/>
        <w:jc w:val="both"/>
      </w:pPr>
      <w:r>
        <w:t xml:space="preserve">The act of making is the act of storytelling, a “human impulse to explore and express forms of knowledge and a range of emotions” (Margetts, 2011, p. 39). Researching became an act of continuity. Bringing the two together seemed logical and cathartic. A quilt, cataloguing a personal and collective archive, asserting that even in absence, presence can be maintained through making.  </w:t>
      </w:r>
    </w:p>
    <w:p w14:paraId="03074D14" w14:textId="77777777" w:rsidR="00035D98" w:rsidRDefault="00035D98" w:rsidP="00035D98">
      <w:pPr>
        <w:spacing w:before="360" w:line="360" w:lineRule="auto"/>
        <w:jc w:val="both"/>
      </w:pPr>
      <w:r>
        <w:t>Quilting, along with knitting, crochet and dressmaking, was a tool I had always used as a comfort, something I could participate in and feel productive with, even when my chronic illness meant I could not get off the sofa. Noted by Claire Pajaczkowska:</w:t>
      </w:r>
    </w:p>
    <w:p w14:paraId="4A24BBED" w14:textId="77777777" w:rsidR="00035D98" w:rsidRDefault="00035D98" w:rsidP="00035D98">
      <w:pPr>
        <w:spacing w:before="360" w:line="360" w:lineRule="auto"/>
        <w:ind w:left="709" w:right="804" w:firstLine="284"/>
      </w:pPr>
      <w:r>
        <w:t>“</w:t>
      </w:r>
      <w:proofErr w:type="gramStart"/>
      <w:r>
        <w:t>the</w:t>
      </w:r>
      <w:proofErr w:type="gramEnd"/>
      <w:r>
        <w:t xml:space="preserve"> process of reflexive looping, or doubling back, which is so integral to the stitch process, becomes a metaphorical, as well as literal, mechanism of reflexivity. When a progressive movement forward includes a backwards movement within in, there is a space and time of reflexive thought.”</w:t>
      </w:r>
    </w:p>
    <w:p w14:paraId="7E4A4DC2" w14:textId="77777777" w:rsidR="00035D98" w:rsidRDefault="00035D98" w:rsidP="00035D98">
      <w:pPr>
        <w:spacing w:before="360" w:line="360" w:lineRule="auto"/>
        <w:ind w:left="709" w:right="804" w:firstLine="284"/>
        <w:jc w:val="right"/>
      </w:pPr>
      <w:r>
        <w:t>(Pajaczkowska, 2018, p. 86)</w:t>
      </w:r>
    </w:p>
    <w:p w14:paraId="03961A72" w14:textId="77777777" w:rsidR="00035D98" w:rsidRDefault="00035D98" w:rsidP="00035D98">
      <w:pPr>
        <w:spacing w:before="360" w:line="360" w:lineRule="auto"/>
        <w:ind w:firstLine="284"/>
        <w:jc w:val="both"/>
      </w:pPr>
      <w:r>
        <w:t>It was a way of me existing in the world. An act of quiet resistance, the illness, especially when it was unknown and unnamed, would not, could not take this away from me.</w:t>
      </w:r>
    </w:p>
    <w:p w14:paraId="30812A68" w14:textId="77777777" w:rsidR="00035D98" w:rsidRDefault="00035D98" w:rsidP="00035D98">
      <w:pPr>
        <w:spacing w:before="360" w:line="360" w:lineRule="auto"/>
        <w:jc w:val="both"/>
      </w:pPr>
      <w:r>
        <w:t xml:space="preserve">I have made more quilts than I can remember, given away more than I have kept. They are made to mark cultural milestones: birthdays; weddings; homes; births; anniversaries. During my research for this project, I found different iterations of quilts and their meanings across humanity. Welsh wholecloth quilts, explored further in another part of this report, were heirlooms often passed down to eldest daughters, and are noted as “a significant piece of Welsh history to treasure and preserve” (Jones, 1997, p. 16). </w:t>
      </w:r>
    </w:p>
    <w:p w14:paraId="6644AAF3" w14:textId="77777777" w:rsidR="00035D98" w:rsidRDefault="00035D98" w:rsidP="00035D98">
      <w:pPr>
        <w:spacing w:before="360" w:line="360" w:lineRule="auto"/>
        <w:jc w:val="both"/>
      </w:pPr>
      <w:r>
        <w:lastRenderedPageBreak/>
        <w:t xml:space="preserve">In other places, other cultures, quilts were historically made of garments worn by loved ones, with the belief that they “transferred energy between generations, the dead and the living, the mother and child, creating a collective human power” (Hunter, 2018, p. 90). Possibly the most famous example of this is the quilts of Gee’s Bend, Alabama, shown in </w:t>
      </w:r>
      <w:r w:rsidRPr="00155705">
        <w:rPr>
          <w:highlight w:val="green"/>
        </w:rPr>
        <w:t>Fig. %</w:t>
      </w:r>
      <w:r>
        <w:t>. The fabric used was “worn-out denim work clothes used by [the quilters’ families out in the fields” (Adamson, 2018, p. 44).</w:t>
      </w:r>
    </w:p>
    <w:p w14:paraId="735F1DF1" w14:textId="77777777" w:rsidR="00035D98" w:rsidRDefault="00035D98" w:rsidP="00035D98">
      <w:pPr>
        <w:spacing w:before="360" w:line="360" w:lineRule="auto"/>
        <w:jc w:val="both"/>
      </w:pPr>
      <w:r>
        <w:t xml:space="preserve">Although I did not have any of the clothes or fabric objects of my ancestors to create a physical quilt with, I instead started to create digital ‘patches’ and then ‘blocks’ of documents available through ancestry tracking websites. This process of collating, summarising, and patching was relative to the way I would normally make a fabric quilt top. </w:t>
      </w:r>
    </w:p>
    <w:p w14:paraId="230C9572" w14:textId="77777777" w:rsidR="00035D98" w:rsidRPr="00A7603F" w:rsidRDefault="00035D98" w:rsidP="00035D98">
      <w:pPr>
        <w:spacing w:before="360" w:line="360" w:lineRule="auto"/>
        <w:ind w:left="567" w:right="521"/>
        <w:jc w:val="both"/>
        <w:rPr>
          <w:i/>
          <w:iCs/>
        </w:rPr>
      </w:pPr>
      <w:r w:rsidRPr="00A7603F">
        <w:rPr>
          <w:i/>
          <w:iCs/>
        </w:rPr>
        <w:t xml:space="preserve">“Patchworking, in this context, is thereby not only the making of a textile object, but the collective making of a patchwork of different kinds of knowledges, experiences, histories, and anticipations in relation to ways of living with technologies.”  </w:t>
      </w:r>
    </w:p>
    <w:p w14:paraId="34CE09A9" w14:textId="77777777" w:rsidR="00035D98" w:rsidRPr="00A7603F" w:rsidRDefault="00035D98" w:rsidP="00035D98">
      <w:pPr>
        <w:spacing w:before="360" w:line="360" w:lineRule="auto"/>
        <w:ind w:right="804"/>
        <w:jc w:val="right"/>
        <w:rPr>
          <w:i/>
          <w:iCs/>
        </w:rPr>
      </w:pPr>
      <w:r w:rsidRPr="00A7603F">
        <w:rPr>
          <w:i/>
          <w:iCs/>
        </w:rPr>
        <w:t>(Lindstrom and Stahl, 2018, p. 65.)</w:t>
      </w:r>
    </w:p>
    <w:p w14:paraId="5F556AAA" w14:textId="77777777" w:rsidR="00035D98" w:rsidRDefault="00035D98" w:rsidP="00035D98">
      <w:pPr>
        <w:spacing w:before="360" w:line="360" w:lineRule="auto"/>
        <w:jc w:val="both"/>
      </w:pPr>
      <w:r>
        <w:t xml:space="preserve">It was a way of thinking that I was comfortable with, but with new tools; a mouse, a screen and a program where once there was a needle, a thread and fabric. </w:t>
      </w:r>
    </w:p>
    <w:p w14:paraId="1E6FB24C" w14:textId="77777777" w:rsidR="00035D98" w:rsidRDefault="00035D98" w:rsidP="00035D98">
      <w:pPr>
        <w:spacing w:before="360" w:line="360" w:lineRule="auto"/>
        <w:jc w:val="both"/>
      </w:pPr>
    </w:p>
    <w:p w14:paraId="6CD5A1FE" w14:textId="5AB48682" w:rsidR="008F4FEF" w:rsidRDefault="008F4FEF">
      <w:r>
        <w:br w:type="page"/>
      </w:r>
    </w:p>
    <w:p w14:paraId="055D1CFC" w14:textId="3F01D926" w:rsidR="00756DFA" w:rsidRDefault="00756DFA" w:rsidP="00A7603F">
      <w:pPr>
        <w:pStyle w:val="Heading1"/>
        <w:spacing w:line="360" w:lineRule="auto"/>
      </w:pPr>
      <w:bookmarkStart w:id="5" w:name="_Toc196446089"/>
      <w:r>
        <w:lastRenderedPageBreak/>
        <w:t>Collective Strength</w:t>
      </w:r>
      <w:bookmarkEnd w:id="5"/>
    </w:p>
    <w:p w14:paraId="602D8FFD" w14:textId="77777777" w:rsidR="00756DFA" w:rsidRPr="0023456C" w:rsidRDefault="00756DFA" w:rsidP="00A7603F">
      <w:pPr>
        <w:spacing w:before="360" w:line="360" w:lineRule="auto"/>
        <w:ind w:left="567" w:right="521"/>
        <w:jc w:val="both"/>
        <w:rPr>
          <w:i/>
          <w:iCs/>
        </w:rPr>
      </w:pPr>
      <w:r w:rsidRPr="0023456C">
        <w:rPr>
          <w:i/>
          <w:iCs/>
        </w:rPr>
        <w:t>“Every woman who appears wrestles with the forces that would have her disappear. She struggles with the forces that would tell her story for her, or write her out of the story, the genealogy, the rights of man, the rule of law. The ability to tell your own story, in words or images, is already a victory, already a revolt.”</w:t>
      </w:r>
    </w:p>
    <w:p w14:paraId="60A1EA5B" w14:textId="44F46B22" w:rsidR="00756DFA" w:rsidRPr="00A7603F" w:rsidRDefault="00756DFA" w:rsidP="00A7603F">
      <w:pPr>
        <w:spacing w:before="360" w:line="360" w:lineRule="auto"/>
        <w:ind w:left="567" w:right="521"/>
        <w:jc w:val="right"/>
        <w:rPr>
          <w:i/>
          <w:iCs/>
        </w:rPr>
      </w:pPr>
      <w:r w:rsidRPr="006713B4">
        <w:rPr>
          <w:i/>
          <w:iCs/>
        </w:rPr>
        <w:t>(Solnit, 2014, p. 78)</w:t>
      </w:r>
    </w:p>
    <w:p w14:paraId="625820DF" w14:textId="4C2EE349" w:rsidR="00756DFA" w:rsidRDefault="00756DFA" w:rsidP="00A7603F">
      <w:pPr>
        <w:spacing w:before="360" w:line="360" w:lineRule="auto"/>
        <w:jc w:val="both"/>
      </w:pPr>
      <w:r>
        <w:t xml:space="preserve">For this side of the quilt, I wanted to honour women who have raised me, taught me, guided me and cared for me. These women are my circle, my society, my kindred. They have celebrated highs and commiserated lows with me, and I with them. Without them I would not be the woman I am today; I could not exist. </w:t>
      </w:r>
    </w:p>
    <w:p w14:paraId="00442C9B" w14:textId="3DD23FEF" w:rsidR="00756DFA" w:rsidRDefault="00756DFA" w:rsidP="00A7603F">
      <w:pPr>
        <w:spacing w:before="360" w:line="360" w:lineRule="auto"/>
        <w:jc w:val="both"/>
      </w:pPr>
      <w:r>
        <w:t xml:space="preserve">I will explore this through the use of cyanotype as a process, textile crafts (embroidery &amp; lace making) as political resistance, and Welsh love spoons as modern tokens of love and respect. </w:t>
      </w:r>
    </w:p>
    <w:p w14:paraId="526FD46E" w14:textId="77777777" w:rsidR="00756DFA" w:rsidRDefault="00756DFA" w:rsidP="00A7603F">
      <w:pPr>
        <w:pStyle w:val="Heading2"/>
        <w:spacing w:before="360" w:line="360" w:lineRule="auto"/>
        <w:jc w:val="both"/>
      </w:pPr>
      <w:bookmarkStart w:id="6" w:name="_Toc196446090"/>
      <w:r>
        <w:t>Cyanotype</w:t>
      </w:r>
      <w:bookmarkEnd w:id="6"/>
    </w:p>
    <w:p w14:paraId="44DFAC3D" w14:textId="45EB9A8D" w:rsidR="00756DFA" w:rsidRDefault="00756DFA" w:rsidP="00A7603F">
      <w:pPr>
        <w:spacing w:before="360" w:line="360" w:lineRule="auto"/>
        <w:jc w:val="both"/>
      </w:pPr>
      <w:r>
        <w:t xml:space="preserve">Invented by Sir John Herschel in 1842, who had been experimenting with photograms, however it was Anna Atkins who produced the first photographic illustrated book in 1843 (Bagnall, 2023). Although some have noted surprise that “Atkins’ name failed to surface in the now classical narratives of photographic history” (Seigel, 2019, p. 335), it is surely not surprising to anyone who has attempted any level of research into the lives of women. The names of women are repeatedly removed, anonymised or forgotten (Hunter, 2019; Solnit, 2014; St Clair, 2019; Woodward, 2015). That such a revolutionary process was solidified and exploited by a woman who was revised out of history felt reflective of my attempts to gather information about the women in my family tree. Using cyanotype as a recording process felt apt, a process that garnered almost immediate results and could </w:t>
      </w:r>
      <w:r>
        <w:lastRenderedPageBreak/>
        <w:t>be partnered with textile processes for recording the lives of women, playing with the politics of female in/visibility.</w:t>
      </w:r>
    </w:p>
    <w:p w14:paraId="3E21B1A4" w14:textId="2CD7B2DF" w:rsidR="00756DFA" w:rsidRPr="00A7603F" w:rsidRDefault="00756DFA" w:rsidP="00A7603F">
      <w:pPr>
        <w:pStyle w:val="Heading2"/>
        <w:spacing w:before="360" w:line="360" w:lineRule="auto"/>
      </w:pPr>
      <w:bookmarkStart w:id="7" w:name="_Toc196446091"/>
      <w:r>
        <w:t>Welsh Love Spoons</w:t>
      </w:r>
      <w:bookmarkEnd w:id="7"/>
    </w:p>
    <w:p w14:paraId="2DA8AAAF" w14:textId="77777777" w:rsidR="00756DFA" w:rsidRPr="00290356" w:rsidRDefault="00756DFA" w:rsidP="00A7603F">
      <w:pPr>
        <w:spacing w:before="360" w:line="360" w:lineRule="auto"/>
        <w:ind w:left="567" w:right="521"/>
        <w:jc w:val="both"/>
        <w:rPr>
          <w:i/>
          <w:iCs/>
        </w:rPr>
      </w:pPr>
      <w:r w:rsidRPr="00290356">
        <w:rPr>
          <w:i/>
          <w:iCs/>
        </w:rPr>
        <w:t xml:space="preserve">“In the British Isles, the pre-eminent love token which served no secondary purpose, was the Welsh love spoon. It was essentially a message from a rustic or a sailor, who might be </w:t>
      </w:r>
      <w:proofErr w:type="gramStart"/>
      <w:r w:rsidRPr="00290356">
        <w:rPr>
          <w:i/>
          <w:iCs/>
        </w:rPr>
        <w:t>illiterate</w:t>
      </w:r>
      <w:proofErr w:type="gramEnd"/>
      <w:r w:rsidRPr="00290356">
        <w:rPr>
          <w:i/>
          <w:iCs/>
        </w:rPr>
        <w:t xml:space="preserve"> or tongue tied and found it easier to convey his feelings in traditional symbolism, carved in wood.”</w:t>
      </w:r>
    </w:p>
    <w:p w14:paraId="78020CD8" w14:textId="23A0F479" w:rsidR="00756DFA" w:rsidRPr="00A7603F" w:rsidRDefault="00756DFA" w:rsidP="00A7603F">
      <w:pPr>
        <w:spacing w:before="360" w:line="360" w:lineRule="auto"/>
        <w:ind w:left="567" w:right="521"/>
        <w:jc w:val="right"/>
        <w:rPr>
          <w:i/>
          <w:iCs/>
        </w:rPr>
      </w:pPr>
      <w:r w:rsidRPr="00290356">
        <w:rPr>
          <w:i/>
          <w:iCs/>
        </w:rPr>
        <w:t>(Pinto, 1969, p 158)</w:t>
      </w:r>
    </w:p>
    <w:p w14:paraId="6504E190" w14:textId="70CF929B" w:rsidR="00756DFA" w:rsidRDefault="00756DFA" w:rsidP="00A7603F">
      <w:pPr>
        <w:spacing w:before="360" w:line="360" w:lineRule="auto"/>
        <w:jc w:val="both"/>
      </w:pPr>
      <w:r>
        <w:t>A custom that is traceable as far back as the 17</w:t>
      </w:r>
      <w:r w:rsidRPr="00290356">
        <w:rPr>
          <w:vertAlign w:val="superscript"/>
        </w:rPr>
        <w:t>th</w:t>
      </w:r>
      <w:r>
        <w:t xml:space="preserve"> century, love spoons are carved by hand, with symbols denoting a man’s promises to his betrothed (Pinto, 1969; Williams &amp; Williams, n.d.; Evans, 1978). A range of motifs were used to signify different meanings, ranging from twin hearts to represent the couple coming together in marriage, to individual, smaller, hearts to illustrate how many children they may hope to have together. An ancient Egyptian symbol for the soul, a ‘comma’ shape, was often placed in repeating and interlocking patterns to symbolise the same message (Pinto, 1969). Many more emblems, seen in </w:t>
      </w:r>
      <w:r w:rsidRPr="00155705">
        <w:rPr>
          <w:highlight w:val="green"/>
        </w:rPr>
        <w:t>Fig %</w:t>
      </w:r>
      <w:r>
        <w:t xml:space="preserve">, were used across the country and exemplars can be viewed in the collection held by St Fagan’s National Museum of History, Wales. </w:t>
      </w:r>
    </w:p>
    <w:p w14:paraId="5F55A343" w14:textId="66383D8A" w:rsidR="00756DFA" w:rsidRDefault="00756DFA" w:rsidP="00A7603F">
      <w:pPr>
        <w:spacing w:before="360" w:line="360" w:lineRule="auto"/>
        <w:jc w:val="both"/>
      </w:pPr>
      <w:r>
        <w:t>How the tradition started and how the motifs were influenced, especially those originating in ancient Greece, are, unfortunately, “largely lost in antiquity” (Evans, 1978, p. 4). However, it is firmly held that love spoons were hand carved by young men “as a special pastime…whilst thinking about a young lady of their fancy” (Williams, n.d., p. 7). It is also widely accepted that these carved tokens were offered as gifts of betrothal, holding great cultural significance (Williams, n.d.).</w:t>
      </w:r>
    </w:p>
    <w:p w14:paraId="08E1C49C" w14:textId="169DD34B" w:rsidR="00756DFA" w:rsidRDefault="00756DFA" w:rsidP="00A7603F">
      <w:pPr>
        <w:spacing w:before="360" w:line="360" w:lineRule="auto"/>
        <w:jc w:val="both"/>
      </w:pPr>
      <w:r>
        <w:t xml:space="preserve">Modern love spoons are available for purchase throughout all of Wales, in varying materials and made by many processes. Traditionalists assert that ‘real’ love spoons are handmade, and that “only spoons which are made to a person…as a token of love or </w:t>
      </w:r>
      <w:r>
        <w:lastRenderedPageBreak/>
        <w:t>regard are really within the fine old Welsh tradition” (Evans, 1978, p. 4). For me this relates closely to a personally held belief that when I am making something for someone, I am thinking of them from the beginning of the project, drafting the pattern, choosing the fabric or yarn, every stitch (sewn, knitted or crocheted), all the way through to the final stage of washing and blocking the final piece. This is not dissimilar to the 19</w:t>
      </w:r>
      <w:r w:rsidRPr="00BF3EAE">
        <w:rPr>
          <w:vertAlign w:val="superscript"/>
        </w:rPr>
        <w:t>th</w:t>
      </w:r>
      <w:r>
        <w:t xml:space="preserve"> century European &amp; American practice of women who gift each other hand embroidered or laced handkerchiefs, as a sign of high regard (Gordon, 2011). </w:t>
      </w:r>
    </w:p>
    <w:p w14:paraId="371694B7" w14:textId="3FBF96E6" w:rsidR="00756DFA" w:rsidRDefault="00756DFA" w:rsidP="00A7603F">
      <w:pPr>
        <w:spacing w:before="360" w:line="360" w:lineRule="auto"/>
        <w:jc w:val="both"/>
      </w:pPr>
      <w:r>
        <w:t>In this piece I wanted to utilise the symbol of the love spoon and explore its ability to translate feelings of affection, solidarity and respect for others. Love spoons have become recognisable around the world as tokens of romantic love, however in recent years they have increased in popularity as gifts for many occasions (</w:t>
      </w:r>
      <w:proofErr w:type="spellStart"/>
      <w:r>
        <w:t>Amgueddfa</w:t>
      </w:r>
      <w:proofErr w:type="spellEnd"/>
      <w:r>
        <w:t xml:space="preserve"> Cymru, 2024; Morgan, 2025). Until recently I have felt somewhat apathetic towards my ‘Welshness’ and what that means in my identity and artistic praxis, however since starting this project I have embraced my Welsh heritage. </w:t>
      </w:r>
    </w:p>
    <w:p w14:paraId="4B957807" w14:textId="7864F487" w:rsidR="00756DFA" w:rsidRPr="00A7603F" w:rsidRDefault="00756DFA" w:rsidP="00A7603F">
      <w:pPr>
        <w:spacing w:before="360" w:line="360" w:lineRule="auto"/>
        <w:jc w:val="both"/>
      </w:pPr>
      <w:r>
        <w:t xml:space="preserve">Having the solid negative space of the love spoons allowed me to embroider the names of the women in my circle with ease. I designed each spoon with the particular woman in mind, encapsulating their lives, hopes and our shared experiences in embroidery. Rather than hand carving into wood I have adjusted the conditions to suit my strengths and needs, instead embroidering into fabric and creating my own set of symbols, each unique to the women in my circle, as well as using </w:t>
      </w:r>
      <w:r w:rsidR="00162C28">
        <w:t xml:space="preserve">some </w:t>
      </w:r>
      <w:r>
        <w:t xml:space="preserve">traditional love spoon pictorial vocabulary. </w:t>
      </w:r>
    </w:p>
    <w:p w14:paraId="3140B4FE" w14:textId="58A747FB" w:rsidR="00756DFA" w:rsidRDefault="00756DFA" w:rsidP="00A7603F">
      <w:pPr>
        <w:pStyle w:val="Heading2"/>
        <w:spacing w:before="360"/>
      </w:pPr>
      <w:bookmarkStart w:id="8" w:name="_Toc196446092"/>
      <w:r>
        <w:t>Lace</w:t>
      </w:r>
      <w:bookmarkEnd w:id="8"/>
    </w:p>
    <w:p w14:paraId="1A6C30BE" w14:textId="77777777" w:rsidR="00756DFA" w:rsidRPr="00A7603F" w:rsidRDefault="00756DFA" w:rsidP="00A7603F">
      <w:pPr>
        <w:spacing w:before="360" w:line="360" w:lineRule="auto"/>
        <w:ind w:left="567" w:right="521"/>
        <w:jc w:val="both"/>
        <w:rPr>
          <w:i/>
          <w:iCs/>
        </w:rPr>
      </w:pPr>
      <w:r w:rsidRPr="00A7603F">
        <w:rPr>
          <w:i/>
          <w:iCs/>
        </w:rPr>
        <w:t>“Lace is a material of opposites. It is perceived as old-fashioned yet is now the height of fashion, it is open but secret, pure but impure, innocent yet transgressive. Lace defines space yet is made of it.”</w:t>
      </w:r>
    </w:p>
    <w:p w14:paraId="075A2582" w14:textId="24815AAD" w:rsidR="00756DFA" w:rsidRPr="00A7603F" w:rsidRDefault="00756DFA" w:rsidP="00A7603F">
      <w:pPr>
        <w:spacing w:before="360" w:line="360" w:lineRule="auto"/>
        <w:ind w:left="567" w:right="521"/>
        <w:jc w:val="right"/>
        <w:rPr>
          <w:i/>
          <w:iCs/>
        </w:rPr>
      </w:pPr>
      <w:r w:rsidRPr="00A7603F">
        <w:rPr>
          <w:i/>
          <w:iCs/>
        </w:rPr>
        <w:t>(Julius, 2012, p. 1)</w:t>
      </w:r>
    </w:p>
    <w:p w14:paraId="2A03F6BB" w14:textId="1180674E" w:rsidR="00756DFA" w:rsidRDefault="00756DFA" w:rsidP="00A7603F">
      <w:pPr>
        <w:spacing w:before="360" w:line="360" w:lineRule="auto"/>
        <w:jc w:val="both"/>
      </w:pPr>
      <w:r>
        <w:lastRenderedPageBreak/>
        <w:t xml:space="preserve">In the brief to participants of the 2011 exhibition ‘Lost </w:t>
      </w:r>
      <w:proofErr w:type="gramStart"/>
      <w:r>
        <w:t>In</w:t>
      </w:r>
      <w:proofErr w:type="gramEnd"/>
      <w:r>
        <w:t xml:space="preserve"> Lace’, they were asked to “illuminate the ways in which we negotiate and configure space” (Julius, 2012, p. 1). Many artists were influence by the history and cultural value of lace across the globe (Roux, 2011).</w:t>
      </w:r>
    </w:p>
    <w:p w14:paraId="7928FC87" w14:textId="0314AD87" w:rsidR="00756DFA" w:rsidRDefault="00756DFA" w:rsidP="00A7603F">
      <w:pPr>
        <w:spacing w:before="360" w:line="360" w:lineRule="auto"/>
        <w:jc w:val="both"/>
      </w:pPr>
      <w:r>
        <w:t>Lace has been returned to many times by feminist artists to represent the in/visibility of women, domestic labour, and the complex interplay between tradition and resistance in gendered spaces. The works of Andrea Stokes and Cecilia Heffer (</w:t>
      </w:r>
      <w:r w:rsidRPr="00155705">
        <w:rPr>
          <w:highlight w:val="green"/>
        </w:rPr>
        <w:t>Figs % and %,</w:t>
      </w:r>
      <w:r>
        <w:t xml:space="preserve"> respectively) were very influential in this project</w:t>
      </w:r>
      <w:r w:rsidR="00FD5270">
        <w:t>, they are explored further later</w:t>
      </w:r>
      <w:r>
        <w:t xml:space="preserve">. From the ‘Lost </w:t>
      </w:r>
      <w:proofErr w:type="gramStart"/>
      <w:r>
        <w:t>In</w:t>
      </w:r>
      <w:proofErr w:type="gramEnd"/>
      <w:r>
        <w:t xml:space="preserve"> Lace’ exhibition the work of Annie </w:t>
      </w:r>
      <w:proofErr w:type="spellStart"/>
      <w:r>
        <w:t>Bascoul</w:t>
      </w:r>
      <w:proofErr w:type="spellEnd"/>
      <w:r>
        <w:t xml:space="preserve"> in particular struck a chord. There were two pieces from </w:t>
      </w:r>
      <w:proofErr w:type="spellStart"/>
      <w:r>
        <w:t>Bascoul</w:t>
      </w:r>
      <w:proofErr w:type="spellEnd"/>
      <w:r>
        <w:t xml:space="preserve"> on display, paired for their visual shadow connections, ‘</w:t>
      </w:r>
      <w:proofErr w:type="spellStart"/>
      <w:r>
        <w:t>Moucharabich</w:t>
      </w:r>
      <w:proofErr w:type="spellEnd"/>
      <w:r>
        <w:t xml:space="preserve">’ and ‘Jardin de lit, lit de </w:t>
      </w:r>
      <w:proofErr w:type="spellStart"/>
      <w:r>
        <w:t>jardin</w:t>
      </w:r>
      <w:proofErr w:type="spellEnd"/>
      <w:r>
        <w:t>’ (</w:t>
      </w:r>
      <w:r w:rsidRPr="00155705">
        <w:rPr>
          <w:highlight w:val="green"/>
        </w:rPr>
        <w:t>Fig %</w:t>
      </w:r>
      <w:r>
        <w:t xml:space="preserve">). The lighting of the exhibit was used to force shadows from both pieces to take up more than just their physical space. I was reminded of this when working with the cyanotype process to capture the ‘shadows’ of the love spoons. </w:t>
      </w:r>
    </w:p>
    <w:p w14:paraId="4AE85BDC" w14:textId="175099FE" w:rsidR="00756DFA" w:rsidRDefault="00756DFA" w:rsidP="00A7603F">
      <w:pPr>
        <w:spacing w:before="360" w:after="240" w:line="360" w:lineRule="auto"/>
        <w:jc w:val="both"/>
      </w:pPr>
      <w:r>
        <w:t>Where lace making, among other textile-based endeavours, initially provided women with “economic status and power” (St Clair, 2019, p. 16), it also provided women with a medium for self-expression and resistance. This is acknowledged as early as 1821, eight decades before the English suffragette movement, by renown embroiderer Ding Pei of the Chinese Qing Dynasty, and author of ‘Embroidery Treatise’, where she proposed “the needle is your brush, the silk – your paper, and ink – your thread” (</w:t>
      </w:r>
      <w:proofErr w:type="spellStart"/>
      <w:r>
        <w:t>Pacana</w:t>
      </w:r>
      <w:proofErr w:type="spellEnd"/>
      <w:r>
        <w:t>, 2025).</w:t>
      </w:r>
    </w:p>
    <w:p w14:paraId="085F4B6C" w14:textId="47E067FF" w:rsidR="00756DFA" w:rsidRDefault="00756DFA" w:rsidP="00A7603F">
      <w:pPr>
        <w:spacing w:after="240" w:line="360" w:lineRule="auto"/>
        <w:jc w:val="both"/>
      </w:pPr>
      <w:r>
        <w:t xml:space="preserve">From early beginnings textiles and crafts have become a place for political resistance. Feminism especially has repeatedly relied on textiles as a form of protest and visual vocalisation. During the first wave of feminism, female activists had fabric rosettes identifying themselves as suffragettes, with colours carefully chosen to represent the early focuses of dignity, purity &amp; hope (Corbett, 2017). All following waves of feminism, to the present day, have relied on textiles to exhibit an unspoken message. This has always been particularly effective, but not as well studied because, much like many elements considered feminine, it has been “often overlooked in dominant systems of representation” (Barry and Flitterman-Lewis, </w:t>
      </w:r>
      <w:r w:rsidRPr="00A145C9">
        <w:rPr>
          <w:highlight w:val="yellow"/>
        </w:rPr>
        <w:t>20??,</w:t>
      </w:r>
      <w:r>
        <w:t xml:space="preserve"> p. 56). As a result of all of these </w:t>
      </w:r>
      <w:r>
        <w:lastRenderedPageBreak/>
        <w:t xml:space="preserve">influences it has, over time, become a political statement to make things, conscious or not. Betsy Greer argues that all traditional crafts have adopted a “gentle revolutionary dimension” (Gauntlett, 2011, p. 56). </w:t>
      </w:r>
    </w:p>
    <w:p w14:paraId="498C5F50" w14:textId="77777777" w:rsidR="00756DFA" w:rsidRDefault="00756DFA" w:rsidP="00A7603F">
      <w:pPr>
        <w:spacing w:after="240" w:line="360" w:lineRule="auto"/>
        <w:jc w:val="both"/>
      </w:pPr>
      <w:r>
        <w:t xml:space="preserve">By combining the processes of cyanotype and embroidery with the design elements of lace and love spoons, I hope to convey the strength of female relationships and highlight the community we find in each other. The ties that hold us together are always there, we leave shadows of ourselves on the people we connect with. </w:t>
      </w:r>
    </w:p>
    <w:p w14:paraId="29316930" w14:textId="77777777" w:rsidR="00756DFA" w:rsidRDefault="00756DFA" w:rsidP="00A7603F">
      <w:pPr>
        <w:spacing w:after="240" w:line="360" w:lineRule="auto"/>
        <w:jc w:val="both"/>
      </w:pPr>
    </w:p>
    <w:p w14:paraId="59FBD593" w14:textId="2D3D5221" w:rsidR="008F4FEF" w:rsidRDefault="008F4FEF" w:rsidP="00A7603F">
      <w:pPr>
        <w:spacing w:after="240"/>
      </w:pPr>
      <w:r>
        <w:br w:type="page"/>
      </w:r>
    </w:p>
    <w:p w14:paraId="0FA10C7F" w14:textId="50B9BC03" w:rsidR="00350386" w:rsidRDefault="008F4FEF" w:rsidP="00350386">
      <w:pPr>
        <w:pStyle w:val="Heading1"/>
      </w:pPr>
      <w:bookmarkStart w:id="9" w:name="_Toc196446093"/>
      <w:r>
        <w:lastRenderedPageBreak/>
        <w:t>Craft, Identity &amp; Praxis</w:t>
      </w:r>
      <w:bookmarkEnd w:id="9"/>
    </w:p>
    <w:p w14:paraId="2D7AB94F" w14:textId="587500AC" w:rsidR="00350386" w:rsidRDefault="00035D98" w:rsidP="00035D98">
      <w:pPr>
        <w:pStyle w:val="Heading2"/>
      </w:pPr>
      <w:bookmarkStart w:id="10" w:name="_Toc196446094"/>
      <w:r>
        <w:t>Stitching Stories</w:t>
      </w:r>
      <w:bookmarkEnd w:id="10"/>
    </w:p>
    <w:p w14:paraId="5233CF90" w14:textId="6FCD7FD8" w:rsidR="00035D98" w:rsidRPr="00035D98" w:rsidRDefault="00035D98" w:rsidP="00035D98">
      <w:pPr>
        <w:spacing w:before="240" w:line="360" w:lineRule="auto"/>
        <w:ind w:left="567" w:right="521"/>
        <w:rPr>
          <w:i/>
          <w:iCs/>
        </w:rPr>
      </w:pPr>
      <w:r w:rsidRPr="00035D98">
        <w:rPr>
          <w:i/>
          <w:iCs/>
        </w:rPr>
        <w:t>“When we say that someone crafts an object, we mean that they put their whole self into it, body and mind alike, drawing on whatever skills they have acquired over the course of their lives. This is a deeply meaningful human activity.”</w:t>
      </w:r>
    </w:p>
    <w:p w14:paraId="72C9223C" w14:textId="1745F33C" w:rsidR="00035D98" w:rsidRPr="00035D98" w:rsidRDefault="00035D98" w:rsidP="00035D98">
      <w:pPr>
        <w:spacing w:line="360" w:lineRule="auto"/>
        <w:ind w:left="567" w:right="521"/>
        <w:jc w:val="right"/>
        <w:rPr>
          <w:i/>
          <w:iCs/>
        </w:rPr>
      </w:pPr>
      <w:r w:rsidRPr="00035D98">
        <w:rPr>
          <w:i/>
          <w:iCs/>
        </w:rPr>
        <w:t>(Adamson, 2018, p. 16)</w:t>
      </w:r>
    </w:p>
    <w:p w14:paraId="306917D7" w14:textId="77777777" w:rsidR="00350386" w:rsidRDefault="00350386" w:rsidP="00350386">
      <w:pPr>
        <w:spacing w:line="360" w:lineRule="auto"/>
        <w:jc w:val="both"/>
      </w:pPr>
      <w:r>
        <w:t>It feels as if craft is in my bones and my blood, which was in part confirmed through my research of my family tree. It has been an integral part of my identity for as long as I can remember. I started knitting when I was 6, taught by my maternal grandmother, who would later teach me dressmaking and cooking, and never believed in ‘baby steps’, instead always throwing me in at the deep end. Knitting was no different, she set me up with UK size 8 needles, 4mm in today’s money, and a Kaffe Fassett pattern that implemented intarsia colour work and no less than 16 colours per row. It was a mess, but I was unbelievably proud when I cast off that swatch.</w:t>
      </w:r>
    </w:p>
    <w:p w14:paraId="4AC45352" w14:textId="77777777" w:rsidR="00350386" w:rsidRDefault="00350386" w:rsidP="00350386">
      <w:pPr>
        <w:spacing w:before="240" w:after="240" w:line="360" w:lineRule="auto"/>
        <w:jc w:val="both"/>
      </w:pPr>
      <w:r>
        <w:t>During my formal studies I discovered that this is a way of thinking, a tacit knowledge that I thought was a natural way to process thought and feeling. Although most of my art practices were learnt informally, taught by family members or friends, or self-taught through YouTube videos and DIY books, it was during my bachelor’s degree in Contemporary Crafts that I discovered Craftivism as not only a politically charged activist movement but also as a way knowing and thinking. Sarah Corbett’s ‘Craftivist’s Manifesto’ (</w:t>
      </w:r>
      <w:r w:rsidRPr="00F76B42">
        <w:rPr>
          <w:highlight w:val="green"/>
        </w:rPr>
        <w:t>Fig #)</w:t>
      </w:r>
      <w:r>
        <w:t xml:space="preserve"> is something I have returned to time and again, an anchor for everything I have made </w:t>
      </w:r>
      <w:proofErr w:type="gramStart"/>
      <w:r>
        <w:t>since</w:t>
      </w:r>
      <w:proofErr w:type="gramEnd"/>
      <w:r>
        <w:t>. For me the act of making, slowly, carefully, by hand, is an act of activism.</w:t>
      </w:r>
    </w:p>
    <w:p w14:paraId="68BD3DD0" w14:textId="66991851" w:rsidR="00350386" w:rsidRDefault="00350386" w:rsidP="00350386">
      <w:pPr>
        <w:spacing w:before="240" w:after="240" w:line="360" w:lineRule="auto"/>
        <w:jc w:val="both"/>
      </w:pPr>
      <w:r>
        <w:t xml:space="preserve">Although the term ‘craftivism’ was first coined and defined, </w:t>
      </w:r>
      <w:r w:rsidRPr="00162C28">
        <w:rPr>
          <w:highlight w:val="yellow"/>
        </w:rPr>
        <w:t>in 2001 by Betsy</w:t>
      </w:r>
      <w:r>
        <w:t xml:space="preserve"> Greer, as “a way of looking at life where voicing opinions through creativity makes your voice stronger, your compassion deeper” </w:t>
      </w:r>
      <w:r w:rsidRPr="00162C28">
        <w:rPr>
          <w:highlight w:val="yellow"/>
        </w:rPr>
        <w:t>(2007, p</w:t>
      </w:r>
      <w:r w:rsidRPr="00F76B42">
        <w:rPr>
          <w:highlight w:val="green"/>
        </w:rPr>
        <w:t>?)</w:t>
      </w:r>
      <w:r>
        <w:t xml:space="preserve">. Corbett is the one who has popularised it in the UK, who quickly acknowledges that “being a craftivist can sound like a novel </w:t>
      </w:r>
      <w:proofErr w:type="gramStart"/>
      <w:r w:rsidR="00162C28">
        <w:t>gimmick</w:t>
      </w:r>
      <w:proofErr w:type="gramEnd"/>
      <w:r w:rsidR="00162C28">
        <w:t xml:space="preserve"> </w:t>
      </w:r>
      <w:r>
        <w:t xml:space="preserve">but it can also be world-changing” (2017, p. 4). However, for many, adopting the title of </w:t>
      </w:r>
      <w:r>
        <w:lastRenderedPageBreak/>
        <w:t xml:space="preserve">craftivist has given their work and praxis a recognition that has often been missing from the realm of ‘craft’. </w:t>
      </w:r>
    </w:p>
    <w:p w14:paraId="3EF94A46" w14:textId="77777777" w:rsidR="00350386" w:rsidRDefault="00350386" w:rsidP="00350386">
      <w:pPr>
        <w:spacing w:before="240" w:after="240" w:line="360" w:lineRule="auto"/>
        <w:jc w:val="both"/>
      </w:pPr>
      <w:r>
        <w:t>It would be impossible to discuss craft without considering the definitions of craft explored by Glenn Adamson, who has repeatedly researched the intersection of craft, craftsmanship and contemporary practice. Adamson encourages people to consider ‘craft’ as a verb rather than a noun or a way to classify outcomes, thereby avoiding craft being viewed as the making of “humble, decorative things” (2018, p. 15), and instead recognising it as “an amalgamation of interrelated core principles” (2007, p. 3).</w:t>
      </w:r>
    </w:p>
    <w:p w14:paraId="7CA346FA" w14:textId="77777777" w:rsidR="00350386" w:rsidRDefault="00350386" w:rsidP="00350386">
      <w:pPr>
        <w:spacing w:before="240" w:after="240" w:line="360" w:lineRule="auto"/>
        <w:jc w:val="both"/>
      </w:pPr>
      <w:r>
        <w:t xml:space="preserve">Until recently, craft, not to be confused with craftsmanship, was seen as “decorative frippery – just women’s work” (Hunter, 2019, p. 13), but due to recent discourse it has come to be more widely acknowledged as “skilled, creative endeavours… that expressed women’s lives” (Morton, 2003, p. 277). It is now recognised as a way of thinking and knowing that is hard to verbalise, without metaphor, to those not in the know, but allows communication of human existence across the societal barriers found to separate us: language; culture; education; class; race; and environment (Charny, 2011; </w:t>
      </w:r>
      <w:proofErr w:type="spellStart"/>
      <w:r>
        <w:t>Pajaczkowsa</w:t>
      </w:r>
      <w:proofErr w:type="spellEnd"/>
      <w:r>
        <w:t>, 2018; Sennett, 2009).</w:t>
      </w:r>
    </w:p>
    <w:p w14:paraId="1EE6E613" w14:textId="77777777" w:rsidR="00350386" w:rsidRDefault="00350386" w:rsidP="00350386">
      <w:pPr>
        <w:spacing w:before="240" w:after="240" w:line="360" w:lineRule="auto"/>
        <w:jc w:val="both"/>
      </w:pPr>
      <w:r>
        <w:t xml:space="preserve">The invisibility of crafters, textile-based especially so, is something many researchers come up against, least of all because of the fragile nature of fabric. Historically fabric can often quickly “wither away within months or years, rarely leaving traces behind” (St Claire, 2019, p. 29), and by losing the fabric we also lose those who constructed it. There </w:t>
      </w:r>
      <w:proofErr w:type="gramStart"/>
      <w:r>
        <w:t>are</w:t>
      </w:r>
      <w:proofErr w:type="gramEnd"/>
      <w:r>
        <w:t xml:space="preserve"> also an abundance of examples where the piece outlasts the makers, with the creators never being acknowledged, one of particular prominence being the Bayeux Tapestry. Measuring over 68 metres in length, it chronicles the events leading to the Norman Conquest of England in 1066, with many of the main ‘players’ recognisable, with names and histories recorded elsewhere. By contrast, the names and locations of those that created it are lost. Claire Hunter uses many examples of the loss of detail about creators in her writing and research, with this one standing out in particular because of its infamy:</w:t>
      </w:r>
    </w:p>
    <w:p w14:paraId="1B15271E" w14:textId="77777777" w:rsidR="00350386" w:rsidRPr="0044731A" w:rsidRDefault="00350386" w:rsidP="00350386">
      <w:pPr>
        <w:spacing w:before="240" w:after="240" w:line="360" w:lineRule="auto"/>
        <w:ind w:left="567" w:right="521"/>
        <w:jc w:val="both"/>
        <w:rPr>
          <w:i/>
          <w:iCs/>
        </w:rPr>
      </w:pPr>
      <w:r w:rsidRPr="0044731A">
        <w:rPr>
          <w:i/>
          <w:iCs/>
        </w:rPr>
        <w:t xml:space="preserve">“…we don’t know who they were, we know what they did. We can see their skill, appreciate their craft and admire their contribution. These, at the very least, </w:t>
      </w:r>
      <w:r w:rsidRPr="0044731A">
        <w:rPr>
          <w:i/>
          <w:iCs/>
        </w:rPr>
        <w:lastRenderedPageBreak/>
        <w:t xml:space="preserve">should be acknowledged. Instead, the embroiderers are banished from the story of the Bayeux Tapestry as if their part in its creation was marginal.” </w:t>
      </w:r>
    </w:p>
    <w:p w14:paraId="158A76ED" w14:textId="77777777" w:rsidR="00350386" w:rsidRPr="0044731A" w:rsidRDefault="00350386" w:rsidP="00350386">
      <w:pPr>
        <w:spacing w:before="240" w:after="240" w:line="360" w:lineRule="auto"/>
        <w:ind w:left="567" w:right="521"/>
        <w:jc w:val="right"/>
        <w:rPr>
          <w:i/>
          <w:iCs/>
        </w:rPr>
      </w:pPr>
      <w:r w:rsidRPr="0044731A">
        <w:rPr>
          <w:i/>
          <w:iCs/>
        </w:rPr>
        <w:t>(Hunter, 2019, p. 12)</w:t>
      </w:r>
    </w:p>
    <w:p w14:paraId="08948429" w14:textId="77777777" w:rsidR="00D93200" w:rsidRDefault="00350386" w:rsidP="00350386">
      <w:pPr>
        <w:spacing w:before="240" w:after="240" w:line="360" w:lineRule="auto"/>
        <w:jc w:val="both"/>
      </w:pPr>
      <w:r>
        <w:t xml:space="preserve">Traditional textile-based craft has worked its way into the daily lives of women, probably due to its accessibility, as it is often taught on an informal basis, knowledge passed from family members and friends. They are often processes and practices which are easily stored, freed from the constraints of time, allowing them to be easily picked up and stopped at a moment’s notice, fitting around the traditional domestic chores of a home. In this way we can view ‘women’s work’, both domestic and craft, in small parcels of time, patchworked together to build the block of a day. </w:t>
      </w:r>
    </w:p>
    <w:p w14:paraId="1E2F665D" w14:textId="408C278A" w:rsidR="00D93200" w:rsidRDefault="00035D98" w:rsidP="00035D98">
      <w:pPr>
        <w:pStyle w:val="Heading2"/>
      </w:pPr>
      <w:bookmarkStart w:id="11" w:name="_Toc196446095"/>
      <w:r>
        <w:t>Invisible Threads</w:t>
      </w:r>
      <w:bookmarkEnd w:id="11"/>
    </w:p>
    <w:p w14:paraId="7C013172" w14:textId="449EE120" w:rsidR="00350386" w:rsidRDefault="00350386" w:rsidP="00350386">
      <w:pPr>
        <w:spacing w:before="240" w:after="240" w:line="360" w:lineRule="auto"/>
        <w:jc w:val="both"/>
      </w:pPr>
      <w:r>
        <w:t xml:space="preserve">Many of the artists and practitioners studied in the research phase of this project are arguably also craftivists, using the tools of craft and domesticity to address the injustices often experienced by the in/visible. </w:t>
      </w:r>
    </w:p>
    <w:p w14:paraId="54D2C9F7" w14:textId="77777777" w:rsidR="00350386" w:rsidRDefault="00350386" w:rsidP="00350386">
      <w:pPr>
        <w:spacing w:before="240" w:after="240" w:line="360" w:lineRule="auto"/>
        <w:jc w:val="both"/>
      </w:pPr>
      <w:r>
        <w:t>The work of Jordan Cunliffe and Olivia Johnson (</w:t>
      </w:r>
      <w:r w:rsidRPr="006175A5">
        <w:rPr>
          <w:highlight w:val="green"/>
        </w:rPr>
        <w:t>Fig # &amp; #, respectively</w:t>
      </w:r>
      <w:r>
        <w:t xml:space="preserve">) explores stitch as a way of marking data, often the data is the interplay of time, effort and remuneration of women. Using traditional cross stitch to communicate infographics brings a traditional craft with contemporary data together in a gentle display of the inconsistencies women when ‘competing’ with men in the workplace, but also recognising the intersectionality required by feminist activists when discussing issues such as the pay gap. </w:t>
      </w:r>
    </w:p>
    <w:p w14:paraId="359AE39F" w14:textId="77777777" w:rsidR="00350386" w:rsidRDefault="00350386" w:rsidP="00350386">
      <w:pPr>
        <w:spacing w:before="240" w:after="240" w:line="360" w:lineRule="auto"/>
        <w:jc w:val="both"/>
      </w:pPr>
      <w:r>
        <w:t>Andrea Stokes utilises a domestic tool found in nearly every British household: butter. Replicating net curtains with the grease of butter on windows (</w:t>
      </w:r>
      <w:r w:rsidRPr="00E66080">
        <w:rPr>
          <w:highlight w:val="green"/>
        </w:rPr>
        <w:t>Fig. #)</w:t>
      </w:r>
      <w:r>
        <w:t xml:space="preserve"> provokes both the traditional visible and invisible work women perform domestically, work that goes unnoticed and unseen until it ceases. </w:t>
      </w:r>
    </w:p>
    <w:p w14:paraId="5B4C1CCB" w14:textId="1A7E5DE7" w:rsidR="008F4FEF" w:rsidRDefault="00350386" w:rsidP="00D93200">
      <w:pPr>
        <w:spacing w:before="240" w:after="240" w:line="360" w:lineRule="auto"/>
        <w:jc w:val="both"/>
      </w:pPr>
      <w:r>
        <w:t xml:space="preserve">Cecilia Heffer and Ruth Singer use archival visuals digitally and physically to collate data to inform their work. Seen in </w:t>
      </w:r>
      <w:r w:rsidRPr="006175A5">
        <w:rPr>
          <w:highlight w:val="green"/>
        </w:rPr>
        <w:t>Figure #</w:t>
      </w:r>
      <w:r>
        <w:t>, Singer uses digital processes to ‘stitch’ images together, while Heffer works with physical pieces to create lace pieces (</w:t>
      </w:r>
      <w:r w:rsidRPr="006175A5">
        <w:rPr>
          <w:highlight w:val="green"/>
        </w:rPr>
        <w:t>Fig. #).</w:t>
      </w:r>
      <w:r>
        <w:t xml:space="preserve"> Similar to Singer’s work recording the names of women in stitch (</w:t>
      </w:r>
      <w:r w:rsidRPr="006175A5">
        <w:rPr>
          <w:highlight w:val="green"/>
        </w:rPr>
        <w:t>Fig. #)</w:t>
      </w:r>
      <w:r>
        <w:t xml:space="preserve">, the work of Rosalind Wyatt </w:t>
      </w:r>
      <w:r>
        <w:lastRenderedPageBreak/>
        <w:t xml:space="preserve">&amp; Donna Rumble-Smith, and their explorations of replicating handwriting in stitch informed a large part of the quilt made for this project. It felt important to record my handwriting in stitch, as much of my family tree research was hindered by having to decipher the handwriting on archival documents. The handwriting, although viewed through a screen, provided a facet of humanity which is being lost with the digitally produced documents of modern life. </w:t>
      </w:r>
      <w:r w:rsidR="008F4FEF">
        <w:br w:type="page"/>
      </w:r>
    </w:p>
    <w:p w14:paraId="2B842246" w14:textId="785A792F" w:rsidR="008F4FEF" w:rsidRDefault="008F4FEF" w:rsidP="008F4FEF">
      <w:pPr>
        <w:pStyle w:val="Heading1"/>
      </w:pPr>
      <w:bookmarkStart w:id="12" w:name="_Toc196446096"/>
      <w:r>
        <w:lastRenderedPageBreak/>
        <w:t>Conclusion</w:t>
      </w:r>
      <w:bookmarkEnd w:id="12"/>
    </w:p>
    <w:p w14:paraId="51AC8461" w14:textId="77777777" w:rsidR="005A4AF1" w:rsidRDefault="005A4AF1" w:rsidP="005A4AF1"/>
    <w:p w14:paraId="625F4F0F" w14:textId="181E5461" w:rsidR="005A4AF1" w:rsidRDefault="005A4AF1" w:rsidP="005A4AF1">
      <w:pPr>
        <w:spacing w:line="360" w:lineRule="auto"/>
      </w:pPr>
      <w:r>
        <w:t xml:space="preserve">“Their lives recorded in cloth. A universe here, stitched to perfection. You must be the child-witness, </w:t>
      </w:r>
      <w:proofErr w:type="gramStart"/>
      <w:r>
        <w:t>You</w:t>
      </w:r>
      <w:proofErr w:type="gramEnd"/>
      <w:r>
        <w:t xml:space="preserve"> are the only survivor.”  </w:t>
      </w:r>
    </w:p>
    <w:p w14:paraId="7D68D9C6" w14:textId="6A78F6D1" w:rsidR="005A4AF1" w:rsidRDefault="005A4AF1" w:rsidP="005A4AF1">
      <w:pPr>
        <w:spacing w:line="360" w:lineRule="auto"/>
      </w:pPr>
      <w:r>
        <w:t xml:space="preserve">– Joyce Carol Oates, Celestial Timepiece (1980), in </w:t>
      </w:r>
      <w:r>
        <w:t>‘</w:t>
      </w:r>
      <w:r>
        <w:t>The Textile Reader</w:t>
      </w:r>
      <w:r>
        <w:t>’,</w:t>
      </w:r>
      <w:r>
        <w:t xml:space="preserve"> p. 157</w:t>
      </w:r>
    </w:p>
    <w:p w14:paraId="3A776D47" w14:textId="77777777" w:rsidR="005A4AF1" w:rsidRDefault="005A4AF1" w:rsidP="005A4AF1">
      <w:pPr>
        <w:spacing w:line="360" w:lineRule="auto"/>
      </w:pPr>
    </w:p>
    <w:p w14:paraId="12A8094C" w14:textId="77777777" w:rsidR="005A4AF1" w:rsidRDefault="005A4AF1" w:rsidP="005A4AF1">
      <w:pPr>
        <w:spacing w:line="360" w:lineRule="auto"/>
      </w:pPr>
      <w:r>
        <w:t>The quilt at the centre of this project is more than an object—it is a site. A site of memory, of resistance, and of self-definition. It holds fragments of history and present, story and silence, pain and power. Constructed through a process that mirrors both personal healing and collective remembering, the quilt becomes a visual and tactile archive. Each block or patch carries a weight of narrative: of chronic illness, of inherited craft, of voices nearly lost to time. It functions as a tactile testimony, where hand and thread substitute for ink and pen. The act of making becomes an act of reclaiming. In piecing together the quilt, I have pieced together parts of myself.</w:t>
      </w:r>
    </w:p>
    <w:p w14:paraId="53796D8B" w14:textId="77777777" w:rsidR="005A4AF1" w:rsidRDefault="005A4AF1" w:rsidP="005A4AF1">
      <w:pPr>
        <w:spacing w:line="360" w:lineRule="auto"/>
      </w:pPr>
    </w:p>
    <w:p w14:paraId="746C4B87" w14:textId="5B1F811C" w:rsidR="005A4AF1" w:rsidRDefault="005A4AF1" w:rsidP="005A4AF1">
      <w:pPr>
        <w:spacing w:line="360" w:lineRule="auto"/>
      </w:pPr>
      <w:r>
        <w:t>Craft has always existed in the margins, often dismissed as decorative, domestic, or feminine</w:t>
      </w:r>
      <w:r>
        <w:t xml:space="preserve"> – a</w:t>
      </w:r>
      <w:r>
        <w:t>nd therefore “less than.” But it is precisely in these margins where we find the richest, most subversive stories. Within the repetitive motion of stitching, in the humble softness of cloth, there is a persistent voice. Craft holds memory in ways traditional archives cannot</w:t>
      </w:r>
      <w:r>
        <w:t xml:space="preserve"> – i</w:t>
      </w:r>
      <w:r>
        <w:t>t bears the imprint of the body, the rhythm of the maker, the residue of presence. It preserves what official histories overlook or deem unworthy. Through the lens of feminist thought and personal practice, this project affirms that making is a powerful mode of resistance. As women have long been excluded from dominant historical narratives, so too have their labours</w:t>
      </w:r>
      <w:r>
        <w:t xml:space="preserve"> – a</w:t>
      </w:r>
      <w:r>
        <w:t>nd this project positions craft as a means of restoring that balance, of filling in the blank spaces with fabric, thread, and time.</w:t>
      </w:r>
    </w:p>
    <w:p w14:paraId="799A78AB" w14:textId="77777777" w:rsidR="005A4AF1" w:rsidRDefault="005A4AF1" w:rsidP="005A4AF1">
      <w:pPr>
        <w:spacing w:line="360" w:lineRule="auto"/>
      </w:pPr>
    </w:p>
    <w:p w14:paraId="36143746" w14:textId="1F90C4A9" w:rsidR="005A4AF1" w:rsidRDefault="005A4AF1" w:rsidP="005A4AF1">
      <w:pPr>
        <w:spacing w:line="360" w:lineRule="auto"/>
      </w:pPr>
      <w:r>
        <w:t>This work has profoundly shaped not only how I make, but why I make. It has reinforced my understanding of craft as a way of knowing</w:t>
      </w:r>
      <w:r>
        <w:t xml:space="preserve"> – t</w:t>
      </w:r>
      <w:r>
        <w:t>acit, intuitive, intellectual, political.</w:t>
      </w:r>
      <w:r>
        <w:t xml:space="preserve"> </w:t>
      </w:r>
      <w:r>
        <w:t>The digital patchwork methods I’ve used also suggest a future direction, combining archival research with material practices to bridge generational gaps and highlight hidden histories.</w:t>
      </w:r>
    </w:p>
    <w:p w14:paraId="40995BB6" w14:textId="77777777" w:rsidR="005A4AF1" w:rsidRDefault="005A4AF1" w:rsidP="005A4AF1">
      <w:pPr>
        <w:spacing w:line="360" w:lineRule="auto"/>
      </w:pPr>
    </w:p>
    <w:p w14:paraId="56602271" w14:textId="2293B2AE" w:rsidR="005A4AF1" w:rsidRDefault="005A4AF1" w:rsidP="005A4AF1">
      <w:pPr>
        <w:spacing w:line="360" w:lineRule="auto"/>
      </w:pPr>
      <w:r>
        <w:t xml:space="preserve">Finally, this project has redefined how I understand legacy. For much of my life, legacy was bound up with biology—with the assumed continuation of family lines. Chronic illness disrupted that expectation. But in working with cloth, with stories, with students, I have come to see legacy in broader, more enduring terms. Legacy exists in the </w:t>
      </w:r>
      <w:r w:rsidR="007E04D1">
        <w:t>objects</w:t>
      </w:r>
      <w:r>
        <w:t xml:space="preserve"> we make, in the lives we touch, in the knowledge we pass on. It exists in the act of telling the untold story</w:t>
      </w:r>
      <w:r w:rsidR="007E04D1">
        <w:t xml:space="preserve">. </w:t>
      </w:r>
      <w:r>
        <w:t>I may not pass on my DNA, but I pass on my practice. Through teaching, crafting, and remembering, I ensure that the thread continues—stitched not through blood, but through care, attention, and the enduring power of making.</w:t>
      </w:r>
    </w:p>
    <w:p w14:paraId="41163446" w14:textId="77777777" w:rsidR="005A4AF1" w:rsidRDefault="005A4AF1" w:rsidP="005A4AF1"/>
    <w:p w14:paraId="33B0561C" w14:textId="77777777" w:rsidR="005A4AF1" w:rsidRDefault="005A4AF1">
      <w:pPr>
        <w:rPr>
          <w:rFonts w:asciiTheme="majorHAnsi" w:eastAsiaTheme="majorEastAsia" w:hAnsiTheme="majorHAnsi" w:cstheme="majorBidi"/>
          <w:color w:val="0F4761" w:themeColor="accent1" w:themeShade="BF"/>
          <w:sz w:val="40"/>
          <w:szCs w:val="40"/>
        </w:rPr>
      </w:pPr>
      <w:r>
        <w:br w:type="page"/>
      </w:r>
    </w:p>
    <w:p w14:paraId="4603EE01" w14:textId="37F7ACE3" w:rsidR="008F4FEF" w:rsidRDefault="00AF269B" w:rsidP="008F4FEF">
      <w:pPr>
        <w:pStyle w:val="Heading1"/>
      </w:pPr>
      <w:bookmarkStart w:id="13" w:name="_Toc196446097"/>
      <w:r>
        <w:lastRenderedPageBreak/>
        <w:t>Figures</w:t>
      </w:r>
      <w:bookmarkEnd w:id="13"/>
    </w:p>
    <w:p w14:paraId="6DFB7F7E" w14:textId="77777777" w:rsidR="008F4FEF" w:rsidRDefault="008F4FEF">
      <w:pPr>
        <w:rPr>
          <w:rFonts w:asciiTheme="majorHAnsi" w:eastAsiaTheme="majorEastAsia" w:hAnsiTheme="majorHAnsi" w:cstheme="majorBidi"/>
          <w:color w:val="0F4761" w:themeColor="accent1" w:themeShade="BF"/>
          <w:sz w:val="40"/>
          <w:szCs w:val="40"/>
        </w:rPr>
      </w:pPr>
      <w:r>
        <w:br w:type="page"/>
      </w:r>
    </w:p>
    <w:p w14:paraId="5CB3B428" w14:textId="3E73727A" w:rsidR="008F4FEF" w:rsidRDefault="008F4FEF" w:rsidP="008F4FEF">
      <w:pPr>
        <w:pStyle w:val="Heading1"/>
      </w:pPr>
      <w:bookmarkStart w:id="14" w:name="_Toc196446098"/>
      <w:r>
        <w:lastRenderedPageBreak/>
        <w:t>References</w:t>
      </w:r>
      <w:bookmarkEnd w:id="14"/>
    </w:p>
    <w:p w14:paraId="13577AE8" w14:textId="1E12C497" w:rsidR="008F4FEF" w:rsidRDefault="008F4FEF">
      <w:r>
        <w:br w:type="page"/>
      </w:r>
    </w:p>
    <w:p w14:paraId="510C9212" w14:textId="5531F048" w:rsidR="008F4FEF" w:rsidRDefault="008F4FEF" w:rsidP="008F4FEF">
      <w:pPr>
        <w:pStyle w:val="Heading1"/>
      </w:pPr>
      <w:bookmarkStart w:id="15" w:name="_Toc196446099"/>
      <w:r>
        <w:lastRenderedPageBreak/>
        <w:t>Bibliography</w:t>
      </w:r>
      <w:bookmarkEnd w:id="15"/>
    </w:p>
    <w:p w14:paraId="09DC93E5" w14:textId="4F644BC0" w:rsidR="008F4FEF" w:rsidRPr="008F4FEF" w:rsidRDefault="008F4FEF" w:rsidP="008F4FEF"/>
    <w:sectPr w:rsidR="008F4FEF" w:rsidRPr="008F4FEF" w:rsidSect="008F4FEF">
      <w:headerReference w:type="default" r:id="rId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2B7D5A" w14:textId="77777777" w:rsidR="00064BA7" w:rsidRDefault="00064BA7" w:rsidP="00B20BA6">
      <w:r>
        <w:separator/>
      </w:r>
    </w:p>
  </w:endnote>
  <w:endnote w:type="continuationSeparator" w:id="0">
    <w:p w14:paraId="402B68B7" w14:textId="77777777" w:rsidR="00064BA7" w:rsidRDefault="00064BA7" w:rsidP="00B20B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w:panose1 w:val="00000000000000000000"/>
    <w:charset w:val="00"/>
    <w:family w:val="auto"/>
    <w:pitch w:val="variable"/>
    <w:sig w:usb0="00000003"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77995468"/>
      <w:docPartObj>
        <w:docPartGallery w:val="Page Numbers (Bottom of Page)"/>
        <w:docPartUnique/>
      </w:docPartObj>
    </w:sdtPr>
    <w:sdtContent>
      <w:p w14:paraId="46D29B95" w14:textId="6D85FB59" w:rsidR="00B20BA6" w:rsidRDefault="00B20BA6" w:rsidP="00C110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F3C449" w14:textId="77777777" w:rsidR="00B20BA6" w:rsidRDefault="00B20B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44986856"/>
      <w:docPartObj>
        <w:docPartGallery w:val="Page Numbers (Bottom of Page)"/>
        <w:docPartUnique/>
      </w:docPartObj>
    </w:sdtPr>
    <w:sdtContent>
      <w:p w14:paraId="7BACC075" w14:textId="7529B94E" w:rsidR="00B20BA6" w:rsidRDefault="00B20BA6" w:rsidP="00C110D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C4FF36" w14:textId="77777777" w:rsidR="00B20BA6" w:rsidRDefault="00B20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8D28E6" w14:textId="77777777" w:rsidR="00064BA7" w:rsidRDefault="00064BA7" w:rsidP="00B20BA6">
      <w:r>
        <w:separator/>
      </w:r>
    </w:p>
  </w:footnote>
  <w:footnote w:type="continuationSeparator" w:id="0">
    <w:p w14:paraId="6F0D4E13" w14:textId="77777777" w:rsidR="00064BA7" w:rsidRDefault="00064BA7" w:rsidP="00B20B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96A3A" w14:textId="2A0BFAAD" w:rsidR="00B20BA6" w:rsidRDefault="00B20BA6">
    <w:pPr>
      <w:pStyle w:val="Header"/>
    </w:pPr>
    <w:r>
      <w:t>Kelly Jones</w:t>
    </w:r>
    <w:r>
      <w:tab/>
    </w:r>
    <w:r>
      <w:tab/>
      <w:t>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FEF"/>
    <w:rsid w:val="00035D98"/>
    <w:rsid w:val="00064BA7"/>
    <w:rsid w:val="001276AD"/>
    <w:rsid w:val="00144D82"/>
    <w:rsid w:val="00155705"/>
    <w:rsid w:val="00162C28"/>
    <w:rsid w:val="001C06BF"/>
    <w:rsid w:val="001C2BF9"/>
    <w:rsid w:val="00326A55"/>
    <w:rsid w:val="00350386"/>
    <w:rsid w:val="00364229"/>
    <w:rsid w:val="004871F1"/>
    <w:rsid w:val="00540302"/>
    <w:rsid w:val="00577E99"/>
    <w:rsid w:val="005A4AF1"/>
    <w:rsid w:val="005A7364"/>
    <w:rsid w:val="005C4A01"/>
    <w:rsid w:val="006F2533"/>
    <w:rsid w:val="00751C21"/>
    <w:rsid w:val="00756DFA"/>
    <w:rsid w:val="00762BEE"/>
    <w:rsid w:val="007E04D1"/>
    <w:rsid w:val="00831C47"/>
    <w:rsid w:val="008819F4"/>
    <w:rsid w:val="008F4FEF"/>
    <w:rsid w:val="0090484B"/>
    <w:rsid w:val="00984E28"/>
    <w:rsid w:val="009B0F12"/>
    <w:rsid w:val="009D5C70"/>
    <w:rsid w:val="00A7603F"/>
    <w:rsid w:val="00AA1024"/>
    <w:rsid w:val="00AD09C9"/>
    <w:rsid w:val="00AF269B"/>
    <w:rsid w:val="00B20BA6"/>
    <w:rsid w:val="00BD72D0"/>
    <w:rsid w:val="00C36D91"/>
    <w:rsid w:val="00C406AF"/>
    <w:rsid w:val="00C6160F"/>
    <w:rsid w:val="00C77C40"/>
    <w:rsid w:val="00D41729"/>
    <w:rsid w:val="00D82375"/>
    <w:rsid w:val="00D93200"/>
    <w:rsid w:val="00DE12E8"/>
    <w:rsid w:val="00E328C1"/>
    <w:rsid w:val="00ED37E9"/>
    <w:rsid w:val="00FD5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145F1"/>
  <w15:chartTrackingRefBased/>
  <w15:docId w15:val="{FC506127-393C-8941-B03A-77D45E8D5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F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4F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F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F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F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F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F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F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F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F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4F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F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F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F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F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F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F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FEF"/>
    <w:rPr>
      <w:rFonts w:eastAsiaTheme="majorEastAsia" w:cstheme="majorBidi"/>
      <w:color w:val="272727" w:themeColor="text1" w:themeTint="D8"/>
    </w:rPr>
  </w:style>
  <w:style w:type="paragraph" w:styleId="Title">
    <w:name w:val="Title"/>
    <w:basedOn w:val="Normal"/>
    <w:next w:val="Normal"/>
    <w:link w:val="TitleChar"/>
    <w:uiPriority w:val="10"/>
    <w:qFormat/>
    <w:rsid w:val="008F4F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F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F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F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F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4FEF"/>
    <w:rPr>
      <w:i/>
      <w:iCs/>
      <w:color w:val="404040" w:themeColor="text1" w:themeTint="BF"/>
    </w:rPr>
  </w:style>
  <w:style w:type="paragraph" w:styleId="ListParagraph">
    <w:name w:val="List Paragraph"/>
    <w:basedOn w:val="Normal"/>
    <w:uiPriority w:val="34"/>
    <w:qFormat/>
    <w:rsid w:val="008F4FEF"/>
    <w:pPr>
      <w:ind w:left="720"/>
      <w:contextualSpacing/>
    </w:pPr>
  </w:style>
  <w:style w:type="character" w:styleId="IntenseEmphasis">
    <w:name w:val="Intense Emphasis"/>
    <w:basedOn w:val="DefaultParagraphFont"/>
    <w:uiPriority w:val="21"/>
    <w:qFormat/>
    <w:rsid w:val="008F4FEF"/>
    <w:rPr>
      <w:i/>
      <w:iCs/>
      <w:color w:val="0F4761" w:themeColor="accent1" w:themeShade="BF"/>
    </w:rPr>
  </w:style>
  <w:style w:type="paragraph" w:styleId="IntenseQuote">
    <w:name w:val="Intense Quote"/>
    <w:basedOn w:val="Normal"/>
    <w:next w:val="Normal"/>
    <w:link w:val="IntenseQuoteChar"/>
    <w:uiPriority w:val="30"/>
    <w:qFormat/>
    <w:rsid w:val="008F4F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FEF"/>
    <w:rPr>
      <w:i/>
      <w:iCs/>
      <w:color w:val="0F4761" w:themeColor="accent1" w:themeShade="BF"/>
    </w:rPr>
  </w:style>
  <w:style w:type="character" w:styleId="IntenseReference">
    <w:name w:val="Intense Reference"/>
    <w:basedOn w:val="DefaultParagraphFont"/>
    <w:uiPriority w:val="32"/>
    <w:qFormat/>
    <w:rsid w:val="008F4FEF"/>
    <w:rPr>
      <w:b/>
      <w:bCs/>
      <w:smallCaps/>
      <w:color w:val="0F4761" w:themeColor="accent1" w:themeShade="BF"/>
      <w:spacing w:val="5"/>
    </w:rPr>
  </w:style>
  <w:style w:type="paragraph" w:styleId="TOCHeading">
    <w:name w:val="TOC Heading"/>
    <w:basedOn w:val="Heading1"/>
    <w:next w:val="Normal"/>
    <w:uiPriority w:val="39"/>
    <w:unhideWhenUsed/>
    <w:qFormat/>
    <w:rsid w:val="008F4FE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F4FEF"/>
    <w:pPr>
      <w:spacing w:before="120" w:after="120"/>
    </w:pPr>
    <w:rPr>
      <w:b/>
      <w:bCs/>
      <w:caps/>
      <w:sz w:val="20"/>
      <w:szCs w:val="20"/>
    </w:rPr>
  </w:style>
  <w:style w:type="character" w:styleId="Hyperlink">
    <w:name w:val="Hyperlink"/>
    <w:basedOn w:val="DefaultParagraphFont"/>
    <w:uiPriority w:val="99"/>
    <w:unhideWhenUsed/>
    <w:rsid w:val="008F4FEF"/>
    <w:rPr>
      <w:color w:val="467886" w:themeColor="hyperlink"/>
      <w:u w:val="single"/>
    </w:rPr>
  </w:style>
  <w:style w:type="paragraph" w:styleId="TOC2">
    <w:name w:val="toc 2"/>
    <w:basedOn w:val="Normal"/>
    <w:next w:val="Normal"/>
    <w:autoRedefine/>
    <w:uiPriority w:val="39"/>
    <w:unhideWhenUsed/>
    <w:rsid w:val="008F4FEF"/>
    <w:pPr>
      <w:ind w:left="240"/>
    </w:pPr>
    <w:rPr>
      <w:smallCaps/>
      <w:sz w:val="20"/>
      <w:szCs w:val="20"/>
    </w:rPr>
  </w:style>
  <w:style w:type="paragraph" w:styleId="TOC3">
    <w:name w:val="toc 3"/>
    <w:basedOn w:val="Normal"/>
    <w:next w:val="Normal"/>
    <w:autoRedefine/>
    <w:uiPriority w:val="39"/>
    <w:semiHidden/>
    <w:unhideWhenUsed/>
    <w:rsid w:val="008F4FEF"/>
    <w:pPr>
      <w:ind w:left="480"/>
    </w:pPr>
    <w:rPr>
      <w:i/>
      <w:iCs/>
      <w:sz w:val="20"/>
      <w:szCs w:val="20"/>
    </w:rPr>
  </w:style>
  <w:style w:type="paragraph" w:styleId="TOC4">
    <w:name w:val="toc 4"/>
    <w:basedOn w:val="Normal"/>
    <w:next w:val="Normal"/>
    <w:autoRedefine/>
    <w:uiPriority w:val="39"/>
    <w:semiHidden/>
    <w:unhideWhenUsed/>
    <w:rsid w:val="008F4FEF"/>
    <w:pPr>
      <w:ind w:left="720"/>
    </w:pPr>
    <w:rPr>
      <w:sz w:val="18"/>
      <w:szCs w:val="18"/>
    </w:rPr>
  </w:style>
  <w:style w:type="paragraph" w:styleId="TOC5">
    <w:name w:val="toc 5"/>
    <w:basedOn w:val="Normal"/>
    <w:next w:val="Normal"/>
    <w:autoRedefine/>
    <w:uiPriority w:val="39"/>
    <w:semiHidden/>
    <w:unhideWhenUsed/>
    <w:rsid w:val="008F4FEF"/>
    <w:pPr>
      <w:ind w:left="960"/>
    </w:pPr>
    <w:rPr>
      <w:sz w:val="18"/>
      <w:szCs w:val="18"/>
    </w:rPr>
  </w:style>
  <w:style w:type="paragraph" w:styleId="TOC6">
    <w:name w:val="toc 6"/>
    <w:basedOn w:val="Normal"/>
    <w:next w:val="Normal"/>
    <w:autoRedefine/>
    <w:uiPriority w:val="39"/>
    <w:semiHidden/>
    <w:unhideWhenUsed/>
    <w:rsid w:val="008F4FEF"/>
    <w:pPr>
      <w:ind w:left="1200"/>
    </w:pPr>
    <w:rPr>
      <w:sz w:val="18"/>
      <w:szCs w:val="18"/>
    </w:rPr>
  </w:style>
  <w:style w:type="paragraph" w:styleId="TOC7">
    <w:name w:val="toc 7"/>
    <w:basedOn w:val="Normal"/>
    <w:next w:val="Normal"/>
    <w:autoRedefine/>
    <w:uiPriority w:val="39"/>
    <w:semiHidden/>
    <w:unhideWhenUsed/>
    <w:rsid w:val="008F4FEF"/>
    <w:pPr>
      <w:ind w:left="1440"/>
    </w:pPr>
    <w:rPr>
      <w:sz w:val="18"/>
      <w:szCs w:val="18"/>
    </w:rPr>
  </w:style>
  <w:style w:type="paragraph" w:styleId="TOC8">
    <w:name w:val="toc 8"/>
    <w:basedOn w:val="Normal"/>
    <w:next w:val="Normal"/>
    <w:autoRedefine/>
    <w:uiPriority w:val="39"/>
    <w:semiHidden/>
    <w:unhideWhenUsed/>
    <w:rsid w:val="008F4FEF"/>
    <w:pPr>
      <w:ind w:left="1680"/>
    </w:pPr>
    <w:rPr>
      <w:sz w:val="18"/>
      <w:szCs w:val="18"/>
    </w:rPr>
  </w:style>
  <w:style w:type="paragraph" w:styleId="TOC9">
    <w:name w:val="toc 9"/>
    <w:basedOn w:val="Normal"/>
    <w:next w:val="Normal"/>
    <w:autoRedefine/>
    <w:uiPriority w:val="39"/>
    <w:semiHidden/>
    <w:unhideWhenUsed/>
    <w:rsid w:val="008F4FEF"/>
    <w:pPr>
      <w:ind w:left="1920"/>
    </w:pPr>
    <w:rPr>
      <w:sz w:val="18"/>
      <w:szCs w:val="18"/>
    </w:rPr>
  </w:style>
  <w:style w:type="paragraph" w:styleId="NoSpacing">
    <w:name w:val="No Spacing"/>
    <w:link w:val="NoSpacingChar"/>
    <w:uiPriority w:val="1"/>
    <w:qFormat/>
    <w:rsid w:val="008F4FE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F4FEF"/>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B20BA6"/>
    <w:pPr>
      <w:tabs>
        <w:tab w:val="center" w:pos="4513"/>
        <w:tab w:val="right" w:pos="9026"/>
      </w:tabs>
    </w:pPr>
  </w:style>
  <w:style w:type="character" w:customStyle="1" w:styleId="HeaderChar">
    <w:name w:val="Header Char"/>
    <w:basedOn w:val="DefaultParagraphFont"/>
    <w:link w:val="Header"/>
    <w:uiPriority w:val="99"/>
    <w:rsid w:val="00B20BA6"/>
  </w:style>
  <w:style w:type="paragraph" w:styleId="Footer">
    <w:name w:val="footer"/>
    <w:basedOn w:val="Normal"/>
    <w:link w:val="FooterChar"/>
    <w:uiPriority w:val="99"/>
    <w:unhideWhenUsed/>
    <w:rsid w:val="00B20BA6"/>
    <w:pPr>
      <w:tabs>
        <w:tab w:val="center" w:pos="4513"/>
        <w:tab w:val="right" w:pos="9026"/>
      </w:tabs>
    </w:pPr>
  </w:style>
  <w:style w:type="character" w:customStyle="1" w:styleId="FooterChar">
    <w:name w:val="Footer Char"/>
    <w:basedOn w:val="DefaultParagraphFont"/>
    <w:link w:val="Footer"/>
    <w:uiPriority w:val="99"/>
    <w:rsid w:val="00B20BA6"/>
  </w:style>
  <w:style w:type="character" w:styleId="PageNumber">
    <w:name w:val="page number"/>
    <w:basedOn w:val="DefaultParagraphFont"/>
    <w:uiPriority w:val="99"/>
    <w:semiHidden/>
    <w:unhideWhenUsed/>
    <w:rsid w:val="00B20BA6"/>
  </w:style>
  <w:style w:type="character" w:styleId="UnresolvedMention">
    <w:name w:val="Unresolved Mention"/>
    <w:basedOn w:val="DefaultParagraphFont"/>
    <w:uiPriority w:val="99"/>
    <w:semiHidden/>
    <w:unhideWhenUsed/>
    <w:rsid w:val="00A760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7789782">
      <w:bodyDiv w:val="1"/>
      <w:marLeft w:val="0"/>
      <w:marRight w:val="0"/>
      <w:marTop w:val="0"/>
      <w:marBottom w:val="0"/>
      <w:divBdr>
        <w:top w:val="none" w:sz="0" w:space="0" w:color="auto"/>
        <w:left w:val="none" w:sz="0" w:space="0" w:color="auto"/>
        <w:bottom w:val="none" w:sz="0" w:space="0" w:color="auto"/>
        <w:right w:val="none" w:sz="0" w:space="0" w:color="auto"/>
      </w:divBdr>
    </w:div>
    <w:div w:id="190483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1804366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B9AA6A-E75A-E241-AAB0-450925983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25</Pages>
  <Words>5457</Words>
  <Characters>27779</Characters>
  <Application>Microsoft Office Word</Application>
  <DocSecurity>0</DocSecurity>
  <Lines>505</Lines>
  <Paragraphs>158</Paragraphs>
  <ScaleCrop>false</ScaleCrop>
  <HeadingPairs>
    <vt:vector size="2" baseType="variant">
      <vt:variant>
        <vt:lpstr>Title</vt:lpstr>
      </vt:variant>
      <vt:variant>
        <vt:i4>1</vt:i4>
      </vt:variant>
    </vt:vector>
  </HeadingPairs>
  <TitlesOfParts>
    <vt:vector size="1" baseType="lpstr">
      <vt:lpstr>Title here</vt:lpstr>
    </vt:vector>
  </TitlesOfParts>
  <Company>Textiles</Company>
  <LinksUpToDate>false</LinksUpToDate>
  <CharactersWithSpaces>33078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here</dc:title>
  <dc:subject>Confirmative praxis ADAA7002</dc:subject>
  <dc:creator>Kelly Jones</dc:creator>
  <cp:keywords/>
  <dc:description/>
  <cp:lastModifiedBy>Kelly Jones</cp:lastModifiedBy>
  <cp:revision>22</cp:revision>
  <dcterms:created xsi:type="dcterms:W3CDTF">2025-02-27T20:21:00Z</dcterms:created>
  <dcterms:modified xsi:type="dcterms:W3CDTF">2025-04-25T03:01:00Z</dcterms:modified>
</cp:coreProperties>
</file>