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00EF66CD" w:rsidRDefault="00EF66CD" w14:paraId="42AC76F5" w14:textId="77777777">
      <w:pPr>
        <w:spacing w:before="0" w:after="160" w:line="259" w:lineRule="auto"/>
        <w:jc w:val="left"/>
      </w:pPr>
      <w:r>
        <w:rPr>
          <w:rFonts w:ascii="Arial" w:hAnsi="Arial" w:cs="Arial"/>
          <w:noProof/>
          <w:color w:val="000000"/>
          <w:sz w:val="22"/>
          <w:bdr w:val="none" w:color="auto" w:sz="0" w:space="0" w:frame="1"/>
        </w:rPr>
        <w:drawing>
          <wp:inline distT="0" distB="0" distL="0" distR="0" wp14:anchorId="3BB3F678" wp14:editId="02033828">
            <wp:extent cx="1813560" cy="7239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13560" cy="723900"/>
                    </a:xfrm>
                    <a:prstGeom prst="rect">
                      <a:avLst/>
                    </a:prstGeom>
                    <a:noFill/>
                    <a:ln>
                      <a:noFill/>
                    </a:ln>
                  </pic:spPr>
                </pic:pic>
              </a:graphicData>
            </a:graphic>
          </wp:inline>
        </w:drawing>
      </w:r>
    </w:p>
    <w:p w:rsidR="00EF66CD" w:rsidP="00EF66CD" w:rsidRDefault="00EF66CD" w14:paraId="1B1A87FC" w14:textId="77777777">
      <w:pPr>
        <w:pStyle w:val="Title"/>
      </w:pPr>
      <w:r>
        <w:t xml:space="preserve">BA Business Management </w:t>
      </w:r>
    </w:p>
    <w:p w:rsidR="00EF66CD" w:rsidP="00EF66CD" w:rsidRDefault="00EF66CD" w14:paraId="63DF7E93" w14:textId="77777777">
      <w:pPr>
        <w:pStyle w:val="Title"/>
      </w:pPr>
      <w:r>
        <w:t xml:space="preserve">International Financial Management </w:t>
      </w:r>
    </w:p>
    <w:p w:rsidR="00EF66CD" w:rsidP="52C4562B" w:rsidRDefault="00EF66CD" w14:paraId="5212E671" w14:textId="725140C5">
      <w:pPr>
        <w:pStyle w:val="Title"/>
      </w:pPr>
      <w:r w:rsidR="00EF66CD">
        <w:rPr/>
        <w:t xml:space="preserve">LCBB6002 </w:t>
      </w:r>
    </w:p>
    <w:p w:rsidR="52C4562B" w:rsidP="52C4562B" w:rsidRDefault="52C4562B" w14:paraId="0B69831D" w14:textId="200CCE27">
      <w:pPr>
        <w:pStyle w:val="Normal"/>
      </w:pPr>
    </w:p>
    <w:p w:rsidR="52C4562B" w:rsidP="52C4562B" w:rsidRDefault="52C4562B" w14:paraId="63117D46" w14:textId="7CBFAC85">
      <w:pPr>
        <w:pStyle w:val="Normal"/>
      </w:pPr>
    </w:p>
    <w:p w:rsidR="52C4562B" w:rsidP="52C4562B" w:rsidRDefault="52C4562B" w14:paraId="0211B8D9" w14:textId="1EE96D36">
      <w:pPr>
        <w:pStyle w:val="Normal"/>
      </w:pPr>
    </w:p>
    <w:p w:rsidR="52C4562B" w:rsidP="52C4562B" w:rsidRDefault="52C4562B" w14:paraId="569A5E64" w14:textId="6CDBCE11">
      <w:pPr>
        <w:pStyle w:val="Normal"/>
      </w:pPr>
    </w:p>
    <w:p w:rsidR="52C4562B" w:rsidP="52C4562B" w:rsidRDefault="52C4562B" w14:paraId="112F5697" w14:textId="2C397BBE">
      <w:pPr>
        <w:pStyle w:val="Normal"/>
      </w:pPr>
    </w:p>
    <w:p w:rsidR="52C4562B" w:rsidP="52C4562B" w:rsidRDefault="52C4562B" w14:paraId="5DE52F21" w14:textId="5AE07022">
      <w:pPr>
        <w:pStyle w:val="Normal"/>
      </w:pPr>
    </w:p>
    <w:p w:rsidR="52C4562B" w:rsidP="52C4562B" w:rsidRDefault="52C4562B" w14:paraId="6DB535B1" w14:textId="654DA21B">
      <w:pPr>
        <w:pStyle w:val="Normal"/>
      </w:pPr>
    </w:p>
    <w:p w:rsidR="52C4562B" w:rsidP="52C4562B" w:rsidRDefault="52C4562B" w14:paraId="7134DDED" w14:textId="35F11F11">
      <w:pPr>
        <w:pStyle w:val="Normal"/>
      </w:pPr>
    </w:p>
    <w:p w:rsidR="52C4562B" w:rsidP="52C4562B" w:rsidRDefault="52C4562B" w14:paraId="04A5FC8D" w14:textId="21E73AA6">
      <w:pPr>
        <w:pStyle w:val="Normal"/>
      </w:pPr>
    </w:p>
    <w:p w:rsidR="52C4562B" w:rsidP="52C4562B" w:rsidRDefault="52C4562B" w14:paraId="4EECF91C" w14:textId="6A10094A">
      <w:pPr>
        <w:pStyle w:val="Normal"/>
      </w:pPr>
    </w:p>
    <w:p w:rsidR="06D9123F" w:rsidP="52C4562B" w:rsidRDefault="06D9123F" w14:paraId="730C1373" w14:textId="0C52BE79">
      <w:pPr>
        <w:pStyle w:val="Normal"/>
        <w:rPr>
          <w:rFonts w:ascii="Times New Roman" w:hAnsi="Times New Roman" w:eastAsia="Times New Roman" w:cs="Times New Roman"/>
          <w:noProof w:val="0"/>
          <w:sz w:val="24"/>
          <w:szCs w:val="24"/>
          <w:lang w:val="en-GB"/>
        </w:rPr>
      </w:pPr>
      <w:r w:rsidR="06D9123F">
        <w:rPr/>
        <w:t xml:space="preserve">Student Name: </w:t>
      </w:r>
      <w:r w:rsidR="06D9123F">
        <w:rPr/>
        <w:t>Radostin</w:t>
      </w:r>
      <w:r w:rsidR="06D9123F">
        <w:rPr/>
        <w:t xml:space="preserve"> Angelov</w:t>
      </w:r>
    </w:p>
    <w:p w:rsidR="06D9123F" w:rsidP="52C4562B" w:rsidRDefault="06D9123F" w14:paraId="402A594B" w14:textId="7497A4F7">
      <w:pPr>
        <w:pStyle w:val="Normal"/>
        <w:rPr>
          <w:rFonts w:ascii="Arial" w:hAnsi="Arial" w:eastAsia="Arial" w:cs="Arial"/>
          <w:b w:val="1"/>
          <w:bCs w:val="1"/>
          <w:i w:val="0"/>
          <w:iCs w:val="0"/>
          <w:caps w:val="0"/>
          <w:smallCaps w:val="0"/>
          <w:strike w:val="0"/>
          <w:dstrike w:val="0"/>
          <w:noProof w:val="0"/>
          <w:color w:val="FFFFFF" w:themeColor="background1" w:themeTint="FF" w:themeShade="FF"/>
          <w:sz w:val="56"/>
          <w:szCs w:val="56"/>
          <w:u w:val="none"/>
          <w:vertAlign w:val="superscript"/>
          <w:lang w:val="en-US"/>
        </w:rPr>
      </w:pPr>
      <w:r w:rsidR="06D9123F">
        <w:rPr/>
        <w:t>Student ID: 2132532</w:t>
      </w:r>
    </w:p>
    <w:sdt>
      <w:sdtPr>
        <w:id w:val="-1632861425"/>
        <w:docPartObj>
          <w:docPartGallery w:val="Table of Contents"/>
          <w:docPartUnique/>
        </w:docPartObj>
        <w:rPr>
          <w:rFonts w:ascii="Times New Roman" w:hAnsi="Times New Roman" w:eastAsia="Calibri" w:cs="Times New Roman" w:eastAsiaTheme="minorAscii"/>
          <w:color w:val="auto"/>
          <w:sz w:val="24"/>
          <w:szCs w:val="24"/>
          <w:lang w:val="en-GB"/>
        </w:rPr>
      </w:sdtPr>
      <w:sdtEndPr>
        <w:rPr>
          <w:rFonts w:ascii="Times New Roman" w:hAnsi="Times New Roman" w:eastAsia="Calibri" w:cs="Times New Roman" w:eastAsiaTheme="minorAscii"/>
          <w:b w:val="1"/>
          <w:bCs w:val="1"/>
          <w:noProof/>
          <w:color w:val="auto"/>
          <w:sz w:val="24"/>
          <w:szCs w:val="24"/>
          <w:lang w:val="en-GB"/>
        </w:rPr>
      </w:sdtEndPr>
      <w:sdtContent>
        <w:p w:rsidR="00CE0695" w:rsidRDefault="00CE0695" w14:paraId="6357E277" w14:textId="052FFA9C">
          <w:pPr>
            <w:pStyle w:val="TOCHeading"/>
          </w:pPr>
          <w:r>
            <w:t>Table of Contents</w:t>
          </w:r>
        </w:p>
        <w:p w:rsidR="0056760F" w:rsidRDefault="00CE0695" w14:paraId="0B1CC803" w14:textId="0E89CC4B">
          <w:pPr>
            <w:pStyle w:val="TOC1"/>
            <w:tabs>
              <w:tab w:val="right" w:leader="dot" w:pos="9016"/>
            </w:tabs>
            <w:rPr>
              <w:rFonts w:asciiTheme="minorHAnsi" w:hAnsiTheme="minorHAnsi" w:eastAsiaTheme="minorEastAsia" w:cstheme="minorBidi"/>
              <w:noProof/>
              <w:sz w:val="22"/>
              <w:lang w:val="en-US"/>
            </w:rPr>
          </w:pPr>
          <w:r>
            <w:fldChar w:fldCharType="begin"/>
          </w:r>
          <w:r>
            <w:instrText xml:space="preserve"> TOC \o "1-3" \h \z \u </w:instrText>
          </w:r>
          <w:r>
            <w:fldChar w:fldCharType="separate"/>
          </w:r>
          <w:hyperlink w:history="1" w:anchor="_Toc172833525">
            <w:r w:rsidRPr="009D0998" w:rsidR="0056760F">
              <w:rPr>
                <w:rStyle w:val="Hyperlink"/>
                <w:noProof/>
              </w:rPr>
              <w:t>Introduction</w:t>
            </w:r>
            <w:r w:rsidR="0056760F">
              <w:rPr>
                <w:noProof/>
                <w:webHidden/>
              </w:rPr>
              <w:tab/>
            </w:r>
            <w:r w:rsidR="0056760F">
              <w:rPr>
                <w:noProof/>
                <w:webHidden/>
              </w:rPr>
              <w:fldChar w:fldCharType="begin"/>
            </w:r>
            <w:r w:rsidR="0056760F">
              <w:rPr>
                <w:noProof/>
                <w:webHidden/>
              </w:rPr>
              <w:instrText xml:space="preserve"> PAGEREF _Toc172833525 \h </w:instrText>
            </w:r>
            <w:r w:rsidR="0056760F">
              <w:rPr>
                <w:noProof/>
                <w:webHidden/>
              </w:rPr>
            </w:r>
            <w:r w:rsidR="0056760F">
              <w:rPr>
                <w:noProof/>
                <w:webHidden/>
              </w:rPr>
              <w:fldChar w:fldCharType="separate"/>
            </w:r>
            <w:r w:rsidR="0056760F">
              <w:rPr>
                <w:noProof/>
                <w:webHidden/>
              </w:rPr>
              <w:t>3</w:t>
            </w:r>
            <w:r w:rsidR="0056760F">
              <w:rPr>
                <w:noProof/>
                <w:webHidden/>
              </w:rPr>
              <w:fldChar w:fldCharType="end"/>
            </w:r>
          </w:hyperlink>
        </w:p>
        <w:p w:rsidR="0056760F" w:rsidRDefault="00000000" w14:paraId="6A31C5A6" w14:textId="5B08B74A">
          <w:pPr>
            <w:pStyle w:val="TOC1"/>
            <w:tabs>
              <w:tab w:val="right" w:leader="dot" w:pos="9016"/>
            </w:tabs>
            <w:rPr>
              <w:rFonts w:asciiTheme="minorHAnsi" w:hAnsiTheme="minorHAnsi" w:eastAsiaTheme="minorEastAsia" w:cstheme="minorBidi"/>
              <w:noProof/>
              <w:sz w:val="22"/>
              <w:lang w:val="en-US"/>
            </w:rPr>
          </w:pPr>
          <w:hyperlink w:history="1" w:anchor="_Toc172833526">
            <w:r w:rsidRPr="009D0998" w:rsidR="0056760F">
              <w:rPr>
                <w:rStyle w:val="Hyperlink"/>
                <w:noProof/>
              </w:rPr>
              <w:t>MNCs and Foreign Exchange Risks</w:t>
            </w:r>
            <w:r w:rsidR="0056760F">
              <w:rPr>
                <w:noProof/>
                <w:webHidden/>
              </w:rPr>
              <w:tab/>
            </w:r>
            <w:r w:rsidR="0056760F">
              <w:rPr>
                <w:noProof/>
                <w:webHidden/>
              </w:rPr>
              <w:fldChar w:fldCharType="begin"/>
            </w:r>
            <w:r w:rsidR="0056760F">
              <w:rPr>
                <w:noProof/>
                <w:webHidden/>
              </w:rPr>
              <w:instrText xml:space="preserve"> PAGEREF _Toc172833526 \h </w:instrText>
            </w:r>
            <w:r w:rsidR="0056760F">
              <w:rPr>
                <w:noProof/>
                <w:webHidden/>
              </w:rPr>
            </w:r>
            <w:r w:rsidR="0056760F">
              <w:rPr>
                <w:noProof/>
                <w:webHidden/>
              </w:rPr>
              <w:fldChar w:fldCharType="separate"/>
            </w:r>
            <w:r w:rsidR="0056760F">
              <w:rPr>
                <w:noProof/>
                <w:webHidden/>
              </w:rPr>
              <w:t>3</w:t>
            </w:r>
            <w:r w:rsidR="0056760F">
              <w:rPr>
                <w:noProof/>
                <w:webHidden/>
              </w:rPr>
              <w:fldChar w:fldCharType="end"/>
            </w:r>
          </w:hyperlink>
        </w:p>
        <w:p w:rsidR="0056760F" w:rsidRDefault="00000000" w14:paraId="127851BE" w14:textId="5FA96BDB">
          <w:pPr>
            <w:pStyle w:val="TOC2"/>
            <w:tabs>
              <w:tab w:val="right" w:leader="dot" w:pos="9016"/>
            </w:tabs>
            <w:rPr>
              <w:rFonts w:asciiTheme="minorHAnsi" w:hAnsiTheme="minorHAnsi" w:eastAsiaTheme="minorEastAsia" w:cstheme="minorBidi"/>
              <w:noProof/>
              <w:sz w:val="22"/>
              <w:lang w:val="en-US"/>
            </w:rPr>
          </w:pPr>
          <w:hyperlink w:history="1" w:anchor="_Toc172833527">
            <w:r w:rsidRPr="009D0998" w:rsidR="0056760F">
              <w:rPr>
                <w:rStyle w:val="Hyperlink"/>
                <w:noProof/>
              </w:rPr>
              <w:t>Transaction Risk:</w:t>
            </w:r>
            <w:r w:rsidR="0056760F">
              <w:rPr>
                <w:noProof/>
                <w:webHidden/>
              </w:rPr>
              <w:tab/>
            </w:r>
            <w:r w:rsidR="0056760F">
              <w:rPr>
                <w:noProof/>
                <w:webHidden/>
              </w:rPr>
              <w:fldChar w:fldCharType="begin"/>
            </w:r>
            <w:r w:rsidR="0056760F">
              <w:rPr>
                <w:noProof/>
                <w:webHidden/>
              </w:rPr>
              <w:instrText xml:space="preserve"> PAGEREF _Toc172833527 \h </w:instrText>
            </w:r>
            <w:r w:rsidR="0056760F">
              <w:rPr>
                <w:noProof/>
                <w:webHidden/>
              </w:rPr>
            </w:r>
            <w:r w:rsidR="0056760F">
              <w:rPr>
                <w:noProof/>
                <w:webHidden/>
              </w:rPr>
              <w:fldChar w:fldCharType="separate"/>
            </w:r>
            <w:r w:rsidR="0056760F">
              <w:rPr>
                <w:noProof/>
                <w:webHidden/>
              </w:rPr>
              <w:t>3</w:t>
            </w:r>
            <w:r w:rsidR="0056760F">
              <w:rPr>
                <w:noProof/>
                <w:webHidden/>
              </w:rPr>
              <w:fldChar w:fldCharType="end"/>
            </w:r>
          </w:hyperlink>
        </w:p>
        <w:p w:rsidR="0056760F" w:rsidRDefault="00000000" w14:paraId="2CE490BC" w14:textId="6B73A4DE">
          <w:pPr>
            <w:pStyle w:val="TOC2"/>
            <w:tabs>
              <w:tab w:val="right" w:leader="dot" w:pos="9016"/>
            </w:tabs>
            <w:rPr>
              <w:rFonts w:asciiTheme="minorHAnsi" w:hAnsiTheme="minorHAnsi" w:eastAsiaTheme="minorEastAsia" w:cstheme="minorBidi"/>
              <w:noProof/>
              <w:sz w:val="22"/>
              <w:lang w:val="en-US"/>
            </w:rPr>
          </w:pPr>
          <w:hyperlink w:history="1" w:anchor="_Toc172833528">
            <w:r w:rsidRPr="009D0998" w:rsidR="0056760F">
              <w:rPr>
                <w:rStyle w:val="Hyperlink"/>
                <w:noProof/>
              </w:rPr>
              <w:t>Translation Risk:</w:t>
            </w:r>
            <w:r w:rsidR="0056760F">
              <w:rPr>
                <w:noProof/>
                <w:webHidden/>
              </w:rPr>
              <w:tab/>
            </w:r>
            <w:r w:rsidR="0056760F">
              <w:rPr>
                <w:noProof/>
                <w:webHidden/>
              </w:rPr>
              <w:fldChar w:fldCharType="begin"/>
            </w:r>
            <w:r w:rsidR="0056760F">
              <w:rPr>
                <w:noProof/>
                <w:webHidden/>
              </w:rPr>
              <w:instrText xml:space="preserve"> PAGEREF _Toc172833528 \h </w:instrText>
            </w:r>
            <w:r w:rsidR="0056760F">
              <w:rPr>
                <w:noProof/>
                <w:webHidden/>
              </w:rPr>
            </w:r>
            <w:r w:rsidR="0056760F">
              <w:rPr>
                <w:noProof/>
                <w:webHidden/>
              </w:rPr>
              <w:fldChar w:fldCharType="separate"/>
            </w:r>
            <w:r w:rsidR="0056760F">
              <w:rPr>
                <w:noProof/>
                <w:webHidden/>
              </w:rPr>
              <w:t>3</w:t>
            </w:r>
            <w:r w:rsidR="0056760F">
              <w:rPr>
                <w:noProof/>
                <w:webHidden/>
              </w:rPr>
              <w:fldChar w:fldCharType="end"/>
            </w:r>
          </w:hyperlink>
        </w:p>
        <w:p w:rsidR="0056760F" w:rsidRDefault="00000000" w14:paraId="5791444D" w14:textId="5904891F">
          <w:pPr>
            <w:pStyle w:val="TOC2"/>
            <w:tabs>
              <w:tab w:val="right" w:leader="dot" w:pos="9016"/>
            </w:tabs>
            <w:rPr>
              <w:rFonts w:asciiTheme="minorHAnsi" w:hAnsiTheme="minorHAnsi" w:eastAsiaTheme="minorEastAsia" w:cstheme="minorBidi"/>
              <w:noProof/>
              <w:sz w:val="22"/>
              <w:lang w:val="en-US"/>
            </w:rPr>
          </w:pPr>
          <w:hyperlink w:history="1" w:anchor="_Toc172833529">
            <w:r w:rsidRPr="009D0998" w:rsidR="0056760F">
              <w:rPr>
                <w:rStyle w:val="Hyperlink"/>
                <w:noProof/>
              </w:rPr>
              <w:t>Economic Risk:</w:t>
            </w:r>
            <w:r w:rsidR="0056760F">
              <w:rPr>
                <w:noProof/>
                <w:webHidden/>
              </w:rPr>
              <w:tab/>
            </w:r>
            <w:r w:rsidR="0056760F">
              <w:rPr>
                <w:noProof/>
                <w:webHidden/>
              </w:rPr>
              <w:fldChar w:fldCharType="begin"/>
            </w:r>
            <w:r w:rsidR="0056760F">
              <w:rPr>
                <w:noProof/>
                <w:webHidden/>
              </w:rPr>
              <w:instrText xml:space="preserve"> PAGEREF _Toc172833529 \h </w:instrText>
            </w:r>
            <w:r w:rsidR="0056760F">
              <w:rPr>
                <w:noProof/>
                <w:webHidden/>
              </w:rPr>
            </w:r>
            <w:r w:rsidR="0056760F">
              <w:rPr>
                <w:noProof/>
                <w:webHidden/>
              </w:rPr>
              <w:fldChar w:fldCharType="separate"/>
            </w:r>
            <w:r w:rsidR="0056760F">
              <w:rPr>
                <w:noProof/>
                <w:webHidden/>
              </w:rPr>
              <w:t>4</w:t>
            </w:r>
            <w:r w:rsidR="0056760F">
              <w:rPr>
                <w:noProof/>
                <w:webHidden/>
              </w:rPr>
              <w:fldChar w:fldCharType="end"/>
            </w:r>
          </w:hyperlink>
        </w:p>
        <w:p w:rsidR="0056760F" w:rsidRDefault="00000000" w14:paraId="7AF62D2A" w14:textId="08831928">
          <w:pPr>
            <w:pStyle w:val="TOC1"/>
            <w:tabs>
              <w:tab w:val="right" w:leader="dot" w:pos="9016"/>
            </w:tabs>
            <w:rPr>
              <w:rFonts w:asciiTheme="minorHAnsi" w:hAnsiTheme="minorHAnsi" w:eastAsiaTheme="minorEastAsia" w:cstheme="minorBidi"/>
              <w:noProof/>
              <w:sz w:val="22"/>
              <w:lang w:val="en-US"/>
            </w:rPr>
          </w:pPr>
          <w:hyperlink w:history="1" w:anchor="_Toc172833530">
            <w:r w:rsidRPr="009D0998" w:rsidR="0056760F">
              <w:rPr>
                <w:rStyle w:val="Hyperlink"/>
                <w:noProof/>
              </w:rPr>
              <w:t>International Financial Management Theories and Foreign Exchange Risk Management</w:t>
            </w:r>
            <w:r w:rsidR="0056760F">
              <w:rPr>
                <w:noProof/>
                <w:webHidden/>
              </w:rPr>
              <w:tab/>
            </w:r>
            <w:r w:rsidR="0056760F">
              <w:rPr>
                <w:noProof/>
                <w:webHidden/>
              </w:rPr>
              <w:fldChar w:fldCharType="begin"/>
            </w:r>
            <w:r w:rsidR="0056760F">
              <w:rPr>
                <w:noProof/>
                <w:webHidden/>
              </w:rPr>
              <w:instrText xml:space="preserve"> PAGEREF _Toc172833530 \h </w:instrText>
            </w:r>
            <w:r w:rsidR="0056760F">
              <w:rPr>
                <w:noProof/>
                <w:webHidden/>
              </w:rPr>
            </w:r>
            <w:r w:rsidR="0056760F">
              <w:rPr>
                <w:noProof/>
                <w:webHidden/>
              </w:rPr>
              <w:fldChar w:fldCharType="separate"/>
            </w:r>
            <w:r w:rsidR="0056760F">
              <w:rPr>
                <w:noProof/>
                <w:webHidden/>
              </w:rPr>
              <w:t>4</w:t>
            </w:r>
            <w:r w:rsidR="0056760F">
              <w:rPr>
                <w:noProof/>
                <w:webHidden/>
              </w:rPr>
              <w:fldChar w:fldCharType="end"/>
            </w:r>
          </w:hyperlink>
        </w:p>
        <w:p w:rsidR="0056760F" w:rsidRDefault="00000000" w14:paraId="512F9360" w14:textId="7B4664F7">
          <w:pPr>
            <w:pStyle w:val="TOC2"/>
            <w:tabs>
              <w:tab w:val="right" w:leader="dot" w:pos="9016"/>
            </w:tabs>
            <w:rPr>
              <w:rFonts w:asciiTheme="minorHAnsi" w:hAnsiTheme="minorHAnsi" w:eastAsiaTheme="minorEastAsia" w:cstheme="minorBidi"/>
              <w:noProof/>
              <w:sz w:val="22"/>
              <w:lang w:val="en-US"/>
            </w:rPr>
          </w:pPr>
          <w:hyperlink w:history="1" w:anchor="_Toc172833531">
            <w:r w:rsidRPr="009D0998" w:rsidR="0056760F">
              <w:rPr>
                <w:rStyle w:val="Hyperlink"/>
                <w:noProof/>
              </w:rPr>
              <w:t>Interest Rate Parity (IRP) Theory:</w:t>
            </w:r>
            <w:r w:rsidR="0056760F">
              <w:rPr>
                <w:noProof/>
                <w:webHidden/>
              </w:rPr>
              <w:tab/>
            </w:r>
            <w:r w:rsidR="0056760F">
              <w:rPr>
                <w:noProof/>
                <w:webHidden/>
              </w:rPr>
              <w:fldChar w:fldCharType="begin"/>
            </w:r>
            <w:r w:rsidR="0056760F">
              <w:rPr>
                <w:noProof/>
                <w:webHidden/>
              </w:rPr>
              <w:instrText xml:space="preserve"> PAGEREF _Toc172833531 \h </w:instrText>
            </w:r>
            <w:r w:rsidR="0056760F">
              <w:rPr>
                <w:noProof/>
                <w:webHidden/>
              </w:rPr>
            </w:r>
            <w:r w:rsidR="0056760F">
              <w:rPr>
                <w:noProof/>
                <w:webHidden/>
              </w:rPr>
              <w:fldChar w:fldCharType="separate"/>
            </w:r>
            <w:r w:rsidR="0056760F">
              <w:rPr>
                <w:noProof/>
                <w:webHidden/>
              </w:rPr>
              <w:t>4</w:t>
            </w:r>
            <w:r w:rsidR="0056760F">
              <w:rPr>
                <w:noProof/>
                <w:webHidden/>
              </w:rPr>
              <w:fldChar w:fldCharType="end"/>
            </w:r>
          </w:hyperlink>
        </w:p>
        <w:p w:rsidR="0056760F" w:rsidRDefault="00000000" w14:paraId="2935B21A" w14:textId="299A2925">
          <w:pPr>
            <w:pStyle w:val="TOC2"/>
            <w:tabs>
              <w:tab w:val="right" w:leader="dot" w:pos="9016"/>
            </w:tabs>
            <w:rPr>
              <w:rFonts w:asciiTheme="minorHAnsi" w:hAnsiTheme="minorHAnsi" w:eastAsiaTheme="minorEastAsia" w:cstheme="minorBidi"/>
              <w:noProof/>
              <w:sz w:val="22"/>
              <w:lang w:val="en-US"/>
            </w:rPr>
          </w:pPr>
          <w:hyperlink w:history="1" w:anchor="_Toc172833532">
            <w:r w:rsidRPr="009D0998" w:rsidR="0056760F">
              <w:rPr>
                <w:rStyle w:val="Hyperlink"/>
                <w:noProof/>
              </w:rPr>
              <w:t>Purchasing Power Parity (PPP) Theory:</w:t>
            </w:r>
            <w:r w:rsidR="0056760F">
              <w:rPr>
                <w:noProof/>
                <w:webHidden/>
              </w:rPr>
              <w:tab/>
            </w:r>
            <w:r w:rsidR="0056760F">
              <w:rPr>
                <w:noProof/>
                <w:webHidden/>
              </w:rPr>
              <w:fldChar w:fldCharType="begin"/>
            </w:r>
            <w:r w:rsidR="0056760F">
              <w:rPr>
                <w:noProof/>
                <w:webHidden/>
              </w:rPr>
              <w:instrText xml:space="preserve"> PAGEREF _Toc172833532 \h </w:instrText>
            </w:r>
            <w:r w:rsidR="0056760F">
              <w:rPr>
                <w:noProof/>
                <w:webHidden/>
              </w:rPr>
            </w:r>
            <w:r w:rsidR="0056760F">
              <w:rPr>
                <w:noProof/>
                <w:webHidden/>
              </w:rPr>
              <w:fldChar w:fldCharType="separate"/>
            </w:r>
            <w:r w:rsidR="0056760F">
              <w:rPr>
                <w:noProof/>
                <w:webHidden/>
              </w:rPr>
              <w:t>5</w:t>
            </w:r>
            <w:r w:rsidR="0056760F">
              <w:rPr>
                <w:noProof/>
                <w:webHidden/>
              </w:rPr>
              <w:fldChar w:fldCharType="end"/>
            </w:r>
          </w:hyperlink>
        </w:p>
        <w:p w:rsidR="0056760F" w:rsidRDefault="00000000" w14:paraId="0BFE5C53" w14:textId="3CCB44B8">
          <w:pPr>
            <w:pStyle w:val="TOC2"/>
            <w:tabs>
              <w:tab w:val="right" w:leader="dot" w:pos="9016"/>
            </w:tabs>
            <w:rPr>
              <w:rFonts w:asciiTheme="minorHAnsi" w:hAnsiTheme="minorHAnsi" w:eastAsiaTheme="minorEastAsia" w:cstheme="minorBidi"/>
              <w:noProof/>
              <w:sz w:val="22"/>
              <w:lang w:val="en-US"/>
            </w:rPr>
          </w:pPr>
          <w:hyperlink w:history="1" w:anchor="_Toc172833533">
            <w:r w:rsidRPr="009D0998" w:rsidR="0056760F">
              <w:rPr>
                <w:rStyle w:val="Hyperlink"/>
                <w:noProof/>
              </w:rPr>
              <w:t>Fisher Effect:</w:t>
            </w:r>
            <w:r w:rsidR="0056760F">
              <w:rPr>
                <w:noProof/>
                <w:webHidden/>
              </w:rPr>
              <w:tab/>
            </w:r>
            <w:r w:rsidR="0056760F">
              <w:rPr>
                <w:noProof/>
                <w:webHidden/>
              </w:rPr>
              <w:fldChar w:fldCharType="begin"/>
            </w:r>
            <w:r w:rsidR="0056760F">
              <w:rPr>
                <w:noProof/>
                <w:webHidden/>
              </w:rPr>
              <w:instrText xml:space="preserve"> PAGEREF _Toc172833533 \h </w:instrText>
            </w:r>
            <w:r w:rsidR="0056760F">
              <w:rPr>
                <w:noProof/>
                <w:webHidden/>
              </w:rPr>
            </w:r>
            <w:r w:rsidR="0056760F">
              <w:rPr>
                <w:noProof/>
                <w:webHidden/>
              </w:rPr>
              <w:fldChar w:fldCharType="separate"/>
            </w:r>
            <w:r w:rsidR="0056760F">
              <w:rPr>
                <w:noProof/>
                <w:webHidden/>
              </w:rPr>
              <w:t>5</w:t>
            </w:r>
            <w:r w:rsidR="0056760F">
              <w:rPr>
                <w:noProof/>
                <w:webHidden/>
              </w:rPr>
              <w:fldChar w:fldCharType="end"/>
            </w:r>
          </w:hyperlink>
        </w:p>
        <w:p w:rsidR="0056760F" w:rsidRDefault="00000000" w14:paraId="38289D91" w14:textId="4D227DD1">
          <w:pPr>
            <w:pStyle w:val="TOC1"/>
            <w:tabs>
              <w:tab w:val="right" w:leader="dot" w:pos="9016"/>
            </w:tabs>
            <w:rPr>
              <w:rFonts w:asciiTheme="minorHAnsi" w:hAnsiTheme="minorHAnsi" w:eastAsiaTheme="minorEastAsia" w:cstheme="minorBidi"/>
              <w:noProof/>
              <w:sz w:val="22"/>
              <w:lang w:val="en-US"/>
            </w:rPr>
          </w:pPr>
          <w:hyperlink w:history="1" w:anchor="_Toc172833534">
            <w:r w:rsidRPr="009D0998" w:rsidR="0056760F">
              <w:rPr>
                <w:rStyle w:val="Hyperlink"/>
                <w:noProof/>
              </w:rPr>
              <w:t>Exchange Risk Management</w:t>
            </w:r>
            <w:r w:rsidR="0056760F">
              <w:rPr>
                <w:noProof/>
                <w:webHidden/>
              </w:rPr>
              <w:tab/>
            </w:r>
            <w:r w:rsidR="0056760F">
              <w:rPr>
                <w:noProof/>
                <w:webHidden/>
              </w:rPr>
              <w:fldChar w:fldCharType="begin"/>
            </w:r>
            <w:r w:rsidR="0056760F">
              <w:rPr>
                <w:noProof/>
                <w:webHidden/>
              </w:rPr>
              <w:instrText xml:space="preserve"> PAGEREF _Toc172833534 \h </w:instrText>
            </w:r>
            <w:r w:rsidR="0056760F">
              <w:rPr>
                <w:noProof/>
                <w:webHidden/>
              </w:rPr>
            </w:r>
            <w:r w:rsidR="0056760F">
              <w:rPr>
                <w:noProof/>
                <w:webHidden/>
              </w:rPr>
              <w:fldChar w:fldCharType="separate"/>
            </w:r>
            <w:r w:rsidR="0056760F">
              <w:rPr>
                <w:noProof/>
                <w:webHidden/>
              </w:rPr>
              <w:t>5</w:t>
            </w:r>
            <w:r w:rsidR="0056760F">
              <w:rPr>
                <w:noProof/>
                <w:webHidden/>
              </w:rPr>
              <w:fldChar w:fldCharType="end"/>
            </w:r>
          </w:hyperlink>
        </w:p>
        <w:p w:rsidR="0056760F" w:rsidRDefault="00000000" w14:paraId="09318D1C" w14:textId="046D97BA">
          <w:pPr>
            <w:pStyle w:val="TOC2"/>
            <w:tabs>
              <w:tab w:val="right" w:leader="dot" w:pos="9016"/>
            </w:tabs>
            <w:rPr>
              <w:rFonts w:asciiTheme="minorHAnsi" w:hAnsiTheme="minorHAnsi" w:eastAsiaTheme="minorEastAsia" w:cstheme="minorBidi"/>
              <w:noProof/>
              <w:sz w:val="22"/>
              <w:lang w:val="en-US"/>
            </w:rPr>
          </w:pPr>
          <w:hyperlink w:history="1" w:anchor="_Toc172833535">
            <w:r w:rsidRPr="009D0998" w:rsidR="0056760F">
              <w:rPr>
                <w:rStyle w:val="Hyperlink"/>
                <w:noProof/>
              </w:rPr>
              <w:t>Hedging:</w:t>
            </w:r>
            <w:r w:rsidR="0056760F">
              <w:rPr>
                <w:noProof/>
                <w:webHidden/>
              </w:rPr>
              <w:tab/>
            </w:r>
            <w:r w:rsidR="0056760F">
              <w:rPr>
                <w:noProof/>
                <w:webHidden/>
              </w:rPr>
              <w:fldChar w:fldCharType="begin"/>
            </w:r>
            <w:r w:rsidR="0056760F">
              <w:rPr>
                <w:noProof/>
                <w:webHidden/>
              </w:rPr>
              <w:instrText xml:space="preserve"> PAGEREF _Toc172833535 \h </w:instrText>
            </w:r>
            <w:r w:rsidR="0056760F">
              <w:rPr>
                <w:noProof/>
                <w:webHidden/>
              </w:rPr>
            </w:r>
            <w:r w:rsidR="0056760F">
              <w:rPr>
                <w:noProof/>
                <w:webHidden/>
              </w:rPr>
              <w:fldChar w:fldCharType="separate"/>
            </w:r>
            <w:r w:rsidR="0056760F">
              <w:rPr>
                <w:noProof/>
                <w:webHidden/>
              </w:rPr>
              <w:t>5</w:t>
            </w:r>
            <w:r w:rsidR="0056760F">
              <w:rPr>
                <w:noProof/>
                <w:webHidden/>
              </w:rPr>
              <w:fldChar w:fldCharType="end"/>
            </w:r>
          </w:hyperlink>
        </w:p>
        <w:p w:rsidR="0056760F" w:rsidRDefault="00000000" w14:paraId="4CFF1EF2" w14:textId="2A286424">
          <w:pPr>
            <w:pStyle w:val="TOC2"/>
            <w:tabs>
              <w:tab w:val="right" w:leader="dot" w:pos="9016"/>
            </w:tabs>
            <w:rPr>
              <w:rFonts w:asciiTheme="minorHAnsi" w:hAnsiTheme="minorHAnsi" w:eastAsiaTheme="minorEastAsia" w:cstheme="minorBidi"/>
              <w:noProof/>
              <w:sz w:val="22"/>
              <w:lang w:val="en-US"/>
            </w:rPr>
          </w:pPr>
          <w:hyperlink w:history="1" w:anchor="_Toc172833536">
            <w:r w:rsidRPr="009D0998" w:rsidR="0056760F">
              <w:rPr>
                <w:rStyle w:val="Hyperlink"/>
                <w:noProof/>
              </w:rPr>
              <w:t>Currency Portfolio Diversification:</w:t>
            </w:r>
            <w:r w:rsidR="0056760F">
              <w:rPr>
                <w:noProof/>
                <w:webHidden/>
              </w:rPr>
              <w:tab/>
            </w:r>
            <w:r w:rsidR="0056760F">
              <w:rPr>
                <w:noProof/>
                <w:webHidden/>
              </w:rPr>
              <w:fldChar w:fldCharType="begin"/>
            </w:r>
            <w:r w:rsidR="0056760F">
              <w:rPr>
                <w:noProof/>
                <w:webHidden/>
              </w:rPr>
              <w:instrText xml:space="preserve"> PAGEREF _Toc172833536 \h </w:instrText>
            </w:r>
            <w:r w:rsidR="0056760F">
              <w:rPr>
                <w:noProof/>
                <w:webHidden/>
              </w:rPr>
            </w:r>
            <w:r w:rsidR="0056760F">
              <w:rPr>
                <w:noProof/>
                <w:webHidden/>
              </w:rPr>
              <w:fldChar w:fldCharType="separate"/>
            </w:r>
            <w:r w:rsidR="0056760F">
              <w:rPr>
                <w:noProof/>
                <w:webHidden/>
              </w:rPr>
              <w:t>6</w:t>
            </w:r>
            <w:r w:rsidR="0056760F">
              <w:rPr>
                <w:noProof/>
                <w:webHidden/>
              </w:rPr>
              <w:fldChar w:fldCharType="end"/>
            </w:r>
          </w:hyperlink>
        </w:p>
        <w:p w:rsidR="0056760F" w:rsidRDefault="00000000" w14:paraId="72531775" w14:textId="46018B82">
          <w:pPr>
            <w:pStyle w:val="TOC1"/>
            <w:tabs>
              <w:tab w:val="right" w:leader="dot" w:pos="9016"/>
            </w:tabs>
            <w:rPr>
              <w:rFonts w:asciiTheme="minorHAnsi" w:hAnsiTheme="minorHAnsi" w:eastAsiaTheme="minorEastAsia" w:cstheme="minorBidi"/>
              <w:noProof/>
              <w:sz w:val="22"/>
              <w:lang w:val="en-US"/>
            </w:rPr>
          </w:pPr>
          <w:hyperlink w:history="1" w:anchor="_Toc172833537">
            <w:r w:rsidRPr="009D0998" w:rsidR="0056760F">
              <w:rPr>
                <w:rStyle w:val="Hyperlink"/>
                <w:noProof/>
              </w:rPr>
              <w:t>Conclusion</w:t>
            </w:r>
            <w:r w:rsidR="0056760F">
              <w:rPr>
                <w:noProof/>
                <w:webHidden/>
              </w:rPr>
              <w:tab/>
            </w:r>
            <w:r w:rsidR="0056760F">
              <w:rPr>
                <w:noProof/>
                <w:webHidden/>
              </w:rPr>
              <w:fldChar w:fldCharType="begin"/>
            </w:r>
            <w:r w:rsidR="0056760F">
              <w:rPr>
                <w:noProof/>
                <w:webHidden/>
              </w:rPr>
              <w:instrText xml:space="preserve"> PAGEREF _Toc172833537 \h </w:instrText>
            </w:r>
            <w:r w:rsidR="0056760F">
              <w:rPr>
                <w:noProof/>
                <w:webHidden/>
              </w:rPr>
            </w:r>
            <w:r w:rsidR="0056760F">
              <w:rPr>
                <w:noProof/>
                <w:webHidden/>
              </w:rPr>
              <w:fldChar w:fldCharType="separate"/>
            </w:r>
            <w:r w:rsidR="0056760F">
              <w:rPr>
                <w:noProof/>
                <w:webHidden/>
              </w:rPr>
              <w:t>7</w:t>
            </w:r>
            <w:r w:rsidR="0056760F">
              <w:rPr>
                <w:noProof/>
                <w:webHidden/>
              </w:rPr>
              <w:fldChar w:fldCharType="end"/>
            </w:r>
          </w:hyperlink>
        </w:p>
        <w:p w:rsidR="0056760F" w:rsidRDefault="00000000" w14:paraId="78B7D2C5" w14:textId="1D698864">
          <w:pPr>
            <w:pStyle w:val="TOC1"/>
            <w:tabs>
              <w:tab w:val="right" w:leader="dot" w:pos="9016"/>
            </w:tabs>
            <w:rPr>
              <w:rFonts w:asciiTheme="minorHAnsi" w:hAnsiTheme="minorHAnsi" w:eastAsiaTheme="minorEastAsia" w:cstheme="minorBidi"/>
              <w:noProof/>
              <w:sz w:val="22"/>
              <w:lang w:val="en-US"/>
            </w:rPr>
          </w:pPr>
          <w:hyperlink w:history="1" w:anchor="_Toc172833538">
            <w:r w:rsidRPr="009D0998" w:rsidR="0056760F">
              <w:rPr>
                <w:rStyle w:val="Hyperlink"/>
                <w:noProof/>
              </w:rPr>
              <w:t>References</w:t>
            </w:r>
            <w:r w:rsidR="0056760F">
              <w:rPr>
                <w:noProof/>
                <w:webHidden/>
              </w:rPr>
              <w:tab/>
            </w:r>
            <w:r w:rsidR="0056760F">
              <w:rPr>
                <w:noProof/>
                <w:webHidden/>
              </w:rPr>
              <w:fldChar w:fldCharType="begin"/>
            </w:r>
            <w:r w:rsidR="0056760F">
              <w:rPr>
                <w:noProof/>
                <w:webHidden/>
              </w:rPr>
              <w:instrText xml:space="preserve"> PAGEREF _Toc172833538 \h </w:instrText>
            </w:r>
            <w:r w:rsidR="0056760F">
              <w:rPr>
                <w:noProof/>
                <w:webHidden/>
              </w:rPr>
            </w:r>
            <w:r w:rsidR="0056760F">
              <w:rPr>
                <w:noProof/>
                <w:webHidden/>
              </w:rPr>
              <w:fldChar w:fldCharType="separate"/>
            </w:r>
            <w:r w:rsidR="0056760F">
              <w:rPr>
                <w:noProof/>
                <w:webHidden/>
              </w:rPr>
              <w:t>8</w:t>
            </w:r>
            <w:r w:rsidR="0056760F">
              <w:rPr>
                <w:noProof/>
                <w:webHidden/>
              </w:rPr>
              <w:fldChar w:fldCharType="end"/>
            </w:r>
          </w:hyperlink>
        </w:p>
        <w:p w:rsidR="00CE0695" w:rsidRDefault="00CE0695" w14:paraId="3D97D19D" w14:textId="3F1DC5BB">
          <w:r>
            <w:rPr>
              <w:b/>
              <w:bCs/>
              <w:noProof/>
            </w:rPr>
            <w:fldChar w:fldCharType="end"/>
          </w:r>
        </w:p>
      </w:sdtContent>
    </w:sdt>
    <w:p w:rsidR="004C771C" w:rsidRDefault="004C771C" w14:paraId="52452EB8" w14:textId="77777777">
      <w:pPr>
        <w:spacing w:before="0" w:after="160" w:line="259" w:lineRule="auto"/>
        <w:jc w:val="left"/>
      </w:pPr>
      <w:r>
        <w:br w:type="page"/>
      </w:r>
    </w:p>
    <w:p w:rsidR="008115D3" w:rsidP="00FA6836" w:rsidRDefault="008115D3" w14:paraId="2256F9B3" w14:textId="22F5FF05">
      <w:pPr>
        <w:pStyle w:val="Heading1"/>
      </w:pPr>
      <w:bookmarkStart w:name="_Toc172833525" w:id="0"/>
      <w:r>
        <w:lastRenderedPageBreak/>
        <w:t>Introduction</w:t>
      </w:r>
      <w:bookmarkEnd w:id="0"/>
    </w:p>
    <w:p w:rsidR="008115D3" w:rsidP="00615919" w:rsidRDefault="008115D3" w14:paraId="0CBC85E1" w14:textId="7D63F0D3">
      <w:r>
        <w:t xml:space="preserve">Foreign exchange risk is important in managing </w:t>
      </w:r>
      <w:r w:rsidR="004C771C">
        <w:t>m</w:t>
      </w:r>
      <w:r>
        <w:t xml:space="preserve">ultinational business ventures that run their operations in different countries </w:t>
      </w:r>
      <w:r w:rsidR="00DE1A6B">
        <w:t>to</w:t>
      </w:r>
      <w:r>
        <w:t xml:space="preserve"> avoid occurrences of loss as a result of </w:t>
      </w:r>
      <w:r w:rsidR="00DE1A6B">
        <w:t xml:space="preserve">the </w:t>
      </w:r>
      <w:r>
        <w:t>volatility of currencies in the global markets. These risks include transaction risk which affects the MNC’s financial stability, translation risk used in translating foreign currency to the parent company, and economic risk influencing strategic decisions</w:t>
      </w:r>
      <w:r w:rsidRPr="00A342DA" w:rsidR="00A342DA">
        <w:rPr>
          <w:rFonts w:ascii="Helvetica" w:hAnsi="Helvetica"/>
          <w:color w:val="000000"/>
        </w:rPr>
        <w:t xml:space="preserve"> </w:t>
      </w:r>
      <w:r w:rsidRPr="00A342DA" w:rsidR="00A342DA">
        <w:t>(Augustin </w:t>
      </w:r>
      <w:r w:rsidRPr="00A342DA" w:rsidR="00A342DA">
        <w:rPr>
          <w:i/>
          <w:iCs/>
        </w:rPr>
        <w:t>et al.</w:t>
      </w:r>
      <w:r w:rsidRPr="00A342DA" w:rsidR="00A342DA">
        <w:t>, 2024)</w:t>
      </w:r>
      <w:r>
        <w:t>.</w:t>
      </w:r>
    </w:p>
    <w:p w:rsidR="008115D3" w:rsidP="00FA6836" w:rsidRDefault="0056760F" w14:paraId="4BAEDC51" w14:textId="570EAE6B">
      <w:pPr>
        <w:pStyle w:val="Heading1"/>
      </w:pPr>
      <w:bookmarkStart w:name="_Toc172833526" w:id="1"/>
      <w:r w:rsidRPr="0056760F">
        <w:t>MNCs and Foreign Exchange Risks</w:t>
      </w:r>
      <w:bookmarkEnd w:id="1"/>
    </w:p>
    <w:p w:rsidR="008115D3" w:rsidP="008115D3" w:rsidRDefault="008115D3" w14:paraId="0E46EAEB" w14:textId="0D5EC61E">
      <w:r>
        <w:t xml:space="preserve">Foreign Exchange risks present to Multinational Corporations (MNCs) indulging in </w:t>
      </w:r>
      <w:r w:rsidR="00DE1A6B">
        <w:t>cross-country</w:t>
      </w:r>
      <w:r>
        <w:t xml:space="preserve"> operations. These risks can be broadly categori</w:t>
      </w:r>
      <w:r w:rsidR="00D56E4A">
        <w:t>s</w:t>
      </w:r>
      <w:r>
        <w:t>ed into three main types: Transaction risk refers to the inherent uncertainty of transacting in a different country, while translation risk is the process of translating financial statements of international operations into the parent company’s home country currency.</w:t>
      </w:r>
    </w:p>
    <w:p w:rsidR="008115D3" w:rsidP="00FA6836" w:rsidRDefault="008115D3" w14:paraId="51AEE487" w14:textId="77777777">
      <w:pPr>
        <w:pStyle w:val="Heading2"/>
      </w:pPr>
      <w:bookmarkStart w:name="_Toc172833527" w:id="2"/>
      <w:r>
        <w:t>Transaction Risk:</w:t>
      </w:r>
      <w:bookmarkEnd w:id="2"/>
    </w:p>
    <w:p w:rsidR="008115D3" w:rsidP="008115D3" w:rsidRDefault="008115D3" w14:paraId="3D8200DC" w14:textId="359F2A1B">
      <w:r>
        <w:t xml:space="preserve">This type of risk is associated with foreign currency when translating from one currency to another at a different date from the transaction of </w:t>
      </w:r>
      <w:r w:rsidR="00DE1A6B">
        <w:t xml:space="preserve">the </w:t>
      </w:r>
      <w:r>
        <w:t xml:space="preserve">contractual amount. For instance, where an MNC commits itself to a contract where prices are in a foreign currency, rates of exchange determine the costs of goods or services bought for sale, thus influencing the margins for the company. Transaction risk is more applicable to </w:t>
      </w:r>
      <w:r w:rsidR="00DE1A6B">
        <w:t>organisations</w:t>
      </w:r>
      <w:r>
        <w:t xml:space="preserve"> that conduct business internationally or to those with </w:t>
      </w:r>
      <w:r w:rsidR="00DE1A6B">
        <w:t xml:space="preserve">a </w:t>
      </w:r>
      <w:r>
        <w:t>large number of transactions in foreign currencies</w:t>
      </w:r>
      <w:r w:rsidRPr="00A342DA" w:rsidR="00A342DA">
        <w:rPr>
          <w:rFonts w:ascii="Helvetica" w:hAnsi="Helvetica"/>
          <w:color w:val="000000"/>
        </w:rPr>
        <w:t xml:space="preserve"> </w:t>
      </w:r>
      <w:r w:rsidRPr="00A342DA" w:rsidR="00A342DA">
        <w:t>(Bhalla, 2022)</w:t>
      </w:r>
      <w:r>
        <w:t>.</w:t>
      </w:r>
    </w:p>
    <w:p w:rsidR="008115D3" w:rsidP="00FA6836" w:rsidRDefault="008115D3" w14:paraId="3F67CE64" w14:textId="77777777">
      <w:pPr>
        <w:pStyle w:val="Heading2"/>
      </w:pPr>
      <w:bookmarkStart w:name="_Toc172833528" w:id="3"/>
      <w:r>
        <w:t>Translation Risk:</w:t>
      </w:r>
      <w:bookmarkEnd w:id="3"/>
    </w:p>
    <w:p w:rsidR="008115D3" w:rsidP="008115D3" w:rsidRDefault="008115D3" w14:paraId="0C659D56" w14:textId="692074E2">
      <w:r>
        <w:t xml:space="preserve">This is the risk that is incurred when translating the financial statements of a subsidiary, division or operation from another currency to the one that is used by the parent </w:t>
      </w:r>
      <w:r w:rsidR="00D56E4A">
        <w:t>organisation</w:t>
      </w:r>
      <w:r>
        <w:t>. Foreign exchange rates translate into changes in reported revenues and expenses, assets, and also liabilities. This risk mostly applies to MNCs that have international operations whose earnings are reported in a single global statement. The translation risk affects the company’s financial ratios for evaluating the general performance of an MNC</w:t>
      </w:r>
      <w:r w:rsidRPr="00C05627" w:rsidR="00C05627">
        <w:t xml:space="preserve"> (Suhadi, 2024)</w:t>
      </w:r>
      <w:r>
        <w:t>.</w:t>
      </w:r>
    </w:p>
    <w:p w:rsidR="008115D3" w:rsidP="00FA6836" w:rsidRDefault="008115D3" w14:paraId="315198E7" w14:textId="77777777">
      <w:pPr>
        <w:pStyle w:val="Heading2"/>
      </w:pPr>
      <w:bookmarkStart w:name="_Toc172833529" w:id="4"/>
      <w:r>
        <w:lastRenderedPageBreak/>
        <w:t>Economic Risk:</w:t>
      </w:r>
      <w:bookmarkEnd w:id="4"/>
    </w:p>
    <w:p w:rsidR="008115D3" w:rsidP="008115D3" w:rsidRDefault="00615919" w14:paraId="22639349" w14:textId="7E257106">
      <w:r>
        <w:t>Economic risk, operating exposure, or strategic risk</w:t>
      </w:r>
      <w:r w:rsidR="008115D3">
        <w:t xml:space="preserve"> refers to the potential variability of the MNC’s present value due to changes in the exchange rates between the periods when the forecasts are made and the actual reali</w:t>
      </w:r>
      <w:r>
        <w:t>s</w:t>
      </w:r>
      <w:r w:rsidR="008115D3">
        <w:t>ation of the expected revenues. In this aspect</w:t>
      </w:r>
      <w:r w:rsidR="00DE1A6B">
        <w:t>,</w:t>
      </w:r>
      <w:r w:rsidR="008115D3">
        <w:t xml:space="preserve"> it differs from both the transaction and translation risks in that the economic risk is broader orientated by encompassing the long-term impact of any fluctuation in </w:t>
      </w:r>
      <w:r w:rsidR="00DE1A6B">
        <w:t xml:space="preserve">the </w:t>
      </w:r>
      <w:r w:rsidR="008115D3">
        <w:t>exchange rate on the competitive advantage of the MNC and its profitability</w:t>
      </w:r>
      <w:r w:rsidRPr="00A342DA" w:rsidR="00A342DA">
        <w:rPr>
          <w:rFonts w:ascii="Helvetica" w:hAnsi="Helvetica"/>
          <w:color w:val="000000"/>
        </w:rPr>
        <w:t xml:space="preserve"> </w:t>
      </w:r>
      <w:r w:rsidRPr="00A342DA" w:rsidR="00A342DA">
        <w:t>(Gautam, Jaiswal and Keshari, 2023)</w:t>
      </w:r>
      <w:r w:rsidR="008115D3">
        <w:t>. Macroeconomic risk is among the main variables that influence pricing strategies, market share and investment strategies in international markets and thus is important when it comes to strategy and risk analysis</w:t>
      </w:r>
      <w:r w:rsidRPr="00A342DA" w:rsidR="00A342DA">
        <w:t xml:space="preserve"> (Greenwald, Sloan School of Management and Stein, 2023)</w:t>
      </w:r>
      <w:r w:rsidR="008115D3">
        <w:t>.</w:t>
      </w:r>
    </w:p>
    <w:p w:rsidR="008115D3" w:rsidP="008115D3" w:rsidRDefault="008115D3" w14:paraId="6116284A" w14:textId="1D615349">
      <w:r>
        <w:t xml:space="preserve">Conclusively, the three types of foreign exchange risk transaction, translation, and economic affect the conducting of business by MNCs </w:t>
      </w:r>
      <w:r w:rsidR="00DE1A6B">
        <w:t>differently</w:t>
      </w:r>
      <w:r>
        <w:t>. Minimi</w:t>
      </w:r>
      <w:r w:rsidR="00615919">
        <w:t>s</w:t>
      </w:r>
      <w:r>
        <w:t xml:space="preserve">ing them hence necessitates the use of both financial and operational instruments and enhanced knowledge </w:t>
      </w:r>
      <w:r w:rsidR="00DE1A6B">
        <w:t>of</w:t>
      </w:r>
      <w:r>
        <w:t xml:space="preserve"> theories of international financial management.</w:t>
      </w:r>
    </w:p>
    <w:p w:rsidR="008115D3" w:rsidP="00FA6836" w:rsidRDefault="008115D3" w14:paraId="2A1497BE" w14:textId="77777777">
      <w:pPr>
        <w:pStyle w:val="Heading1"/>
      </w:pPr>
      <w:bookmarkStart w:name="_Toc172833530" w:id="5"/>
      <w:r>
        <w:t>International Financial Management Theories and Foreign Exchange Risk Management</w:t>
      </w:r>
      <w:bookmarkEnd w:id="5"/>
    </w:p>
    <w:p w:rsidR="008115D3" w:rsidP="008115D3" w:rsidRDefault="008115D3" w14:paraId="730E2D56" w14:textId="4E491129">
      <w:r>
        <w:t xml:space="preserve">In international financial management, </w:t>
      </w:r>
      <w:r w:rsidR="00DE1A6B">
        <w:t>some sets of theories encompass</w:t>
      </w:r>
      <w:r>
        <w:t xml:space="preserve"> different areas of operations and risk such as foreign exchange risks. Some of these theories are; the Interest Rate Parity (IRP), the Purchasing Power Parity (PPP), and the Fisher effect.</w:t>
      </w:r>
    </w:p>
    <w:p w:rsidR="008115D3" w:rsidP="00FA6836" w:rsidRDefault="008115D3" w14:paraId="01EE29DE" w14:textId="1EEC3576">
      <w:pPr>
        <w:pStyle w:val="Heading2"/>
      </w:pPr>
      <w:bookmarkStart w:name="_Toc172833531" w:id="6"/>
      <w:r>
        <w:t>Interest Rate Parity (IRP) Theory:</w:t>
      </w:r>
      <w:bookmarkEnd w:id="6"/>
      <w:r w:rsidR="00DE1A6B">
        <w:t xml:space="preserve"> </w:t>
      </w:r>
    </w:p>
    <w:p w:rsidR="008115D3" w:rsidP="008115D3" w:rsidRDefault="008115D3" w14:paraId="28C8D33C" w14:textId="5BD4D998">
      <w:r>
        <w:t xml:space="preserve">IRP advocates for the relationship between the interest differential of two countries to be equivalent to the anticipated change in exchange rates within the same period. It suggests that due to the existence of arbitrage opportunities, accurate and sustained gains from interest rate differentials are not possible – any variation in </w:t>
      </w:r>
      <w:r w:rsidR="00DE1A6B">
        <w:t xml:space="preserve">the </w:t>
      </w:r>
      <w:r>
        <w:t xml:space="preserve">exchange rate will cancel out such gains. IRP is valuable for </w:t>
      </w:r>
      <w:r w:rsidR="00DE1A6B">
        <w:t>MNCs</w:t>
      </w:r>
      <w:r>
        <w:t xml:space="preserve"> when a firm has to choose between borrowing in one currency or </w:t>
      </w:r>
      <w:r w:rsidR="00DE1A6B">
        <w:t>another</w:t>
      </w:r>
      <w:r>
        <w:t xml:space="preserve"> or </w:t>
      </w:r>
      <w:r w:rsidR="00DE1A6B">
        <w:t>having</w:t>
      </w:r>
      <w:r>
        <w:t xml:space="preserve"> to hedge interest rates in more than one country</w:t>
      </w:r>
      <w:r w:rsidRPr="00C05627" w:rsidR="00C05627">
        <w:t xml:space="preserve"> (Spjut, 2020)</w:t>
      </w:r>
      <w:r>
        <w:t>.</w:t>
      </w:r>
    </w:p>
    <w:p w:rsidR="008115D3" w:rsidP="00FA6836" w:rsidRDefault="008115D3" w14:paraId="3B5C775F" w14:textId="66CBA7D6">
      <w:pPr>
        <w:pStyle w:val="Heading2"/>
      </w:pPr>
      <w:bookmarkStart w:name="_Toc172833532" w:id="7"/>
      <w:r>
        <w:lastRenderedPageBreak/>
        <w:t>Purchasing Power Parity (PPP) Theory:</w:t>
      </w:r>
      <w:bookmarkEnd w:id="7"/>
      <w:r w:rsidR="00DE1A6B">
        <w:t xml:space="preserve"> </w:t>
      </w:r>
    </w:p>
    <w:p w:rsidR="008115D3" w:rsidP="008115D3" w:rsidRDefault="008115D3" w14:paraId="655C486F" w14:textId="50A68022">
      <w:r>
        <w:t>In PPP it is believed that exchange rates between two currencies will fluctuate until a set of goods and services in the two countries are of the same value. As purged in PPP in its absolute form, exchange rates are supposed to mirror price level differences. In its relative form</w:t>
      </w:r>
      <w:r w:rsidR="00DE1A6B">
        <w:t>,</w:t>
      </w:r>
      <w:r>
        <w:t xml:space="preserve"> PPP means that changes in exchange </w:t>
      </w:r>
      <w:r w:rsidR="00DE1A6B">
        <w:t>rates</w:t>
      </w:r>
      <w:r>
        <w:t xml:space="preserve"> should be equivalent to the difference in rates of international inflation. PPP is very important for MNCs </w:t>
      </w:r>
      <w:r w:rsidR="00DE1A6B">
        <w:t>in</w:t>
      </w:r>
      <w:r>
        <w:t xml:space="preserve"> </w:t>
      </w:r>
      <w:r w:rsidR="00DE1A6B">
        <w:t>forecasting</w:t>
      </w:r>
      <w:r>
        <w:t xml:space="preserve"> long-term expectations of the exchange rates and comparing the relative worth of the currencies for price fixing and investment</w:t>
      </w:r>
      <w:r w:rsidRPr="00A342DA" w:rsidR="00A342DA">
        <w:t xml:space="preserve"> (Jacque, 2013)</w:t>
      </w:r>
      <w:r>
        <w:t>.</w:t>
      </w:r>
    </w:p>
    <w:p w:rsidR="008115D3" w:rsidP="00FA6836" w:rsidRDefault="008115D3" w14:paraId="2053AAC2" w14:textId="77777777">
      <w:pPr>
        <w:pStyle w:val="Heading2"/>
      </w:pPr>
      <w:bookmarkStart w:name="_Toc172833533" w:id="8"/>
      <w:r>
        <w:t>Fisher Effect:</w:t>
      </w:r>
      <w:bookmarkEnd w:id="8"/>
    </w:p>
    <w:p w:rsidR="008115D3" w:rsidP="008115D3" w:rsidRDefault="008115D3" w14:paraId="44CAA58D" w14:textId="7E6EB6F3">
      <w:r>
        <w:t>The Fisher Effect is the phenomenon of the relationship between the nominal interest rate, real interest rate, and expected inflation rate. Actual interest rates in any country, or nominal rates in economic terms, are said to be the sum of the real rates of return and inflation rates. Hence, expected inflation drives nominal interest rates and subsequently, the exchange rates. The Fisher Effect is also applied by MNCs in predicting the movement of interest rates and their implication on currencies so that an MNC can devise its best financial plan and control risks</w:t>
      </w:r>
      <w:r w:rsidRPr="00C05627" w:rsidR="00C05627">
        <w:t xml:space="preserve"> (Ji, 2018)</w:t>
      </w:r>
      <w:r>
        <w:t>.</w:t>
      </w:r>
    </w:p>
    <w:p w:rsidR="008115D3" w:rsidP="008115D3" w:rsidRDefault="008115D3" w14:paraId="09A0A537" w14:textId="523E55AC">
      <w:r>
        <w:t xml:space="preserve">These theories give MNCs a way to assess and forecast the fluctuations in currency value, the differences in interest rates and inflation’s general effects in global markets. </w:t>
      </w:r>
      <w:r w:rsidR="00DE1A6B">
        <w:t>Applying these theories allows MNCs to minimi</w:t>
      </w:r>
      <w:r w:rsidR="00615919">
        <w:t>s</w:t>
      </w:r>
      <w:r w:rsidR="00DE1A6B">
        <w:t xml:space="preserve">e the negative effect of exchange risks when making financing decisions as well as decisions on investment and hedging known to help manage these </w:t>
      </w:r>
      <w:r>
        <w:t>risks in international operations</w:t>
      </w:r>
      <w:r w:rsidRPr="00C05627" w:rsidR="00C05627">
        <w:t xml:space="preserve"> (Smith, 2022)</w:t>
      </w:r>
      <w:r>
        <w:t>.</w:t>
      </w:r>
    </w:p>
    <w:p w:rsidR="008115D3" w:rsidP="00FA6836" w:rsidRDefault="008115D3" w14:paraId="2DFBF324" w14:textId="597B8404">
      <w:pPr>
        <w:pStyle w:val="Heading1"/>
      </w:pPr>
      <w:bookmarkStart w:name="_Toc172833534" w:id="9"/>
      <w:r>
        <w:t xml:space="preserve">Exchange Risk </w:t>
      </w:r>
      <w:r w:rsidR="00910B32">
        <w:t>Management</w:t>
      </w:r>
      <w:bookmarkEnd w:id="9"/>
    </w:p>
    <w:p w:rsidR="008115D3" w:rsidP="008115D3" w:rsidRDefault="008115D3" w14:paraId="35AB89AA" w14:textId="015D11F7">
      <w:r>
        <w:t>One of the most important hedging techniques for MNCs is forex risk management in a bid to reduce some cash flow loss due to fluctuations in foreign exchanges. Several strategies are employed to manage these risks effectively:</w:t>
      </w:r>
      <w:r w:rsidR="00DE1A6B">
        <w:t xml:space="preserve"> </w:t>
      </w:r>
    </w:p>
    <w:p w:rsidR="008115D3" w:rsidP="00FA6836" w:rsidRDefault="008115D3" w14:paraId="10CD1394" w14:textId="77777777">
      <w:pPr>
        <w:pStyle w:val="Heading2"/>
      </w:pPr>
      <w:bookmarkStart w:name="_Toc172833535" w:id="10"/>
      <w:r>
        <w:t>Hedging:</w:t>
      </w:r>
      <w:bookmarkEnd w:id="10"/>
    </w:p>
    <w:p w:rsidR="008115D3" w:rsidP="008115D3" w:rsidRDefault="008115D3" w14:paraId="2674DFEC" w14:textId="381CED1B">
      <w:r>
        <w:t>Hedging is the utili</w:t>
      </w:r>
      <w:r w:rsidR="00615919">
        <w:t>s</w:t>
      </w:r>
      <w:r>
        <w:t xml:space="preserve">ation of financial instruments to reduce the effect that adverse currency movement causes. Some basic instruments that are used in hedging are forward </w:t>
      </w:r>
      <w:r w:rsidR="00DE1A6B">
        <w:t>contracts</w:t>
      </w:r>
      <w:r>
        <w:t xml:space="preserve">, </w:t>
      </w:r>
      <w:r>
        <w:lastRenderedPageBreak/>
        <w:t xml:space="preserve">futures, options, and currency </w:t>
      </w:r>
      <w:r w:rsidR="00DE1A6B">
        <w:t>swaps</w:t>
      </w:r>
      <w:r>
        <w:t xml:space="preserve">. For instance, an MNC can use the forward contract to fix the exchange rate for future </w:t>
      </w:r>
      <w:r w:rsidR="00DE1A6B">
        <w:t>transactions</w:t>
      </w:r>
      <w:r>
        <w:t xml:space="preserve"> to eliminate most of the </w:t>
      </w:r>
      <w:r w:rsidR="00DE1A6B">
        <w:t>uncertainties</w:t>
      </w:r>
      <w:r>
        <w:t xml:space="preserve"> in the cash flows. Thus, hedging helps to regulate profit margins and keep a constant financial position in uncertain foreign exchange rates</w:t>
      </w:r>
      <w:r w:rsidRPr="00C05627" w:rsidR="00C05627">
        <w:t xml:space="preserve"> (Lum and Islam, 2022)</w:t>
      </w:r>
      <w:r>
        <w:t>.</w:t>
      </w:r>
    </w:p>
    <w:p w:rsidR="008115D3" w:rsidP="008115D3" w:rsidRDefault="008115D3" w14:paraId="6CBF1B53" w14:textId="3D6CE935">
      <w:r>
        <w:t xml:space="preserve">Natural Hedging: Natural hedging focuses on the triggering of operations or financing </w:t>
      </w:r>
      <w:r w:rsidR="00DE1A6B">
        <w:t>undertakings</w:t>
      </w:r>
      <w:r>
        <w:t xml:space="preserve"> that have </w:t>
      </w:r>
      <w:r w:rsidR="00DE1A6B">
        <w:t xml:space="preserve">an </w:t>
      </w:r>
      <w:r>
        <w:t xml:space="preserve">inherent tendency for hedging away particular </w:t>
      </w:r>
      <w:r w:rsidR="00DE1A6B">
        <w:t>types</w:t>
      </w:r>
      <w:r>
        <w:t xml:space="preserve"> of foreign exchange risks. For example, an MNC might facilitate revenues in foreign currency against the same amount of expense in the same foreign currency and hence has a small net effect on exchange rate fluctuation. This approach relies on operational flexibility to manage the extent of hedging instruments that have to be obtained externally</w:t>
      </w:r>
      <w:r w:rsidRPr="00C05627" w:rsidR="00C05627">
        <w:t xml:space="preserve"> (</w:t>
      </w:r>
      <w:proofErr w:type="spellStart"/>
      <w:r w:rsidRPr="00C05627" w:rsidR="00C05627">
        <w:t>Lundstrum</w:t>
      </w:r>
      <w:proofErr w:type="spellEnd"/>
      <w:r w:rsidRPr="00C05627" w:rsidR="00C05627">
        <w:t>, 2021)</w:t>
      </w:r>
      <w:r>
        <w:t>.</w:t>
      </w:r>
    </w:p>
    <w:p w:rsidR="008115D3" w:rsidP="008115D3" w:rsidRDefault="008115D3" w14:paraId="7A884100" w14:textId="1A8B2373">
      <w:r>
        <w:t xml:space="preserve">Leading and Lagging: These two are considered to be the leading and lagging procedures where payments and receipts are timed to cope with the fluctuations in the foreign exchange rates. To further enhance the organisation’s profits, leading involves paying off foreign currency debts before the exchange rates are more favourable while lagging involves deferring receipts of foreign currency </w:t>
      </w:r>
      <w:r w:rsidR="00DE1A6B">
        <w:t>to</w:t>
      </w:r>
      <w:r>
        <w:t xml:space="preserve"> avoid a probable loss of the exchange rates. All these strategies need to be accompanied by efficient cash flow management as well as forecasting for the best currency transactions</w:t>
      </w:r>
      <w:r w:rsidRPr="00C05627" w:rsidR="00C05627">
        <w:t xml:space="preserve"> (Miller, 2014)</w:t>
      </w:r>
      <w:r>
        <w:t>.</w:t>
      </w:r>
    </w:p>
    <w:p w:rsidR="008115D3" w:rsidP="00FA6836" w:rsidRDefault="008115D3" w14:paraId="583294F6" w14:textId="77777777">
      <w:pPr>
        <w:pStyle w:val="Heading2"/>
      </w:pPr>
      <w:bookmarkStart w:name="_Toc172833536" w:id="11"/>
      <w:r>
        <w:t>Currency Portfolio Diversification:</w:t>
      </w:r>
      <w:bookmarkEnd w:id="11"/>
    </w:p>
    <w:p w:rsidR="008115D3" w:rsidP="008115D3" w:rsidRDefault="008115D3" w14:paraId="278973DD" w14:textId="36956FC9">
      <w:r>
        <w:t xml:space="preserve">MNCs are also able to manage risk through diversification of the currency in which they have chosen to operate. This means that through the process of translating some of its assets and liabilities </w:t>
      </w:r>
      <w:r w:rsidR="00DE1A6B">
        <w:t>into</w:t>
      </w:r>
      <w:r>
        <w:t xml:space="preserve"> various foreign currencies, it is in a position to be very efficient in its operations by using the foreign exchange fluctuations to its advantage by compensating for a loss by making a gain on the other. Floating diversifies risk and provides </w:t>
      </w:r>
      <w:r w:rsidR="00DE1A6B">
        <w:t xml:space="preserve">a </w:t>
      </w:r>
      <w:r>
        <w:t xml:space="preserve">greater cushion against shocks that could affect </w:t>
      </w:r>
      <w:r w:rsidR="00DE1A6B">
        <w:t xml:space="preserve">a </w:t>
      </w:r>
      <w:r>
        <w:t>single geographical region’s economy or when events that are unfavourable to a particular currency occur</w:t>
      </w:r>
      <w:r w:rsidRPr="00C05627" w:rsidR="00C05627">
        <w:t xml:space="preserve"> (Miller, 2014)</w:t>
      </w:r>
      <w:r>
        <w:t>.</w:t>
      </w:r>
    </w:p>
    <w:p w:rsidR="008115D3" w:rsidP="008115D3" w:rsidRDefault="008115D3" w14:paraId="5F2EBE99" w14:textId="77777777">
      <w:r>
        <w:t>Risk-sharing Agreements: Solution: Contractual relationships with suppliers, customers or financial institutions may include options that can hedge or maybe transfer the currency risk. For instance, the supplier from a different country might accept to bill in the MNC’s reporting currency or adopt half of the currency volatility. Regulations that accompany these agreements entail the definition of needed contractual provisions and parties’ respective risks.</w:t>
      </w:r>
    </w:p>
    <w:p w:rsidR="008115D3" w:rsidP="008115D3" w:rsidRDefault="008115D3" w14:paraId="1F52E134" w14:textId="7949F966">
      <w:r>
        <w:lastRenderedPageBreak/>
        <w:t xml:space="preserve">Operational Strategies: Other operational activities include; outsourcing treasury functions, establishment of regional hedging desks and reconsideration of contractual provisions are also effective </w:t>
      </w:r>
      <w:r w:rsidR="00DE1A6B">
        <w:t>in exchange</w:t>
      </w:r>
      <w:r>
        <w:t xml:space="preserve"> rate risks. In this respect, MNCs can promote </w:t>
      </w:r>
      <w:r w:rsidR="00DE1A6B">
        <w:t xml:space="preserve">the </w:t>
      </w:r>
      <w:r>
        <w:t>effectiveness of financial activities and use obligatory unified policies in the sphere of risk in all subsidiaries</w:t>
      </w:r>
      <w:r w:rsidRPr="00C05627" w:rsidR="00C05627">
        <w:t xml:space="preserve"> (</w:t>
      </w:r>
      <w:proofErr w:type="spellStart"/>
      <w:r w:rsidRPr="00C05627" w:rsidR="00C05627">
        <w:t>Oxelheim</w:t>
      </w:r>
      <w:proofErr w:type="spellEnd"/>
      <w:r w:rsidRPr="00C05627" w:rsidR="00C05627">
        <w:t xml:space="preserve">, </w:t>
      </w:r>
      <w:proofErr w:type="spellStart"/>
      <w:r w:rsidRPr="00C05627" w:rsidR="00C05627">
        <w:t>Alviniussen</w:t>
      </w:r>
      <w:proofErr w:type="spellEnd"/>
      <w:r w:rsidRPr="00C05627" w:rsidR="00C05627">
        <w:t xml:space="preserve"> and </w:t>
      </w:r>
      <w:proofErr w:type="spellStart"/>
      <w:r w:rsidRPr="00C05627" w:rsidR="00C05627">
        <w:t>Jankensgard</w:t>
      </w:r>
      <w:proofErr w:type="spellEnd"/>
      <w:r w:rsidRPr="00C05627" w:rsidR="00C05627">
        <w:t>, 2020)</w:t>
      </w:r>
      <w:r>
        <w:t>.</w:t>
      </w:r>
    </w:p>
    <w:p w:rsidR="008115D3" w:rsidP="008115D3" w:rsidRDefault="008115D3" w14:paraId="499657C4" w14:textId="4B860255">
      <w:r>
        <w:t xml:space="preserve">Every strategy has its slight benefits and drawbacks. On the other hand, hedging gives assurance by eliminating risk factors but this may also result </w:t>
      </w:r>
      <w:r w:rsidR="00DE1A6B">
        <w:t>in</w:t>
      </w:r>
      <w:r>
        <w:t xml:space="preserve"> certain costs especially when the exchange rate movements would have rewarded the firm’s decision to hedge. Natural hedging uses operational links and therefore it may not completely offset currency risks. Since leading and lagging strategies entail a forecast and market timing appropriately, they are consequently more complicated. Having various currencies helps, spread the risk but the main disadvantage, the management of the various currencies complicates the process of managing the organisation’s finances. Counterparties and legal </w:t>
      </w:r>
      <w:r w:rsidR="00DE1A6B">
        <w:t>are</w:t>
      </w:r>
      <w:r>
        <w:t xml:space="preserve"> the essence of risk-sharing agreements</w:t>
      </w:r>
      <w:r w:rsidRPr="00C05627" w:rsidR="00C05627">
        <w:t xml:space="preserve"> (Qarni and Gulzar, 2021)</w:t>
      </w:r>
      <w:r>
        <w:t>.</w:t>
      </w:r>
    </w:p>
    <w:p w:rsidR="008115D3" w:rsidP="00FA6836" w:rsidRDefault="008115D3" w14:paraId="69FE543D" w14:textId="77777777">
      <w:pPr>
        <w:pStyle w:val="Heading1"/>
      </w:pPr>
      <w:bookmarkStart w:name="_Toc172833537" w:id="12"/>
      <w:r>
        <w:t>Conclusion</w:t>
      </w:r>
      <w:bookmarkEnd w:id="12"/>
    </w:p>
    <w:p w:rsidR="00331D87" w:rsidP="008115D3" w:rsidRDefault="00D56E4A" w14:paraId="1FC32978" w14:textId="3B5A8183">
      <w:r>
        <w:t>In conclusion</w:t>
      </w:r>
      <w:r w:rsidR="004C771C">
        <w:t>,</w:t>
      </w:r>
      <w:r w:rsidR="008115D3">
        <w:t xml:space="preserve"> </w:t>
      </w:r>
      <w:r w:rsidR="00DE1A6B">
        <w:t>MNCS need to implement</w:t>
      </w:r>
      <w:r w:rsidR="008115D3">
        <w:t xml:space="preserve"> sound strategies for the management of foreign exchange risks </w:t>
      </w:r>
      <w:r w:rsidR="00DE1A6B">
        <w:t>to</w:t>
      </w:r>
      <w:r w:rsidR="008115D3">
        <w:t xml:space="preserve"> ensure that MNCs do not lose their financial soundness and viably compete across borders. Thus, by using hedging, using natural offsets, diversification, and adjusting operational structures, the effects of currency risk may be reduced by MNCs. </w:t>
      </w:r>
      <w:r w:rsidR="004C771C">
        <w:t>However,</w:t>
      </w:r>
      <w:r w:rsidR="008115D3">
        <w:t xml:space="preserve"> each strategy has its strengths and weaknesses and thus </w:t>
      </w:r>
      <w:r w:rsidR="00DE1A6B">
        <w:t>requires</w:t>
      </w:r>
      <w:r w:rsidR="008115D3">
        <w:t xml:space="preserve"> a complete and changing risk control system. In the future, MNCs will need to explain shifts in market conditions and innovation in financial technology to overcome global risks of exchanges.</w:t>
      </w:r>
    </w:p>
    <w:p w:rsidR="00331D87" w:rsidRDefault="00331D87" w14:paraId="6C04D5DC" w14:textId="77777777">
      <w:pPr>
        <w:spacing w:before="0" w:after="160" w:line="259" w:lineRule="auto"/>
        <w:jc w:val="left"/>
      </w:pPr>
      <w:r>
        <w:br w:type="page"/>
      </w:r>
    </w:p>
    <w:p w:rsidRPr="00E35255" w:rsidR="003352C9" w:rsidP="00FA6836" w:rsidRDefault="00331D87" w14:paraId="32154AD7" w14:textId="34185392">
      <w:pPr>
        <w:pStyle w:val="Heading1"/>
      </w:pPr>
      <w:bookmarkStart w:name="_Toc172833538" w:id="13"/>
      <w:r w:rsidRPr="00E35255">
        <w:lastRenderedPageBreak/>
        <w:t>References</w:t>
      </w:r>
      <w:bookmarkEnd w:id="13"/>
    </w:p>
    <w:p w:rsidR="00910B32" w:rsidP="00910B32" w:rsidRDefault="00910B32" w14:paraId="32421A6F" w14:textId="6C039F04">
      <w:pPr>
        <w:rPr>
          <w:lang w:val="en-US"/>
        </w:rPr>
      </w:pPr>
      <w:r w:rsidRPr="00910B32">
        <w:rPr>
          <w:lang w:val="en-US"/>
        </w:rPr>
        <w:t>Augustin, P. </w:t>
      </w:r>
      <w:r w:rsidRPr="00910B32">
        <w:rPr>
          <w:i/>
          <w:iCs/>
          <w:lang w:val="en-US"/>
        </w:rPr>
        <w:t>et al.</w:t>
      </w:r>
      <w:r w:rsidRPr="00910B32">
        <w:rPr>
          <w:lang w:val="en-US"/>
        </w:rPr>
        <w:t> (2024) “The term structure of covered interest rate parity violations,” </w:t>
      </w:r>
      <w:r w:rsidRPr="00910B32">
        <w:rPr>
          <w:i/>
          <w:iCs/>
          <w:lang w:val="en-US"/>
        </w:rPr>
        <w:t>The journal of finance</w:t>
      </w:r>
      <w:r w:rsidRPr="00910B32">
        <w:rPr>
          <w:lang w:val="en-US"/>
        </w:rPr>
        <w:t>, 79(3), pp. 2077–2114. doi: 10.1111/jofi.13336.</w:t>
      </w:r>
    </w:p>
    <w:p w:rsidRPr="00910B32" w:rsidR="00910B32" w:rsidP="00910B32" w:rsidRDefault="00910B32" w14:paraId="61F852D7" w14:textId="0325B06F">
      <w:pPr>
        <w:rPr>
          <w:lang w:val="en-US"/>
        </w:rPr>
      </w:pPr>
      <w:r w:rsidRPr="00910B32">
        <w:rPr>
          <w:lang w:val="en-US"/>
        </w:rPr>
        <w:t xml:space="preserve">Bekaert, G. and Hodrick, R. (2012) </w:t>
      </w:r>
      <w:r w:rsidRPr="00910B32">
        <w:rPr>
          <w:i/>
          <w:iCs/>
          <w:lang w:val="en-US"/>
        </w:rPr>
        <w:t>International financial management</w:t>
      </w:r>
      <w:r w:rsidRPr="00910B32">
        <w:rPr>
          <w:lang w:val="en-US"/>
        </w:rPr>
        <w:t>. 2nd ed. Pearson Education.</w:t>
      </w:r>
    </w:p>
    <w:p w:rsidRPr="00910B32" w:rsidR="00910B32" w:rsidP="00910B32" w:rsidRDefault="00910B32" w14:paraId="2CFCF116" w14:textId="77777777">
      <w:pPr>
        <w:rPr>
          <w:lang w:val="en-US"/>
        </w:rPr>
      </w:pPr>
      <w:r w:rsidRPr="00910B32">
        <w:rPr>
          <w:lang w:val="en-US"/>
        </w:rPr>
        <w:t>Bhalla, V. K. (2022) </w:t>
      </w:r>
      <w:r w:rsidRPr="00910B32">
        <w:rPr>
          <w:i/>
          <w:iCs/>
          <w:lang w:val="en-US"/>
        </w:rPr>
        <w:t>International financial management: Texts and cases</w:t>
      </w:r>
      <w:r w:rsidRPr="00910B32">
        <w:rPr>
          <w:lang w:val="en-US"/>
        </w:rPr>
        <w:t>. New Delhi, India: Anmol Publications.</w:t>
      </w:r>
    </w:p>
    <w:p w:rsidRPr="00910B32" w:rsidR="00910B32" w:rsidP="00910B32" w:rsidRDefault="00910B32" w14:paraId="7EB9ADE2" w14:textId="77777777">
      <w:pPr>
        <w:rPr>
          <w:lang w:val="en-US"/>
        </w:rPr>
      </w:pPr>
      <w:r w:rsidRPr="00910B32">
        <w:rPr>
          <w:lang w:val="en-US"/>
        </w:rPr>
        <w:t>Gautam, A., Jaiswal, T. and Keshari, A. (2023) </w:t>
      </w:r>
      <w:r w:rsidRPr="00910B32">
        <w:rPr>
          <w:i/>
          <w:iCs/>
          <w:lang w:val="en-US"/>
        </w:rPr>
        <w:t>International financial management</w:t>
      </w:r>
      <w:r w:rsidRPr="00910B32">
        <w:rPr>
          <w:lang w:val="en-US"/>
        </w:rPr>
        <w:t>. Delhi, India: PHI Learning.</w:t>
      </w:r>
    </w:p>
    <w:p w:rsidRPr="00910B32" w:rsidR="00910B32" w:rsidP="00910B32" w:rsidRDefault="00910B32" w14:paraId="3450AF96" w14:textId="77777777">
      <w:pPr>
        <w:rPr>
          <w:lang w:val="en-US"/>
        </w:rPr>
      </w:pPr>
      <w:r w:rsidRPr="00910B32">
        <w:rPr>
          <w:lang w:val="en-US"/>
        </w:rPr>
        <w:t>Greenwald, B. C. N., Sloan School of Management and Stein, J. C. (2023) </w:t>
      </w:r>
      <w:r w:rsidRPr="00910B32">
        <w:rPr>
          <w:i/>
          <w:iCs/>
          <w:lang w:val="en-US"/>
        </w:rPr>
        <w:t>Transactional risk, market crashes, and the role of circuit breakers</w:t>
      </w:r>
      <w:r w:rsidRPr="00910B32">
        <w:rPr>
          <w:lang w:val="en-US"/>
        </w:rPr>
        <w:t>. Legare Street Press.</w:t>
      </w:r>
    </w:p>
    <w:p w:rsidR="00910B32" w:rsidP="000F26DC" w:rsidRDefault="00910B32" w14:paraId="2E4C3182" w14:textId="57EE37F0">
      <w:pPr>
        <w:rPr>
          <w:lang w:val="en-US"/>
        </w:rPr>
      </w:pPr>
      <w:r w:rsidRPr="00910B32">
        <w:rPr>
          <w:lang w:val="en-US"/>
        </w:rPr>
        <w:t>Jacque, L. L. (2013) </w:t>
      </w:r>
      <w:r w:rsidRPr="00910B32">
        <w:rPr>
          <w:i/>
          <w:iCs/>
          <w:lang w:val="en-US"/>
        </w:rPr>
        <w:t>Management and control of foreign exchange risk</w:t>
      </w:r>
      <w:r w:rsidRPr="00910B32">
        <w:rPr>
          <w:lang w:val="en-US"/>
        </w:rPr>
        <w:t>. 1996th ed. Dordrecht, Netherlands: Springer.</w:t>
      </w:r>
    </w:p>
    <w:p w:rsidRPr="00910B32" w:rsidR="00910B32" w:rsidP="00910B32" w:rsidRDefault="00910B32" w14:paraId="5F0B8E9B" w14:textId="780C6D44">
      <w:pPr>
        <w:rPr>
          <w:lang w:val="en-US"/>
        </w:rPr>
      </w:pPr>
      <w:r w:rsidRPr="00910B32">
        <w:rPr>
          <w:lang w:val="en-US"/>
        </w:rPr>
        <w:t>Ji, M. (2018) </w:t>
      </w:r>
      <w:r w:rsidRPr="00910B32">
        <w:rPr>
          <w:i/>
          <w:iCs/>
          <w:lang w:val="en-US"/>
        </w:rPr>
        <w:t>Translation and health risk knowledge building in China</w:t>
      </w:r>
      <w:r w:rsidRPr="00910B32">
        <w:rPr>
          <w:lang w:val="en-US"/>
        </w:rPr>
        <w:t>. Singapore, Singapore: Springer.</w:t>
      </w:r>
    </w:p>
    <w:p w:rsidRPr="00910B32" w:rsidR="00910B32" w:rsidP="00910B32" w:rsidRDefault="00910B32" w14:paraId="6D78752E" w14:textId="0FC8C291">
      <w:pPr>
        <w:rPr>
          <w:lang w:val="en-US"/>
        </w:rPr>
      </w:pPr>
      <w:r w:rsidRPr="00910B32">
        <w:rPr>
          <w:lang w:val="en-US"/>
        </w:rPr>
        <w:t>Lum, Y. C. and Islam, S. M. N. (2022) </w:t>
      </w:r>
      <w:r w:rsidRPr="00910B32">
        <w:rPr>
          <w:i/>
          <w:iCs/>
          <w:lang w:val="en-US"/>
        </w:rPr>
        <w:t>Management of foreign exchange risk: Evidence from developing economies</w:t>
      </w:r>
      <w:r w:rsidRPr="00910B32">
        <w:rPr>
          <w:lang w:val="en-US"/>
        </w:rPr>
        <w:t>. London, England: Routledge.</w:t>
      </w:r>
    </w:p>
    <w:p w:rsidRPr="00910B32" w:rsidR="00910B32" w:rsidP="00910B32" w:rsidRDefault="00910B32" w14:paraId="0F11B7F8" w14:textId="23DCE7B4">
      <w:pPr>
        <w:rPr>
          <w:lang w:val="en-US"/>
        </w:rPr>
      </w:pPr>
      <w:proofErr w:type="spellStart"/>
      <w:r w:rsidRPr="00910B32">
        <w:rPr>
          <w:lang w:val="en-US"/>
        </w:rPr>
        <w:t>Lundstrum</w:t>
      </w:r>
      <w:proofErr w:type="spellEnd"/>
      <w:r w:rsidRPr="00910B32">
        <w:rPr>
          <w:lang w:val="en-US"/>
        </w:rPr>
        <w:t>, L. L. (2021) “Emerging market diversification benefits: Stock funds versus currency funds,” </w:t>
      </w:r>
      <w:r w:rsidRPr="00910B32">
        <w:rPr>
          <w:i/>
          <w:iCs/>
          <w:lang w:val="en-US"/>
        </w:rPr>
        <w:t>The journal of wealth management</w:t>
      </w:r>
      <w:r w:rsidRPr="00910B32">
        <w:rPr>
          <w:lang w:val="en-US"/>
        </w:rPr>
        <w:t>, 24(2), pp. 82–91. doi: 10.3905/jwm.2021.1.140.</w:t>
      </w:r>
    </w:p>
    <w:p w:rsidRPr="000F26DC" w:rsidR="000F26DC" w:rsidP="000F26DC" w:rsidRDefault="000F26DC" w14:paraId="44C37AD3" w14:textId="79A04363">
      <w:pPr>
        <w:rPr>
          <w:lang w:val="en-US"/>
        </w:rPr>
      </w:pPr>
      <w:r w:rsidRPr="000F26DC">
        <w:rPr>
          <w:lang w:val="en-US"/>
        </w:rPr>
        <w:t xml:space="preserve">Madura, J. and Fox, R. (2011) </w:t>
      </w:r>
      <w:r w:rsidRPr="000F26DC">
        <w:rPr>
          <w:i/>
          <w:iCs/>
          <w:lang w:val="en-US"/>
        </w:rPr>
        <w:t>International financial management</w:t>
      </w:r>
      <w:r w:rsidRPr="000F26DC">
        <w:rPr>
          <w:lang w:val="en-US"/>
        </w:rPr>
        <w:t>. 2nd ed. Cengage Learning EMEA.</w:t>
      </w:r>
    </w:p>
    <w:p w:rsidR="00910B32" w:rsidP="000F26DC" w:rsidRDefault="00910B32" w14:paraId="2D824510" w14:textId="3BC0E4AA">
      <w:pPr>
        <w:rPr>
          <w:lang w:val="en-US"/>
        </w:rPr>
      </w:pPr>
      <w:r w:rsidRPr="00910B32">
        <w:rPr>
          <w:lang w:val="en-US"/>
        </w:rPr>
        <w:t>Miller, N. C. (2014) </w:t>
      </w:r>
      <w:r w:rsidRPr="00910B32">
        <w:rPr>
          <w:i/>
          <w:iCs/>
          <w:lang w:val="en-US"/>
        </w:rPr>
        <w:t>Exchange rate economics: The uncovered interest parity puzzle and other anomalies</w:t>
      </w:r>
      <w:r w:rsidRPr="00910B32">
        <w:rPr>
          <w:lang w:val="en-US"/>
        </w:rPr>
        <w:t>. Cheltenham, England: Edward Elgar Publishing.</w:t>
      </w:r>
    </w:p>
    <w:p w:rsidRPr="00910B32" w:rsidR="00910B32" w:rsidP="00910B32" w:rsidRDefault="00910B32" w14:paraId="17E65A02" w14:textId="77777777">
      <w:pPr>
        <w:rPr>
          <w:lang w:val="en-US"/>
        </w:rPr>
      </w:pPr>
      <w:proofErr w:type="spellStart"/>
      <w:r w:rsidRPr="00910B32">
        <w:rPr>
          <w:lang w:val="en-US"/>
        </w:rPr>
        <w:t>Oxelheim</w:t>
      </w:r>
      <w:proofErr w:type="spellEnd"/>
      <w:r w:rsidRPr="00910B32">
        <w:rPr>
          <w:lang w:val="en-US"/>
        </w:rPr>
        <w:t xml:space="preserve">, L., </w:t>
      </w:r>
      <w:proofErr w:type="spellStart"/>
      <w:r w:rsidRPr="00910B32">
        <w:rPr>
          <w:lang w:val="en-US"/>
        </w:rPr>
        <w:t>Alviniussen</w:t>
      </w:r>
      <w:proofErr w:type="spellEnd"/>
      <w:r w:rsidRPr="00910B32">
        <w:rPr>
          <w:lang w:val="en-US"/>
        </w:rPr>
        <w:t xml:space="preserve">, A. and </w:t>
      </w:r>
      <w:proofErr w:type="spellStart"/>
      <w:r w:rsidRPr="00910B32">
        <w:rPr>
          <w:lang w:val="en-US"/>
        </w:rPr>
        <w:t>Jankensgard</w:t>
      </w:r>
      <w:proofErr w:type="spellEnd"/>
      <w:r w:rsidRPr="00910B32">
        <w:rPr>
          <w:lang w:val="en-US"/>
        </w:rPr>
        <w:t>, H. (2020) </w:t>
      </w:r>
      <w:r w:rsidRPr="00910B32">
        <w:rPr>
          <w:i/>
          <w:iCs/>
          <w:lang w:val="en-US"/>
        </w:rPr>
        <w:t>Corporate foreign exchange risk management</w:t>
      </w:r>
      <w:r w:rsidRPr="00910B32">
        <w:rPr>
          <w:lang w:val="en-US"/>
        </w:rPr>
        <w:t>. Nashville, TN: John Wiley &amp; Sons.</w:t>
      </w:r>
    </w:p>
    <w:p w:rsidRPr="00910B32" w:rsidR="00910B32" w:rsidP="00910B32" w:rsidRDefault="00910B32" w14:paraId="565E8F19" w14:textId="77777777">
      <w:pPr>
        <w:rPr>
          <w:lang w:val="en-US"/>
        </w:rPr>
      </w:pPr>
      <w:r w:rsidRPr="00910B32">
        <w:rPr>
          <w:lang w:val="en-US"/>
        </w:rPr>
        <w:lastRenderedPageBreak/>
        <w:t>Qarni, M. O. and Gulzar, S. (2021) “Portfolio diversification benefits of alternative currency investment in Bitcoin and foreign exchange markets,” </w:t>
      </w:r>
      <w:r w:rsidRPr="00910B32">
        <w:rPr>
          <w:i/>
          <w:iCs/>
          <w:lang w:val="en-US"/>
        </w:rPr>
        <w:t>Financial innovation</w:t>
      </w:r>
      <w:r w:rsidRPr="00910B32">
        <w:rPr>
          <w:lang w:val="en-US"/>
        </w:rPr>
        <w:t>, 7(1). doi: 10.1186/s40854-021-00233-5.</w:t>
      </w:r>
    </w:p>
    <w:p w:rsidRPr="000F26DC" w:rsidR="000F26DC" w:rsidP="000F26DC" w:rsidRDefault="000F26DC" w14:paraId="6A7E601B" w14:textId="68E4D312">
      <w:pPr>
        <w:rPr>
          <w:lang w:val="en-US"/>
        </w:rPr>
      </w:pPr>
      <w:r w:rsidRPr="000F26DC">
        <w:rPr>
          <w:lang w:val="en-US"/>
        </w:rPr>
        <w:t xml:space="preserve">Shapiro, A.C. (2010) </w:t>
      </w:r>
      <w:r w:rsidRPr="000F26DC">
        <w:rPr>
          <w:i/>
          <w:iCs/>
          <w:lang w:val="en-US"/>
        </w:rPr>
        <w:t>Multinational financial management</w:t>
      </w:r>
      <w:r w:rsidRPr="000F26DC">
        <w:rPr>
          <w:lang w:val="en-US"/>
        </w:rPr>
        <w:t>. 9th ed. International Student Version. John Wiley &amp; Sons.</w:t>
      </w:r>
    </w:p>
    <w:p w:rsidRPr="00910B32" w:rsidR="00910B32" w:rsidP="00910B32" w:rsidRDefault="00910B32" w14:paraId="64FCA5C9" w14:textId="77777777">
      <w:pPr>
        <w:rPr>
          <w:lang w:val="en-US"/>
        </w:rPr>
      </w:pPr>
      <w:r w:rsidRPr="00910B32">
        <w:rPr>
          <w:lang w:val="en-US"/>
        </w:rPr>
        <w:t>Smith, V. K. (2022) </w:t>
      </w:r>
      <w:r w:rsidRPr="00910B32">
        <w:rPr>
          <w:i/>
          <w:iCs/>
          <w:lang w:val="en-US"/>
        </w:rPr>
        <w:t>The economics of environmental risk: Information, perception and valuation</w:t>
      </w:r>
      <w:r w:rsidRPr="00910B32">
        <w:rPr>
          <w:lang w:val="en-US"/>
        </w:rPr>
        <w:t>. Cheltenham, England: Edward Elgar Publishing.</w:t>
      </w:r>
    </w:p>
    <w:p w:rsidRPr="00910B32" w:rsidR="00910B32" w:rsidP="00910B32" w:rsidRDefault="00910B32" w14:paraId="49158892" w14:textId="77777777">
      <w:pPr>
        <w:rPr>
          <w:lang w:val="en-US"/>
        </w:rPr>
      </w:pPr>
      <w:r w:rsidRPr="00910B32">
        <w:rPr>
          <w:lang w:val="en-US"/>
        </w:rPr>
        <w:t>Spjut, R. J. (2020) </w:t>
      </w:r>
      <w:r w:rsidRPr="00910B32">
        <w:rPr>
          <w:i/>
          <w:iCs/>
          <w:lang w:val="en-US"/>
        </w:rPr>
        <w:t>Transaction risk: A legal guide to contractual management strategies</w:t>
      </w:r>
      <w:r w:rsidRPr="00910B32">
        <w:rPr>
          <w:lang w:val="en-US"/>
        </w:rPr>
        <w:t>. American Bar Association.</w:t>
      </w:r>
    </w:p>
    <w:p w:rsidRPr="00910B32" w:rsidR="00910B32" w:rsidP="00910B32" w:rsidRDefault="00910B32" w14:paraId="600DC882" w14:textId="77777777">
      <w:pPr>
        <w:rPr>
          <w:lang w:val="en-US"/>
        </w:rPr>
      </w:pPr>
      <w:r w:rsidRPr="00910B32">
        <w:rPr>
          <w:lang w:val="en-US"/>
        </w:rPr>
        <w:t>Suhadi, I. A. (2024) “Impact of intellectual capital on financial performance with company size moderation,” </w:t>
      </w:r>
      <w:r w:rsidRPr="00910B32">
        <w:rPr>
          <w:i/>
          <w:iCs/>
          <w:lang w:val="en-US"/>
        </w:rPr>
        <w:t>International Journal of Financial, Accounting, and Management</w:t>
      </w:r>
      <w:r w:rsidRPr="00910B32">
        <w:rPr>
          <w:lang w:val="en-US"/>
        </w:rPr>
        <w:t>, 6(1), pp. 47–59. doi: 10.35912/ijfam.v6i1.1833.</w:t>
      </w:r>
    </w:p>
    <w:p w:rsidR="00331D87" w:rsidP="000F26DC" w:rsidRDefault="00331D87" w14:paraId="244ADDAF" w14:textId="69217CF4"/>
    <w:sectPr w:rsidR="00331D87" w:rsidSect="00615919">
      <w:footerReference w:type="default" r:id="rId8"/>
      <w:pgSz w:w="11906" w:h="16838" w:orient="portrait"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B960B1" w:rsidP="00973FC7" w:rsidRDefault="00B960B1" w14:paraId="60DB78C9" w14:textId="77777777">
      <w:pPr>
        <w:spacing w:before="0" w:after="0" w:line="240" w:lineRule="auto"/>
      </w:pPr>
      <w:r>
        <w:separator/>
      </w:r>
    </w:p>
  </w:endnote>
  <w:endnote w:type="continuationSeparator" w:id="0">
    <w:p w:rsidR="00B960B1" w:rsidP="00973FC7" w:rsidRDefault="00B960B1" w14:paraId="78324631" w14:textId="7777777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06037142"/>
      <w:docPartObj>
        <w:docPartGallery w:val="Page Numbers (Bottom of Page)"/>
        <w:docPartUnique/>
      </w:docPartObj>
    </w:sdtPr>
    <w:sdtContent>
      <w:p w:rsidR="00615919" w:rsidRDefault="00615919" w14:paraId="47FAD469" w14:textId="1340B20A">
        <w:pPr>
          <w:pStyle w:val="Footer"/>
          <w:jc w:val="center"/>
        </w:pPr>
        <w:r>
          <w:fldChar w:fldCharType="begin"/>
        </w:r>
        <w:r>
          <w:instrText>PAGE   \* MERGEFORMAT</w:instrText>
        </w:r>
        <w:r>
          <w:fldChar w:fldCharType="separate"/>
        </w:r>
        <w:r>
          <w:t>2</w:t>
        </w:r>
        <w:r>
          <w:fldChar w:fldCharType="end"/>
        </w:r>
      </w:p>
    </w:sdtContent>
  </w:sdt>
  <w:p w:rsidR="00615919" w:rsidRDefault="00615919" w14:paraId="2DC6085B"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B960B1" w:rsidP="00973FC7" w:rsidRDefault="00B960B1" w14:paraId="2E9BAFD6" w14:textId="77777777">
      <w:pPr>
        <w:spacing w:before="0" w:after="0" w:line="240" w:lineRule="auto"/>
      </w:pPr>
      <w:r>
        <w:separator/>
      </w:r>
    </w:p>
  </w:footnote>
  <w:footnote w:type="continuationSeparator" w:id="0">
    <w:p w:rsidR="00B960B1" w:rsidP="00973FC7" w:rsidRDefault="00B960B1" w14:paraId="3B05D6FF" w14:textId="77777777">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5A2C"/>
    <w:rsid w:val="00000000"/>
    <w:rsid w:val="00053D8F"/>
    <w:rsid w:val="00066C63"/>
    <w:rsid w:val="000855DC"/>
    <w:rsid w:val="000B2CF8"/>
    <w:rsid w:val="000F26DC"/>
    <w:rsid w:val="00102C34"/>
    <w:rsid w:val="001D0793"/>
    <w:rsid w:val="001D7A87"/>
    <w:rsid w:val="00254BB9"/>
    <w:rsid w:val="002D1E88"/>
    <w:rsid w:val="00316687"/>
    <w:rsid w:val="00331D87"/>
    <w:rsid w:val="003352C9"/>
    <w:rsid w:val="00371AE7"/>
    <w:rsid w:val="003775C8"/>
    <w:rsid w:val="003B0806"/>
    <w:rsid w:val="003D0D34"/>
    <w:rsid w:val="004B103C"/>
    <w:rsid w:val="004C771C"/>
    <w:rsid w:val="00544E63"/>
    <w:rsid w:val="0056760F"/>
    <w:rsid w:val="0057332F"/>
    <w:rsid w:val="00574329"/>
    <w:rsid w:val="00587836"/>
    <w:rsid w:val="005B2749"/>
    <w:rsid w:val="005F677A"/>
    <w:rsid w:val="00615919"/>
    <w:rsid w:val="0061675A"/>
    <w:rsid w:val="00627BD1"/>
    <w:rsid w:val="00681EB5"/>
    <w:rsid w:val="006B0218"/>
    <w:rsid w:val="006F6F54"/>
    <w:rsid w:val="00800087"/>
    <w:rsid w:val="008115D3"/>
    <w:rsid w:val="00856E59"/>
    <w:rsid w:val="00870F80"/>
    <w:rsid w:val="00910B32"/>
    <w:rsid w:val="009223E8"/>
    <w:rsid w:val="009357BD"/>
    <w:rsid w:val="00961408"/>
    <w:rsid w:val="00967919"/>
    <w:rsid w:val="009713EC"/>
    <w:rsid w:val="00973FC7"/>
    <w:rsid w:val="009E24C7"/>
    <w:rsid w:val="00A05788"/>
    <w:rsid w:val="00A342DA"/>
    <w:rsid w:val="00A65EA7"/>
    <w:rsid w:val="00A76094"/>
    <w:rsid w:val="00AD2EFC"/>
    <w:rsid w:val="00B317C8"/>
    <w:rsid w:val="00B63561"/>
    <w:rsid w:val="00B63A32"/>
    <w:rsid w:val="00B960B1"/>
    <w:rsid w:val="00BB51B2"/>
    <w:rsid w:val="00C05627"/>
    <w:rsid w:val="00C44E38"/>
    <w:rsid w:val="00CE0695"/>
    <w:rsid w:val="00D56E4A"/>
    <w:rsid w:val="00D927A6"/>
    <w:rsid w:val="00DA2126"/>
    <w:rsid w:val="00DD59A7"/>
    <w:rsid w:val="00DE1A6B"/>
    <w:rsid w:val="00E35255"/>
    <w:rsid w:val="00EF66CD"/>
    <w:rsid w:val="00F05E81"/>
    <w:rsid w:val="00F25A2C"/>
    <w:rsid w:val="00FA6836"/>
    <w:rsid w:val="00FD0BC8"/>
    <w:rsid w:val="06D9123F"/>
    <w:rsid w:val="2AFF874C"/>
    <w:rsid w:val="52C4562B"/>
    <w:rsid w:val="5F90507B"/>
    <w:rsid w:val="6A1B286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7137E5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9E24C7"/>
    <w:pPr>
      <w:spacing w:before="240" w:after="120" w:line="360" w:lineRule="auto"/>
      <w:jc w:val="both"/>
    </w:pPr>
    <w:rPr>
      <w:rFonts w:ascii="Times New Roman" w:hAnsi="Times New Roman" w:cs="Times New Roman"/>
      <w:sz w:val="24"/>
    </w:rPr>
  </w:style>
  <w:style w:type="paragraph" w:styleId="Heading1">
    <w:name w:val="heading 1"/>
    <w:basedOn w:val="Normal"/>
    <w:next w:val="Normal"/>
    <w:link w:val="Heading1Char"/>
    <w:uiPriority w:val="9"/>
    <w:qFormat/>
    <w:rsid w:val="004B103C"/>
    <w:pPr>
      <w:keepNext/>
      <w:keepLines/>
      <w:spacing w:before="400" w:line="276" w:lineRule="auto"/>
      <w:jc w:val="left"/>
      <w:outlineLvl w:val="0"/>
    </w:pPr>
    <w:rPr>
      <w:rFonts w:eastAsia="Arial"/>
      <w:b/>
      <w:bCs/>
      <w:sz w:val="32"/>
      <w:szCs w:val="40"/>
      <w:lang w:val="en" w:eastAsia="en-GB"/>
    </w:rPr>
  </w:style>
  <w:style w:type="paragraph" w:styleId="Heading2">
    <w:name w:val="heading 2"/>
    <w:basedOn w:val="Normal"/>
    <w:next w:val="Normal"/>
    <w:link w:val="Heading2Char"/>
    <w:uiPriority w:val="9"/>
    <w:unhideWhenUsed/>
    <w:qFormat/>
    <w:rsid w:val="004B103C"/>
    <w:pPr>
      <w:keepNext/>
      <w:keepLines/>
      <w:spacing w:before="360" w:line="276" w:lineRule="auto"/>
      <w:jc w:val="left"/>
      <w:outlineLvl w:val="1"/>
    </w:pPr>
    <w:rPr>
      <w:rFonts w:eastAsia="Arial"/>
      <w:b/>
      <w:bCs/>
      <w:sz w:val="28"/>
      <w:szCs w:val="32"/>
      <w:lang w:val="en" w:eastAsia="en-GB"/>
    </w:rPr>
  </w:style>
  <w:style w:type="paragraph" w:styleId="Heading3">
    <w:name w:val="heading 3"/>
    <w:basedOn w:val="Normal"/>
    <w:next w:val="Normal"/>
    <w:link w:val="Heading3Char"/>
    <w:autoRedefine/>
    <w:uiPriority w:val="9"/>
    <w:unhideWhenUsed/>
    <w:qFormat/>
    <w:rsid w:val="00066C63"/>
    <w:pPr>
      <w:keepNext/>
      <w:keepLines/>
      <w:spacing w:before="40"/>
      <w:outlineLvl w:val="2"/>
    </w:pPr>
    <w:rPr>
      <w:rFonts w:eastAsiaTheme="majorEastAsia" w:cstheme="majorBidi"/>
      <w:b/>
      <w:color w:val="1F3763" w:themeColor="accent1" w:themeShade="7F"/>
      <w:sz w:val="26"/>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basedOn w:val="DefaultParagraphFont"/>
    <w:link w:val="Heading2"/>
    <w:uiPriority w:val="9"/>
    <w:rsid w:val="004B103C"/>
    <w:rPr>
      <w:rFonts w:ascii="Times New Roman" w:hAnsi="Times New Roman" w:eastAsia="Arial" w:cs="Times New Roman"/>
      <w:b/>
      <w:bCs/>
      <w:sz w:val="28"/>
      <w:szCs w:val="32"/>
      <w:lang w:val="en" w:eastAsia="en-GB"/>
    </w:rPr>
  </w:style>
  <w:style w:type="character" w:styleId="Heading1Char" w:customStyle="1">
    <w:name w:val="Heading 1 Char"/>
    <w:basedOn w:val="DefaultParagraphFont"/>
    <w:link w:val="Heading1"/>
    <w:uiPriority w:val="9"/>
    <w:rsid w:val="004B103C"/>
    <w:rPr>
      <w:rFonts w:ascii="Times New Roman" w:hAnsi="Times New Roman" w:eastAsia="Arial" w:cs="Times New Roman"/>
      <w:b/>
      <w:bCs/>
      <w:sz w:val="32"/>
      <w:szCs w:val="40"/>
      <w:lang w:val="en" w:eastAsia="en-GB"/>
    </w:rPr>
  </w:style>
  <w:style w:type="paragraph" w:styleId="Title">
    <w:name w:val="Title"/>
    <w:basedOn w:val="Normal"/>
    <w:next w:val="Normal"/>
    <w:link w:val="TitleChar"/>
    <w:autoRedefine/>
    <w:uiPriority w:val="10"/>
    <w:qFormat/>
    <w:rsid w:val="009357BD"/>
    <w:pPr>
      <w:spacing w:before="360" w:after="240"/>
      <w:contextualSpacing/>
      <w:jc w:val="center"/>
    </w:pPr>
    <w:rPr>
      <w:rFonts w:eastAsiaTheme="majorEastAsia" w:cstheme="majorBidi"/>
      <w:spacing w:val="-10"/>
      <w:kern w:val="28"/>
      <w:sz w:val="32"/>
      <w:szCs w:val="32"/>
    </w:rPr>
  </w:style>
  <w:style w:type="character" w:styleId="TitleChar" w:customStyle="1">
    <w:name w:val="Title Char"/>
    <w:basedOn w:val="DefaultParagraphFont"/>
    <w:link w:val="Title"/>
    <w:uiPriority w:val="10"/>
    <w:rsid w:val="009357BD"/>
    <w:rPr>
      <w:rFonts w:ascii="Times New Roman" w:hAnsi="Times New Roman" w:eastAsiaTheme="majorEastAsia" w:cstheme="majorBidi"/>
      <w:spacing w:val="-10"/>
      <w:kern w:val="28"/>
      <w:sz w:val="32"/>
      <w:szCs w:val="32"/>
    </w:rPr>
  </w:style>
  <w:style w:type="character" w:styleId="Heading3Char" w:customStyle="1">
    <w:name w:val="Heading 3 Char"/>
    <w:basedOn w:val="DefaultParagraphFont"/>
    <w:link w:val="Heading3"/>
    <w:uiPriority w:val="9"/>
    <w:rsid w:val="00066C63"/>
    <w:rPr>
      <w:rFonts w:ascii="Times New Roman" w:hAnsi="Times New Roman" w:eastAsiaTheme="majorEastAsia" w:cstheme="majorBidi"/>
      <w:b/>
      <w:color w:val="1F3763" w:themeColor="accent1" w:themeShade="7F"/>
      <w:sz w:val="26"/>
      <w:szCs w:val="24"/>
    </w:rPr>
  </w:style>
  <w:style w:type="paragraph" w:styleId="Header">
    <w:name w:val="header"/>
    <w:basedOn w:val="Normal"/>
    <w:link w:val="HeaderChar"/>
    <w:uiPriority w:val="99"/>
    <w:unhideWhenUsed/>
    <w:rsid w:val="00973FC7"/>
    <w:pPr>
      <w:tabs>
        <w:tab w:val="center" w:pos="4680"/>
        <w:tab w:val="right" w:pos="9360"/>
      </w:tabs>
      <w:spacing w:before="0" w:after="0" w:line="240" w:lineRule="auto"/>
    </w:pPr>
  </w:style>
  <w:style w:type="character" w:styleId="HeaderChar" w:customStyle="1">
    <w:name w:val="Header Char"/>
    <w:basedOn w:val="DefaultParagraphFont"/>
    <w:link w:val="Header"/>
    <w:uiPriority w:val="99"/>
    <w:rsid w:val="00973FC7"/>
    <w:rPr>
      <w:rFonts w:ascii="Times New Roman" w:hAnsi="Times New Roman" w:cs="Times New Roman"/>
      <w:sz w:val="24"/>
    </w:rPr>
  </w:style>
  <w:style w:type="paragraph" w:styleId="Footer">
    <w:name w:val="footer"/>
    <w:basedOn w:val="Normal"/>
    <w:link w:val="FooterChar"/>
    <w:uiPriority w:val="99"/>
    <w:unhideWhenUsed/>
    <w:rsid w:val="00973FC7"/>
    <w:pPr>
      <w:tabs>
        <w:tab w:val="center" w:pos="4680"/>
        <w:tab w:val="right" w:pos="9360"/>
      </w:tabs>
      <w:spacing w:before="0" w:after="0" w:line="240" w:lineRule="auto"/>
    </w:pPr>
  </w:style>
  <w:style w:type="character" w:styleId="FooterChar" w:customStyle="1">
    <w:name w:val="Footer Char"/>
    <w:basedOn w:val="DefaultParagraphFont"/>
    <w:link w:val="Footer"/>
    <w:uiPriority w:val="99"/>
    <w:rsid w:val="00973FC7"/>
    <w:rPr>
      <w:rFonts w:ascii="Times New Roman" w:hAnsi="Times New Roman" w:cs="Times New Roman"/>
      <w:sz w:val="24"/>
    </w:rPr>
  </w:style>
  <w:style w:type="paragraph" w:styleId="TOCHeading">
    <w:name w:val="TOC Heading"/>
    <w:basedOn w:val="Heading1"/>
    <w:next w:val="Normal"/>
    <w:uiPriority w:val="39"/>
    <w:unhideWhenUsed/>
    <w:qFormat/>
    <w:rsid w:val="00CE0695"/>
    <w:pPr>
      <w:spacing w:before="240" w:after="0" w:line="259" w:lineRule="auto"/>
      <w:outlineLvl w:val="9"/>
    </w:pPr>
    <w:rPr>
      <w:rFonts w:asciiTheme="majorHAnsi" w:hAnsiTheme="majorHAnsi" w:eastAsiaTheme="majorEastAsia" w:cstheme="majorBidi"/>
      <w:b w:val="0"/>
      <w:bCs w:val="0"/>
      <w:color w:val="2F5496" w:themeColor="accent1" w:themeShade="BF"/>
      <w:szCs w:val="32"/>
      <w:lang w:val="en-US" w:eastAsia="en-US"/>
    </w:rPr>
  </w:style>
  <w:style w:type="paragraph" w:styleId="TOC1">
    <w:name w:val="toc 1"/>
    <w:basedOn w:val="Normal"/>
    <w:next w:val="Normal"/>
    <w:autoRedefine/>
    <w:uiPriority w:val="39"/>
    <w:unhideWhenUsed/>
    <w:rsid w:val="00CE0695"/>
    <w:pPr>
      <w:spacing w:after="100"/>
    </w:pPr>
  </w:style>
  <w:style w:type="paragraph" w:styleId="TOC2">
    <w:name w:val="toc 2"/>
    <w:basedOn w:val="Normal"/>
    <w:next w:val="Normal"/>
    <w:autoRedefine/>
    <w:uiPriority w:val="39"/>
    <w:unhideWhenUsed/>
    <w:rsid w:val="00CE0695"/>
    <w:pPr>
      <w:spacing w:after="100"/>
      <w:ind w:left="240"/>
    </w:pPr>
  </w:style>
  <w:style w:type="character" w:styleId="Hyperlink">
    <w:name w:val="Hyperlink"/>
    <w:basedOn w:val="DefaultParagraphFont"/>
    <w:uiPriority w:val="99"/>
    <w:unhideWhenUsed/>
    <w:rsid w:val="00CE069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14952679">
      <w:bodyDiv w:val="1"/>
      <w:marLeft w:val="0"/>
      <w:marRight w:val="0"/>
      <w:marTop w:val="0"/>
      <w:marBottom w:val="0"/>
      <w:divBdr>
        <w:top w:val="none" w:sz="0" w:space="0" w:color="auto"/>
        <w:left w:val="none" w:sz="0" w:space="0" w:color="auto"/>
        <w:bottom w:val="none" w:sz="0" w:space="0" w:color="auto"/>
        <w:right w:val="none" w:sz="0" w:space="0" w:color="auto"/>
      </w:divBdr>
      <w:divsChild>
        <w:div w:id="785852937">
          <w:marLeft w:val="0"/>
          <w:marRight w:val="0"/>
          <w:marTop w:val="0"/>
          <w:marBottom w:val="0"/>
          <w:divBdr>
            <w:top w:val="none" w:sz="0" w:space="0" w:color="auto"/>
            <w:left w:val="none" w:sz="0" w:space="0" w:color="auto"/>
            <w:bottom w:val="none" w:sz="0" w:space="0" w:color="auto"/>
            <w:right w:val="none" w:sz="0" w:space="0" w:color="auto"/>
          </w:divBdr>
          <w:divsChild>
            <w:div w:id="142741451">
              <w:marLeft w:val="0"/>
              <w:marRight w:val="0"/>
              <w:marTop w:val="0"/>
              <w:marBottom w:val="0"/>
              <w:divBdr>
                <w:top w:val="none" w:sz="0" w:space="0" w:color="auto"/>
                <w:left w:val="none" w:sz="0" w:space="0" w:color="auto"/>
                <w:bottom w:val="none" w:sz="0" w:space="0" w:color="auto"/>
                <w:right w:val="none" w:sz="0" w:space="0" w:color="auto"/>
              </w:divBdr>
            </w:div>
            <w:div w:id="2041585695">
              <w:marLeft w:val="0"/>
              <w:marRight w:val="0"/>
              <w:marTop w:val="0"/>
              <w:marBottom w:val="0"/>
              <w:divBdr>
                <w:top w:val="none" w:sz="0" w:space="0" w:color="auto"/>
                <w:left w:val="none" w:sz="0" w:space="0" w:color="auto"/>
                <w:bottom w:val="none" w:sz="0" w:space="0" w:color="auto"/>
                <w:right w:val="none" w:sz="0" w:space="0" w:color="auto"/>
              </w:divBdr>
            </w:div>
            <w:div w:id="1229875871">
              <w:marLeft w:val="0"/>
              <w:marRight w:val="0"/>
              <w:marTop w:val="0"/>
              <w:marBottom w:val="0"/>
              <w:divBdr>
                <w:top w:val="none" w:sz="0" w:space="0" w:color="auto"/>
                <w:left w:val="none" w:sz="0" w:space="0" w:color="auto"/>
                <w:bottom w:val="none" w:sz="0" w:space="0" w:color="auto"/>
                <w:right w:val="none" w:sz="0" w:space="0" w:color="auto"/>
              </w:divBdr>
            </w:div>
            <w:div w:id="256789274">
              <w:marLeft w:val="0"/>
              <w:marRight w:val="0"/>
              <w:marTop w:val="0"/>
              <w:marBottom w:val="0"/>
              <w:divBdr>
                <w:top w:val="none" w:sz="0" w:space="0" w:color="auto"/>
                <w:left w:val="none" w:sz="0" w:space="0" w:color="auto"/>
                <w:bottom w:val="none" w:sz="0" w:space="0" w:color="auto"/>
                <w:right w:val="none" w:sz="0" w:space="0" w:color="auto"/>
              </w:divBdr>
            </w:div>
            <w:div w:id="1014652841">
              <w:marLeft w:val="0"/>
              <w:marRight w:val="0"/>
              <w:marTop w:val="0"/>
              <w:marBottom w:val="0"/>
              <w:divBdr>
                <w:top w:val="none" w:sz="0" w:space="0" w:color="auto"/>
                <w:left w:val="none" w:sz="0" w:space="0" w:color="auto"/>
                <w:bottom w:val="none" w:sz="0" w:space="0" w:color="auto"/>
                <w:right w:val="none" w:sz="0" w:space="0" w:color="auto"/>
              </w:divBdr>
            </w:div>
            <w:div w:id="3364209">
              <w:marLeft w:val="0"/>
              <w:marRight w:val="0"/>
              <w:marTop w:val="0"/>
              <w:marBottom w:val="0"/>
              <w:divBdr>
                <w:top w:val="none" w:sz="0" w:space="0" w:color="auto"/>
                <w:left w:val="none" w:sz="0" w:space="0" w:color="auto"/>
                <w:bottom w:val="none" w:sz="0" w:space="0" w:color="auto"/>
                <w:right w:val="none" w:sz="0" w:space="0" w:color="auto"/>
              </w:divBdr>
            </w:div>
            <w:div w:id="1825734618">
              <w:marLeft w:val="0"/>
              <w:marRight w:val="0"/>
              <w:marTop w:val="0"/>
              <w:marBottom w:val="0"/>
              <w:divBdr>
                <w:top w:val="none" w:sz="0" w:space="0" w:color="auto"/>
                <w:left w:val="none" w:sz="0" w:space="0" w:color="auto"/>
                <w:bottom w:val="none" w:sz="0" w:space="0" w:color="auto"/>
                <w:right w:val="none" w:sz="0" w:space="0" w:color="auto"/>
              </w:divBdr>
            </w:div>
            <w:div w:id="1957759954">
              <w:marLeft w:val="0"/>
              <w:marRight w:val="0"/>
              <w:marTop w:val="0"/>
              <w:marBottom w:val="0"/>
              <w:divBdr>
                <w:top w:val="none" w:sz="0" w:space="0" w:color="auto"/>
                <w:left w:val="none" w:sz="0" w:space="0" w:color="auto"/>
                <w:bottom w:val="none" w:sz="0" w:space="0" w:color="auto"/>
                <w:right w:val="none" w:sz="0" w:space="0" w:color="auto"/>
              </w:divBdr>
            </w:div>
            <w:div w:id="1989477154">
              <w:marLeft w:val="0"/>
              <w:marRight w:val="0"/>
              <w:marTop w:val="0"/>
              <w:marBottom w:val="0"/>
              <w:divBdr>
                <w:top w:val="none" w:sz="0" w:space="0" w:color="auto"/>
                <w:left w:val="none" w:sz="0" w:space="0" w:color="auto"/>
                <w:bottom w:val="none" w:sz="0" w:space="0" w:color="auto"/>
                <w:right w:val="none" w:sz="0" w:space="0" w:color="auto"/>
              </w:divBdr>
            </w:div>
            <w:div w:id="674377185">
              <w:marLeft w:val="0"/>
              <w:marRight w:val="0"/>
              <w:marTop w:val="0"/>
              <w:marBottom w:val="0"/>
              <w:divBdr>
                <w:top w:val="none" w:sz="0" w:space="0" w:color="auto"/>
                <w:left w:val="none" w:sz="0" w:space="0" w:color="auto"/>
                <w:bottom w:val="none" w:sz="0" w:space="0" w:color="auto"/>
                <w:right w:val="none" w:sz="0" w:space="0" w:color="auto"/>
              </w:divBdr>
            </w:div>
            <w:div w:id="788744122">
              <w:marLeft w:val="0"/>
              <w:marRight w:val="0"/>
              <w:marTop w:val="0"/>
              <w:marBottom w:val="0"/>
              <w:divBdr>
                <w:top w:val="none" w:sz="0" w:space="0" w:color="auto"/>
                <w:left w:val="none" w:sz="0" w:space="0" w:color="auto"/>
                <w:bottom w:val="none" w:sz="0" w:space="0" w:color="auto"/>
                <w:right w:val="none" w:sz="0" w:space="0" w:color="auto"/>
              </w:divBdr>
            </w:div>
            <w:div w:id="1043015783">
              <w:marLeft w:val="0"/>
              <w:marRight w:val="0"/>
              <w:marTop w:val="0"/>
              <w:marBottom w:val="0"/>
              <w:divBdr>
                <w:top w:val="none" w:sz="0" w:space="0" w:color="auto"/>
                <w:left w:val="none" w:sz="0" w:space="0" w:color="auto"/>
                <w:bottom w:val="none" w:sz="0" w:space="0" w:color="auto"/>
                <w:right w:val="none" w:sz="0" w:space="0" w:color="auto"/>
              </w:divBdr>
            </w:div>
            <w:div w:id="2109307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63004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8660A8-0BA1-481A-8333-725D0F02AD67}">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Radostin Angelov</lastModifiedBy>
  <revision>2</revision>
  <dcterms:created xsi:type="dcterms:W3CDTF">2024-07-25T15:14:00.0000000Z</dcterms:created>
  <dcterms:modified xsi:type="dcterms:W3CDTF">2024-08-09T09:18:13.1849409Z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8fc7ebf3fcd0bb54bd2766edfd1eb898616b3eea6789844626c8937130bf0efc</vt:lpwstr>
  </property>
</Properties>
</file>