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5D000" w14:textId="3B76AFA4" w:rsidR="00B4261E" w:rsidRDefault="00B4261E" w:rsidP="00C95456">
      <w:pPr>
        <w:pStyle w:val="Title"/>
        <w:spacing w:beforeLines="60" w:before="144" w:afterLines="40" w:after="96" w:line="480" w:lineRule="auto"/>
      </w:pPr>
      <w:r>
        <w:rPr>
          <w:noProof/>
        </w:rPr>
        <w:drawing>
          <wp:inline distT="0" distB="0" distL="0" distR="0" wp14:anchorId="14051F19" wp14:editId="569D4DCD">
            <wp:extent cx="4429125" cy="1438275"/>
            <wp:effectExtent l="0" t="0" r="9525" b="9525"/>
            <wp:docPr id="1042895283" name="Picture 2"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0106" cy="1441841"/>
                    </a:xfrm>
                    <a:prstGeom prst="rect">
                      <a:avLst/>
                    </a:prstGeom>
                    <a:noFill/>
                    <a:ln>
                      <a:noFill/>
                    </a:ln>
                  </pic:spPr>
                </pic:pic>
              </a:graphicData>
            </a:graphic>
          </wp:inline>
        </w:drawing>
      </w:r>
    </w:p>
    <w:p w14:paraId="2B7C144B" w14:textId="5CD3BF64" w:rsidR="00E521E7" w:rsidRPr="00C95456" w:rsidRDefault="00E521E7" w:rsidP="00C95456">
      <w:pPr>
        <w:jc w:val="center"/>
        <w:rPr>
          <w:b/>
          <w:bCs/>
          <w:color w:val="0070C0"/>
          <w:sz w:val="44"/>
          <w:szCs w:val="44"/>
        </w:rPr>
      </w:pPr>
      <w:r w:rsidRPr="00C95456">
        <w:rPr>
          <w:b/>
          <w:bCs/>
          <w:color w:val="0070C0"/>
          <w:sz w:val="44"/>
          <w:szCs w:val="44"/>
        </w:rPr>
        <w:t>Leading And Developing People</w:t>
      </w:r>
    </w:p>
    <w:p w14:paraId="2E5792B8" w14:textId="5B6B23D7" w:rsidR="00B4261E" w:rsidRDefault="00E521E7" w:rsidP="00C95456">
      <w:pPr>
        <w:jc w:val="center"/>
        <w:rPr>
          <w:b/>
          <w:bCs/>
          <w:sz w:val="32"/>
          <w:szCs w:val="32"/>
        </w:rPr>
      </w:pPr>
      <w:r w:rsidRPr="00DC5DC9">
        <w:rPr>
          <w:b/>
          <w:bCs/>
          <w:sz w:val="28"/>
          <w:szCs w:val="28"/>
        </w:rPr>
        <w:t>Code</w:t>
      </w:r>
      <w:r w:rsidR="00DC5DC9" w:rsidRPr="00DC5DC9">
        <w:rPr>
          <w:b/>
          <w:bCs/>
        </w:rPr>
        <w:t>:</w:t>
      </w:r>
      <w:r w:rsidRPr="00DC5DC9">
        <w:rPr>
          <w:b/>
          <w:bCs/>
        </w:rPr>
        <w:t>BMBM6023</w:t>
      </w:r>
    </w:p>
    <w:p w14:paraId="75ECC0F6" w14:textId="299CBA8E" w:rsidR="00E521E7" w:rsidRPr="00E521E7" w:rsidRDefault="00E521E7" w:rsidP="00C95456">
      <w:pPr>
        <w:jc w:val="center"/>
        <w:rPr>
          <w:b/>
          <w:bCs/>
        </w:rPr>
      </w:pPr>
      <w:r w:rsidRPr="00E521E7">
        <w:rPr>
          <w:b/>
          <w:bCs/>
          <w:sz w:val="28"/>
          <w:szCs w:val="28"/>
        </w:rPr>
        <w:t>Lecturer</w:t>
      </w:r>
      <w:r w:rsidRPr="00E521E7">
        <w:rPr>
          <w:b/>
          <w:bCs/>
        </w:rPr>
        <w:t>: Julia Thomas</w:t>
      </w:r>
    </w:p>
    <w:p w14:paraId="3E6A24DE" w14:textId="0E13E6BE" w:rsidR="00D34973" w:rsidRDefault="00D34973" w:rsidP="00C95456">
      <w:pPr>
        <w:jc w:val="center"/>
        <w:rPr>
          <w:b/>
          <w:bCs/>
          <w:sz w:val="28"/>
          <w:szCs w:val="28"/>
        </w:rPr>
      </w:pPr>
    </w:p>
    <w:p w14:paraId="702419FC" w14:textId="77777777" w:rsidR="00D34973" w:rsidRDefault="00D34973" w:rsidP="00C95456">
      <w:pPr>
        <w:jc w:val="center"/>
      </w:pPr>
    </w:p>
    <w:p w14:paraId="0B954A3A" w14:textId="77777777" w:rsidR="00D34973" w:rsidRDefault="00D34973" w:rsidP="00C95456">
      <w:pPr>
        <w:jc w:val="center"/>
      </w:pPr>
    </w:p>
    <w:p w14:paraId="5E6F1401" w14:textId="77777777" w:rsidR="00C95456" w:rsidRDefault="00C95456" w:rsidP="00C95456">
      <w:pPr>
        <w:jc w:val="center"/>
      </w:pPr>
    </w:p>
    <w:p w14:paraId="6F4136A3" w14:textId="77777777" w:rsidR="00C95456" w:rsidRDefault="00C95456" w:rsidP="00C95456">
      <w:pPr>
        <w:jc w:val="center"/>
      </w:pPr>
    </w:p>
    <w:p w14:paraId="09E6D094" w14:textId="77777777" w:rsidR="00D34973" w:rsidRDefault="00D34973" w:rsidP="00C95456">
      <w:pPr>
        <w:jc w:val="center"/>
      </w:pPr>
    </w:p>
    <w:p w14:paraId="0728F879" w14:textId="77777777" w:rsidR="00D34973" w:rsidRDefault="00D34973" w:rsidP="00C95456">
      <w:pPr>
        <w:jc w:val="center"/>
        <w:rPr>
          <w:b/>
          <w:bCs/>
        </w:rPr>
      </w:pPr>
    </w:p>
    <w:p w14:paraId="38A40CFB" w14:textId="77777777" w:rsidR="00D34973" w:rsidRDefault="00D34973" w:rsidP="00C95456">
      <w:pPr>
        <w:jc w:val="center"/>
        <w:rPr>
          <w:b/>
          <w:bCs/>
        </w:rPr>
      </w:pPr>
    </w:p>
    <w:p w14:paraId="01BC759E" w14:textId="77777777" w:rsidR="00D34973" w:rsidRDefault="00D34973" w:rsidP="00C95456">
      <w:pPr>
        <w:jc w:val="center"/>
        <w:rPr>
          <w:b/>
          <w:bCs/>
        </w:rPr>
      </w:pPr>
    </w:p>
    <w:p w14:paraId="6F84E93E" w14:textId="77777777" w:rsidR="00D34973" w:rsidRDefault="00D34973" w:rsidP="00C95456">
      <w:pPr>
        <w:jc w:val="center"/>
        <w:rPr>
          <w:b/>
          <w:bCs/>
        </w:rPr>
      </w:pPr>
    </w:p>
    <w:p w14:paraId="6C308BC7" w14:textId="42623785" w:rsidR="00D34973" w:rsidRDefault="00D34973" w:rsidP="00C95456">
      <w:pPr>
        <w:jc w:val="center"/>
        <w:rPr>
          <w:b/>
          <w:bCs/>
        </w:rPr>
      </w:pPr>
    </w:p>
    <w:p w14:paraId="01B2030A" w14:textId="6F885938" w:rsidR="00D34973" w:rsidRPr="00D34973" w:rsidRDefault="00683372" w:rsidP="00C95456">
      <w:pPr>
        <w:jc w:val="center"/>
        <w:rPr>
          <w:b/>
          <w:bCs/>
          <w:color w:val="0070C0"/>
          <w:sz w:val="32"/>
          <w:szCs w:val="32"/>
        </w:rPr>
      </w:pPr>
      <w:r w:rsidRPr="00D34973">
        <w:rPr>
          <w:b/>
          <w:bCs/>
          <w:color w:val="0070C0"/>
          <w:sz w:val="32"/>
          <w:szCs w:val="32"/>
        </w:rPr>
        <w:t>E</w:t>
      </w:r>
      <w:r w:rsidR="00D34973">
        <w:rPr>
          <w:b/>
          <w:bCs/>
          <w:color w:val="0070C0"/>
          <w:sz w:val="32"/>
          <w:szCs w:val="32"/>
        </w:rPr>
        <w:t>SSAY</w:t>
      </w:r>
    </w:p>
    <w:p w14:paraId="0A08DCA7" w14:textId="4CF8BB23" w:rsidR="00E521E7" w:rsidRPr="00D34973" w:rsidRDefault="00D34973" w:rsidP="00C95456">
      <w:pPr>
        <w:jc w:val="center"/>
        <w:rPr>
          <w:b/>
          <w:bCs/>
          <w:sz w:val="32"/>
          <w:szCs w:val="32"/>
        </w:rPr>
      </w:pPr>
      <w:r w:rsidRPr="00D34973">
        <w:rPr>
          <w:b/>
          <w:bCs/>
          <w:sz w:val="32"/>
          <w:szCs w:val="32"/>
        </w:rPr>
        <w:t>The Role of Wellbeing Strategies in Supporting People</w:t>
      </w:r>
    </w:p>
    <w:p w14:paraId="6B9954E8" w14:textId="50918064" w:rsidR="00E521E7" w:rsidRPr="00D34973" w:rsidRDefault="00D34973" w:rsidP="00C95456">
      <w:pPr>
        <w:jc w:val="center"/>
      </w:pPr>
      <w:r w:rsidRPr="00D34973">
        <w:t>Date:01.05.2026</w:t>
      </w:r>
    </w:p>
    <w:p w14:paraId="00000002" w14:textId="1104E169" w:rsidR="00933471" w:rsidRPr="00683372" w:rsidRDefault="00000000" w:rsidP="00683372">
      <w:pPr>
        <w:jc w:val="center"/>
        <w:rPr>
          <w:b/>
          <w:bCs/>
          <w:sz w:val="40"/>
          <w:szCs w:val="40"/>
        </w:rPr>
      </w:pPr>
      <w:r>
        <w:br w:type="page"/>
      </w:r>
    </w:p>
    <w:bookmarkStart w:id="0" w:name="_muzog6b7q9cy" w:colFirst="0" w:colLast="0" w:displacedByCustomXml="next"/>
    <w:bookmarkEnd w:id="0" w:displacedByCustomXml="next"/>
    <w:sdt>
      <w:sdtPr>
        <w:id w:val="-499124258"/>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bidi="bn-IN"/>
        </w:rPr>
      </w:sdtEndPr>
      <w:sdtContent>
        <w:p w14:paraId="0921F4CC" w14:textId="04A60BD2" w:rsidR="00C95456" w:rsidRDefault="00C95456">
          <w:pPr>
            <w:pStyle w:val="TOCHeading"/>
          </w:pPr>
          <w:r>
            <w:t>Contents</w:t>
          </w:r>
        </w:p>
        <w:p w14:paraId="46590AD3" w14:textId="7259F398" w:rsidR="00C95456" w:rsidRDefault="00C95456">
          <w:pPr>
            <w:pStyle w:val="TOC1"/>
            <w:tabs>
              <w:tab w:val="right" w:leader="dot" w:pos="9019"/>
            </w:tabs>
            <w:rPr>
              <w:rFonts w:asciiTheme="minorHAnsi" w:eastAsiaTheme="minorEastAsia" w:hAnsiTheme="minorHAnsi" w:cstheme="minorBidi"/>
              <w:noProof/>
              <w:kern w:val="2"/>
              <w:szCs w:val="24"/>
              <w:lang w:bidi="ar-SA"/>
              <w14:ligatures w14:val="standardContextual"/>
            </w:rPr>
          </w:pPr>
          <w:r>
            <w:fldChar w:fldCharType="begin"/>
          </w:r>
          <w:r>
            <w:instrText xml:space="preserve"> TOC \o "1-3" \h \z \u </w:instrText>
          </w:r>
          <w:r>
            <w:fldChar w:fldCharType="separate"/>
          </w:r>
          <w:hyperlink w:anchor="_Toc228544635" w:history="1">
            <w:r w:rsidRPr="00FA1A80">
              <w:rPr>
                <w:rStyle w:val="Hyperlink"/>
                <w:noProof/>
              </w:rPr>
              <w:t>Introduction</w:t>
            </w:r>
            <w:r>
              <w:rPr>
                <w:noProof/>
                <w:webHidden/>
              </w:rPr>
              <w:tab/>
            </w:r>
            <w:r>
              <w:rPr>
                <w:noProof/>
                <w:webHidden/>
              </w:rPr>
              <w:fldChar w:fldCharType="begin"/>
            </w:r>
            <w:r>
              <w:rPr>
                <w:noProof/>
                <w:webHidden/>
              </w:rPr>
              <w:instrText xml:space="preserve"> PAGEREF _Toc228544635 \h </w:instrText>
            </w:r>
            <w:r>
              <w:rPr>
                <w:noProof/>
                <w:webHidden/>
              </w:rPr>
            </w:r>
            <w:r>
              <w:rPr>
                <w:noProof/>
                <w:webHidden/>
              </w:rPr>
              <w:fldChar w:fldCharType="separate"/>
            </w:r>
            <w:r>
              <w:rPr>
                <w:noProof/>
                <w:webHidden/>
              </w:rPr>
              <w:t>3</w:t>
            </w:r>
            <w:r>
              <w:rPr>
                <w:noProof/>
                <w:webHidden/>
              </w:rPr>
              <w:fldChar w:fldCharType="end"/>
            </w:r>
          </w:hyperlink>
        </w:p>
        <w:p w14:paraId="610127AD" w14:textId="43EC7F92" w:rsidR="00C95456" w:rsidRDefault="00C95456">
          <w:pPr>
            <w:pStyle w:val="TOC1"/>
            <w:tabs>
              <w:tab w:val="right" w:leader="dot" w:pos="9019"/>
            </w:tabs>
            <w:rPr>
              <w:rFonts w:asciiTheme="minorHAnsi" w:eastAsiaTheme="minorEastAsia" w:hAnsiTheme="minorHAnsi" w:cstheme="minorBidi"/>
              <w:noProof/>
              <w:kern w:val="2"/>
              <w:szCs w:val="24"/>
              <w:lang w:bidi="ar-SA"/>
              <w14:ligatures w14:val="standardContextual"/>
            </w:rPr>
          </w:pPr>
          <w:hyperlink w:anchor="_Toc228544636" w:history="1">
            <w:r w:rsidRPr="00FA1A80">
              <w:rPr>
                <w:rStyle w:val="Hyperlink"/>
                <w:noProof/>
              </w:rPr>
              <w:t>Main Body</w:t>
            </w:r>
            <w:r>
              <w:rPr>
                <w:noProof/>
                <w:webHidden/>
              </w:rPr>
              <w:tab/>
            </w:r>
            <w:r>
              <w:rPr>
                <w:noProof/>
                <w:webHidden/>
              </w:rPr>
              <w:fldChar w:fldCharType="begin"/>
            </w:r>
            <w:r>
              <w:rPr>
                <w:noProof/>
                <w:webHidden/>
              </w:rPr>
              <w:instrText xml:space="preserve"> PAGEREF _Toc228544636 \h </w:instrText>
            </w:r>
            <w:r>
              <w:rPr>
                <w:noProof/>
                <w:webHidden/>
              </w:rPr>
            </w:r>
            <w:r>
              <w:rPr>
                <w:noProof/>
                <w:webHidden/>
              </w:rPr>
              <w:fldChar w:fldCharType="separate"/>
            </w:r>
            <w:r>
              <w:rPr>
                <w:noProof/>
                <w:webHidden/>
              </w:rPr>
              <w:t>3</w:t>
            </w:r>
            <w:r>
              <w:rPr>
                <w:noProof/>
                <w:webHidden/>
              </w:rPr>
              <w:fldChar w:fldCharType="end"/>
            </w:r>
          </w:hyperlink>
        </w:p>
        <w:p w14:paraId="045C0EB0" w14:textId="4EEEC5FF" w:rsidR="00C95456" w:rsidRDefault="00C95456">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544637" w:history="1">
            <w:r w:rsidRPr="00FA1A80">
              <w:rPr>
                <w:rStyle w:val="Hyperlink"/>
                <w:noProof/>
              </w:rPr>
              <w:t>The Call Centre Environment and Wellbeing Challenges</w:t>
            </w:r>
            <w:r>
              <w:rPr>
                <w:noProof/>
                <w:webHidden/>
              </w:rPr>
              <w:tab/>
            </w:r>
            <w:r>
              <w:rPr>
                <w:noProof/>
                <w:webHidden/>
              </w:rPr>
              <w:fldChar w:fldCharType="begin"/>
            </w:r>
            <w:r>
              <w:rPr>
                <w:noProof/>
                <w:webHidden/>
              </w:rPr>
              <w:instrText xml:space="preserve"> PAGEREF _Toc228544637 \h </w:instrText>
            </w:r>
            <w:r>
              <w:rPr>
                <w:noProof/>
                <w:webHidden/>
              </w:rPr>
            </w:r>
            <w:r>
              <w:rPr>
                <w:noProof/>
                <w:webHidden/>
              </w:rPr>
              <w:fldChar w:fldCharType="separate"/>
            </w:r>
            <w:r>
              <w:rPr>
                <w:noProof/>
                <w:webHidden/>
              </w:rPr>
              <w:t>3</w:t>
            </w:r>
            <w:r>
              <w:rPr>
                <w:noProof/>
                <w:webHidden/>
              </w:rPr>
              <w:fldChar w:fldCharType="end"/>
            </w:r>
          </w:hyperlink>
        </w:p>
        <w:p w14:paraId="5AAC2C8F" w14:textId="4B186C76" w:rsidR="00C95456" w:rsidRDefault="00C95456">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544638" w:history="1">
            <w:r w:rsidRPr="00FA1A80">
              <w:rPr>
                <w:rStyle w:val="Hyperlink"/>
                <w:noProof/>
              </w:rPr>
              <w:t>The Relationship Between Wellbeing and Employee Performance</w:t>
            </w:r>
            <w:r>
              <w:rPr>
                <w:noProof/>
                <w:webHidden/>
              </w:rPr>
              <w:tab/>
            </w:r>
            <w:r>
              <w:rPr>
                <w:noProof/>
                <w:webHidden/>
              </w:rPr>
              <w:fldChar w:fldCharType="begin"/>
            </w:r>
            <w:r>
              <w:rPr>
                <w:noProof/>
                <w:webHidden/>
              </w:rPr>
              <w:instrText xml:space="preserve"> PAGEREF _Toc228544638 \h </w:instrText>
            </w:r>
            <w:r>
              <w:rPr>
                <w:noProof/>
                <w:webHidden/>
              </w:rPr>
            </w:r>
            <w:r>
              <w:rPr>
                <w:noProof/>
                <w:webHidden/>
              </w:rPr>
              <w:fldChar w:fldCharType="separate"/>
            </w:r>
            <w:r>
              <w:rPr>
                <w:noProof/>
                <w:webHidden/>
              </w:rPr>
              <w:t>4</w:t>
            </w:r>
            <w:r>
              <w:rPr>
                <w:noProof/>
                <w:webHidden/>
              </w:rPr>
              <w:fldChar w:fldCharType="end"/>
            </w:r>
          </w:hyperlink>
        </w:p>
        <w:p w14:paraId="1A3653C0" w14:textId="0E4FB154" w:rsidR="00C95456" w:rsidRDefault="00C95456">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544639" w:history="1">
            <w:r w:rsidRPr="00FA1A80">
              <w:rPr>
                <w:rStyle w:val="Hyperlink"/>
                <w:noProof/>
              </w:rPr>
              <w:t>Developing a Comprehensive Wellbeing Strategy for Havencares</w:t>
            </w:r>
            <w:r>
              <w:rPr>
                <w:noProof/>
                <w:webHidden/>
              </w:rPr>
              <w:tab/>
            </w:r>
            <w:r>
              <w:rPr>
                <w:noProof/>
                <w:webHidden/>
              </w:rPr>
              <w:fldChar w:fldCharType="begin"/>
            </w:r>
            <w:r>
              <w:rPr>
                <w:noProof/>
                <w:webHidden/>
              </w:rPr>
              <w:instrText xml:space="preserve"> PAGEREF _Toc228544639 \h </w:instrText>
            </w:r>
            <w:r>
              <w:rPr>
                <w:noProof/>
                <w:webHidden/>
              </w:rPr>
            </w:r>
            <w:r>
              <w:rPr>
                <w:noProof/>
                <w:webHidden/>
              </w:rPr>
              <w:fldChar w:fldCharType="separate"/>
            </w:r>
            <w:r>
              <w:rPr>
                <w:noProof/>
                <w:webHidden/>
              </w:rPr>
              <w:t>5</w:t>
            </w:r>
            <w:r>
              <w:rPr>
                <w:noProof/>
                <w:webHidden/>
              </w:rPr>
              <w:fldChar w:fldCharType="end"/>
            </w:r>
          </w:hyperlink>
        </w:p>
        <w:p w14:paraId="3137B282" w14:textId="54B9BF7C" w:rsidR="00C95456" w:rsidRDefault="00C95456">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544640" w:history="1">
            <w:r w:rsidRPr="00FA1A80">
              <w:rPr>
                <w:rStyle w:val="Hyperlink"/>
                <w:noProof/>
              </w:rPr>
              <w:t>The Role of Employee Development in Enhancing Wellbeing</w:t>
            </w:r>
            <w:r>
              <w:rPr>
                <w:noProof/>
                <w:webHidden/>
              </w:rPr>
              <w:tab/>
            </w:r>
            <w:r>
              <w:rPr>
                <w:noProof/>
                <w:webHidden/>
              </w:rPr>
              <w:fldChar w:fldCharType="begin"/>
            </w:r>
            <w:r>
              <w:rPr>
                <w:noProof/>
                <w:webHidden/>
              </w:rPr>
              <w:instrText xml:space="preserve"> PAGEREF _Toc228544640 \h </w:instrText>
            </w:r>
            <w:r>
              <w:rPr>
                <w:noProof/>
                <w:webHidden/>
              </w:rPr>
            </w:r>
            <w:r>
              <w:rPr>
                <w:noProof/>
                <w:webHidden/>
              </w:rPr>
              <w:fldChar w:fldCharType="separate"/>
            </w:r>
            <w:r>
              <w:rPr>
                <w:noProof/>
                <w:webHidden/>
              </w:rPr>
              <w:t>7</w:t>
            </w:r>
            <w:r>
              <w:rPr>
                <w:noProof/>
                <w:webHidden/>
              </w:rPr>
              <w:fldChar w:fldCharType="end"/>
            </w:r>
          </w:hyperlink>
        </w:p>
        <w:p w14:paraId="40C80330" w14:textId="47DEED9D" w:rsidR="00C95456" w:rsidRDefault="00C95456">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544641" w:history="1">
            <w:r w:rsidRPr="00FA1A80">
              <w:rPr>
                <w:rStyle w:val="Hyperlink"/>
                <w:noProof/>
              </w:rPr>
              <w:t>Addressing Absence and Retention Through Wellbeing Initiatives</w:t>
            </w:r>
            <w:r>
              <w:rPr>
                <w:noProof/>
                <w:webHidden/>
              </w:rPr>
              <w:tab/>
            </w:r>
            <w:r>
              <w:rPr>
                <w:noProof/>
                <w:webHidden/>
              </w:rPr>
              <w:fldChar w:fldCharType="begin"/>
            </w:r>
            <w:r>
              <w:rPr>
                <w:noProof/>
                <w:webHidden/>
              </w:rPr>
              <w:instrText xml:space="preserve"> PAGEREF _Toc228544641 \h </w:instrText>
            </w:r>
            <w:r>
              <w:rPr>
                <w:noProof/>
                <w:webHidden/>
              </w:rPr>
            </w:r>
            <w:r>
              <w:rPr>
                <w:noProof/>
                <w:webHidden/>
              </w:rPr>
              <w:fldChar w:fldCharType="separate"/>
            </w:r>
            <w:r>
              <w:rPr>
                <w:noProof/>
                <w:webHidden/>
              </w:rPr>
              <w:t>8</w:t>
            </w:r>
            <w:r>
              <w:rPr>
                <w:noProof/>
                <w:webHidden/>
              </w:rPr>
              <w:fldChar w:fldCharType="end"/>
            </w:r>
          </w:hyperlink>
        </w:p>
        <w:p w14:paraId="542F19BC" w14:textId="31E02C7B" w:rsidR="00C95456" w:rsidRDefault="00C95456">
          <w:pPr>
            <w:pStyle w:val="TOC1"/>
            <w:tabs>
              <w:tab w:val="right" w:leader="dot" w:pos="9019"/>
            </w:tabs>
            <w:rPr>
              <w:rFonts w:asciiTheme="minorHAnsi" w:eastAsiaTheme="minorEastAsia" w:hAnsiTheme="minorHAnsi" w:cstheme="minorBidi"/>
              <w:noProof/>
              <w:kern w:val="2"/>
              <w:szCs w:val="24"/>
              <w:lang w:bidi="ar-SA"/>
              <w14:ligatures w14:val="standardContextual"/>
            </w:rPr>
          </w:pPr>
          <w:hyperlink w:anchor="_Toc228544642" w:history="1">
            <w:r w:rsidRPr="00FA1A80">
              <w:rPr>
                <w:rStyle w:val="Hyperlink"/>
                <w:noProof/>
              </w:rPr>
              <w:t>Conclusion</w:t>
            </w:r>
            <w:r>
              <w:rPr>
                <w:noProof/>
                <w:webHidden/>
              </w:rPr>
              <w:tab/>
            </w:r>
            <w:r>
              <w:rPr>
                <w:noProof/>
                <w:webHidden/>
              </w:rPr>
              <w:fldChar w:fldCharType="begin"/>
            </w:r>
            <w:r>
              <w:rPr>
                <w:noProof/>
                <w:webHidden/>
              </w:rPr>
              <w:instrText xml:space="preserve"> PAGEREF _Toc228544642 \h </w:instrText>
            </w:r>
            <w:r>
              <w:rPr>
                <w:noProof/>
                <w:webHidden/>
              </w:rPr>
            </w:r>
            <w:r>
              <w:rPr>
                <w:noProof/>
                <w:webHidden/>
              </w:rPr>
              <w:fldChar w:fldCharType="separate"/>
            </w:r>
            <w:r>
              <w:rPr>
                <w:noProof/>
                <w:webHidden/>
              </w:rPr>
              <w:t>9</w:t>
            </w:r>
            <w:r>
              <w:rPr>
                <w:noProof/>
                <w:webHidden/>
              </w:rPr>
              <w:fldChar w:fldCharType="end"/>
            </w:r>
          </w:hyperlink>
        </w:p>
        <w:p w14:paraId="2DFB1E36" w14:textId="17731CF1" w:rsidR="00C95456" w:rsidRDefault="00C95456">
          <w:pPr>
            <w:pStyle w:val="TOC1"/>
            <w:tabs>
              <w:tab w:val="right" w:leader="dot" w:pos="9019"/>
            </w:tabs>
            <w:rPr>
              <w:rFonts w:asciiTheme="minorHAnsi" w:eastAsiaTheme="minorEastAsia" w:hAnsiTheme="minorHAnsi" w:cstheme="minorBidi"/>
              <w:noProof/>
              <w:kern w:val="2"/>
              <w:szCs w:val="24"/>
              <w:lang w:bidi="ar-SA"/>
              <w14:ligatures w14:val="standardContextual"/>
            </w:rPr>
          </w:pPr>
          <w:hyperlink w:anchor="_Toc228544643" w:history="1">
            <w:r w:rsidRPr="00FA1A80">
              <w:rPr>
                <w:rStyle w:val="Hyperlink"/>
                <w:noProof/>
              </w:rPr>
              <w:t>References</w:t>
            </w:r>
            <w:r>
              <w:rPr>
                <w:noProof/>
                <w:webHidden/>
              </w:rPr>
              <w:tab/>
            </w:r>
            <w:r>
              <w:rPr>
                <w:noProof/>
                <w:webHidden/>
              </w:rPr>
              <w:fldChar w:fldCharType="begin"/>
            </w:r>
            <w:r>
              <w:rPr>
                <w:noProof/>
                <w:webHidden/>
              </w:rPr>
              <w:instrText xml:space="preserve"> PAGEREF _Toc228544643 \h </w:instrText>
            </w:r>
            <w:r>
              <w:rPr>
                <w:noProof/>
                <w:webHidden/>
              </w:rPr>
            </w:r>
            <w:r>
              <w:rPr>
                <w:noProof/>
                <w:webHidden/>
              </w:rPr>
              <w:fldChar w:fldCharType="separate"/>
            </w:r>
            <w:r>
              <w:rPr>
                <w:noProof/>
                <w:webHidden/>
              </w:rPr>
              <w:t>10</w:t>
            </w:r>
            <w:r>
              <w:rPr>
                <w:noProof/>
                <w:webHidden/>
              </w:rPr>
              <w:fldChar w:fldCharType="end"/>
            </w:r>
          </w:hyperlink>
        </w:p>
        <w:p w14:paraId="76B8DBDF" w14:textId="362A0246" w:rsidR="00C95456" w:rsidRDefault="00C95456">
          <w:r>
            <w:rPr>
              <w:b/>
              <w:bCs/>
              <w:noProof/>
            </w:rPr>
            <w:fldChar w:fldCharType="end"/>
          </w:r>
        </w:p>
      </w:sdtContent>
    </w:sdt>
    <w:p w14:paraId="0D863046" w14:textId="77777777" w:rsidR="004C1C41" w:rsidRDefault="004C1C41" w:rsidP="00103BD1">
      <w:pPr>
        <w:pStyle w:val="Heading1"/>
        <w:spacing w:beforeLines="60" w:before="144" w:afterLines="40" w:after="96" w:line="480" w:lineRule="auto"/>
      </w:pPr>
    </w:p>
    <w:p w14:paraId="0575D22E" w14:textId="77777777" w:rsidR="00C64B6D" w:rsidRDefault="00C64B6D" w:rsidP="00C64B6D"/>
    <w:p w14:paraId="4C7966AE" w14:textId="77777777" w:rsidR="00C64B6D" w:rsidRDefault="00C64B6D" w:rsidP="00C64B6D"/>
    <w:p w14:paraId="4D3C2AEF" w14:textId="77777777" w:rsidR="00C64B6D" w:rsidRDefault="00C64B6D" w:rsidP="00C64B6D"/>
    <w:p w14:paraId="4B815BDC" w14:textId="77777777" w:rsidR="00C64B6D" w:rsidRDefault="00C64B6D" w:rsidP="00C64B6D"/>
    <w:p w14:paraId="35D2DB7E" w14:textId="77777777" w:rsidR="00C64B6D" w:rsidRDefault="00C64B6D" w:rsidP="00C64B6D"/>
    <w:p w14:paraId="766996AF" w14:textId="77777777" w:rsidR="00C64B6D" w:rsidRDefault="00C64B6D" w:rsidP="00C64B6D"/>
    <w:p w14:paraId="3BFE6201" w14:textId="77777777" w:rsidR="00C64B6D" w:rsidRDefault="00C64B6D" w:rsidP="00C64B6D"/>
    <w:p w14:paraId="002A9A23" w14:textId="77777777" w:rsidR="00C64B6D" w:rsidRDefault="00C64B6D" w:rsidP="00C64B6D"/>
    <w:p w14:paraId="6FA09EA4" w14:textId="77777777" w:rsidR="00C64B6D" w:rsidRDefault="00C64B6D" w:rsidP="00C64B6D"/>
    <w:p w14:paraId="129889A6" w14:textId="77777777" w:rsidR="00C64B6D" w:rsidRDefault="00C64B6D" w:rsidP="00C64B6D"/>
    <w:p w14:paraId="09C6B74F" w14:textId="77777777" w:rsidR="00C64B6D" w:rsidRDefault="00C64B6D" w:rsidP="00C64B6D"/>
    <w:p w14:paraId="48A2D0DF" w14:textId="77777777" w:rsidR="00C64B6D" w:rsidRDefault="00C64B6D" w:rsidP="00C64B6D"/>
    <w:p w14:paraId="0DB0FBC1" w14:textId="77777777" w:rsidR="00C64B6D" w:rsidRDefault="00C64B6D" w:rsidP="00C64B6D"/>
    <w:p w14:paraId="7754A8CB" w14:textId="77777777" w:rsidR="00C64B6D" w:rsidRDefault="00C64B6D" w:rsidP="00C64B6D"/>
    <w:p w14:paraId="6A312E98" w14:textId="77777777" w:rsidR="00C64B6D" w:rsidRDefault="00C64B6D" w:rsidP="00C64B6D"/>
    <w:p w14:paraId="00000003" w14:textId="3D3DF8FF" w:rsidR="00933471" w:rsidRDefault="00000000" w:rsidP="00C64B6D">
      <w:pPr>
        <w:pStyle w:val="Heading1"/>
      </w:pPr>
      <w:bookmarkStart w:id="1" w:name="_Toc228544635"/>
      <w:r>
        <w:lastRenderedPageBreak/>
        <w:t>Introduction</w:t>
      </w:r>
      <w:bookmarkEnd w:id="1"/>
    </w:p>
    <w:p w14:paraId="00000004" w14:textId="77777777" w:rsidR="00933471" w:rsidRDefault="00000000" w:rsidP="00103BD1">
      <w:pPr>
        <w:spacing w:beforeLines="60" w:before="144" w:afterLines="40" w:after="96" w:line="480" w:lineRule="auto"/>
      </w:pPr>
      <w:r>
        <w:t>Employee wellbeing is turning out to become a key issue in determining organisational performance, productivity, and employee retention (</w:t>
      </w:r>
      <w:r>
        <w:rPr>
          <w:color w:val="222222"/>
          <w:highlight w:val="white"/>
        </w:rPr>
        <w:t>Murphy, 2024</w:t>
      </w:r>
      <w:r>
        <w:t>). Employees in high demand service jobs like call centres can have high workloads, emotional labour, strict performance targets which adversely impact on their wellbeing. Havencares Insurance, which has its Swansea and Cardiff sites with call centres, is on the verge of facing a number of people-management challenges at its Cardiff location, such as high employee turnover, frequent absence rates due to mental health and diseases, and weakening performance of long-term employees. As an HR Officer who has been assigned the role of addressing such problems, a holistic approach to wellbeing would assist in enhancing the health, employee engagement, and organisational performance in the Cardiff call centre.</w:t>
      </w:r>
    </w:p>
    <w:p w14:paraId="22995AB9" w14:textId="1F3F44BC" w:rsidR="00C64B6D" w:rsidRDefault="00C64B6D" w:rsidP="00C64B6D">
      <w:pPr>
        <w:pStyle w:val="Heading1"/>
      </w:pPr>
      <w:bookmarkStart w:id="2" w:name="_Toc228544636"/>
      <w:r>
        <w:t>Main Body</w:t>
      </w:r>
      <w:bookmarkEnd w:id="2"/>
    </w:p>
    <w:p w14:paraId="00000006" w14:textId="46CACEA6" w:rsidR="00933471" w:rsidRPr="00C64B6D" w:rsidRDefault="00C64B6D" w:rsidP="000E78EC">
      <w:pPr>
        <w:pStyle w:val="Heading2"/>
      </w:pPr>
      <w:bookmarkStart w:id="3" w:name="_Toc228544637"/>
      <w:r>
        <w:t>The Call Centre Environment and Wellbeing Challenge</w:t>
      </w:r>
      <w:r w:rsidR="000E78EC">
        <w:t>s</w:t>
      </w:r>
      <w:bookmarkStart w:id="4" w:name="_yx339z99at6l" w:colFirst="0" w:colLast="0"/>
      <w:bookmarkEnd w:id="3"/>
      <w:bookmarkEnd w:id="4"/>
      <w:r>
        <w:t xml:space="preserve">                                                                                                                                                                                                                                                                                      </w:t>
      </w:r>
    </w:p>
    <w:p w14:paraId="00000007" w14:textId="40D76331" w:rsidR="00933471" w:rsidRDefault="00000000" w:rsidP="00103BD1">
      <w:pPr>
        <w:spacing w:beforeLines="60" w:before="144" w:afterLines="40" w:after="96" w:line="480" w:lineRule="auto"/>
      </w:pPr>
      <w:r>
        <w:t>It is well known that call centres are taxing workplaces which sometimes have adverse effects on the welfare of the employees. The employees usually have to work with a large number of calls, have to meet severe performance standards like the time of calls, and have to deal with emotionally stressful customer interactions (</w:t>
      </w:r>
      <w:r>
        <w:rPr>
          <w:color w:val="222222"/>
          <w:highlight w:val="white"/>
        </w:rPr>
        <w:t>Willems et al., 2021</w:t>
      </w:r>
      <w:r>
        <w:t xml:space="preserve">). In the Havencares Insurance, the claims handlers will most likely encounter pathetic customers who might have suffered accident, loss of money or personal suffering. Dealing with such discussions on a day-to-day basis may become emotionally exhausting and stressful. The Cardiff call centre has 300 </w:t>
      </w:r>
      <w:r w:rsidR="00103BD1">
        <w:t>employees,</w:t>
      </w:r>
      <w:r>
        <w:t xml:space="preserve"> and this implies that absenteeism or turnover in the proportions of the medium range is likely to impact the performance of such operations in an enormous way. In call centres, high turnover is not an uncommon occurrence because of repetitive work, low career advancement as well as the pressure of performance. In situations where customers have left </w:t>
      </w:r>
      <w:r>
        <w:lastRenderedPageBreak/>
        <w:t>the organisation frequently, the organisation has to incur extra costs on recruiting and training employees besides losing experience and skills.</w:t>
      </w:r>
    </w:p>
    <w:p w14:paraId="00000008" w14:textId="174F0E65" w:rsidR="00933471" w:rsidRDefault="00000000" w:rsidP="00103BD1">
      <w:pPr>
        <w:spacing w:beforeLines="60" w:before="144" w:afterLines="40" w:after="96" w:line="480" w:lineRule="auto"/>
      </w:pPr>
      <w:r>
        <w:t xml:space="preserve">The other significant problem in the Cardiff centre is high sickness absence especially in mental illnesses, seasonal illnesses like cold and flu. Psychological issues such as stress, anxiety and burnout are common among the call centre workers whose workloads are </w:t>
      </w:r>
      <w:r w:rsidR="00103BD1">
        <w:t>high,</w:t>
      </w:r>
      <w:r>
        <w:t xml:space="preserve"> and the monitoring systems are harsh. The issue is further compounded in </w:t>
      </w:r>
      <w:r w:rsidR="00103BD1">
        <w:t>workplaces</w:t>
      </w:r>
      <w:r>
        <w:t xml:space="preserve"> where the staff believes that there is little </w:t>
      </w:r>
      <w:r w:rsidR="004C1C41">
        <w:t>they</w:t>
      </w:r>
      <w:r>
        <w:t xml:space="preserve"> can do about the work or management shows little assistance. The Cardiff call centre has contextual implications with the location in South Wales. Throughout Australia, economic restructuring and employment repositioning in the areas of South Wales has in the past occurred due to the loss of older industries like the coal mines and heavy manufacturing (</w:t>
      </w:r>
      <w:r>
        <w:rPr>
          <w:color w:val="222222"/>
          <w:highlight w:val="white"/>
        </w:rPr>
        <w:t>Sharma et al., 2023</w:t>
      </w:r>
      <w:r>
        <w:t xml:space="preserve">). The region has seen a lot of </w:t>
      </w:r>
      <w:r w:rsidR="00103BD1">
        <w:t>establishments</w:t>
      </w:r>
      <w:r>
        <w:t xml:space="preserve"> of many call centres as a way of economic regeneration efforts. Although these occupations are important sources of employment, they are typically linked to a comparatively high level of stress and low control that could lead to wellbeing issues.</w:t>
      </w:r>
    </w:p>
    <w:p w14:paraId="00000009" w14:textId="77777777" w:rsidR="00933471" w:rsidRDefault="00000000" w:rsidP="000E78EC">
      <w:pPr>
        <w:pStyle w:val="Heading2"/>
      </w:pPr>
      <w:bookmarkStart w:id="5" w:name="_Toc228544638"/>
      <w:r>
        <w:t>The Relationship Between Wellbeing and Employee Performance</w:t>
      </w:r>
      <w:bookmarkEnd w:id="5"/>
    </w:p>
    <w:p w14:paraId="0000000A" w14:textId="77777777" w:rsidR="00933471" w:rsidRDefault="00000000" w:rsidP="00103BD1">
      <w:pPr>
        <w:spacing w:beforeLines="60" w:before="144" w:afterLines="40" w:after="96" w:line="480" w:lineRule="auto"/>
      </w:pPr>
      <w:r>
        <w:t>Employee wellbeing has a close connection with the performance of the organisation. Studies always indicate that highly productive, engaged, and committed employees have positive wellbeing (</w:t>
      </w:r>
      <w:r>
        <w:rPr>
          <w:color w:val="222222"/>
          <w:highlight w:val="white"/>
        </w:rPr>
        <w:t>Ibrahim et al., 2020</w:t>
      </w:r>
      <w:r>
        <w:t xml:space="preserve">). On the other hand, poor wellbeing may result in poor presenteeism, absenteeism, lack of concentration and poor work quality. One useful model that can be applied to understand this relationship is the Job Demands-Resources (JD-R) model. In this model, employees get stressed whenever there are more job requirements to them in the form of workload, emotional pressure and time constraints than they have at their disposal. The resources can be in capacities of managerial assistance, freedom, training and good working </w:t>
      </w:r>
      <w:r>
        <w:lastRenderedPageBreak/>
        <w:t>relationships. Employees receive more resources enabling them to manage the work pressure better and achieve better wellbeing and performance.</w:t>
      </w:r>
    </w:p>
    <w:p w14:paraId="0000000B" w14:textId="77777777" w:rsidR="00933471" w:rsidRDefault="00000000" w:rsidP="00103BD1">
      <w:pPr>
        <w:spacing w:beforeLines="60" w:before="144" w:afterLines="40" w:after="96" w:line="480" w:lineRule="auto"/>
      </w:pPr>
      <w:r>
        <w:t>Employees who work in the Havencares Cardiff call centre have been exposed to great job pressures such as adherence to a set rule of handling call targets, a lot of customer calls, and emotionally challenging dialogue regarding insurance claims. These demands may cause burnout, disengagement, and deteriorating performance of employees unless adequate support is provided. This could be one of the reasons why performance among the more senior staff is poor. Wellbeing programs have the power to mitigate such problems by removing stress and making more resources available to employees (</w:t>
      </w:r>
      <w:r>
        <w:rPr>
          <w:color w:val="222222"/>
          <w:highlight w:val="white"/>
        </w:rPr>
        <w:t>Sonnentag et al., 2023</w:t>
      </w:r>
      <w:r>
        <w:t>). As an illustration, access to mental health support services, flexible working and stress management training can be used to enable employees to effectively deal with the stress of being a call centre employee.</w:t>
      </w:r>
    </w:p>
    <w:p w14:paraId="0000000C" w14:textId="77777777" w:rsidR="00933471" w:rsidRDefault="00000000" w:rsidP="00103BD1">
      <w:pPr>
        <w:spacing w:beforeLines="60" w:before="144" w:afterLines="40" w:after="96" w:line="480" w:lineRule="auto"/>
      </w:pPr>
      <w:r>
        <w:t>Additionally, strategies of wellbeing help in performance, because of enhanced employee involvement. The highly engaged employees will be more discretionally motivated and offer better quality customer service as well as commit themselves to organisational objectives. One of the most sought-after aspects in a call centre environment, where customer satisfaction and reputation of a company directly depend on service quality, high levels of engagement is especially crucial. Absenteeism can be lowered by a better wellbeing. When employees feel important, they have not many reasons to use sick leave when they are not sick and tend to be punctual. This would go a long way in enhancing stability in the operations of the Cardiff call centre where absence is a major flaw that is disrupting the delivery of services.</w:t>
      </w:r>
    </w:p>
    <w:p w14:paraId="0000000D" w14:textId="77777777" w:rsidR="00933471" w:rsidRDefault="00000000" w:rsidP="000E78EC">
      <w:pPr>
        <w:pStyle w:val="Heading2"/>
      </w:pPr>
      <w:bookmarkStart w:id="6" w:name="_Toc228544639"/>
      <w:r>
        <w:t>Developing a Comprehensive Wellbeing Strategy for Havencares</w:t>
      </w:r>
      <w:bookmarkEnd w:id="6"/>
    </w:p>
    <w:p w14:paraId="0000000E" w14:textId="4720E0CB" w:rsidR="00933471" w:rsidRDefault="00000000" w:rsidP="00103BD1">
      <w:pPr>
        <w:spacing w:beforeLines="60" w:before="144" w:afterLines="40" w:after="96" w:line="480" w:lineRule="auto"/>
      </w:pPr>
      <w:r>
        <w:t xml:space="preserve">To curb the issues experienced at the Cardiff call centre, Havencares Insurance ought to apply the holistic approach of wellbeing that addresses physical and mental wellbeing. This type of strategy must be incorporated into the wider HR policies of the </w:t>
      </w:r>
      <w:r w:rsidR="00103BD1">
        <w:t>organisation,</w:t>
      </w:r>
      <w:r>
        <w:t xml:space="preserve"> and it must be </w:t>
      </w:r>
      <w:r>
        <w:lastRenderedPageBreak/>
        <w:t>aligned with its goals of operation. Introducing mental health support programmes is one of the aspects of this strategy. Due to the stress that the claims handlers encounter, there should be confidential counselling, awareness training on mental health and employee assistance programmes (EAPs). Through these services, employees have professional assistance with work-related stress or personal challenges.</w:t>
      </w:r>
    </w:p>
    <w:p w14:paraId="0000000F" w14:textId="77777777" w:rsidR="00933471" w:rsidRDefault="00000000" w:rsidP="00103BD1">
      <w:pPr>
        <w:spacing w:beforeLines="60" w:before="144" w:afterLines="40" w:after="96" w:line="480" w:lineRule="auto"/>
      </w:pPr>
      <w:r>
        <w:t>The other action plan is the enhancement of the workplace culture and management practice. Team leaders are of paramount importance because they determine the wellbeing of the employees. Consequently, supportive leadership, communication, and mentally aware managers should be trained. Managers willing to identify the early symptoms of stress and offer the necessary assistance can considerably decrease chances of the staff getting long-term diseases or being stressed (</w:t>
      </w:r>
      <w:r>
        <w:rPr>
          <w:color w:val="222222"/>
          <w:highlight w:val="white"/>
        </w:rPr>
        <w:t>Govindaras et al., 2023</w:t>
      </w:r>
      <w:r>
        <w:t>). Wellbeing can also be increased with the help of flexible working arrangements. In cases where operationally possible, granting the employees more control over their work schedules where they are able to do so could assist them in juggling their personal functions as well as minimizing the work-life conflict. A case in point is staggered working or hybrid work arrangements, which could allow the employees to manage their workload and family obligations.</w:t>
      </w:r>
    </w:p>
    <w:p w14:paraId="00000010" w14:textId="6F8388FA" w:rsidR="00933471" w:rsidRDefault="00000000" w:rsidP="00103BD1">
      <w:pPr>
        <w:spacing w:beforeLines="60" w:before="144" w:afterLines="40" w:after="96" w:line="480" w:lineRule="auto"/>
      </w:pPr>
      <w:r>
        <w:t xml:space="preserve">The physical health programs are also critical in treating common sickness in the workplace. The workplace health programmes that the organisation may implement are clinics to take the flu vaccination, health promotion programmes and activities within the workplace that promote physical exercises among people. Physiological issues related to long working hours at a desk can also be alleviated with improved office ergonomics (comfy chairs and adjustable </w:t>
      </w:r>
      <w:r w:rsidR="00103BD1">
        <w:t>workstations</w:t>
      </w:r>
      <w:r>
        <w:t>), which also lowers physical stress caused by prolonged desk work. Employee voice is also another significant element of the wellbeing strategy (</w:t>
      </w:r>
      <w:r>
        <w:rPr>
          <w:color w:val="222222"/>
          <w:highlight w:val="white"/>
        </w:rPr>
        <w:t>Royce et al., 2019</w:t>
      </w:r>
      <w:r>
        <w:t xml:space="preserve">). Workplace policies and conditions should be provided with the occasions when employees could present their feedback. Frequent employee polls, suggestion boxes, and group </w:t>
      </w:r>
      <w:r>
        <w:lastRenderedPageBreak/>
        <w:t>conferences should assist the management in realizing the grievances of the employees and the level of improvement that can be undertaken.</w:t>
      </w:r>
    </w:p>
    <w:p w14:paraId="00000011" w14:textId="77777777" w:rsidR="00933471" w:rsidRDefault="00000000" w:rsidP="000E78EC">
      <w:pPr>
        <w:pStyle w:val="Heading2"/>
      </w:pPr>
      <w:bookmarkStart w:id="7" w:name="_Toc228544640"/>
      <w:r>
        <w:t>The Role of Employee Development in Enhancing Wellbeing</w:t>
      </w:r>
      <w:bookmarkEnd w:id="7"/>
    </w:p>
    <w:p w14:paraId="00000012" w14:textId="77777777" w:rsidR="00933471" w:rsidRDefault="00000000" w:rsidP="00103BD1">
      <w:pPr>
        <w:spacing w:beforeLines="60" w:before="144" w:afterLines="40" w:after="96" w:line="480" w:lineRule="auto"/>
      </w:pPr>
      <w:r>
        <w:t>The development of employees is significant towards increasing both the wellbeing and the organisational performance. Development opportunities not only enable the employees to acquire new skills, gain confidence, and feel appreciated in the organisation (</w:t>
      </w:r>
      <w:r>
        <w:rPr>
          <w:color w:val="222222"/>
          <w:highlight w:val="white"/>
        </w:rPr>
        <w:t>Moloney et al., 2020</w:t>
      </w:r>
      <w:r>
        <w:t>). Conversely, lack of development may result in stagnation and lower morale among employees and high turnover. In the Cardiff call centre, a large number of workers will feel that their job description is not very demanding or does not offer long term career opportunities. The work of claims handling is usually routine and requires a high level of performance observance, which sometimes adds disengagement and boredom to the job. These problems can be mitigated through the provision of organized development opportunities.</w:t>
      </w:r>
    </w:p>
    <w:p w14:paraId="00000013" w14:textId="77777777" w:rsidR="00933471" w:rsidRDefault="00000000" w:rsidP="00103BD1">
      <w:pPr>
        <w:spacing w:beforeLines="60" w:before="144" w:afterLines="40" w:after="96" w:line="480" w:lineRule="auto"/>
      </w:pPr>
      <w:r>
        <w:t>Introducing career progression pathways in the organisation is one of the approaches. Clearly, employees should be given an opportunity to advance and become senior claims handlers, team leaders, or even specialist support roles. Clear promotion policies and career development can motivate workers to stay within the organisation and work towards their career development. Employee training may also be used to promote employee wellbeing through competence and confidence. As an illustration, educational programs on customer communication, conflict management and emotional tenacity might enable the employees to cope with difficult customer interactions in a better way (</w:t>
      </w:r>
      <w:r>
        <w:rPr>
          <w:color w:val="222222"/>
          <w:highlight w:val="white"/>
        </w:rPr>
        <w:t>Groves et al., 2024</w:t>
      </w:r>
      <w:r>
        <w:t>). The employees will not be stressed and frustrated as much when they have a feeling that they are able and ready to take part in their work.</w:t>
      </w:r>
    </w:p>
    <w:p w14:paraId="00000014" w14:textId="77777777" w:rsidR="00933471" w:rsidRDefault="00000000" w:rsidP="00103BD1">
      <w:pPr>
        <w:spacing w:beforeLines="60" w:before="144" w:afterLines="40" w:after="96" w:line="480" w:lineRule="auto"/>
      </w:pPr>
      <w:r>
        <w:t xml:space="preserve">Mentoring programmes may also come in handy, especially when the longer serving employees have witnessed a drop in performance or when these employees have been ill over an extended </w:t>
      </w:r>
      <w:r>
        <w:lastRenderedPageBreak/>
        <w:t>period. Experienced personnel combined with the assistance of caring mentors can assist such personnel to re-skill with their work, locate areas of development and recover their self-belief in their skills. Cross-training is another useful activity because workers get an opportunity to acquire new skills and switch between various positions in the organisation (</w:t>
      </w:r>
      <w:r>
        <w:rPr>
          <w:color w:val="222222"/>
          <w:highlight w:val="white"/>
        </w:rPr>
        <w:t>Catalano et al., 2025</w:t>
      </w:r>
      <w:r>
        <w:t>). This not only can open monotony but also enhance flexibility in the workforce. Such as, the claims handlers may be trained in quality assurance, training support or administration. Psychological wellbeing is also achieved through employee development, which helps one have a sense of purpose and gain a sense of achievement. Employees are easily influenced to form positive attitudes in their work when they feel that their organisation is invested in their development; hence, they are bound to be loyal to the organisation.</w:t>
      </w:r>
    </w:p>
    <w:p w14:paraId="00000015" w14:textId="77777777" w:rsidR="00933471" w:rsidRDefault="00000000" w:rsidP="000E78EC">
      <w:pPr>
        <w:pStyle w:val="Heading2"/>
      </w:pPr>
      <w:bookmarkStart w:id="8" w:name="_Toc228544641"/>
      <w:r>
        <w:t>Addressing Absence and Retention Through Wellbeing Initiatives</w:t>
      </w:r>
      <w:bookmarkEnd w:id="8"/>
    </w:p>
    <w:p w14:paraId="00000016" w14:textId="77777777" w:rsidR="00933471" w:rsidRDefault="00000000" w:rsidP="00103BD1">
      <w:pPr>
        <w:spacing w:beforeLines="60" w:before="144" w:afterLines="40" w:after="96" w:line="480" w:lineRule="auto"/>
      </w:pPr>
      <w:r>
        <w:t>Some of the objectives of the wellbeing strategy at the Cardiff call centre should involve reducing absenteeism and turnover. The level of absence is high, affecting the workflow and creating even more pressure on the rest of the employees, which may further harm stress and burnout even more. Enhancement of absence management policies is one of such interventions. Instead of concentrating on disciplinary actions, the organisation needs to embrace a helpful outlook whereby an attempt is made to identify the root causes of absence (</w:t>
      </w:r>
      <w:r>
        <w:rPr>
          <w:color w:val="222222"/>
          <w:highlight w:val="white"/>
        </w:rPr>
        <w:t>Batistič and van der Laken, 2019</w:t>
      </w:r>
      <w:r>
        <w:t>). It can be noted that managers can recognize possible problems and offer proper assistance by using return-to-work interviews and wellbeing check-ins.</w:t>
      </w:r>
    </w:p>
    <w:p w14:paraId="00000017" w14:textId="2DC76F9E" w:rsidR="00933471" w:rsidRDefault="00000000" w:rsidP="00103BD1">
      <w:pPr>
        <w:spacing w:beforeLines="60" w:before="144" w:afterLines="40" w:after="96" w:line="480" w:lineRule="auto"/>
      </w:pPr>
      <w:r>
        <w:t xml:space="preserve">In long-term sickness, the organisation should look into using </w:t>
      </w:r>
      <w:r w:rsidR="00103BD1">
        <w:t>customised return</w:t>
      </w:r>
      <w:r>
        <w:t xml:space="preserve"> to work programmes to the employees. These can be the use of phased returns, increased or decreased workloads, or transitional role changes. Helping employees is a way of improving retention as well as showing employer interest in employee wellbeing as the organisation assists their recovery efforts. Another area of improvement of retention strategies is to increase job </w:t>
      </w:r>
      <w:r>
        <w:lastRenderedPageBreak/>
        <w:t>satisfaction. When employees feel appreciated, nurtured and involved, chances of them leaving their organisation are considerably reduced. Improved retention can be achieved by recognition programmes, equitable reward systems, and allowing employees a chance to participate in the decision-making process (</w:t>
      </w:r>
      <w:r>
        <w:rPr>
          <w:color w:val="222222"/>
          <w:highlight w:val="white"/>
        </w:rPr>
        <w:t>Ayi, 2023</w:t>
      </w:r>
      <w:r>
        <w:t xml:space="preserve">). Community engagement programs can also be applicable considering the location of the organisation is South Wales. The </w:t>
      </w:r>
      <w:r w:rsidR="00103BD1">
        <w:t>partnership</w:t>
      </w:r>
      <w:r>
        <w:t xml:space="preserve"> with local wellbeing organisations or community health programmes can be a source of extra support to the employees as well as reinforcing the local image of the organisation.</w:t>
      </w:r>
    </w:p>
    <w:p w14:paraId="00000018" w14:textId="77777777" w:rsidR="00933471" w:rsidRDefault="00000000" w:rsidP="00103BD1">
      <w:pPr>
        <w:pStyle w:val="Heading1"/>
        <w:spacing w:beforeLines="60" w:before="144" w:afterLines="40" w:after="96" w:line="480" w:lineRule="auto"/>
      </w:pPr>
      <w:bookmarkStart w:id="9" w:name="_z6k5o1ruz4rx" w:colFirst="0" w:colLast="0"/>
      <w:bookmarkStart w:id="10" w:name="_Toc228544642"/>
      <w:bookmarkEnd w:id="9"/>
      <w:r>
        <w:t>Conclusion</w:t>
      </w:r>
      <w:bookmarkEnd w:id="10"/>
    </w:p>
    <w:p w14:paraId="00000019" w14:textId="6236301B" w:rsidR="00933471" w:rsidRDefault="00000000" w:rsidP="00103BD1">
      <w:pPr>
        <w:spacing w:beforeLines="60" w:before="144" w:afterLines="40" w:after="96" w:line="480" w:lineRule="auto"/>
      </w:pPr>
      <w:r>
        <w:t xml:space="preserve">A properly formulated wellbeing plan or strategy may be essential in addressing the workforce issues experienced in the Havencares Insurance Cardiff call centre. The organisation can incorporate programs where employee wellbeing, engagement, and performance are viewed as one of the strong relationships enabling them to promote both physical and mental health. Mental health support, flexible working, efficient absence management and employee development programmes are only some of the measures that can assist in mitigating the turnover, enhancing attendance and high productivity levels. In the high pressure of call centre operating retained employees in South Wales, employee wellbeing must be appreciated to ensure a healthy working environment to benefit the employees as well as the </w:t>
      </w:r>
      <w:r w:rsidR="00103BD1">
        <w:t>long-term</w:t>
      </w:r>
      <w:r>
        <w:t xml:space="preserve"> sustainability and overall organisational performance.</w:t>
      </w:r>
      <w:r>
        <w:br w:type="page"/>
      </w:r>
    </w:p>
    <w:p w14:paraId="0000001A" w14:textId="77777777" w:rsidR="00933471" w:rsidRDefault="00000000" w:rsidP="00103BD1">
      <w:pPr>
        <w:pStyle w:val="Heading1"/>
        <w:spacing w:beforeLines="60" w:before="144" w:afterLines="40" w:after="96" w:line="480" w:lineRule="auto"/>
      </w:pPr>
      <w:bookmarkStart w:id="11" w:name="_wpvhinxk49ed" w:colFirst="0" w:colLast="0"/>
      <w:bookmarkStart w:id="12" w:name="_Toc228544643"/>
      <w:bookmarkEnd w:id="11"/>
      <w:r>
        <w:lastRenderedPageBreak/>
        <w:t>References</w:t>
      </w:r>
      <w:bookmarkEnd w:id="12"/>
    </w:p>
    <w:p w14:paraId="3AE8D1B1" w14:textId="77777777" w:rsidR="00E3116F" w:rsidRDefault="00E3116F" w:rsidP="00103BD1">
      <w:pPr>
        <w:spacing w:beforeLines="60" w:before="144" w:afterLines="40" w:after="96" w:line="480" w:lineRule="auto"/>
        <w:rPr>
          <w:color w:val="222222"/>
          <w:highlight w:val="white"/>
        </w:rPr>
      </w:pPr>
      <w:r>
        <w:rPr>
          <w:color w:val="222222"/>
          <w:highlight w:val="white"/>
        </w:rPr>
        <w:t xml:space="preserve">Ayi, T.D., 2023. The Relationship between Reward Management Practices and Employees’ Behavior. </w:t>
      </w:r>
      <w:r>
        <w:rPr>
          <w:i/>
          <w:iCs/>
          <w:color w:val="222222"/>
          <w:highlight w:val="white"/>
        </w:rPr>
        <w:t>International Journal of Multidisciplinary Studies and Innovative Research</w:t>
      </w:r>
      <w:r>
        <w:rPr>
          <w:color w:val="222222"/>
          <w:highlight w:val="white"/>
        </w:rPr>
        <w:t xml:space="preserve">, </w:t>
      </w:r>
      <w:r>
        <w:rPr>
          <w:i/>
          <w:iCs/>
          <w:color w:val="222222"/>
          <w:highlight w:val="white"/>
        </w:rPr>
        <w:t>11</w:t>
      </w:r>
      <w:r>
        <w:rPr>
          <w:color w:val="222222"/>
          <w:highlight w:val="white"/>
        </w:rPr>
        <w:t>(5), pp.1727-1739. 10.53075/Ijmsirq/0935366473647.</w:t>
      </w:r>
    </w:p>
    <w:p w14:paraId="10C13A56" w14:textId="77777777" w:rsidR="00E3116F" w:rsidRDefault="00E3116F" w:rsidP="00103BD1">
      <w:pPr>
        <w:spacing w:beforeLines="60" w:before="144" w:afterLines="40" w:after="96" w:line="480" w:lineRule="auto"/>
        <w:rPr>
          <w:color w:val="222222"/>
          <w:highlight w:val="white"/>
        </w:rPr>
      </w:pPr>
      <w:r>
        <w:rPr>
          <w:color w:val="222222"/>
          <w:highlight w:val="white"/>
        </w:rPr>
        <w:t xml:space="preserve">Batistič, S. and van der Laken, P., 2019. History, evolution and future of big data and analytics: a bibliometric analysis of its relationship to performance in organizations. </w:t>
      </w:r>
      <w:r>
        <w:rPr>
          <w:i/>
          <w:iCs/>
          <w:color w:val="222222"/>
          <w:highlight w:val="white"/>
        </w:rPr>
        <w:t>British Journal of Management</w:t>
      </w:r>
      <w:r>
        <w:rPr>
          <w:color w:val="222222"/>
          <w:highlight w:val="white"/>
        </w:rPr>
        <w:t xml:space="preserve">, </w:t>
      </w:r>
      <w:r>
        <w:rPr>
          <w:i/>
          <w:iCs/>
          <w:color w:val="222222"/>
          <w:highlight w:val="white"/>
        </w:rPr>
        <w:t>30</w:t>
      </w:r>
      <w:r>
        <w:rPr>
          <w:color w:val="222222"/>
          <w:highlight w:val="white"/>
        </w:rPr>
        <w:t xml:space="preserve">(2), pp.229-251. </w:t>
      </w:r>
      <w:hyperlink r:id="rId8">
        <w:r>
          <w:rPr>
            <w:color w:val="1155CC"/>
            <w:highlight w:val="white"/>
            <w:u w:val="single"/>
          </w:rPr>
          <w:t>https://doi.org/10.1111/1467-8551.12340</w:t>
        </w:r>
      </w:hyperlink>
      <w:r>
        <w:rPr>
          <w:color w:val="222222"/>
          <w:highlight w:val="white"/>
        </w:rPr>
        <w:t>.</w:t>
      </w:r>
    </w:p>
    <w:p w14:paraId="5FE7B036" w14:textId="77777777" w:rsidR="00E3116F" w:rsidRDefault="00E3116F" w:rsidP="00103BD1">
      <w:pPr>
        <w:spacing w:beforeLines="60" w:before="144" w:afterLines="40" w:after="96" w:line="480" w:lineRule="auto"/>
        <w:rPr>
          <w:rFonts w:ascii="Arial" w:eastAsia="Arial" w:hAnsi="Arial" w:cs="Arial"/>
          <w:color w:val="222222"/>
          <w:sz w:val="27"/>
          <w:szCs w:val="27"/>
          <w:highlight w:val="white"/>
        </w:rPr>
      </w:pPr>
      <w:r>
        <w:rPr>
          <w:color w:val="222222"/>
          <w:highlight w:val="white"/>
        </w:rPr>
        <w:t xml:space="preserve">Catalano, F., Zennaro, I. and Persona, A., 2025. Manned assembly systems design considering layout, workforce strategy, and workers’ heterogeneity: state of the art and future research agenda. </w:t>
      </w:r>
      <w:r>
        <w:rPr>
          <w:i/>
          <w:iCs/>
          <w:color w:val="222222"/>
          <w:highlight w:val="white"/>
        </w:rPr>
        <w:t>The International Journal of Advanced Manufacturing Technology</w:t>
      </w:r>
      <w:r>
        <w:rPr>
          <w:color w:val="222222"/>
          <w:highlight w:val="white"/>
        </w:rPr>
        <w:t xml:space="preserve">, </w:t>
      </w:r>
      <w:r>
        <w:rPr>
          <w:i/>
          <w:iCs/>
          <w:color w:val="222222"/>
          <w:highlight w:val="white"/>
        </w:rPr>
        <w:t>139</w:t>
      </w:r>
      <w:r>
        <w:rPr>
          <w:color w:val="222222"/>
          <w:highlight w:val="white"/>
        </w:rPr>
        <w:t xml:space="preserve">(9), pp.4315-4337. </w:t>
      </w:r>
      <w:hyperlink r:id="rId9">
        <w:r>
          <w:rPr>
            <w:color w:val="1155CC"/>
            <w:highlight w:val="white"/>
            <w:u w:val="single"/>
          </w:rPr>
          <w:t>https://doi.org/10.1007/s00170-025-16189-0</w:t>
        </w:r>
      </w:hyperlink>
      <w:r>
        <w:rPr>
          <w:color w:val="222222"/>
          <w:highlight w:val="white"/>
        </w:rPr>
        <w:t>.</w:t>
      </w:r>
    </w:p>
    <w:p w14:paraId="565FDF95" w14:textId="77777777" w:rsidR="00E3116F" w:rsidRDefault="00E3116F" w:rsidP="00103BD1">
      <w:pPr>
        <w:spacing w:beforeLines="60" w:before="144" w:afterLines="40" w:after="96" w:line="480" w:lineRule="auto"/>
        <w:rPr>
          <w:color w:val="222222"/>
          <w:highlight w:val="white"/>
        </w:rPr>
      </w:pPr>
      <w:r>
        <w:rPr>
          <w:color w:val="222222"/>
          <w:highlight w:val="white"/>
        </w:rPr>
        <w:t xml:space="preserve">Govindaras, B., Wern, T.S., Kaur, S., Haslin, I.A. and Ramasamy, R.K., 2023. Sustainable environment to prevent burnout and attrition in project management. </w:t>
      </w:r>
      <w:r>
        <w:rPr>
          <w:i/>
          <w:iCs/>
          <w:color w:val="222222"/>
          <w:highlight w:val="white"/>
        </w:rPr>
        <w:t>Sustainability</w:t>
      </w:r>
      <w:r>
        <w:rPr>
          <w:color w:val="222222"/>
          <w:highlight w:val="white"/>
        </w:rPr>
        <w:t xml:space="preserve">, </w:t>
      </w:r>
      <w:r>
        <w:rPr>
          <w:i/>
          <w:iCs/>
          <w:color w:val="222222"/>
          <w:highlight w:val="white"/>
        </w:rPr>
        <w:t>15</w:t>
      </w:r>
      <w:r>
        <w:rPr>
          <w:color w:val="222222"/>
          <w:highlight w:val="white"/>
        </w:rPr>
        <w:t xml:space="preserve">(3), p.2364. </w:t>
      </w:r>
      <w:hyperlink r:id="rId10">
        <w:r>
          <w:rPr>
            <w:color w:val="1155CC"/>
            <w:highlight w:val="white"/>
            <w:u w:val="single"/>
          </w:rPr>
          <w:t>https://doi.org/10.3390/su15032364</w:t>
        </w:r>
      </w:hyperlink>
      <w:r>
        <w:rPr>
          <w:color w:val="222222"/>
          <w:highlight w:val="white"/>
        </w:rPr>
        <w:t>.</w:t>
      </w:r>
    </w:p>
    <w:p w14:paraId="37113A69" w14:textId="77777777" w:rsidR="00E3116F" w:rsidRDefault="00E3116F" w:rsidP="00103BD1">
      <w:pPr>
        <w:spacing w:beforeLines="60" w:before="144" w:afterLines="40" w:after="96" w:line="480" w:lineRule="auto"/>
        <w:rPr>
          <w:rFonts w:ascii="Arial" w:eastAsia="Arial" w:hAnsi="Arial" w:cs="Arial"/>
          <w:color w:val="222222"/>
          <w:sz w:val="20"/>
          <w:szCs w:val="20"/>
          <w:highlight w:val="white"/>
        </w:rPr>
      </w:pPr>
      <w:r>
        <w:rPr>
          <w:color w:val="222222"/>
          <w:highlight w:val="white"/>
        </w:rPr>
        <w:t xml:space="preserve">Groves, K.S., Margolis, J. and Gibson, C., 2024. Cultivating the experience of dignity at work during digital transformation: Protective &amp; proactive strategies for leaders and organizations. </w:t>
      </w:r>
      <w:r>
        <w:rPr>
          <w:i/>
          <w:iCs/>
          <w:color w:val="222222"/>
          <w:highlight w:val="white"/>
        </w:rPr>
        <w:t>Organizational dynamics</w:t>
      </w:r>
      <w:r>
        <w:rPr>
          <w:color w:val="222222"/>
          <w:highlight w:val="white"/>
        </w:rPr>
        <w:t xml:space="preserve">, p.101103. </w:t>
      </w:r>
      <w:hyperlink r:id="rId11">
        <w:r>
          <w:rPr>
            <w:color w:val="1155CC"/>
            <w:highlight w:val="white"/>
            <w:u w:val="single"/>
          </w:rPr>
          <w:t>https://doi.org/10.1016/j.orgdyn.2024.101103</w:t>
        </w:r>
      </w:hyperlink>
      <w:r>
        <w:rPr>
          <w:color w:val="222222"/>
          <w:highlight w:val="white"/>
        </w:rPr>
        <w:t>.</w:t>
      </w:r>
    </w:p>
    <w:p w14:paraId="2AFA9B79" w14:textId="77777777" w:rsidR="00E3116F" w:rsidRDefault="00E3116F" w:rsidP="00103BD1">
      <w:pPr>
        <w:spacing w:beforeLines="60" w:before="144" w:afterLines="40" w:after="96" w:line="480" w:lineRule="auto"/>
        <w:rPr>
          <w:color w:val="222222"/>
          <w:highlight w:val="white"/>
        </w:rPr>
      </w:pPr>
      <w:r>
        <w:rPr>
          <w:color w:val="222222"/>
          <w:highlight w:val="white"/>
        </w:rPr>
        <w:t xml:space="preserve">Ibrahim, N.F., Said, A.M.A., Abas, N. and Shahreki, J., 2020. Relationship between well-being perspectives, employee engagement and intrinsic outcomes: A literature review. </w:t>
      </w:r>
      <w:r>
        <w:rPr>
          <w:i/>
          <w:iCs/>
          <w:color w:val="222222"/>
          <w:highlight w:val="white"/>
        </w:rPr>
        <w:t>Journal of critical reviews</w:t>
      </w:r>
      <w:r>
        <w:rPr>
          <w:color w:val="222222"/>
          <w:highlight w:val="white"/>
        </w:rPr>
        <w:t xml:space="preserve">, </w:t>
      </w:r>
      <w:r>
        <w:rPr>
          <w:i/>
          <w:iCs/>
          <w:color w:val="222222"/>
          <w:highlight w:val="white"/>
        </w:rPr>
        <w:t>7</w:t>
      </w:r>
      <w:r>
        <w:rPr>
          <w:color w:val="222222"/>
          <w:highlight w:val="white"/>
        </w:rPr>
        <w:t xml:space="preserve">(12), pp.69-74. </w:t>
      </w:r>
      <w:hyperlink r:id="rId12">
        <w:r>
          <w:rPr>
            <w:color w:val="1155CC"/>
            <w:highlight w:val="white"/>
            <w:u w:val="single"/>
          </w:rPr>
          <w:t>http://dx.doi.org/10.31838/jcr.07.12.11</w:t>
        </w:r>
      </w:hyperlink>
      <w:r>
        <w:rPr>
          <w:color w:val="222222"/>
          <w:highlight w:val="white"/>
        </w:rPr>
        <w:t>.</w:t>
      </w:r>
    </w:p>
    <w:p w14:paraId="6B2B35D0" w14:textId="77777777" w:rsidR="00E3116F" w:rsidRDefault="00E3116F" w:rsidP="00103BD1">
      <w:pPr>
        <w:spacing w:beforeLines="60" w:before="144" w:afterLines="40" w:after="96" w:line="480" w:lineRule="auto"/>
        <w:rPr>
          <w:color w:val="222222"/>
          <w:highlight w:val="white"/>
        </w:rPr>
      </w:pPr>
      <w:r>
        <w:rPr>
          <w:color w:val="222222"/>
          <w:highlight w:val="white"/>
        </w:rPr>
        <w:t xml:space="preserve">Moloney, W., Fieldes, J. and Jacobs, S., 2020. An integrative review of how healthcare organizations can support hospital nurses to thrive at work. </w:t>
      </w:r>
      <w:r>
        <w:rPr>
          <w:i/>
          <w:iCs/>
          <w:color w:val="222222"/>
          <w:highlight w:val="white"/>
        </w:rPr>
        <w:t xml:space="preserve">International journal of </w:t>
      </w:r>
      <w:r>
        <w:rPr>
          <w:i/>
          <w:iCs/>
          <w:color w:val="222222"/>
          <w:highlight w:val="white"/>
        </w:rPr>
        <w:lastRenderedPageBreak/>
        <w:t>environmental research and public health</w:t>
      </w:r>
      <w:r>
        <w:rPr>
          <w:color w:val="222222"/>
          <w:highlight w:val="white"/>
        </w:rPr>
        <w:t xml:space="preserve">, </w:t>
      </w:r>
      <w:r>
        <w:rPr>
          <w:i/>
          <w:iCs/>
          <w:color w:val="222222"/>
          <w:highlight w:val="white"/>
        </w:rPr>
        <w:t>17</w:t>
      </w:r>
      <w:r>
        <w:rPr>
          <w:color w:val="222222"/>
          <w:highlight w:val="white"/>
        </w:rPr>
        <w:t xml:space="preserve">(23), p.8757. </w:t>
      </w:r>
      <w:hyperlink r:id="rId13">
        <w:r>
          <w:rPr>
            <w:color w:val="1155CC"/>
            <w:highlight w:val="white"/>
            <w:u w:val="single"/>
          </w:rPr>
          <w:t>https://doi.org/10.3390/ijerph17238757</w:t>
        </w:r>
      </w:hyperlink>
      <w:r>
        <w:rPr>
          <w:color w:val="222222"/>
          <w:highlight w:val="white"/>
        </w:rPr>
        <w:t>.</w:t>
      </w:r>
    </w:p>
    <w:p w14:paraId="73BC69FD" w14:textId="77777777" w:rsidR="00E3116F" w:rsidRDefault="00E3116F" w:rsidP="00103BD1">
      <w:pPr>
        <w:spacing w:beforeLines="60" w:before="144" w:afterLines="40" w:after="96" w:line="480" w:lineRule="auto"/>
        <w:rPr>
          <w:color w:val="222222"/>
          <w:highlight w:val="white"/>
        </w:rPr>
      </w:pPr>
      <w:r>
        <w:rPr>
          <w:color w:val="222222"/>
          <w:highlight w:val="white"/>
        </w:rPr>
        <w:t xml:space="preserve">Murphy, K.A., 2024. Assessment of employee well-being on organisational effectiveness &amp; productivity: A literature review. </w:t>
      </w:r>
      <w:r>
        <w:rPr>
          <w:i/>
          <w:iCs/>
          <w:color w:val="222222"/>
          <w:highlight w:val="white"/>
        </w:rPr>
        <w:t>International Journal of Business and Management</w:t>
      </w:r>
      <w:r>
        <w:rPr>
          <w:color w:val="222222"/>
          <w:highlight w:val="white"/>
        </w:rPr>
        <w:t xml:space="preserve">, </w:t>
      </w:r>
      <w:r>
        <w:rPr>
          <w:i/>
          <w:iCs/>
          <w:color w:val="222222"/>
          <w:highlight w:val="white"/>
        </w:rPr>
        <w:t>19</w:t>
      </w:r>
      <w:r>
        <w:rPr>
          <w:color w:val="222222"/>
          <w:highlight w:val="white"/>
        </w:rPr>
        <w:t xml:space="preserve">(3), p.26. </w:t>
      </w:r>
      <w:hyperlink r:id="rId14">
        <w:r>
          <w:rPr>
            <w:color w:val="1155CC"/>
            <w:highlight w:val="white"/>
            <w:u w:val="single"/>
          </w:rPr>
          <w:t>https://doi.org/10.5539/ijbm.v19n3p26</w:t>
        </w:r>
      </w:hyperlink>
      <w:r>
        <w:rPr>
          <w:color w:val="222222"/>
          <w:highlight w:val="white"/>
        </w:rPr>
        <w:t>.</w:t>
      </w:r>
    </w:p>
    <w:p w14:paraId="1E3B11D0" w14:textId="77777777" w:rsidR="00E3116F" w:rsidRDefault="00E3116F" w:rsidP="00103BD1">
      <w:pPr>
        <w:spacing w:beforeLines="60" w:before="144" w:afterLines="40" w:after="96" w:line="480" w:lineRule="auto"/>
        <w:rPr>
          <w:color w:val="222222"/>
          <w:highlight w:val="white"/>
        </w:rPr>
      </w:pPr>
      <w:r>
        <w:rPr>
          <w:color w:val="222222"/>
          <w:highlight w:val="white"/>
        </w:rPr>
        <w:t xml:space="preserve">Royce, T.J., Davenport, K.T. and Dahle, J.M., 2019. A burnout reduction and wellness strategy: personal financial health for the medical trainee and early career radiation oncologist. </w:t>
      </w:r>
      <w:r>
        <w:rPr>
          <w:i/>
          <w:iCs/>
          <w:color w:val="222222"/>
          <w:highlight w:val="white"/>
        </w:rPr>
        <w:t>Practical radiation oncology</w:t>
      </w:r>
      <w:r>
        <w:rPr>
          <w:color w:val="222222"/>
          <w:highlight w:val="white"/>
        </w:rPr>
        <w:t xml:space="preserve">, </w:t>
      </w:r>
      <w:r>
        <w:rPr>
          <w:i/>
          <w:iCs/>
          <w:color w:val="222222"/>
          <w:highlight w:val="white"/>
        </w:rPr>
        <w:t>9</w:t>
      </w:r>
      <w:r>
        <w:rPr>
          <w:color w:val="222222"/>
          <w:highlight w:val="white"/>
        </w:rPr>
        <w:t xml:space="preserve">(4), pp.231-238. </w:t>
      </w:r>
      <w:hyperlink r:id="rId15">
        <w:r>
          <w:rPr>
            <w:color w:val="1155CC"/>
            <w:highlight w:val="white"/>
            <w:u w:val="single"/>
          </w:rPr>
          <w:t>https://doi.org/10.1016/j.prro.2019.02.015</w:t>
        </w:r>
      </w:hyperlink>
      <w:r>
        <w:rPr>
          <w:color w:val="222222"/>
          <w:highlight w:val="white"/>
        </w:rPr>
        <w:t>.</w:t>
      </w:r>
    </w:p>
    <w:p w14:paraId="5B2718A0" w14:textId="77777777" w:rsidR="00E3116F" w:rsidRDefault="00E3116F" w:rsidP="00103BD1">
      <w:pPr>
        <w:spacing w:beforeLines="60" w:before="144" w:afterLines="40" w:after="96" w:line="480" w:lineRule="auto"/>
        <w:rPr>
          <w:color w:val="222222"/>
          <w:highlight w:val="white"/>
        </w:rPr>
      </w:pPr>
      <w:r>
        <w:rPr>
          <w:color w:val="222222"/>
          <w:highlight w:val="white"/>
        </w:rPr>
        <w:t xml:space="preserve">Sharma, V., Loginova, J., Zhang, R., Kemp, D. and Shi, G., 2023. How do past global experiences of coal phase-out inform China’s domestic approach to a just transition?. </w:t>
      </w:r>
      <w:r>
        <w:rPr>
          <w:i/>
          <w:iCs/>
          <w:color w:val="222222"/>
          <w:highlight w:val="white"/>
        </w:rPr>
        <w:t>Sustainability Science</w:t>
      </w:r>
      <w:r>
        <w:rPr>
          <w:color w:val="222222"/>
          <w:highlight w:val="white"/>
        </w:rPr>
        <w:t xml:space="preserve">, </w:t>
      </w:r>
      <w:r>
        <w:rPr>
          <w:i/>
          <w:iCs/>
          <w:color w:val="222222"/>
          <w:highlight w:val="white"/>
        </w:rPr>
        <w:t>18</w:t>
      </w:r>
      <w:r>
        <w:rPr>
          <w:color w:val="222222"/>
          <w:highlight w:val="white"/>
        </w:rPr>
        <w:t xml:space="preserve">(5), pp.2059-2076. </w:t>
      </w:r>
      <w:hyperlink r:id="rId16">
        <w:r>
          <w:rPr>
            <w:color w:val="1155CC"/>
            <w:highlight w:val="white"/>
            <w:u w:val="single"/>
          </w:rPr>
          <w:t>https://doi.org/10.1007/s11625-023-01312-5</w:t>
        </w:r>
      </w:hyperlink>
      <w:r>
        <w:rPr>
          <w:color w:val="222222"/>
          <w:highlight w:val="white"/>
        </w:rPr>
        <w:t>.</w:t>
      </w:r>
    </w:p>
    <w:p w14:paraId="05E89795" w14:textId="77777777" w:rsidR="00E3116F" w:rsidRDefault="00E3116F" w:rsidP="00103BD1">
      <w:pPr>
        <w:spacing w:beforeLines="60" w:before="144" w:afterLines="40" w:after="96" w:line="480" w:lineRule="auto"/>
        <w:rPr>
          <w:color w:val="222222"/>
          <w:highlight w:val="white"/>
        </w:rPr>
      </w:pPr>
      <w:r>
        <w:rPr>
          <w:color w:val="222222"/>
          <w:highlight w:val="white"/>
        </w:rPr>
        <w:t xml:space="preserve">Sonnentag, S., Tay, L. and Nesher Shoshan, H., 2023. A review on health and well‐being at work: More than stressors and strains. </w:t>
      </w:r>
      <w:r>
        <w:rPr>
          <w:i/>
          <w:iCs/>
          <w:color w:val="222222"/>
          <w:highlight w:val="white"/>
        </w:rPr>
        <w:t>Personnel Psychology</w:t>
      </w:r>
      <w:r>
        <w:rPr>
          <w:color w:val="222222"/>
          <w:highlight w:val="white"/>
        </w:rPr>
        <w:t xml:space="preserve">, </w:t>
      </w:r>
      <w:r>
        <w:rPr>
          <w:i/>
          <w:iCs/>
          <w:color w:val="222222"/>
          <w:highlight w:val="white"/>
        </w:rPr>
        <w:t>76</w:t>
      </w:r>
      <w:r>
        <w:rPr>
          <w:color w:val="222222"/>
          <w:highlight w:val="white"/>
        </w:rPr>
        <w:t xml:space="preserve">(2), pp.473-510. </w:t>
      </w:r>
      <w:hyperlink r:id="rId17">
        <w:r>
          <w:rPr>
            <w:color w:val="1155CC"/>
            <w:highlight w:val="white"/>
            <w:u w:val="single"/>
          </w:rPr>
          <w:t>https://doi.org/10.1111/peps.12572</w:t>
        </w:r>
      </w:hyperlink>
      <w:r>
        <w:rPr>
          <w:color w:val="222222"/>
          <w:highlight w:val="white"/>
        </w:rPr>
        <w:t>.</w:t>
      </w:r>
    </w:p>
    <w:p w14:paraId="470BE05B" w14:textId="77777777" w:rsidR="00E3116F" w:rsidRDefault="00E3116F" w:rsidP="00103BD1">
      <w:pPr>
        <w:spacing w:beforeLines="60" w:before="144" w:afterLines="40" w:after="96" w:line="480" w:lineRule="auto"/>
        <w:rPr>
          <w:color w:val="222222"/>
          <w:highlight w:val="white"/>
        </w:rPr>
      </w:pPr>
      <w:r>
        <w:rPr>
          <w:color w:val="222222"/>
          <w:highlight w:val="white"/>
        </w:rPr>
        <w:t xml:space="preserve">Willems, R.C.W.J., Drossaert, C.H.C., Vuijk, P. and Bohlmeijer, E.T., 2021. Mental wellbeing in crisis line volunteers: understanding emotional impact of the work, challenges and resources. A qualitative study. </w:t>
      </w:r>
      <w:r>
        <w:rPr>
          <w:i/>
          <w:iCs/>
          <w:color w:val="222222"/>
          <w:highlight w:val="white"/>
        </w:rPr>
        <w:t>International journal of qualitative studies on health and well-being</w:t>
      </w:r>
      <w:r>
        <w:rPr>
          <w:color w:val="222222"/>
          <w:highlight w:val="white"/>
        </w:rPr>
        <w:t xml:space="preserve">, </w:t>
      </w:r>
      <w:r>
        <w:rPr>
          <w:i/>
          <w:iCs/>
          <w:color w:val="222222"/>
          <w:highlight w:val="white"/>
        </w:rPr>
        <w:t>16</w:t>
      </w:r>
      <w:r>
        <w:rPr>
          <w:color w:val="222222"/>
          <w:highlight w:val="white"/>
        </w:rPr>
        <w:t xml:space="preserve">(1), p.1986920. </w:t>
      </w:r>
      <w:hyperlink r:id="rId18">
        <w:r>
          <w:rPr>
            <w:color w:val="1155CC"/>
            <w:highlight w:val="white"/>
            <w:u w:val="single"/>
          </w:rPr>
          <w:t>https://doi.org/10.1080/17482631.2021.1986920</w:t>
        </w:r>
      </w:hyperlink>
      <w:r>
        <w:rPr>
          <w:color w:val="222222"/>
          <w:highlight w:val="white"/>
        </w:rPr>
        <w:t>.</w:t>
      </w:r>
    </w:p>
    <w:sectPr w:rsidR="00E3116F">
      <w:headerReference w:type="default" r:id="rId19"/>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87301" w14:textId="77777777" w:rsidR="00B37BA7" w:rsidRDefault="00B37BA7">
      <w:pPr>
        <w:spacing w:line="240" w:lineRule="auto"/>
      </w:pPr>
      <w:r>
        <w:separator/>
      </w:r>
    </w:p>
  </w:endnote>
  <w:endnote w:type="continuationSeparator" w:id="0">
    <w:p w14:paraId="308B6815" w14:textId="77777777" w:rsidR="00B37BA7" w:rsidRDefault="00B37B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2E0A8DF-3530-4672-92B6-CB578E560238}"/>
  </w:font>
  <w:font w:name="Vrinda">
    <w:panose1 w:val="00000400000000000000"/>
    <w:charset w:val="00"/>
    <w:family w:val="swiss"/>
    <w:pitch w:val="variable"/>
    <w:sig w:usb0="00010003" w:usb1="00000000" w:usb2="00000000" w:usb3="00000000" w:csb0="00000001" w:csb1="00000000"/>
    <w:embedRegular r:id="rId2" w:fontKey="{506252EF-0DB4-44BA-AAD9-67EEF2490AA8}"/>
  </w:font>
  <w:font w:name="Cambria">
    <w:panose1 w:val="02040503050406030204"/>
    <w:charset w:val="00"/>
    <w:family w:val="roman"/>
    <w:pitch w:val="variable"/>
    <w:sig w:usb0="E00006FF" w:usb1="420024FF" w:usb2="02000000" w:usb3="00000000" w:csb0="0000019F" w:csb1="00000000"/>
    <w:embedRegular r:id="rId3" w:fontKey="{2A5B89E2-07CF-423F-978E-23D09E34A8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7" w14:textId="267C16FF" w:rsidR="00933471" w:rsidRDefault="004C1C41">
    <w:pPr>
      <w:jc w:val="right"/>
    </w:pPr>
    <w:r>
      <w:t>Cyrille Tounoudjou / 1914188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D4D23" w14:textId="77777777" w:rsidR="00B37BA7" w:rsidRDefault="00B37BA7">
      <w:pPr>
        <w:spacing w:line="240" w:lineRule="auto"/>
      </w:pPr>
      <w:r>
        <w:separator/>
      </w:r>
    </w:p>
  </w:footnote>
  <w:footnote w:type="continuationSeparator" w:id="0">
    <w:p w14:paraId="5300A256" w14:textId="77777777" w:rsidR="00B37BA7" w:rsidRDefault="00B37B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2233797"/>
      <w:docPartObj>
        <w:docPartGallery w:val="Page Numbers (Top of Page)"/>
        <w:docPartUnique/>
      </w:docPartObj>
    </w:sdtPr>
    <w:sdtEndPr>
      <w:rPr>
        <w:noProof/>
      </w:rPr>
    </w:sdtEndPr>
    <w:sdtContent>
      <w:p w14:paraId="623BDB0F" w14:textId="64C4075F" w:rsidR="00C95456" w:rsidRDefault="00C9545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3BDD08A" w14:textId="77777777" w:rsidR="00C95456" w:rsidRDefault="00C954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471"/>
    <w:rsid w:val="000E78EC"/>
    <w:rsid w:val="00103BD1"/>
    <w:rsid w:val="002A1B22"/>
    <w:rsid w:val="004C1C41"/>
    <w:rsid w:val="0054340F"/>
    <w:rsid w:val="00683372"/>
    <w:rsid w:val="006B5D51"/>
    <w:rsid w:val="00933471"/>
    <w:rsid w:val="00A81081"/>
    <w:rsid w:val="00B37BA7"/>
    <w:rsid w:val="00B4261E"/>
    <w:rsid w:val="00B73E3A"/>
    <w:rsid w:val="00C64B6D"/>
    <w:rsid w:val="00C95456"/>
    <w:rsid w:val="00D34973"/>
    <w:rsid w:val="00DC5DC9"/>
    <w:rsid w:val="00E3116F"/>
    <w:rsid w:val="00E521E7"/>
    <w:rsid w:val="00E822ED"/>
    <w:rsid w:val="00F831C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1F0AC"/>
  <w15:docId w15:val="{955BEDC1-15E8-D141-B071-CD143A0BC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6"/>
      <w:szCs w:val="36"/>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4C1C41"/>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4C1C41"/>
    <w:rPr>
      <w:szCs w:val="30"/>
    </w:rPr>
  </w:style>
  <w:style w:type="paragraph" w:styleId="Footer">
    <w:name w:val="footer"/>
    <w:basedOn w:val="Normal"/>
    <w:link w:val="FooterChar"/>
    <w:uiPriority w:val="99"/>
    <w:unhideWhenUsed/>
    <w:rsid w:val="004C1C41"/>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4C1C41"/>
    <w:rPr>
      <w:szCs w:val="30"/>
    </w:rPr>
  </w:style>
  <w:style w:type="paragraph" w:styleId="TOCHeading">
    <w:name w:val="TOC Heading"/>
    <w:basedOn w:val="Heading1"/>
    <w:next w:val="Normal"/>
    <w:uiPriority w:val="39"/>
    <w:unhideWhenUsed/>
    <w:qFormat/>
    <w:rsid w:val="004C1C41"/>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4C1C41"/>
    <w:pPr>
      <w:spacing w:after="100"/>
    </w:pPr>
    <w:rPr>
      <w:szCs w:val="30"/>
    </w:rPr>
  </w:style>
  <w:style w:type="character" w:styleId="Hyperlink">
    <w:name w:val="Hyperlink"/>
    <w:basedOn w:val="DefaultParagraphFont"/>
    <w:uiPriority w:val="99"/>
    <w:unhideWhenUsed/>
    <w:rsid w:val="004C1C41"/>
    <w:rPr>
      <w:color w:val="0000FF" w:themeColor="hyperlink"/>
      <w:u w:val="single"/>
    </w:rPr>
  </w:style>
  <w:style w:type="paragraph" w:styleId="TOC2">
    <w:name w:val="toc 2"/>
    <w:basedOn w:val="Normal"/>
    <w:next w:val="Normal"/>
    <w:autoRedefine/>
    <w:uiPriority w:val="39"/>
    <w:unhideWhenUsed/>
    <w:rsid w:val="000E78EC"/>
    <w:pPr>
      <w:spacing w:after="100"/>
      <w:ind w:left="240"/>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11/1467-8551.12340" TargetMode="External"/><Relationship Id="rId13" Type="http://schemas.openxmlformats.org/officeDocument/2006/relationships/hyperlink" Target="https://doi.org/10.3390/ijerph17238757" TargetMode="External"/><Relationship Id="rId18" Type="http://schemas.openxmlformats.org/officeDocument/2006/relationships/hyperlink" Target="https://doi.org/10.1080/17482631.2021.198692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dx.doi.org/10.31838/jcr.07.12.11" TargetMode="External"/><Relationship Id="rId17" Type="http://schemas.openxmlformats.org/officeDocument/2006/relationships/hyperlink" Target="https://doi.org/10.1111/peps.12572" TargetMode="External"/><Relationship Id="rId2" Type="http://schemas.openxmlformats.org/officeDocument/2006/relationships/styles" Target="styles.xml"/><Relationship Id="rId16" Type="http://schemas.openxmlformats.org/officeDocument/2006/relationships/hyperlink" Target="https://doi.org/10.1007/s11625-023-01312-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orgdyn.2024.101103" TargetMode="External"/><Relationship Id="rId5" Type="http://schemas.openxmlformats.org/officeDocument/2006/relationships/footnotes" Target="footnotes.xml"/><Relationship Id="rId15" Type="http://schemas.openxmlformats.org/officeDocument/2006/relationships/hyperlink" Target="https://doi.org/10.1016/j.prro.2019.02.015" TargetMode="External"/><Relationship Id="rId10" Type="http://schemas.openxmlformats.org/officeDocument/2006/relationships/hyperlink" Target="https://doi.org/10.3390/su15032364"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07/s00170-025-16189-0" TargetMode="External"/><Relationship Id="rId14" Type="http://schemas.openxmlformats.org/officeDocument/2006/relationships/hyperlink" Target="https://doi.org/10.5539/ijbm.v19n3p26"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7AD9F-003C-452B-84BB-881069026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2859</Words>
  <Characters>16298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cyrille rene tounoudjou</cp:lastModifiedBy>
  <cp:revision>3</cp:revision>
  <dcterms:created xsi:type="dcterms:W3CDTF">2026-05-01T15:25:00Z</dcterms:created>
  <dcterms:modified xsi:type="dcterms:W3CDTF">2026-05-01T15:27:00Z</dcterms:modified>
</cp:coreProperties>
</file>