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95DA50" w14:textId="10FAF08A" w:rsidR="1877D215" w:rsidRDefault="1877D215" w:rsidP="1877D215">
      <w:pPr>
        <w:rPr>
          <w:rFonts w:ascii="Times New Roman" w:eastAsia="Times New Roman" w:hAnsi="Times New Roman" w:cs="Times New Roman"/>
        </w:rPr>
      </w:pPr>
    </w:p>
    <w:p w14:paraId="2D8099E0" w14:textId="20AD97E1" w:rsidR="62E7944A" w:rsidRDefault="1877D215" w:rsidP="1877D215">
      <w:pPr>
        <w:rPr>
          <w:rFonts w:ascii="Times New Roman" w:eastAsia="Times New Roman" w:hAnsi="Times New Roman" w:cs="Times New Roman"/>
        </w:rPr>
      </w:pPr>
      <w:r w:rsidRPr="1877D215">
        <w:rPr>
          <w:rFonts w:ascii="Times New Roman" w:eastAsia="Times New Roman" w:hAnsi="Times New Roman" w:cs="Times New Roman"/>
        </w:rPr>
        <w:t xml:space="preserve">Dietary Reference Values (DRVs) represent a comprehensive set of nutritional intake guidelines established to </w:t>
      </w:r>
      <w:proofErr w:type="spellStart"/>
      <w:r w:rsidRPr="1877D215">
        <w:rPr>
          <w:rFonts w:ascii="Times New Roman" w:eastAsia="Times New Roman" w:hAnsi="Times New Roman" w:cs="Times New Roman"/>
        </w:rPr>
        <w:t>fulfill</w:t>
      </w:r>
      <w:proofErr w:type="spellEnd"/>
      <w:r w:rsidRPr="1877D215">
        <w:rPr>
          <w:rFonts w:ascii="Times New Roman" w:eastAsia="Times New Roman" w:hAnsi="Times New Roman" w:cs="Times New Roman"/>
        </w:rPr>
        <w:t xml:space="preserve"> the nutritional requirements of different population segments (Abreu, 2022). Although children typically require reduced amounts of most nutrients and vitamins relative to adults, this pattern does not apply universally. Energy requirements for children demonstrate significant age-dependent variation, with children aged 4 to 6 years requiring between 1,200 and 1,800 calories per day (Buckland et al., 2022). Nutritional adequacy for children necessitates consumption across all five food groups: fruits, vegetables, legumes and beans, grain foods, and lean sources of protein including meat, fish, poultry, and their alternatives. Despite constituting a smaller proportion of the overall diet, fats serve a fundamental purpose in supporting developmental processes during childhood (</w:t>
      </w:r>
      <w:proofErr w:type="spellStart"/>
      <w:r w:rsidRPr="1877D215">
        <w:rPr>
          <w:rFonts w:ascii="Times New Roman" w:eastAsia="Times New Roman" w:hAnsi="Times New Roman" w:cs="Times New Roman"/>
        </w:rPr>
        <w:t>Monnard</w:t>
      </w:r>
      <w:proofErr w:type="spellEnd"/>
      <w:r w:rsidRPr="1877D215">
        <w:rPr>
          <w:rFonts w:ascii="Times New Roman" w:eastAsia="Times New Roman" w:hAnsi="Times New Roman" w:cs="Times New Roman"/>
        </w:rPr>
        <w:t xml:space="preserve"> and </w:t>
      </w:r>
      <w:proofErr w:type="spellStart"/>
      <w:r w:rsidRPr="1877D215">
        <w:rPr>
          <w:rFonts w:ascii="Times New Roman" w:eastAsia="Times New Roman" w:hAnsi="Times New Roman" w:cs="Times New Roman"/>
        </w:rPr>
        <w:t>Fleith</w:t>
      </w:r>
      <w:proofErr w:type="spellEnd"/>
      <w:r w:rsidRPr="1877D215">
        <w:rPr>
          <w:rFonts w:ascii="Times New Roman" w:eastAsia="Times New Roman" w:hAnsi="Times New Roman" w:cs="Times New Roman"/>
        </w:rPr>
        <w:t>, 2021). Dietary composition should include carbohydrates providing approximately 50% of daily energy needs, preferably sourced from whole grains and high-</w:t>
      </w:r>
      <w:proofErr w:type="spellStart"/>
      <w:r w:rsidRPr="1877D215">
        <w:rPr>
          <w:rFonts w:ascii="Times New Roman" w:eastAsia="Times New Roman" w:hAnsi="Times New Roman" w:cs="Times New Roman"/>
        </w:rPr>
        <w:t>fiber</w:t>
      </w:r>
      <w:proofErr w:type="spellEnd"/>
      <w:r w:rsidRPr="1877D215">
        <w:rPr>
          <w:rFonts w:ascii="Times New Roman" w:eastAsia="Times New Roman" w:hAnsi="Times New Roman" w:cs="Times New Roman"/>
        </w:rPr>
        <w:t xml:space="preserve"> options. Protein intake remains essential during this period of rapid growth and tissue regeneration. Additionally, vitamin C plays a crucial role in maintaining robust immune function and preventing infections, while B complex vitamins support various metabolic pathways and promote healthy nervous system development.</w:t>
      </w:r>
    </w:p>
    <w:p w14:paraId="2CB9A1CA" w14:textId="4346FE8D" w:rsidR="00B43A03" w:rsidRDefault="1877D215" w:rsidP="1877D215">
      <w:pPr>
        <w:rPr>
          <w:rFonts w:ascii="Times New Roman" w:eastAsia="Times New Roman" w:hAnsi="Times New Roman" w:cs="Times New Roman"/>
        </w:rPr>
      </w:pPr>
      <w:r w:rsidRPr="1877D215">
        <w:rPr>
          <w:rFonts w:ascii="Times New Roman" w:eastAsia="Times New Roman" w:hAnsi="Times New Roman" w:cs="Times New Roman"/>
        </w:rPr>
        <w:t>The evolution of Dietary Reference Values (DRVs) in the United Kingdom has been a carefully structured process, primarily overseen by expert committees, with the Scientific Advisory Committee on Nutrition (SACN) playing a pivotal role. The concept of DRVs emerged in the late 1980s and early 1990s, replacing earlier nutrient recommendations such as Reference Nutrient Intakes (RNIs) and Recommended Daily Amounts (RDAs). This shift aimed to provide more precise and scientifically grounded guidelines for nutrient intake, tailored to the needs of different population groups (Powers 2021). The SACN, responsible for reviewing and setting DRVs, operates within a framework that evaluates the relationship between food, nutrients, and health outcomes. This process involves a diverse range of measures to assess nutrient adequacy, ensuring that DRVs are based on the best available evidence (Powers, 2021). Despite progress in harmonizing approaches to setting nutrient requirements globally, challenges remain in achieving full transparency and consistency in the decision-making process (Brown et al., 2015).</w:t>
      </w:r>
    </w:p>
    <w:p w14:paraId="69DC9032" w14:textId="2808423A" w:rsidR="00B43A03" w:rsidRDefault="1877D215" w:rsidP="1877D215">
      <w:pPr>
        <w:spacing w:after="0"/>
        <w:rPr>
          <w:rFonts w:ascii="Times New Roman" w:eastAsia="Times New Roman" w:hAnsi="Times New Roman" w:cs="Times New Roman"/>
        </w:rPr>
      </w:pPr>
      <w:r w:rsidRPr="1877D215">
        <w:rPr>
          <w:rFonts w:ascii="Times New Roman" w:eastAsia="Times New Roman" w:hAnsi="Times New Roman" w:cs="Times New Roman"/>
        </w:rPr>
        <w:t>The paragraph is well-written and accurate in its description of the Scientific Advisory Committee on Nutrition (SACN) and its role in developing Dietary Reference Values (DRVs). However, it lacks specific references to authoritative sources to support the claims made. Below is the paragraph with suggested in-text citations added for accuracy and credibility:</w:t>
      </w:r>
    </w:p>
    <w:p w14:paraId="50EDC302" w14:textId="152DFC31" w:rsidR="00B43A03" w:rsidRDefault="1877D215" w:rsidP="1877D215">
      <w:pPr>
        <w:spacing w:after="0"/>
        <w:rPr>
          <w:rFonts w:ascii="Times New Roman" w:eastAsia="Times New Roman" w:hAnsi="Times New Roman" w:cs="Times New Roman"/>
        </w:rPr>
      </w:pPr>
      <w:r w:rsidRPr="1877D215">
        <w:rPr>
          <w:rFonts w:ascii="Times New Roman" w:eastAsia="Times New Roman" w:hAnsi="Times New Roman" w:cs="Times New Roman"/>
        </w:rPr>
        <w:t xml:space="preserve">The Scientific Advisory Committee on Nutrition (SACN), established in 2001, serves as an independent advisory body responsible for providing evidence-based guidance to the UK government on matters related to nutrition and its implications for public health (SACN, 2023). Composed of experts in fields such as nutrition, biochemistry, epidemiology, and public health, SACN’s core mandate is to deliver impartial recommendations rooted in rigorous scientific evidence (Public Health England, 2020). The process of developing Dietary Reference Values (DRVs) involves SACN conducting systematic reviews of the scientific literature, which integrate data from diverse sources, including studies on nutrient intake, health outcomes, and </w:t>
      </w:r>
      <w:proofErr w:type="gramStart"/>
      <w:r w:rsidRPr="1877D215">
        <w:rPr>
          <w:rFonts w:ascii="Times New Roman" w:eastAsia="Times New Roman" w:hAnsi="Times New Roman" w:cs="Times New Roman"/>
        </w:rPr>
        <w:t>other</w:t>
      </w:r>
      <w:proofErr w:type="gramEnd"/>
      <w:r w:rsidRPr="1877D215">
        <w:rPr>
          <w:rFonts w:ascii="Times New Roman" w:eastAsia="Times New Roman" w:hAnsi="Times New Roman" w:cs="Times New Roman"/>
        </w:rPr>
        <w:t xml:space="preserve"> relevant research (SACN, 2023). SACN thoroughly assesses this evidence to determine nutrient requirements across various population groups, </w:t>
      </w:r>
      <w:proofErr w:type="gramStart"/>
      <w:r w:rsidRPr="1877D215">
        <w:rPr>
          <w:rFonts w:ascii="Times New Roman" w:eastAsia="Times New Roman" w:hAnsi="Times New Roman" w:cs="Times New Roman"/>
        </w:rPr>
        <w:t>taking into account</w:t>
      </w:r>
      <w:proofErr w:type="gramEnd"/>
      <w:r w:rsidRPr="1877D215">
        <w:rPr>
          <w:rFonts w:ascii="Times New Roman" w:eastAsia="Times New Roman" w:hAnsi="Times New Roman" w:cs="Times New Roman"/>
        </w:rPr>
        <w:t xml:space="preserve"> factors such as age, gender, life stage, and specific health conditions (Public Health England, 2020).</w:t>
      </w:r>
    </w:p>
    <w:p w14:paraId="58E0A2E1" w14:textId="3E87CF41" w:rsidR="00B43A03" w:rsidRDefault="00B43A03" w:rsidP="1877D215">
      <w:pPr>
        <w:rPr>
          <w:rFonts w:ascii="Times New Roman" w:eastAsia="Times New Roman" w:hAnsi="Times New Roman" w:cs="Times New Roman"/>
        </w:rPr>
      </w:pPr>
    </w:p>
    <w:p w14:paraId="679E4417" w14:textId="1E6B7692" w:rsidR="00B43A03" w:rsidRDefault="1877D215" w:rsidP="1877D215">
      <w:pPr>
        <w:spacing w:after="0"/>
        <w:rPr>
          <w:rFonts w:ascii="Times New Roman" w:eastAsia="Times New Roman" w:hAnsi="Times New Roman" w:cs="Times New Roman"/>
        </w:rPr>
      </w:pPr>
      <w:r w:rsidRPr="1877D215">
        <w:rPr>
          <w:rFonts w:ascii="Times New Roman" w:eastAsia="Times New Roman" w:hAnsi="Times New Roman" w:cs="Times New Roman"/>
        </w:rPr>
        <w:t>Based on these assessments, the Scientific Advisory Committee on Nutrition (SACN) drafts reports that undergo extensive consultation with stakeholders, including healthcare professionals, the public, relevant organizations, and other interested parties. This inclusive approach ensures that the finalized reports reflect a comprehensive understanding and consider diverse perspectives (SACN, 2023).</w:t>
      </w:r>
    </w:p>
    <w:p w14:paraId="19FBA317" w14:textId="6CE76BAB" w:rsidR="00B43A03" w:rsidRDefault="1877D215" w:rsidP="1877D215">
      <w:pPr>
        <w:spacing w:after="0"/>
        <w:rPr>
          <w:rFonts w:ascii="Times New Roman" w:eastAsia="Times New Roman" w:hAnsi="Times New Roman" w:cs="Times New Roman"/>
        </w:rPr>
      </w:pPr>
      <w:r w:rsidRPr="1877D215">
        <w:rPr>
          <w:rFonts w:ascii="Times New Roman" w:eastAsia="Times New Roman" w:hAnsi="Times New Roman" w:cs="Times New Roman"/>
        </w:rPr>
        <w:lastRenderedPageBreak/>
        <w:t>The Eatwell Guide, developed in 2016 by Public Health England as an updated version of the Eatwell Plate, is utilized in settings such as schools and hospitals. It provides guidance on how much and what to eat to maintain a healthy diet, divided into five categories:</w:t>
      </w:r>
    </w:p>
    <w:p w14:paraId="6F39BDDD" w14:textId="68D5277D" w:rsidR="00B43A03" w:rsidRDefault="1877D215" w:rsidP="1877D215">
      <w:pPr>
        <w:pStyle w:val="ListParagraph"/>
        <w:numPr>
          <w:ilvl w:val="0"/>
          <w:numId w:val="3"/>
        </w:numPr>
        <w:spacing w:before="240" w:after="240"/>
        <w:rPr>
          <w:rFonts w:ascii="Times New Roman" w:eastAsia="Times New Roman" w:hAnsi="Times New Roman" w:cs="Times New Roman"/>
        </w:rPr>
      </w:pPr>
      <w:r w:rsidRPr="1877D215">
        <w:rPr>
          <w:rFonts w:ascii="Times New Roman" w:eastAsia="Times New Roman" w:hAnsi="Times New Roman" w:cs="Times New Roman"/>
        </w:rPr>
        <w:t>Fruits and Vegetables: This group includes fresh, frozen, canned, or dried fruits and vegetables, which should make up roughly one-third of the diet (Public Health England, 2016).</w:t>
      </w:r>
    </w:p>
    <w:p w14:paraId="41C37CB0" w14:textId="4D61542E" w:rsidR="00B43A03" w:rsidRDefault="1877D215" w:rsidP="1877D215">
      <w:pPr>
        <w:pStyle w:val="ListParagraph"/>
        <w:numPr>
          <w:ilvl w:val="0"/>
          <w:numId w:val="3"/>
        </w:numPr>
        <w:spacing w:before="240" w:after="240"/>
        <w:rPr>
          <w:rFonts w:ascii="Times New Roman" w:eastAsia="Times New Roman" w:hAnsi="Times New Roman" w:cs="Times New Roman"/>
        </w:rPr>
      </w:pPr>
      <w:r w:rsidRPr="1877D215">
        <w:rPr>
          <w:rFonts w:ascii="Times New Roman" w:eastAsia="Times New Roman" w:hAnsi="Times New Roman" w:cs="Times New Roman"/>
        </w:rPr>
        <w:t>Starchy Carbohydrates: Foods like potatoes, rice, pasta, bread, and cereals are included, with a recommendation that one-third of the diet should come from these sources, preferably wholegrain varieties (Public Health England, 2016).</w:t>
      </w:r>
    </w:p>
    <w:p w14:paraId="1FBE2CD1" w14:textId="48E40CC5" w:rsidR="00B43A03" w:rsidRDefault="1877D215" w:rsidP="1877D215">
      <w:pPr>
        <w:pStyle w:val="ListParagraph"/>
        <w:numPr>
          <w:ilvl w:val="0"/>
          <w:numId w:val="3"/>
        </w:numPr>
        <w:spacing w:before="240" w:after="240"/>
        <w:rPr>
          <w:rFonts w:ascii="Times New Roman" w:eastAsia="Times New Roman" w:hAnsi="Times New Roman" w:cs="Times New Roman"/>
        </w:rPr>
      </w:pPr>
      <w:r w:rsidRPr="1877D215">
        <w:rPr>
          <w:rFonts w:ascii="Times New Roman" w:eastAsia="Times New Roman" w:hAnsi="Times New Roman" w:cs="Times New Roman"/>
        </w:rPr>
        <w:t>Proteins: This group encompasses beans, pulses, fish, eggs, meat, and other protein-rich foods, with moderate amounts recommended to support muscle growth, particularly for those engaged in sports or physical activities (Public Health England, 2016).</w:t>
      </w:r>
    </w:p>
    <w:p w14:paraId="76F0CFB4" w14:textId="4A2AEDAE" w:rsidR="00B43A03" w:rsidRDefault="1877D215" w:rsidP="1877D215">
      <w:pPr>
        <w:pStyle w:val="ListParagraph"/>
        <w:numPr>
          <w:ilvl w:val="0"/>
          <w:numId w:val="3"/>
        </w:numPr>
        <w:spacing w:before="240" w:after="240"/>
        <w:rPr>
          <w:rFonts w:ascii="Times New Roman" w:eastAsia="Times New Roman" w:hAnsi="Times New Roman" w:cs="Times New Roman"/>
        </w:rPr>
      </w:pPr>
      <w:r w:rsidRPr="1877D215">
        <w:rPr>
          <w:rFonts w:ascii="Times New Roman" w:eastAsia="Times New Roman" w:hAnsi="Times New Roman" w:cs="Times New Roman"/>
        </w:rPr>
        <w:t>Dairy and Dairy Alternatives: Milk, cheese, yogurt, and calcium-fortified alternatives are included to support bone health, as physical activity can lead to calcium loss through muscle use (Public Health England, 2016).</w:t>
      </w:r>
    </w:p>
    <w:p w14:paraId="5FCE3F30" w14:textId="4683C741" w:rsidR="00B43A03" w:rsidRDefault="1877D215" w:rsidP="1877D215">
      <w:pPr>
        <w:pStyle w:val="ListParagraph"/>
        <w:numPr>
          <w:ilvl w:val="0"/>
          <w:numId w:val="3"/>
        </w:numPr>
        <w:spacing w:before="240" w:after="240"/>
        <w:rPr>
          <w:rFonts w:ascii="Times New Roman" w:eastAsia="Times New Roman" w:hAnsi="Times New Roman" w:cs="Times New Roman"/>
        </w:rPr>
      </w:pPr>
      <w:r w:rsidRPr="1877D215">
        <w:rPr>
          <w:rFonts w:ascii="Times New Roman" w:eastAsia="Times New Roman" w:hAnsi="Times New Roman" w:cs="Times New Roman"/>
        </w:rPr>
        <w:t>Oils and Spreads: Unsaturated oils and spreads are recommended in small amounts to provide essential fats (Public Health England, 2016).</w:t>
      </w:r>
    </w:p>
    <w:p w14:paraId="1B8EC569" w14:textId="626EFB44" w:rsidR="00B43A03" w:rsidRDefault="1877D215" w:rsidP="1877D215">
      <w:pPr>
        <w:spacing w:after="0"/>
        <w:rPr>
          <w:rFonts w:ascii="Times New Roman" w:eastAsia="Times New Roman" w:hAnsi="Times New Roman" w:cs="Times New Roman"/>
        </w:rPr>
      </w:pPr>
      <w:r w:rsidRPr="1877D215">
        <w:rPr>
          <w:rFonts w:ascii="Times New Roman" w:eastAsia="Times New Roman" w:hAnsi="Times New Roman" w:cs="Times New Roman"/>
        </w:rPr>
        <w:t>The Eatwell Guide serves as a practical tool for promoting balanced nutrition and healthy eating habits across various populations.</w:t>
      </w:r>
    </w:p>
    <w:p w14:paraId="2BFB5572" w14:textId="0F70BC7F" w:rsidR="00B43A03" w:rsidRDefault="00B43A03" w:rsidP="1877D215">
      <w:pPr>
        <w:rPr>
          <w:rFonts w:ascii="Times New Roman" w:eastAsia="Times New Roman" w:hAnsi="Times New Roman" w:cs="Times New Roman"/>
        </w:rPr>
      </w:pPr>
    </w:p>
    <w:p w14:paraId="7DAA1A28" w14:textId="490E9C6E" w:rsidR="00B43A03" w:rsidRDefault="1877D215" w:rsidP="1877D215">
      <w:pPr>
        <w:rPr>
          <w:rFonts w:ascii="Times New Roman" w:eastAsia="Times New Roman" w:hAnsi="Times New Roman" w:cs="Times New Roman"/>
        </w:rPr>
      </w:pPr>
      <w:r w:rsidRPr="1877D215">
        <w:rPr>
          <w:rFonts w:ascii="Times New Roman" w:eastAsia="Times New Roman" w:hAnsi="Times New Roman" w:cs="Times New Roman"/>
        </w:rPr>
        <w:t xml:space="preserve">Consuming a variety of foods is essential for maintaining optimal health, as deficiencies can lead to illness. This is why Dietary Reference Values (DRVs) and tools like the Eatwell Guide are crucial—they provide recommendations on what to eat to achieve a balanced diet. These guidelines emphasize the importance of vitamins and minerals from diverse food sources, which play vital roles in bodily functions. For example, vitamin A is critical for tissue development and differentiation, particularly in children. Low levels of vitamin A increase susceptibility to infections, and supplementation can improve health outcomes. Deficiency in vitamin A can lead to serious conditions such as blindness, </w:t>
      </w:r>
      <w:proofErr w:type="spellStart"/>
      <w:r w:rsidRPr="1877D215">
        <w:rPr>
          <w:rFonts w:ascii="Times New Roman" w:eastAsia="Times New Roman" w:hAnsi="Times New Roman" w:cs="Times New Roman"/>
        </w:rPr>
        <w:t>anemia</w:t>
      </w:r>
      <w:proofErr w:type="spellEnd"/>
      <w:r w:rsidRPr="1877D215">
        <w:rPr>
          <w:rFonts w:ascii="Times New Roman" w:eastAsia="Times New Roman" w:hAnsi="Times New Roman" w:cs="Times New Roman"/>
        </w:rPr>
        <w:t>, rough skin, and impaired taste and smell (Micronutrients throughout the Life Cycle, 2023). Foods rich in vitamin A include beef liver, carrots, sweet potatoes, kale, and mangoes. Both the Eatwell Guide and DRVs highlight the importance of including such nutrient-dense foods in the diet to support the health of both children and adults (Public Health England, 2016).</w:t>
      </w:r>
    </w:p>
    <w:p w14:paraId="0EF78E73" w14:textId="346FC3B4" w:rsidR="00B43A03" w:rsidRDefault="1877D215" w:rsidP="1877D215">
      <w:pPr>
        <w:rPr>
          <w:rFonts w:ascii="Times New Roman" w:eastAsia="Times New Roman" w:hAnsi="Times New Roman" w:cs="Times New Roman"/>
        </w:rPr>
      </w:pPr>
      <w:r w:rsidRPr="1877D215">
        <w:rPr>
          <w:rFonts w:ascii="Times New Roman" w:eastAsia="Times New Roman" w:hAnsi="Times New Roman" w:cs="Times New Roman"/>
        </w:rPr>
        <w:t>The Dietary Reference Values (DRVs) and the Eatwell Guide are essential resources that provide evidence-based guidelines and recommendations for achieving a balanced and healthy diet. These tools are particularly valuable for children, as they offer detailed information on the types and quantities of foods necessary to support optimal growth, development, and overall health (Public Health England, 2016). The DRVs outline nutrient intake levels tailored to different age groups, ensuring that children receive adequate amounts of essential vitamins and minerals (SACN, 2023). Meanwhile, the Eatwell Guide emphasizes the inclusion of diverse food groups, such as fruits, vegetables, whole grains, and lean proteins, to promote long-term health and prevent nutritional deficiencies (Public Health England, 2016). Together, these resources serve as practical tools for caregivers and educators to foster healthy eating habits in children, aligning with broader public health goals (Micronutrients throughout the Life Cycle, 2023).</w:t>
      </w:r>
    </w:p>
    <w:p w14:paraId="7F19CBE4" w14:textId="1F894F78" w:rsidR="003C4DF9" w:rsidRDefault="003C4DF9" w:rsidP="1877D215">
      <w:pPr>
        <w:spacing w:after="0"/>
        <w:rPr>
          <w:rFonts w:ascii="Times New Roman" w:eastAsia="Times New Roman" w:hAnsi="Times New Roman" w:cs="Times New Roman"/>
        </w:rPr>
      </w:pPr>
      <w:r w:rsidRPr="1877D215">
        <w:rPr>
          <w:rFonts w:ascii="Times New Roman" w:eastAsia="Times New Roman" w:hAnsi="Times New Roman" w:cs="Times New Roman"/>
        </w:rPr>
        <w:t>Here's how these resources can help children:</w:t>
      </w:r>
    </w:p>
    <w:p w14:paraId="042F75F1" w14:textId="2EA5EB63" w:rsidR="00B43A03" w:rsidRDefault="1877D215" w:rsidP="1877D215">
      <w:pPr>
        <w:spacing w:after="0"/>
        <w:rPr>
          <w:rFonts w:ascii="Times New Roman" w:eastAsia="Times New Roman" w:hAnsi="Times New Roman" w:cs="Times New Roman"/>
        </w:rPr>
      </w:pPr>
      <w:r w:rsidRPr="1877D215">
        <w:rPr>
          <w:rFonts w:ascii="Times New Roman" w:eastAsia="Times New Roman" w:hAnsi="Times New Roman" w:cs="Times New Roman"/>
        </w:rPr>
        <w:t>Nutritional Guidelines: The Dietary Reference Values (DRVs) and the Eatwell Guide provide clear recommendations on the nutrients and food groups essential for children’s healthy growth. They outline the daily intake of vital nutrients such as vitamins, minerals, proteins, carbohydrates, and fats, which are crucial for development (Public Health England, 2016; SACN, 2023).</w:t>
      </w:r>
    </w:p>
    <w:p w14:paraId="7C4A36F0" w14:textId="7ED0316F" w:rsidR="00B43A03" w:rsidRDefault="1877D215" w:rsidP="1877D215">
      <w:pPr>
        <w:spacing w:after="0"/>
        <w:rPr>
          <w:rFonts w:ascii="Times New Roman" w:eastAsia="Times New Roman" w:hAnsi="Times New Roman" w:cs="Times New Roman"/>
        </w:rPr>
      </w:pPr>
      <w:r w:rsidRPr="1877D215">
        <w:rPr>
          <w:rFonts w:ascii="Times New Roman" w:eastAsia="Times New Roman" w:hAnsi="Times New Roman" w:cs="Times New Roman"/>
        </w:rPr>
        <w:lastRenderedPageBreak/>
        <w:t>Balanced Diet: These tools emphasize the importance of a balanced diet, incorporating diverse food groups like fruits, vegetables, grains, protein sources, and dairy products. This ensures children receive a wide range of nutrients, supporting both physical and mental health, as a balanced diet is linked to increased physical activity and overall well-being (Micronutrients throughout the Life Cycle, 2023).</w:t>
      </w:r>
    </w:p>
    <w:p w14:paraId="6DAD307F" w14:textId="30B067DC" w:rsidR="00B43A03" w:rsidRDefault="1877D215" w:rsidP="1877D215">
      <w:pPr>
        <w:spacing w:after="0"/>
        <w:rPr>
          <w:rFonts w:ascii="Times New Roman" w:eastAsia="Times New Roman" w:hAnsi="Times New Roman" w:cs="Times New Roman"/>
        </w:rPr>
      </w:pPr>
      <w:r w:rsidRPr="1877D215">
        <w:rPr>
          <w:rFonts w:ascii="Times New Roman" w:eastAsia="Times New Roman" w:hAnsi="Times New Roman" w:cs="Times New Roman"/>
        </w:rPr>
        <w:t>Portion Control: The guides include age-specific portion size recommendations, helping parents and caregivers serve appropriate amounts of food to children. This is particularly important in combating rising global obesity rates, as proper portion control can prevent overeating or under-eating (Public Health England, 2016).</w:t>
      </w:r>
    </w:p>
    <w:p w14:paraId="2008D977" w14:textId="3DAEC6A5" w:rsidR="00B43A03" w:rsidRDefault="1877D215" w:rsidP="1877D215">
      <w:pPr>
        <w:spacing w:after="0"/>
        <w:rPr>
          <w:rFonts w:ascii="Times New Roman" w:eastAsia="Times New Roman" w:hAnsi="Times New Roman" w:cs="Times New Roman"/>
        </w:rPr>
      </w:pPr>
      <w:r w:rsidRPr="1877D215">
        <w:rPr>
          <w:rFonts w:ascii="Times New Roman" w:eastAsia="Times New Roman" w:hAnsi="Times New Roman" w:cs="Times New Roman"/>
        </w:rPr>
        <w:t>Healthy Eating Habits: By encouraging the consumption of whole foods and minimizing processed foods high in sugar, salt, and unhealthy fats, these resources foster healthy eating habits early in life. This not only supports bodily functions but also strengthens teeth, reducing the risk of decay (Public Health England, 2016).</w:t>
      </w:r>
    </w:p>
    <w:p w14:paraId="15B47056" w14:textId="133347BB" w:rsidR="00B43A03" w:rsidRDefault="1877D215" w:rsidP="1877D215">
      <w:pPr>
        <w:spacing w:after="0"/>
        <w:rPr>
          <w:rFonts w:ascii="Times New Roman" w:eastAsia="Times New Roman" w:hAnsi="Times New Roman" w:cs="Times New Roman"/>
        </w:rPr>
      </w:pPr>
      <w:r w:rsidRPr="1877D215">
        <w:rPr>
          <w:rFonts w:ascii="Times New Roman" w:eastAsia="Times New Roman" w:hAnsi="Times New Roman" w:cs="Times New Roman"/>
        </w:rPr>
        <w:t>Prevention of Nutritional Deficiencies: Following these guidelines helps prevent nutritional deficiencies that can lead to health issues such as stunted growth, weakened immune systems, and cognitive development problems (SACN, 2023).</w:t>
      </w:r>
    </w:p>
    <w:p w14:paraId="643134F8" w14:textId="6824C223" w:rsidR="00B43A03" w:rsidRDefault="1877D215" w:rsidP="1877D215">
      <w:pPr>
        <w:spacing w:after="0"/>
        <w:rPr>
          <w:rFonts w:ascii="Times New Roman" w:eastAsia="Times New Roman" w:hAnsi="Times New Roman" w:cs="Times New Roman"/>
        </w:rPr>
      </w:pPr>
      <w:r w:rsidRPr="1877D215">
        <w:rPr>
          <w:rFonts w:ascii="Times New Roman" w:eastAsia="Times New Roman" w:hAnsi="Times New Roman" w:cs="Times New Roman"/>
        </w:rPr>
        <w:t>Educational Tools: The DRVs and Eatwell Guide often include educational materials for parents, educators, and healthcare professionals. These resources enable them to teach children about the importance of nutrition and making informed food choices (Public Health England, 2016).</w:t>
      </w:r>
    </w:p>
    <w:p w14:paraId="76A7EE4C" w14:textId="4983E7A6" w:rsidR="00B43A03" w:rsidRDefault="00B43A03" w:rsidP="1877D215">
      <w:pPr>
        <w:spacing w:after="0"/>
        <w:rPr>
          <w:rFonts w:ascii="Times New Roman" w:eastAsia="Times New Roman" w:hAnsi="Times New Roman" w:cs="Times New Roman"/>
        </w:rPr>
      </w:pPr>
    </w:p>
    <w:p w14:paraId="15CDA93F" w14:textId="1520BEFD" w:rsidR="00B43A03" w:rsidRDefault="1877D215" w:rsidP="1877D215">
      <w:pPr>
        <w:spacing w:after="0"/>
        <w:rPr>
          <w:rFonts w:ascii="Times New Roman" w:eastAsia="Times New Roman" w:hAnsi="Times New Roman" w:cs="Times New Roman"/>
        </w:rPr>
      </w:pPr>
      <w:r w:rsidRPr="1877D215">
        <w:rPr>
          <w:rFonts w:ascii="Times New Roman" w:eastAsia="Times New Roman" w:hAnsi="Times New Roman" w:cs="Times New Roman"/>
        </w:rPr>
        <w:t>In summary, these guidelines play a critical role in ensuring children receive the necessary nutrients and develop healthy eating habits, positively impacting their growth, development, and overall well-being.</w:t>
      </w:r>
    </w:p>
    <w:p w14:paraId="0655C20F" w14:textId="65153AD7" w:rsidR="00B43A03" w:rsidRDefault="00B43A03" w:rsidP="1877D215">
      <w:pPr>
        <w:rPr>
          <w:rFonts w:ascii="Times New Roman" w:eastAsia="Times New Roman" w:hAnsi="Times New Roman" w:cs="Times New Roman"/>
          <w:lang w:eastAsia="en-GB"/>
        </w:rPr>
      </w:pPr>
    </w:p>
    <w:p w14:paraId="278D3D61" w14:textId="12A3E03D" w:rsidR="00B43A03" w:rsidRDefault="1877D215" w:rsidP="1877D215">
      <w:pPr>
        <w:spacing w:after="0"/>
        <w:rPr>
          <w:rFonts w:ascii="Times New Roman" w:eastAsia="Times New Roman" w:hAnsi="Times New Roman" w:cs="Times New Roman"/>
        </w:rPr>
      </w:pPr>
      <w:r w:rsidRPr="1877D215">
        <w:rPr>
          <w:rFonts w:ascii="Times New Roman" w:eastAsia="Times New Roman" w:hAnsi="Times New Roman" w:cs="Times New Roman"/>
        </w:rPr>
        <w:t>The benefits of the Dietary Reference Values (DRVs) and the Eatwell Guide for children are extensive and impactful. These resources ensure optimal growth and development by providing essential nutrients necessary for physical and emotional growth. Following these guidelines helps children achieve the right balance of nutrients, which are critical for brain development, bone health, and overall physical growth (Public Health England, 2016; SACN, 2023).</w:t>
      </w:r>
    </w:p>
    <w:p w14:paraId="512BE9AE" w14:textId="1E198023" w:rsidR="00B43A03" w:rsidRDefault="1877D215" w:rsidP="1877D215">
      <w:pPr>
        <w:spacing w:after="0"/>
        <w:rPr>
          <w:rFonts w:ascii="Times New Roman" w:eastAsia="Times New Roman" w:hAnsi="Times New Roman" w:cs="Times New Roman"/>
        </w:rPr>
      </w:pPr>
      <w:r w:rsidRPr="1877D215">
        <w:rPr>
          <w:rFonts w:ascii="Times New Roman" w:eastAsia="Times New Roman" w:hAnsi="Times New Roman" w:cs="Times New Roman"/>
        </w:rPr>
        <w:t>Additionally, adherence to these guidelines improves health and immunity. A well-balanced diet, as outlined by the DRVs and Eatwell Guide, strengthens children’s immune systems, reducing their susceptibility to illnesses and infections (Micronutrients throughout the Life Cycle, 2023).</w:t>
      </w:r>
    </w:p>
    <w:p w14:paraId="6AC0B262" w14:textId="638963EB" w:rsidR="00B43A03" w:rsidRDefault="1877D215" w:rsidP="1877D215">
      <w:pPr>
        <w:spacing w:after="0"/>
        <w:rPr>
          <w:rFonts w:ascii="Times New Roman" w:eastAsia="Times New Roman" w:hAnsi="Times New Roman" w:cs="Times New Roman"/>
        </w:rPr>
      </w:pPr>
      <w:r w:rsidRPr="1877D215">
        <w:rPr>
          <w:rFonts w:ascii="Times New Roman" w:eastAsia="Times New Roman" w:hAnsi="Times New Roman" w:cs="Times New Roman"/>
        </w:rPr>
        <w:t>The DRVs and Eatwell Guide are designed to ensure that people of all ages, especially children, consume the right foods to maximize their health benefits. For children, who are in a critical phase of growth, these guidelines are particularly important. Without proper nutrition, children risk developing deficiencies that can lead to health problems and illnesses due to a lack of essential vitamins and minerals (Public Health England, 2016; SACN, 2023).</w:t>
      </w:r>
    </w:p>
    <w:p w14:paraId="0133E317" w14:textId="2C43C070" w:rsidR="00B43A03" w:rsidRDefault="1877D215" w:rsidP="1877D215">
      <w:pPr>
        <w:spacing w:after="0"/>
        <w:rPr>
          <w:rFonts w:ascii="Times New Roman" w:eastAsia="Times New Roman" w:hAnsi="Times New Roman" w:cs="Times New Roman"/>
        </w:rPr>
      </w:pPr>
      <w:r w:rsidRPr="1877D215">
        <w:rPr>
          <w:rFonts w:ascii="Times New Roman" w:eastAsia="Times New Roman" w:hAnsi="Times New Roman" w:cs="Times New Roman"/>
        </w:rPr>
        <w:t>In summary, these tools play a vital role in promoting healthy eating habits, preventing nutritional deficiencies, and supporting the overall well-being of children as they grow and develop.</w:t>
      </w:r>
    </w:p>
    <w:p w14:paraId="0EBF92B4" w14:textId="1AAE17C7" w:rsidR="1877D215" w:rsidRDefault="1877D215" w:rsidP="1877D215">
      <w:pPr>
        <w:rPr>
          <w:rFonts w:ascii="Times New Roman" w:eastAsia="Times New Roman" w:hAnsi="Times New Roman" w:cs="Times New Roman"/>
        </w:rPr>
      </w:pPr>
    </w:p>
    <w:p w14:paraId="28F7EEA4" w14:textId="252C499E" w:rsidR="1877D215" w:rsidRDefault="1877D215" w:rsidP="1877D215">
      <w:pPr>
        <w:rPr>
          <w:rFonts w:ascii="Times New Roman" w:eastAsia="Times New Roman" w:hAnsi="Times New Roman" w:cs="Times New Roman"/>
        </w:rPr>
      </w:pPr>
    </w:p>
    <w:p w14:paraId="13BD1DF7" w14:textId="136DF6C1" w:rsidR="1877D215" w:rsidRDefault="1877D215" w:rsidP="1877D215">
      <w:pPr>
        <w:rPr>
          <w:rFonts w:ascii="Times New Roman" w:eastAsia="Times New Roman" w:hAnsi="Times New Roman" w:cs="Times New Roman"/>
        </w:rPr>
      </w:pPr>
    </w:p>
    <w:p w14:paraId="058CA0C9" w14:textId="46866546" w:rsidR="1877D215" w:rsidRDefault="1877D215" w:rsidP="1877D215">
      <w:pPr>
        <w:rPr>
          <w:rFonts w:ascii="Times New Roman" w:eastAsia="Times New Roman" w:hAnsi="Times New Roman" w:cs="Times New Roman"/>
        </w:rPr>
      </w:pPr>
    </w:p>
    <w:p w14:paraId="105A4225" w14:textId="43865B44" w:rsidR="1877D215" w:rsidRDefault="1877D215" w:rsidP="1877D215">
      <w:pPr>
        <w:rPr>
          <w:rFonts w:ascii="Times New Roman" w:eastAsia="Times New Roman" w:hAnsi="Times New Roman" w:cs="Times New Roman"/>
        </w:rPr>
      </w:pPr>
    </w:p>
    <w:p w14:paraId="67E51C7A" w14:textId="076353A1" w:rsidR="1877D215" w:rsidRDefault="1877D215" w:rsidP="1877D215">
      <w:pPr>
        <w:rPr>
          <w:rFonts w:ascii="Times New Roman" w:eastAsia="Times New Roman" w:hAnsi="Times New Roman" w:cs="Times New Roman"/>
        </w:rPr>
      </w:pPr>
    </w:p>
    <w:p w14:paraId="680E3CF2" w14:textId="4D123924" w:rsidR="1877D215" w:rsidRDefault="1877D215" w:rsidP="1877D215">
      <w:pPr>
        <w:rPr>
          <w:rFonts w:ascii="Times New Roman" w:eastAsia="Times New Roman" w:hAnsi="Times New Roman" w:cs="Times New Roman"/>
        </w:rPr>
      </w:pPr>
    </w:p>
    <w:p w14:paraId="1C9C127E" w14:textId="7F689EA5" w:rsidR="006513C1" w:rsidRDefault="006513C1">
      <w:pPr>
        <w:rPr>
          <w:rFonts w:ascii="Times New Roman" w:eastAsia="Times New Roman" w:hAnsi="Times New Roman" w:cs="Times New Roman"/>
          <w:sz w:val="28"/>
          <w:szCs w:val="28"/>
          <w:u w:val="single"/>
        </w:rPr>
      </w:pPr>
      <w:r w:rsidRPr="1877D215">
        <w:rPr>
          <w:rFonts w:ascii="Times New Roman" w:eastAsia="Times New Roman" w:hAnsi="Times New Roman" w:cs="Times New Roman"/>
          <w:sz w:val="28"/>
          <w:szCs w:val="28"/>
          <w:u w:val="single"/>
        </w:rPr>
        <w:lastRenderedPageBreak/>
        <w:t>References:</w:t>
      </w:r>
    </w:p>
    <w:p w14:paraId="555BC87B" w14:textId="68708994" w:rsidR="1877D215" w:rsidRDefault="1877D215" w:rsidP="1877D215">
      <w:pPr>
        <w:spacing w:after="0"/>
        <w:rPr>
          <w:rFonts w:ascii="Times New Roman" w:eastAsia="Times New Roman" w:hAnsi="Times New Roman" w:cs="Times New Roman"/>
        </w:rPr>
      </w:pPr>
      <w:r w:rsidRPr="1877D215">
        <w:rPr>
          <w:rFonts w:ascii="Times New Roman" w:eastAsia="Times New Roman" w:hAnsi="Times New Roman" w:cs="Times New Roman"/>
          <w:sz w:val="24"/>
          <w:szCs w:val="24"/>
        </w:rPr>
        <w:t xml:space="preserve">Buckland, G., </w:t>
      </w:r>
      <w:proofErr w:type="spellStart"/>
      <w:r w:rsidRPr="1877D215">
        <w:rPr>
          <w:rFonts w:ascii="Times New Roman" w:eastAsia="Times New Roman" w:hAnsi="Times New Roman" w:cs="Times New Roman"/>
          <w:sz w:val="24"/>
          <w:szCs w:val="24"/>
        </w:rPr>
        <w:t>Northstone</w:t>
      </w:r>
      <w:proofErr w:type="spellEnd"/>
      <w:r w:rsidRPr="1877D215">
        <w:rPr>
          <w:rFonts w:ascii="Times New Roman" w:eastAsia="Times New Roman" w:hAnsi="Times New Roman" w:cs="Times New Roman"/>
          <w:sz w:val="24"/>
          <w:szCs w:val="24"/>
        </w:rPr>
        <w:t xml:space="preserve">, K., Emmett, P. M., &amp; Taylor, C. M. (2022). Adherence to UK dietary guidelines in school-aged children from the Avon Longitudinal Study of Parents and Children (ALSPAC) cohort. </w:t>
      </w:r>
      <w:r w:rsidRPr="1877D215">
        <w:rPr>
          <w:rFonts w:ascii="Times New Roman" w:eastAsia="Times New Roman" w:hAnsi="Times New Roman" w:cs="Times New Roman"/>
          <w:i/>
          <w:iCs/>
          <w:sz w:val="24"/>
          <w:szCs w:val="24"/>
        </w:rPr>
        <w:t>British Journal of Nutrition</w:t>
      </w:r>
      <w:r w:rsidRPr="1877D215">
        <w:rPr>
          <w:rFonts w:ascii="Times New Roman" w:eastAsia="Times New Roman" w:hAnsi="Times New Roman" w:cs="Times New Roman"/>
          <w:sz w:val="24"/>
          <w:szCs w:val="24"/>
        </w:rPr>
        <w:t xml:space="preserve">, </w:t>
      </w:r>
      <w:r w:rsidRPr="1877D215">
        <w:rPr>
          <w:rFonts w:ascii="Times New Roman" w:eastAsia="Times New Roman" w:hAnsi="Times New Roman" w:cs="Times New Roman"/>
          <w:i/>
          <w:iCs/>
          <w:sz w:val="24"/>
          <w:szCs w:val="24"/>
        </w:rPr>
        <w:t>128</w:t>
      </w:r>
      <w:r w:rsidRPr="1877D215">
        <w:rPr>
          <w:rFonts w:ascii="Times New Roman" w:eastAsia="Times New Roman" w:hAnsi="Times New Roman" w:cs="Times New Roman"/>
          <w:sz w:val="24"/>
          <w:szCs w:val="24"/>
        </w:rPr>
        <w:t xml:space="preserve">(8), 1544–1556. </w:t>
      </w:r>
      <w:hyperlink r:id="rId7">
        <w:r w:rsidRPr="1877D215">
          <w:rPr>
            <w:rStyle w:val="Hyperlink"/>
            <w:rFonts w:ascii="Times New Roman" w:eastAsia="Times New Roman" w:hAnsi="Times New Roman" w:cs="Times New Roman"/>
            <w:sz w:val="24"/>
            <w:szCs w:val="24"/>
          </w:rPr>
          <w:t>https://doi.org/10.1017/S0007114522003146</w:t>
        </w:r>
      </w:hyperlink>
    </w:p>
    <w:p w14:paraId="40A79191" w14:textId="3952D2AC" w:rsidR="1877D215" w:rsidRDefault="1877D215" w:rsidP="1877D215">
      <w:pPr>
        <w:spacing w:after="0"/>
        <w:rPr>
          <w:rFonts w:ascii="Times New Roman" w:eastAsia="Times New Roman" w:hAnsi="Times New Roman" w:cs="Times New Roman"/>
          <w:sz w:val="24"/>
          <w:szCs w:val="24"/>
        </w:rPr>
      </w:pPr>
      <w:r w:rsidRPr="1877D215">
        <w:rPr>
          <w:rFonts w:ascii="Times New Roman" w:eastAsia="Times New Roman" w:hAnsi="Times New Roman" w:cs="Times New Roman"/>
          <w:sz w:val="24"/>
          <w:szCs w:val="24"/>
        </w:rPr>
        <w:t xml:space="preserve">Caspersen, C. J., Powell, K. E., &amp; Christenson, G. M. (1985). Physical activity, exercise, and physical fitness: Definitions and distinctions for health-related research. </w:t>
      </w:r>
      <w:r w:rsidRPr="1877D215">
        <w:rPr>
          <w:rFonts w:ascii="Times New Roman" w:eastAsia="Times New Roman" w:hAnsi="Times New Roman" w:cs="Times New Roman"/>
          <w:i/>
          <w:iCs/>
          <w:sz w:val="24"/>
          <w:szCs w:val="24"/>
        </w:rPr>
        <w:t>Public Health Reports</w:t>
      </w:r>
      <w:r w:rsidRPr="1877D215">
        <w:rPr>
          <w:rFonts w:ascii="Times New Roman" w:eastAsia="Times New Roman" w:hAnsi="Times New Roman" w:cs="Times New Roman"/>
          <w:sz w:val="24"/>
          <w:szCs w:val="24"/>
        </w:rPr>
        <w:t xml:space="preserve">, </w:t>
      </w:r>
      <w:r w:rsidRPr="1877D215">
        <w:rPr>
          <w:rFonts w:ascii="Times New Roman" w:eastAsia="Times New Roman" w:hAnsi="Times New Roman" w:cs="Times New Roman"/>
          <w:i/>
          <w:iCs/>
          <w:sz w:val="24"/>
          <w:szCs w:val="24"/>
        </w:rPr>
        <w:t>100</w:t>
      </w:r>
      <w:r w:rsidRPr="1877D215">
        <w:rPr>
          <w:rFonts w:ascii="Times New Roman" w:eastAsia="Times New Roman" w:hAnsi="Times New Roman" w:cs="Times New Roman"/>
          <w:sz w:val="24"/>
          <w:szCs w:val="24"/>
        </w:rPr>
        <w:t>(2), 126–131.</w:t>
      </w:r>
    </w:p>
    <w:p w14:paraId="6599014A" w14:textId="2DA5DFB3" w:rsidR="1877D215" w:rsidRDefault="1877D215" w:rsidP="1877D215">
      <w:pPr>
        <w:spacing w:after="0"/>
        <w:rPr>
          <w:rFonts w:ascii="Times New Roman" w:eastAsia="Times New Roman" w:hAnsi="Times New Roman" w:cs="Times New Roman"/>
        </w:rPr>
      </w:pPr>
      <w:r w:rsidRPr="1877D215">
        <w:rPr>
          <w:rFonts w:ascii="Times New Roman" w:eastAsia="Times New Roman" w:hAnsi="Times New Roman" w:cs="Times New Roman"/>
          <w:sz w:val="24"/>
          <w:szCs w:val="24"/>
        </w:rPr>
        <w:t xml:space="preserve">Department of Health and Social Care (DHSC). (2023). </w:t>
      </w:r>
      <w:r w:rsidRPr="1877D215">
        <w:rPr>
          <w:rFonts w:ascii="Times New Roman" w:eastAsia="Times New Roman" w:hAnsi="Times New Roman" w:cs="Times New Roman"/>
          <w:i/>
          <w:iCs/>
          <w:sz w:val="24"/>
          <w:szCs w:val="24"/>
        </w:rPr>
        <w:t>Scientific Advisory Committee on Nutrition (SACN): Code of Practice</w:t>
      </w:r>
      <w:r w:rsidRPr="1877D215">
        <w:rPr>
          <w:rFonts w:ascii="Times New Roman" w:eastAsia="Times New Roman" w:hAnsi="Times New Roman" w:cs="Times New Roman"/>
          <w:sz w:val="24"/>
          <w:szCs w:val="24"/>
        </w:rPr>
        <w:t xml:space="preserve">. GOV.UK. </w:t>
      </w:r>
      <w:hyperlink r:id="rId8">
        <w:r w:rsidRPr="1877D215">
          <w:rPr>
            <w:rStyle w:val="Hyperlink"/>
            <w:rFonts w:ascii="Times New Roman" w:eastAsia="Times New Roman" w:hAnsi="Times New Roman" w:cs="Times New Roman"/>
            <w:sz w:val="24"/>
            <w:szCs w:val="24"/>
          </w:rPr>
          <w:t>https://www.gov.uk/government/groups/scientific-advisory-committee-on-nutrition</w:t>
        </w:r>
      </w:hyperlink>
    </w:p>
    <w:p w14:paraId="1E7E4880" w14:textId="4B838F8A" w:rsidR="1877D215" w:rsidRDefault="1877D215" w:rsidP="1877D215">
      <w:pPr>
        <w:spacing w:after="0"/>
        <w:rPr>
          <w:rFonts w:ascii="Times New Roman" w:eastAsia="Times New Roman" w:hAnsi="Times New Roman" w:cs="Times New Roman"/>
        </w:rPr>
      </w:pPr>
      <w:r w:rsidRPr="1877D215">
        <w:rPr>
          <w:rFonts w:ascii="Times New Roman" w:eastAsia="Times New Roman" w:hAnsi="Times New Roman" w:cs="Times New Roman"/>
          <w:sz w:val="24"/>
          <w:szCs w:val="24"/>
        </w:rPr>
        <w:t xml:space="preserve">Gonzalez-Soto, M., et al. (2021). Total fat and fatty acid intake among 1–7-year-old children from 33 countries: Comparison with international recommendations. </w:t>
      </w:r>
      <w:r w:rsidRPr="1877D215">
        <w:rPr>
          <w:rFonts w:ascii="Times New Roman" w:eastAsia="Times New Roman" w:hAnsi="Times New Roman" w:cs="Times New Roman"/>
          <w:i/>
          <w:iCs/>
          <w:sz w:val="24"/>
          <w:szCs w:val="24"/>
        </w:rPr>
        <w:t>Nutrients</w:t>
      </w:r>
      <w:r w:rsidRPr="1877D215">
        <w:rPr>
          <w:rFonts w:ascii="Times New Roman" w:eastAsia="Times New Roman" w:hAnsi="Times New Roman" w:cs="Times New Roman"/>
          <w:sz w:val="24"/>
          <w:szCs w:val="24"/>
        </w:rPr>
        <w:t xml:space="preserve">, </w:t>
      </w:r>
      <w:r w:rsidRPr="1877D215">
        <w:rPr>
          <w:rFonts w:ascii="Times New Roman" w:eastAsia="Times New Roman" w:hAnsi="Times New Roman" w:cs="Times New Roman"/>
          <w:i/>
          <w:iCs/>
          <w:sz w:val="24"/>
          <w:szCs w:val="24"/>
        </w:rPr>
        <w:t>13</w:t>
      </w:r>
      <w:r w:rsidRPr="1877D215">
        <w:rPr>
          <w:rFonts w:ascii="Times New Roman" w:eastAsia="Times New Roman" w:hAnsi="Times New Roman" w:cs="Times New Roman"/>
          <w:sz w:val="24"/>
          <w:szCs w:val="24"/>
        </w:rPr>
        <w:t xml:space="preserve">(10), 3547. </w:t>
      </w:r>
      <w:hyperlink r:id="rId9">
        <w:r w:rsidRPr="1877D215">
          <w:rPr>
            <w:rStyle w:val="Hyperlink"/>
            <w:rFonts w:ascii="Times New Roman" w:eastAsia="Times New Roman" w:hAnsi="Times New Roman" w:cs="Times New Roman"/>
            <w:sz w:val="24"/>
            <w:szCs w:val="24"/>
          </w:rPr>
          <w:t>https://doi.org/10.3390/nu13103547</w:t>
        </w:r>
      </w:hyperlink>
    </w:p>
    <w:p w14:paraId="108DFE97" w14:textId="15C3CB51" w:rsidR="1877D215" w:rsidRDefault="1877D215" w:rsidP="1877D215">
      <w:pPr>
        <w:spacing w:after="0"/>
        <w:rPr>
          <w:rFonts w:ascii="Times New Roman" w:eastAsia="Times New Roman" w:hAnsi="Times New Roman" w:cs="Times New Roman"/>
          <w:sz w:val="24"/>
          <w:szCs w:val="24"/>
        </w:rPr>
      </w:pPr>
      <w:r w:rsidRPr="1877D215">
        <w:rPr>
          <w:rFonts w:ascii="Times New Roman" w:eastAsia="Times New Roman" w:hAnsi="Times New Roman" w:cs="Times New Roman"/>
          <w:sz w:val="24"/>
          <w:szCs w:val="24"/>
        </w:rPr>
        <w:t>Jensen, M. D., et al. (2014). 2013 AHA/ACC/</w:t>
      </w:r>
      <w:proofErr w:type="gramStart"/>
      <w:r w:rsidRPr="1877D215">
        <w:rPr>
          <w:rFonts w:ascii="Times New Roman" w:eastAsia="Times New Roman" w:hAnsi="Times New Roman" w:cs="Times New Roman"/>
          <w:sz w:val="24"/>
          <w:szCs w:val="24"/>
        </w:rPr>
        <w:t>TOS</w:t>
      </w:r>
      <w:proofErr w:type="gramEnd"/>
      <w:r w:rsidRPr="1877D215">
        <w:rPr>
          <w:rFonts w:ascii="Times New Roman" w:eastAsia="Times New Roman" w:hAnsi="Times New Roman" w:cs="Times New Roman"/>
          <w:sz w:val="24"/>
          <w:szCs w:val="24"/>
        </w:rPr>
        <w:t xml:space="preserve"> guideline for the management of overweight and obesity in adults. </w:t>
      </w:r>
      <w:r w:rsidRPr="1877D215">
        <w:rPr>
          <w:rFonts w:ascii="Times New Roman" w:eastAsia="Times New Roman" w:hAnsi="Times New Roman" w:cs="Times New Roman"/>
          <w:i/>
          <w:iCs/>
          <w:sz w:val="24"/>
          <w:szCs w:val="24"/>
        </w:rPr>
        <w:t>Journal of the American College of Cardiology</w:t>
      </w:r>
      <w:r w:rsidRPr="1877D215">
        <w:rPr>
          <w:rFonts w:ascii="Times New Roman" w:eastAsia="Times New Roman" w:hAnsi="Times New Roman" w:cs="Times New Roman"/>
          <w:sz w:val="24"/>
          <w:szCs w:val="24"/>
        </w:rPr>
        <w:t xml:space="preserve">, </w:t>
      </w:r>
      <w:r w:rsidRPr="1877D215">
        <w:rPr>
          <w:rFonts w:ascii="Times New Roman" w:eastAsia="Times New Roman" w:hAnsi="Times New Roman" w:cs="Times New Roman"/>
          <w:i/>
          <w:iCs/>
          <w:sz w:val="24"/>
          <w:szCs w:val="24"/>
        </w:rPr>
        <w:t>63</w:t>
      </w:r>
      <w:r w:rsidRPr="1877D215">
        <w:rPr>
          <w:rFonts w:ascii="Times New Roman" w:eastAsia="Times New Roman" w:hAnsi="Times New Roman" w:cs="Times New Roman"/>
          <w:sz w:val="24"/>
          <w:szCs w:val="24"/>
        </w:rPr>
        <w:t>(25 Pt B), 2985–3023.</w:t>
      </w:r>
    </w:p>
    <w:p w14:paraId="6E863E4E" w14:textId="544AD7A9" w:rsidR="1877D215" w:rsidRDefault="1877D215" w:rsidP="1877D215">
      <w:pPr>
        <w:spacing w:after="0"/>
        <w:rPr>
          <w:rFonts w:ascii="Times New Roman" w:eastAsia="Times New Roman" w:hAnsi="Times New Roman" w:cs="Times New Roman"/>
        </w:rPr>
      </w:pPr>
      <w:r w:rsidRPr="1877D215">
        <w:rPr>
          <w:rFonts w:ascii="Times New Roman" w:eastAsia="Times New Roman" w:hAnsi="Times New Roman" w:cs="Times New Roman"/>
          <w:sz w:val="24"/>
          <w:szCs w:val="24"/>
        </w:rPr>
        <w:t xml:space="preserve">Scientific Advisory Committee on Nutrition (SACN). (2016). </w:t>
      </w:r>
      <w:r w:rsidRPr="1877D215">
        <w:rPr>
          <w:rFonts w:ascii="Times New Roman" w:eastAsia="Times New Roman" w:hAnsi="Times New Roman" w:cs="Times New Roman"/>
          <w:i/>
          <w:iCs/>
          <w:sz w:val="24"/>
          <w:szCs w:val="24"/>
        </w:rPr>
        <w:t>The Eatwell Guide</w:t>
      </w:r>
      <w:r w:rsidRPr="1877D215">
        <w:rPr>
          <w:rFonts w:ascii="Times New Roman" w:eastAsia="Times New Roman" w:hAnsi="Times New Roman" w:cs="Times New Roman"/>
          <w:sz w:val="24"/>
          <w:szCs w:val="24"/>
        </w:rPr>
        <w:t xml:space="preserve">. GOV.UK. </w:t>
      </w:r>
      <w:hyperlink r:id="rId10">
        <w:r w:rsidRPr="1877D215">
          <w:rPr>
            <w:rStyle w:val="Hyperlink"/>
            <w:rFonts w:ascii="Times New Roman" w:eastAsia="Times New Roman" w:hAnsi="Times New Roman" w:cs="Times New Roman"/>
            <w:sz w:val="24"/>
            <w:szCs w:val="24"/>
          </w:rPr>
          <w:t>https://www.gov.uk/government/publications/the-eatwell-guide</w:t>
        </w:r>
      </w:hyperlink>
    </w:p>
    <w:p w14:paraId="52BBC1AC" w14:textId="00D98AE4" w:rsidR="1877D215" w:rsidRDefault="1877D215" w:rsidP="1877D215">
      <w:pPr>
        <w:spacing w:after="0"/>
        <w:rPr>
          <w:rFonts w:ascii="Times New Roman" w:eastAsia="Times New Roman" w:hAnsi="Times New Roman" w:cs="Times New Roman"/>
        </w:rPr>
      </w:pPr>
      <w:r w:rsidRPr="1877D215">
        <w:rPr>
          <w:rFonts w:ascii="Times New Roman" w:eastAsia="Times New Roman" w:hAnsi="Times New Roman" w:cs="Times New Roman"/>
          <w:sz w:val="24"/>
          <w:szCs w:val="24"/>
        </w:rPr>
        <w:t xml:space="preserve">Scientific Advisory Committee on Nutrition (SACN). (2023). </w:t>
      </w:r>
      <w:r w:rsidRPr="1877D215">
        <w:rPr>
          <w:rFonts w:ascii="Times New Roman" w:eastAsia="Times New Roman" w:hAnsi="Times New Roman" w:cs="Times New Roman"/>
          <w:i/>
          <w:iCs/>
          <w:sz w:val="24"/>
          <w:szCs w:val="24"/>
        </w:rPr>
        <w:t>Framework for the Evaluation of Evidence</w:t>
      </w:r>
      <w:r w:rsidRPr="1877D215">
        <w:rPr>
          <w:rFonts w:ascii="Times New Roman" w:eastAsia="Times New Roman" w:hAnsi="Times New Roman" w:cs="Times New Roman"/>
          <w:sz w:val="24"/>
          <w:szCs w:val="24"/>
        </w:rPr>
        <w:t xml:space="preserve"> (Updated October 2024). GOV.UK. </w:t>
      </w:r>
      <w:hyperlink r:id="rId11">
        <w:r w:rsidRPr="1877D215">
          <w:rPr>
            <w:rStyle w:val="Hyperlink"/>
            <w:rFonts w:ascii="Times New Roman" w:eastAsia="Times New Roman" w:hAnsi="Times New Roman" w:cs="Times New Roman"/>
            <w:sz w:val="24"/>
            <w:szCs w:val="24"/>
          </w:rPr>
          <w:t>https://www.gov.uk/government/groups/scientific-advisory-committee-on-nutrition</w:t>
        </w:r>
      </w:hyperlink>
    </w:p>
    <w:p w14:paraId="60D75010" w14:textId="3AE05E5A" w:rsidR="1877D215" w:rsidRDefault="1877D215" w:rsidP="1877D215">
      <w:pPr>
        <w:spacing w:after="0"/>
        <w:rPr>
          <w:rFonts w:ascii="Times New Roman" w:eastAsia="Times New Roman" w:hAnsi="Times New Roman" w:cs="Times New Roman"/>
        </w:rPr>
      </w:pPr>
      <w:r w:rsidRPr="1877D215">
        <w:rPr>
          <w:rFonts w:ascii="Times New Roman" w:eastAsia="Times New Roman" w:hAnsi="Times New Roman" w:cs="Times New Roman"/>
          <w:sz w:val="24"/>
          <w:szCs w:val="24"/>
        </w:rPr>
        <w:t xml:space="preserve">Scientific Advisory Committee on Nutrition (SACN). (2024). </w:t>
      </w:r>
      <w:r w:rsidRPr="1877D215">
        <w:rPr>
          <w:rFonts w:ascii="Times New Roman" w:eastAsia="Times New Roman" w:hAnsi="Times New Roman" w:cs="Times New Roman"/>
          <w:i/>
          <w:iCs/>
          <w:sz w:val="24"/>
          <w:szCs w:val="24"/>
        </w:rPr>
        <w:t>Dietary Reference Values (DRVs) for the United Kingdom</w:t>
      </w:r>
      <w:r w:rsidRPr="1877D215">
        <w:rPr>
          <w:rFonts w:ascii="Times New Roman" w:eastAsia="Times New Roman" w:hAnsi="Times New Roman" w:cs="Times New Roman"/>
          <w:sz w:val="24"/>
          <w:szCs w:val="24"/>
        </w:rPr>
        <w:t xml:space="preserve">. </w:t>
      </w:r>
      <w:proofErr w:type="spellStart"/>
      <w:r w:rsidRPr="1877D215">
        <w:rPr>
          <w:rFonts w:ascii="Times New Roman" w:eastAsia="Times New Roman" w:hAnsi="Times New Roman" w:cs="Times New Roman"/>
          <w:sz w:val="24"/>
          <w:szCs w:val="24"/>
        </w:rPr>
        <w:t>Nutrium</w:t>
      </w:r>
      <w:proofErr w:type="spellEnd"/>
      <w:r w:rsidRPr="1877D215">
        <w:rPr>
          <w:rFonts w:ascii="Times New Roman" w:eastAsia="Times New Roman" w:hAnsi="Times New Roman" w:cs="Times New Roman"/>
          <w:sz w:val="24"/>
          <w:szCs w:val="24"/>
        </w:rPr>
        <w:t xml:space="preserve">. </w:t>
      </w:r>
      <w:hyperlink r:id="rId12">
        <w:r w:rsidRPr="1877D215">
          <w:rPr>
            <w:rStyle w:val="Hyperlink"/>
            <w:rFonts w:ascii="Times New Roman" w:eastAsia="Times New Roman" w:hAnsi="Times New Roman" w:cs="Times New Roman"/>
            <w:sz w:val="24"/>
            <w:szCs w:val="24"/>
          </w:rPr>
          <w:t>https://nutrium.com/blog/dietary-reference-values-for-uk/</w:t>
        </w:r>
      </w:hyperlink>
    </w:p>
    <w:p w14:paraId="398083D1" w14:textId="56D4D077" w:rsidR="1877D215" w:rsidRDefault="1877D215" w:rsidP="1877D215">
      <w:pPr>
        <w:spacing w:after="0"/>
        <w:rPr>
          <w:rFonts w:ascii="Times New Roman" w:eastAsia="Times New Roman" w:hAnsi="Times New Roman" w:cs="Times New Roman"/>
        </w:rPr>
      </w:pPr>
      <w:r w:rsidRPr="1877D215">
        <w:rPr>
          <w:rFonts w:ascii="Times New Roman" w:eastAsia="Times New Roman" w:hAnsi="Times New Roman" w:cs="Times New Roman"/>
          <w:sz w:val="24"/>
          <w:szCs w:val="24"/>
        </w:rPr>
        <w:t xml:space="preserve">Vissers, D., et al. (2016). Waist, neck circumferences, waist-to-hip ratio. </w:t>
      </w:r>
      <w:proofErr w:type="spellStart"/>
      <w:r w:rsidRPr="1877D215">
        <w:rPr>
          <w:rFonts w:ascii="Times New Roman" w:eastAsia="Times New Roman" w:hAnsi="Times New Roman" w:cs="Times New Roman"/>
          <w:i/>
          <w:iCs/>
          <w:sz w:val="24"/>
          <w:szCs w:val="24"/>
        </w:rPr>
        <w:t>PLoS</w:t>
      </w:r>
      <w:proofErr w:type="spellEnd"/>
      <w:r w:rsidRPr="1877D215">
        <w:rPr>
          <w:rFonts w:ascii="Times New Roman" w:eastAsia="Times New Roman" w:hAnsi="Times New Roman" w:cs="Times New Roman"/>
          <w:i/>
          <w:iCs/>
          <w:sz w:val="24"/>
          <w:szCs w:val="24"/>
        </w:rPr>
        <w:t xml:space="preserve"> ONE</w:t>
      </w:r>
      <w:r w:rsidRPr="1877D215">
        <w:rPr>
          <w:rFonts w:ascii="Times New Roman" w:eastAsia="Times New Roman" w:hAnsi="Times New Roman" w:cs="Times New Roman"/>
          <w:sz w:val="24"/>
          <w:szCs w:val="24"/>
        </w:rPr>
        <w:t xml:space="preserve">, </w:t>
      </w:r>
      <w:r w:rsidRPr="1877D215">
        <w:rPr>
          <w:rFonts w:ascii="Times New Roman" w:eastAsia="Times New Roman" w:hAnsi="Times New Roman" w:cs="Times New Roman"/>
          <w:i/>
          <w:iCs/>
          <w:sz w:val="24"/>
          <w:szCs w:val="24"/>
        </w:rPr>
        <w:t>11</w:t>
      </w:r>
      <w:r w:rsidRPr="1877D215">
        <w:rPr>
          <w:rFonts w:ascii="Times New Roman" w:eastAsia="Times New Roman" w:hAnsi="Times New Roman" w:cs="Times New Roman"/>
          <w:sz w:val="24"/>
          <w:szCs w:val="24"/>
        </w:rPr>
        <w:t xml:space="preserve">(11), e0166070. </w:t>
      </w:r>
      <w:hyperlink r:id="rId13">
        <w:r w:rsidRPr="1877D215">
          <w:rPr>
            <w:rStyle w:val="Hyperlink"/>
            <w:rFonts w:ascii="Times New Roman" w:eastAsia="Times New Roman" w:hAnsi="Times New Roman" w:cs="Times New Roman"/>
            <w:sz w:val="24"/>
            <w:szCs w:val="24"/>
          </w:rPr>
          <w:t>https://doi.org/10.1371/journal.pone.0166070</w:t>
        </w:r>
      </w:hyperlink>
    </w:p>
    <w:p w14:paraId="359858DE" w14:textId="62D9F71A" w:rsidR="1877D215" w:rsidRDefault="1877D215" w:rsidP="1877D215">
      <w:pPr>
        <w:rPr>
          <w:rFonts w:ascii="Times New Roman" w:eastAsia="Times New Roman" w:hAnsi="Times New Roman" w:cs="Times New Roman"/>
        </w:rPr>
      </w:pPr>
    </w:p>
    <w:p w14:paraId="2B7E434B" w14:textId="290704CC" w:rsidR="00DE1121" w:rsidRDefault="00DE1121">
      <w:pPr>
        <w:rPr>
          <w:rFonts w:ascii="Times New Roman" w:eastAsia="Times New Roman" w:hAnsi="Times New Roman" w:cs="Times New Roman"/>
        </w:rPr>
      </w:pPr>
    </w:p>
    <w:sectPr w:rsidR="00DE1121">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C686BE" w14:textId="77777777" w:rsidR="00AF1DB0" w:rsidRDefault="00AF1DB0" w:rsidP="00AF1DB0">
      <w:pPr>
        <w:spacing w:after="0" w:line="240" w:lineRule="auto"/>
      </w:pPr>
      <w:r>
        <w:separator/>
      </w:r>
    </w:p>
  </w:endnote>
  <w:endnote w:type="continuationSeparator" w:id="0">
    <w:p w14:paraId="595259A8" w14:textId="77777777" w:rsidR="00AF1DB0" w:rsidRDefault="00AF1DB0" w:rsidP="00AF1DB0">
      <w:pPr>
        <w:spacing w:after="0" w:line="240" w:lineRule="auto"/>
      </w:pPr>
      <w:r>
        <w:continuationSeparator/>
      </w:r>
    </w:p>
  </w:endnote>
  <w:endnote w:type="continuationNotice" w:id="1">
    <w:p w14:paraId="5CB8A571" w14:textId="77777777" w:rsidR="00AF1DB0" w:rsidRDefault="00AF1DB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877D215" w14:paraId="447E3DB4" w14:textId="77777777" w:rsidTr="1877D215">
      <w:trPr>
        <w:trHeight w:val="300"/>
      </w:trPr>
      <w:tc>
        <w:tcPr>
          <w:tcW w:w="3005" w:type="dxa"/>
        </w:tcPr>
        <w:p w14:paraId="2925F470" w14:textId="0F009CC5" w:rsidR="1877D215" w:rsidRDefault="1877D215" w:rsidP="1877D215">
          <w:pPr>
            <w:pStyle w:val="Header"/>
            <w:ind w:left="-115"/>
          </w:pPr>
        </w:p>
      </w:tc>
      <w:tc>
        <w:tcPr>
          <w:tcW w:w="3005" w:type="dxa"/>
        </w:tcPr>
        <w:p w14:paraId="1A2D8BD9" w14:textId="47124648" w:rsidR="1877D215" w:rsidRDefault="1877D215" w:rsidP="1877D215">
          <w:pPr>
            <w:pStyle w:val="Header"/>
            <w:jc w:val="center"/>
          </w:pPr>
        </w:p>
      </w:tc>
      <w:tc>
        <w:tcPr>
          <w:tcW w:w="3005" w:type="dxa"/>
        </w:tcPr>
        <w:p w14:paraId="68A26FB4" w14:textId="217A9579" w:rsidR="1877D215" w:rsidRDefault="1877D215" w:rsidP="1877D215">
          <w:pPr>
            <w:pStyle w:val="Header"/>
            <w:ind w:right="-115"/>
            <w:jc w:val="right"/>
          </w:pPr>
        </w:p>
      </w:tc>
    </w:tr>
  </w:tbl>
  <w:p w14:paraId="4F26E920" w14:textId="06B1BDBA" w:rsidR="00AF1DB0" w:rsidRDefault="00AF1D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F0EB8C" w14:textId="77777777" w:rsidR="00AF1DB0" w:rsidRDefault="00AF1DB0" w:rsidP="00AF1DB0">
      <w:pPr>
        <w:spacing w:after="0" w:line="240" w:lineRule="auto"/>
      </w:pPr>
      <w:r>
        <w:separator/>
      </w:r>
    </w:p>
  </w:footnote>
  <w:footnote w:type="continuationSeparator" w:id="0">
    <w:p w14:paraId="085FF6E2" w14:textId="77777777" w:rsidR="00AF1DB0" w:rsidRDefault="00AF1DB0" w:rsidP="00AF1DB0">
      <w:pPr>
        <w:spacing w:after="0" w:line="240" w:lineRule="auto"/>
      </w:pPr>
      <w:r>
        <w:continuationSeparator/>
      </w:r>
    </w:p>
  </w:footnote>
  <w:footnote w:type="continuationNotice" w:id="1">
    <w:p w14:paraId="40AE5905" w14:textId="77777777" w:rsidR="00AF1DB0" w:rsidRDefault="00AF1DB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877D215" w14:paraId="131AC66D" w14:textId="77777777" w:rsidTr="1877D215">
      <w:trPr>
        <w:trHeight w:val="300"/>
      </w:trPr>
      <w:tc>
        <w:tcPr>
          <w:tcW w:w="3005" w:type="dxa"/>
        </w:tcPr>
        <w:p w14:paraId="5A3C970E" w14:textId="4EE101A3" w:rsidR="1877D215" w:rsidRDefault="1877D215" w:rsidP="1877D215">
          <w:pPr>
            <w:pStyle w:val="Header"/>
            <w:ind w:left="-115"/>
          </w:pPr>
          <w:r>
            <w:t xml:space="preserve">BMSS4010 </w:t>
          </w:r>
        </w:p>
      </w:tc>
      <w:tc>
        <w:tcPr>
          <w:tcW w:w="3005" w:type="dxa"/>
        </w:tcPr>
        <w:p w14:paraId="3D867BD5" w14:textId="62FCE119" w:rsidR="1877D215" w:rsidRDefault="1877D215" w:rsidP="1877D215">
          <w:pPr>
            <w:pStyle w:val="Header"/>
            <w:jc w:val="center"/>
          </w:pPr>
          <w:r>
            <w:t>Health and Nutrition</w:t>
          </w:r>
        </w:p>
      </w:tc>
      <w:tc>
        <w:tcPr>
          <w:tcW w:w="3005" w:type="dxa"/>
        </w:tcPr>
        <w:p w14:paraId="41606268" w14:textId="632EA3EF" w:rsidR="1877D215" w:rsidRDefault="1877D215" w:rsidP="1877D215">
          <w:pPr>
            <w:pStyle w:val="Header"/>
            <w:ind w:right="-115"/>
            <w:jc w:val="right"/>
          </w:pPr>
          <w:r>
            <w:t>2305232</w:t>
          </w:r>
        </w:p>
      </w:tc>
    </w:tr>
  </w:tbl>
  <w:p w14:paraId="1940C08D" w14:textId="448AB61D" w:rsidR="00AF1DB0" w:rsidRDefault="00AF1D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672AB7"/>
    <w:multiLevelType w:val="multilevel"/>
    <w:tmpl w:val="EA5EDF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893E410"/>
    <w:multiLevelType w:val="hybridMultilevel"/>
    <w:tmpl w:val="FFFFFFFF"/>
    <w:lvl w:ilvl="0" w:tplc="B4EAF43C">
      <w:start w:val="1"/>
      <w:numFmt w:val="decimal"/>
      <w:lvlText w:val="%1."/>
      <w:lvlJc w:val="left"/>
      <w:pPr>
        <w:ind w:left="720" w:hanging="360"/>
      </w:pPr>
    </w:lvl>
    <w:lvl w:ilvl="1" w:tplc="2236EAD6">
      <w:start w:val="1"/>
      <w:numFmt w:val="lowerLetter"/>
      <w:lvlText w:val="%2."/>
      <w:lvlJc w:val="left"/>
      <w:pPr>
        <w:ind w:left="1440" w:hanging="360"/>
      </w:pPr>
    </w:lvl>
    <w:lvl w:ilvl="2" w:tplc="AE6034AA">
      <w:start w:val="1"/>
      <w:numFmt w:val="lowerRoman"/>
      <w:lvlText w:val="%3."/>
      <w:lvlJc w:val="right"/>
      <w:pPr>
        <w:ind w:left="2160" w:hanging="180"/>
      </w:pPr>
    </w:lvl>
    <w:lvl w:ilvl="3" w:tplc="D48A3CD6">
      <w:start w:val="1"/>
      <w:numFmt w:val="decimal"/>
      <w:lvlText w:val="%4."/>
      <w:lvlJc w:val="left"/>
      <w:pPr>
        <w:ind w:left="2880" w:hanging="360"/>
      </w:pPr>
    </w:lvl>
    <w:lvl w:ilvl="4" w:tplc="2C5AD5C8">
      <w:start w:val="1"/>
      <w:numFmt w:val="lowerLetter"/>
      <w:lvlText w:val="%5."/>
      <w:lvlJc w:val="left"/>
      <w:pPr>
        <w:ind w:left="3600" w:hanging="360"/>
      </w:pPr>
    </w:lvl>
    <w:lvl w:ilvl="5" w:tplc="E902B8B2">
      <w:start w:val="1"/>
      <w:numFmt w:val="lowerRoman"/>
      <w:lvlText w:val="%6."/>
      <w:lvlJc w:val="right"/>
      <w:pPr>
        <w:ind w:left="4320" w:hanging="180"/>
      </w:pPr>
    </w:lvl>
    <w:lvl w:ilvl="6" w:tplc="17849DC0">
      <w:start w:val="1"/>
      <w:numFmt w:val="decimal"/>
      <w:lvlText w:val="%7."/>
      <w:lvlJc w:val="left"/>
      <w:pPr>
        <w:ind w:left="5040" w:hanging="360"/>
      </w:pPr>
    </w:lvl>
    <w:lvl w:ilvl="7" w:tplc="557CE576">
      <w:start w:val="1"/>
      <w:numFmt w:val="lowerLetter"/>
      <w:lvlText w:val="%8."/>
      <w:lvlJc w:val="left"/>
      <w:pPr>
        <w:ind w:left="5760" w:hanging="360"/>
      </w:pPr>
    </w:lvl>
    <w:lvl w:ilvl="8" w:tplc="68808AEE">
      <w:start w:val="1"/>
      <w:numFmt w:val="lowerRoman"/>
      <w:lvlText w:val="%9."/>
      <w:lvlJc w:val="right"/>
      <w:pPr>
        <w:ind w:left="6480" w:hanging="180"/>
      </w:pPr>
    </w:lvl>
  </w:abstractNum>
  <w:abstractNum w:abstractNumId="2" w15:restartNumberingAfterBreak="0">
    <w:nsid w:val="75602EE6"/>
    <w:multiLevelType w:val="multilevel"/>
    <w:tmpl w:val="AF668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9577028">
    <w:abstractNumId w:val="2"/>
  </w:num>
  <w:num w:numId="2" w16cid:durableId="81337230">
    <w:abstractNumId w:val="0"/>
  </w:num>
  <w:num w:numId="3" w16cid:durableId="8100560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5460"/>
    <w:rsid w:val="00031448"/>
    <w:rsid w:val="00041CED"/>
    <w:rsid w:val="00044228"/>
    <w:rsid w:val="000456C5"/>
    <w:rsid w:val="000553F3"/>
    <w:rsid w:val="00095ADE"/>
    <w:rsid w:val="000A3504"/>
    <w:rsid w:val="000E1CA7"/>
    <w:rsid w:val="00176A28"/>
    <w:rsid w:val="001B2702"/>
    <w:rsid w:val="001E6E7E"/>
    <w:rsid w:val="001F0DF5"/>
    <w:rsid w:val="00215968"/>
    <w:rsid w:val="00221469"/>
    <w:rsid w:val="00222373"/>
    <w:rsid w:val="00227ED3"/>
    <w:rsid w:val="00284AC1"/>
    <w:rsid w:val="0028798F"/>
    <w:rsid w:val="002905CE"/>
    <w:rsid w:val="002B5099"/>
    <w:rsid w:val="002C5FFA"/>
    <w:rsid w:val="002D0A44"/>
    <w:rsid w:val="00327157"/>
    <w:rsid w:val="00360261"/>
    <w:rsid w:val="003C2164"/>
    <w:rsid w:val="003C38FA"/>
    <w:rsid w:val="003C4DF9"/>
    <w:rsid w:val="003D6FA1"/>
    <w:rsid w:val="004029BF"/>
    <w:rsid w:val="00423654"/>
    <w:rsid w:val="00433BBA"/>
    <w:rsid w:val="00446711"/>
    <w:rsid w:val="00454CE6"/>
    <w:rsid w:val="004B3707"/>
    <w:rsid w:val="004E0137"/>
    <w:rsid w:val="004F2780"/>
    <w:rsid w:val="0052139A"/>
    <w:rsid w:val="005C5F8C"/>
    <w:rsid w:val="005D17F6"/>
    <w:rsid w:val="006371D5"/>
    <w:rsid w:val="00637C24"/>
    <w:rsid w:val="006513C1"/>
    <w:rsid w:val="006868D4"/>
    <w:rsid w:val="006943CB"/>
    <w:rsid w:val="006C3339"/>
    <w:rsid w:val="00703338"/>
    <w:rsid w:val="0071244B"/>
    <w:rsid w:val="0071646D"/>
    <w:rsid w:val="007266D0"/>
    <w:rsid w:val="007651B1"/>
    <w:rsid w:val="007A4E4B"/>
    <w:rsid w:val="007B161E"/>
    <w:rsid w:val="007B4D43"/>
    <w:rsid w:val="007C097B"/>
    <w:rsid w:val="007C53B7"/>
    <w:rsid w:val="007E5EC9"/>
    <w:rsid w:val="00807853"/>
    <w:rsid w:val="008169E6"/>
    <w:rsid w:val="00822785"/>
    <w:rsid w:val="00841CB0"/>
    <w:rsid w:val="00856C04"/>
    <w:rsid w:val="00860667"/>
    <w:rsid w:val="00884302"/>
    <w:rsid w:val="0089162D"/>
    <w:rsid w:val="0089514E"/>
    <w:rsid w:val="008975A0"/>
    <w:rsid w:val="008A4D0F"/>
    <w:rsid w:val="008A5479"/>
    <w:rsid w:val="008B0E09"/>
    <w:rsid w:val="008B5726"/>
    <w:rsid w:val="00911E79"/>
    <w:rsid w:val="00916E81"/>
    <w:rsid w:val="00932112"/>
    <w:rsid w:val="00934473"/>
    <w:rsid w:val="0095195D"/>
    <w:rsid w:val="00955460"/>
    <w:rsid w:val="00975C1E"/>
    <w:rsid w:val="009A15CD"/>
    <w:rsid w:val="009C04E0"/>
    <w:rsid w:val="00A208CB"/>
    <w:rsid w:val="00A44DB7"/>
    <w:rsid w:val="00A6196E"/>
    <w:rsid w:val="00A7102D"/>
    <w:rsid w:val="00A87A5A"/>
    <w:rsid w:val="00A938CE"/>
    <w:rsid w:val="00AC29B2"/>
    <w:rsid w:val="00AC3B65"/>
    <w:rsid w:val="00AD5DEA"/>
    <w:rsid w:val="00AD6F1D"/>
    <w:rsid w:val="00AE17C9"/>
    <w:rsid w:val="00AE18BD"/>
    <w:rsid w:val="00AF1DB0"/>
    <w:rsid w:val="00B06948"/>
    <w:rsid w:val="00B35693"/>
    <w:rsid w:val="00B43A03"/>
    <w:rsid w:val="00B52BD0"/>
    <w:rsid w:val="00B62B0C"/>
    <w:rsid w:val="00B66E6B"/>
    <w:rsid w:val="00B71389"/>
    <w:rsid w:val="00BD2779"/>
    <w:rsid w:val="00BE15D5"/>
    <w:rsid w:val="00BF2DE0"/>
    <w:rsid w:val="00C13DAE"/>
    <w:rsid w:val="00C33A38"/>
    <w:rsid w:val="00C34CC7"/>
    <w:rsid w:val="00C44B97"/>
    <w:rsid w:val="00C742BF"/>
    <w:rsid w:val="00C76CF9"/>
    <w:rsid w:val="00CA1164"/>
    <w:rsid w:val="00CE3F9B"/>
    <w:rsid w:val="00D12790"/>
    <w:rsid w:val="00D972E2"/>
    <w:rsid w:val="00DA2945"/>
    <w:rsid w:val="00DC381D"/>
    <w:rsid w:val="00DD15DB"/>
    <w:rsid w:val="00DD5B53"/>
    <w:rsid w:val="00DE1121"/>
    <w:rsid w:val="00DE39DE"/>
    <w:rsid w:val="00E00BF3"/>
    <w:rsid w:val="00E25EF5"/>
    <w:rsid w:val="00E42C75"/>
    <w:rsid w:val="00E53C52"/>
    <w:rsid w:val="00EC77AC"/>
    <w:rsid w:val="00EE2BA6"/>
    <w:rsid w:val="00EF4C03"/>
    <w:rsid w:val="00F17BB3"/>
    <w:rsid w:val="00F31BA4"/>
    <w:rsid w:val="00F47CCC"/>
    <w:rsid w:val="00F646C6"/>
    <w:rsid w:val="00FA4EC0"/>
    <w:rsid w:val="00FB5B3C"/>
    <w:rsid w:val="00FC4D29"/>
    <w:rsid w:val="00FD579F"/>
    <w:rsid w:val="00FE320E"/>
    <w:rsid w:val="1877D215"/>
    <w:rsid w:val="62E794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3387B2"/>
  <w15:chartTrackingRefBased/>
  <w15:docId w15:val="{3280C8F3-0DA6-47B2-B508-1DDB55C29B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27E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C381D"/>
    <w:rPr>
      <w:color w:val="0000FF"/>
      <w:u w:val="single"/>
    </w:rPr>
  </w:style>
  <w:style w:type="table" w:styleId="GridTable1Light">
    <w:name w:val="Grid Table 1 Light"/>
    <w:basedOn w:val="TableNormal"/>
    <w:uiPriority w:val="46"/>
    <w:rsid w:val="0093447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CommentReference">
    <w:name w:val="annotation reference"/>
    <w:basedOn w:val="DefaultParagraphFont"/>
    <w:uiPriority w:val="99"/>
    <w:semiHidden/>
    <w:unhideWhenUsed/>
    <w:rsid w:val="00DD5B53"/>
    <w:rPr>
      <w:sz w:val="16"/>
      <w:szCs w:val="16"/>
    </w:rPr>
  </w:style>
  <w:style w:type="paragraph" w:styleId="CommentText">
    <w:name w:val="annotation text"/>
    <w:basedOn w:val="Normal"/>
    <w:link w:val="CommentTextChar"/>
    <w:uiPriority w:val="99"/>
    <w:unhideWhenUsed/>
    <w:rsid w:val="00DD5B53"/>
    <w:pPr>
      <w:spacing w:line="240" w:lineRule="auto"/>
    </w:pPr>
    <w:rPr>
      <w:sz w:val="20"/>
      <w:szCs w:val="20"/>
    </w:rPr>
  </w:style>
  <w:style w:type="character" w:customStyle="1" w:styleId="CommentTextChar">
    <w:name w:val="Comment Text Char"/>
    <w:basedOn w:val="DefaultParagraphFont"/>
    <w:link w:val="CommentText"/>
    <w:uiPriority w:val="99"/>
    <w:rsid w:val="00DD5B53"/>
    <w:rPr>
      <w:sz w:val="20"/>
      <w:szCs w:val="20"/>
    </w:rPr>
  </w:style>
  <w:style w:type="paragraph" w:styleId="CommentSubject">
    <w:name w:val="annotation subject"/>
    <w:basedOn w:val="CommentText"/>
    <w:next w:val="CommentText"/>
    <w:link w:val="CommentSubjectChar"/>
    <w:uiPriority w:val="99"/>
    <w:semiHidden/>
    <w:unhideWhenUsed/>
    <w:rsid w:val="00DD5B53"/>
    <w:rPr>
      <w:b/>
      <w:bCs/>
    </w:rPr>
  </w:style>
  <w:style w:type="character" w:customStyle="1" w:styleId="CommentSubjectChar">
    <w:name w:val="Comment Subject Char"/>
    <w:basedOn w:val="CommentTextChar"/>
    <w:link w:val="CommentSubject"/>
    <w:uiPriority w:val="99"/>
    <w:semiHidden/>
    <w:rsid w:val="00DD5B53"/>
    <w:rPr>
      <w:b/>
      <w:bCs/>
      <w:sz w:val="20"/>
      <w:szCs w:val="20"/>
    </w:rPr>
  </w:style>
  <w:style w:type="paragraph" w:styleId="NormalWeb">
    <w:name w:val="Normal (Web)"/>
    <w:basedOn w:val="Normal"/>
    <w:uiPriority w:val="99"/>
    <w:semiHidden/>
    <w:unhideWhenUsed/>
    <w:rsid w:val="003C4DF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3C4DF9"/>
    <w:rPr>
      <w:b/>
      <w:bCs/>
    </w:rPr>
  </w:style>
  <w:style w:type="paragraph" w:styleId="z-TopofForm">
    <w:name w:val="HTML Top of Form"/>
    <w:basedOn w:val="Normal"/>
    <w:next w:val="Normal"/>
    <w:link w:val="z-TopofFormChar"/>
    <w:hidden/>
    <w:uiPriority w:val="99"/>
    <w:semiHidden/>
    <w:unhideWhenUsed/>
    <w:rsid w:val="003C4DF9"/>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3C4DF9"/>
    <w:rPr>
      <w:rFonts w:ascii="Arial" w:eastAsia="Times New Roman" w:hAnsi="Arial" w:cs="Arial"/>
      <w:vanish/>
      <w:kern w:val="0"/>
      <w:sz w:val="16"/>
      <w:szCs w:val="16"/>
      <w:lang w:eastAsia="en-GB"/>
      <w14:ligatures w14:val="none"/>
    </w:rPr>
  </w:style>
  <w:style w:type="character" w:styleId="UnresolvedMention">
    <w:name w:val="Unresolved Mention"/>
    <w:basedOn w:val="DefaultParagraphFont"/>
    <w:uiPriority w:val="99"/>
    <w:semiHidden/>
    <w:unhideWhenUsed/>
    <w:rsid w:val="006513C1"/>
    <w:rPr>
      <w:color w:val="605E5C"/>
      <w:shd w:val="clear" w:color="auto" w:fill="E1DFDD"/>
    </w:rPr>
  </w:style>
  <w:style w:type="paragraph" w:styleId="Header">
    <w:name w:val="header"/>
    <w:basedOn w:val="Normal"/>
    <w:link w:val="HeaderChar"/>
    <w:uiPriority w:val="99"/>
    <w:unhideWhenUsed/>
    <w:rsid w:val="004F278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F2780"/>
  </w:style>
  <w:style w:type="paragraph" w:styleId="Footer">
    <w:name w:val="footer"/>
    <w:basedOn w:val="Normal"/>
    <w:link w:val="FooterChar"/>
    <w:uiPriority w:val="99"/>
    <w:unhideWhenUsed/>
    <w:rsid w:val="004F2780"/>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4F2780"/>
  </w:style>
  <w:style w:type="paragraph" w:styleId="ListParagraph">
    <w:name w:val="List Paragraph"/>
    <w:basedOn w:val="Normal"/>
    <w:uiPriority w:val="34"/>
    <w:qFormat/>
    <w:rsid w:val="00AF1DB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1557134">
      <w:bodyDiv w:val="1"/>
      <w:marLeft w:val="0"/>
      <w:marRight w:val="0"/>
      <w:marTop w:val="0"/>
      <w:marBottom w:val="0"/>
      <w:divBdr>
        <w:top w:val="none" w:sz="0" w:space="0" w:color="auto"/>
        <w:left w:val="none" w:sz="0" w:space="0" w:color="auto"/>
        <w:bottom w:val="none" w:sz="0" w:space="0" w:color="auto"/>
        <w:right w:val="none" w:sz="0" w:space="0" w:color="auto"/>
      </w:divBdr>
    </w:div>
    <w:div w:id="2141414539">
      <w:bodyDiv w:val="1"/>
      <w:marLeft w:val="0"/>
      <w:marRight w:val="0"/>
      <w:marTop w:val="0"/>
      <w:marBottom w:val="0"/>
      <w:divBdr>
        <w:top w:val="none" w:sz="0" w:space="0" w:color="auto"/>
        <w:left w:val="none" w:sz="0" w:space="0" w:color="auto"/>
        <w:bottom w:val="none" w:sz="0" w:space="0" w:color="auto"/>
        <w:right w:val="none" w:sz="0" w:space="0" w:color="auto"/>
      </w:divBdr>
      <w:divsChild>
        <w:div w:id="1051267964">
          <w:marLeft w:val="0"/>
          <w:marRight w:val="0"/>
          <w:marTop w:val="0"/>
          <w:marBottom w:val="0"/>
          <w:divBdr>
            <w:top w:val="single" w:sz="2" w:space="0" w:color="D9D9E3"/>
            <w:left w:val="single" w:sz="2" w:space="0" w:color="D9D9E3"/>
            <w:bottom w:val="single" w:sz="2" w:space="0" w:color="D9D9E3"/>
            <w:right w:val="single" w:sz="2" w:space="0" w:color="D9D9E3"/>
          </w:divBdr>
          <w:divsChild>
            <w:div w:id="2085954968">
              <w:marLeft w:val="0"/>
              <w:marRight w:val="0"/>
              <w:marTop w:val="0"/>
              <w:marBottom w:val="0"/>
              <w:divBdr>
                <w:top w:val="single" w:sz="2" w:space="0" w:color="D9D9E3"/>
                <w:left w:val="single" w:sz="2" w:space="0" w:color="D9D9E3"/>
                <w:bottom w:val="single" w:sz="2" w:space="0" w:color="D9D9E3"/>
                <w:right w:val="single" w:sz="2" w:space="0" w:color="D9D9E3"/>
              </w:divBdr>
              <w:divsChild>
                <w:div w:id="136650774">
                  <w:marLeft w:val="0"/>
                  <w:marRight w:val="0"/>
                  <w:marTop w:val="0"/>
                  <w:marBottom w:val="0"/>
                  <w:divBdr>
                    <w:top w:val="single" w:sz="2" w:space="0" w:color="D9D9E3"/>
                    <w:left w:val="single" w:sz="2" w:space="0" w:color="D9D9E3"/>
                    <w:bottom w:val="single" w:sz="2" w:space="0" w:color="D9D9E3"/>
                    <w:right w:val="single" w:sz="2" w:space="0" w:color="D9D9E3"/>
                  </w:divBdr>
                  <w:divsChild>
                    <w:div w:id="902831770">
                      <w:marLeft w:val="0"/>
                      <w:marRight w:val="0"/>
                      <w:marTop w:val="0"/>
                      <w:marBottom w:val="0"/>
                      <w:divBdr>
                        <w:top w:val="single" w:sz="2" w:space="0" w:color="D9D9E3"/>
                        <w:left w:val="single" w:sz="2" w:space="0" w:color="D9D9E3"/>
                        <w:bottom w:val="single" w:sz="2" w:space="0" w:color="D9D9E3"/>
                        <w:right w:val="single" w:sz="2" w:space="0" w:color="D9D9E3"/>
                      </w:divBdr>
                      <w:divsChild>
                        <w:div w:id="382291054">
                          <w:marLeft w:val="0"/>
                          <w:marRight w:val="0"/>
                          <w:marTop w:val="0"/>
                          <w:marBottom w:val="0"/>
                          <w:divBdr>
                            <w:top w:val="single" w:sz="2" w:space="0" w:color="D9D9E3"/>
                            <w:left w:val="single" w:sz="2" w:space="0" w:color="D9D9E3"/>
                            <w:bottom w:val="single" w:sz="2" w:space="0" w:color="D9D9E3"/>
                            <w:right w:val="single" w:sz="2" w:space="0" w:color="D9D9E3"/>
                          </w:divBdr>
                          <w:divsChild>
                            <w:div w:id="406878127">
                              <w:marLeft w:val="0"/>
                              <w:marRight w:val="0"/>
                              <w:marTop w:val="100"/>
                              <w:marBottom w:val="100"/>
                              <w:divBdr>
                                <w:top w:val="single" w:sz="2" w:space="0" w:color="D9D9E3"/>
                                <w:left w:val="single" w:sz="2" w:space="0" w:color="D9D9E3"/>
                                <w:bottom w:val="single" w:sz="2" w:space="0" w:color="D9D9E3"/>
                                <w:right w:val="single" w:sz="2" w:space="0" w:color="D9D9E3"/>
                              </w:divBdr>
                              <w:divsChild>
                                <w:div w:id="1363749134">
                                  <w:marLeft w:val="0"/>
                                  <w:marRight w:val="0"/>
                                  <w:marTop w:val="0"/>
                                  <w:marBottom w:val="0"/>
                                  <w:divBdr>
                                    <w:top w:val="single" w:sz="2" w:space="0" w:color="D9D9E3"/>
                                    <w:left w:val="single" w:sz="2" w:space="0" w:color="D9D9E3"/>
                                    <w:bottom w:val="single" w:sz="2" w:space="0" w:color="D9D9E3"/>
                                    <w:right w:val="single" w:sz="2" w:space="0" w:color="D9D9E3"/>
                                  </w:divBdr>
                                  <w:divsChild>
                                    <w:div w:id="1398279811">
                                      <w:marLeft w:val="0"/>
                                      <w:marRight w:val="0"/>
                                      <w:marTop w:val="0"/>
                                      <w:marBottom w:val="0"/>
                                      <w:divBdr>
                                        <w:top w:val="single" w:sz="2" w:space="0" w:color="D9D9E3"/>
                                        <w:left w:val="single" w:sz="2" w:space="0" w:color="D9D9E3"/>
                                        <w:bottom w:val="single" w:sz="2" w:space="0" w:color="D9D9E3"/>
                                        <w:right w:val="single" w:sz="2" w:space="0" w:color="D9D9E3"/>
                                      </w:divBdr>
                                      <w:divsChild>
                                        <w:div w:id="625114803">
                                          <w:marLeft w:val="0"/>
                                          <w:marRight w:val="0"/>
                                          <w:marTop w:val="0"/>
                                          <w:marBottom w:val="0"/>
                                          <w:divBdr>
                                            <w:top w:val="single" w:sz="2" w:space="0" w:color="D9D9E3"/>
                                            <w:left w:val="single" w:sz="2" w:space="0" w:color="D9D9E3"/>
                                            <w:bottom w:val="single" w:sz="2" w:space="0" w:color="D9D9E3"/>
                                            <w:right w:val="single" w:sz="2" w:space="0" w:color="D9D9E3"/>
                                          </w:divBdr>
                                          <w:divsChild>
                                            <w:div w:id="2039623264">
                                              <w:marLeft w:val="0"/>
                                              <w:marRight w:val="0"/>
                                              <w:marTop w:val="0"/>
                                              <w:marBottom w:val="0"/>
                                              <w:divBdr>
                                                <w:top w:val="single" w:sz="2" w:space="0" w:color="D9D9E3"/>
                                                <w:left w:val="single" w:sz="2" w:space="0" w:color="D9D9E3"/>
                                                <w:bottom w:val="single" w:sz="2" w:space="0" w:color="D9D9E3"/>
                                                <w:right w:val="single" w:sz="2" w:space="0" w:color="D9D9E3"/>
                                              </w:divBdr>
                                              <w:divsChild>
                                                <w:div w:id="137308873">
                                                  <w:marLeft w:val="0"/>
                                                  <w:marRight w:val="0"/>
                                                  <w:marTop w:val="0"/>
                                                  <w:marBottom w:val="0"/>
                                                  <w:divBdr>
                                                    <w:top w:val="single" w:sz="2" w:space="0" w:color="D9D9E3"/>
                                                    <w:left w:val="single" w:sz="2" w:space="0" w:color="D9D9E3"/>
                                                    <w:bottom w:val="single" w:sz="2" w:space="0" w:color="D9D9E3"/>
                                                    <w:right w:val="single" w:sz="2" w:space="0" w:color="D9D9E3"/>
                                                  </w:divBdr>
                                                  <w:divsChild>
                                                    <w:div w:id="15827888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88327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groups/scientific-advisory-committee-on-nutrition" TargetMode="External"/><Relationship Id="rId13" Type="http://schemas.openxmlformats.org/officeDocument/2006/relationships/hyperlink" Target="https://doi.org/10.1371/journal.pone.0166070" TargetMode="External"/><Relationship Id="rId3" Type="http://schemas.openxmlformats.org/officeDocument/2006/relationships/settings" Target="settings.xml"/><Relationship Id="rId7" Type="http://schemas.openxmlformats.org/officeDocument/2006/relationships/hyperlink" Target="https://doi.org/10.1017/S0007114522003146" TargetMode="External"/><Relationship Id="rId12" Type="http://schemas.openxmlformats.org/officeDocument/2006/relationships/hyperlink" Target="https://nutrium.com/blog/dietary-reference-values-for-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groups/scientific-advisory-committee-on-nutrition"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gov.uk/government/publications/the-eatwell-guide" TargetMode="External"/><Relationship Id="rId4" Type="http://schemas.openxmlformats.org/officeDocument/2006/relationships/webSettings" Target="webSettings.xml"/><Relationship Id="rId9" Type="http://schemas.openxmlformats.org/officeDocument/2006/relationships/hyperlink" Target="https://doi.org/10.3390/nu13103547"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2054</Words>
  <Characters>11709</Characters>
  <Application>Microsoft Office Word</Application>
  <DocSecurity>0</DocSecurity>
  <Lines>97</Lines>
  <Paragraphs>27</Paragraphs>
  <ScaleCrop>false</ScaleCrop>
  <Company/>
  <LinksUpToDate>false</LinksUpToDate>
  <CharactersWithSpaces>13736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mckenzie callard</dc:creator>
  <cp:keywords/>
  <dc:description/>
  <cp:lastModifiedBy>mckenzie callard</cp:lastModifiedBy>
  <cp:revision>2</cp:revision>
  <dcterms:created xsi:type="dcterms:W3CDTF">2025-03-20T20:23:00Z</dcterms:created>
  <dcterms:modified xsi:type="dcterms:W3CDTF">2025-03-20T20:23:00Z</dcterms:modified>
</cp:coreProperties>
</file>