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7EE9D4" w14:textId="3505BC56" w:rsidR="00C831CB" w:rsidRDefault="00C831CB" w:rsidP="00C831CB">
      <w:pPr>
        <w:jc w:val="right"/>
        <w:rPr>
          <w:b/>
          <w:bCs/>
        </w:rPr>
      </w:pPr>
      <w:r>
        <w:rPr>
          <w:b/>
          <w:bCs/>
        </w:rPr>
        <w:t>Lucy Fairbrother</w:t>
      </w:r>
    </w:p>
    <w:p w14:paraId="65292ECB" w14:textId="77777777" w:rsidR="00C831CB" w:rsidRDefault="00C831CB" w:rsidP="006A3387">
      <w:pPr>
        <w:rPr>
          <w:b/>
          <w:bCs/>
        </w:rPr>
      </w:pPr>
    </w:p>
    <w:p w14:paraId="11EDC342" w14:textId="3816FE5E" w:rsidR="006A3387" w:rsidRPr="006A3387" w:rsidRDefault="006A3387" w:rsidP="006A3387">
      <w:pPr>
        <w:rPr>
          <w:b/>
          <w:bCs/>
        </w:rPr>
      </w:pPr>
      <w:r w:rsidRPr="006A3387">
        <w:rPr>
          <w:b/>
          <w:bCs/>
        </w:rPr>
        <w:t xml:space="preserve">SECTION A </w:t>
      </w:r>
    </w:p>
    <w:p w14:paraId="69648727" w14:textId="35849C28" w:rsidR="006A3387" w:rsidRPr="006A3387" w:rsidRDefault="006A3387" w:rsidP="006A3387">
      <w:pPr>
        <w:rPr>
          <w:b/>
          <w:bCs/>
        </w:rPr>
      </w:pPr>
    </w:p>
    <w:p w14:paraId="50A1C4A6" w14:textId="0C1B6314" w:rsidR="006A3387" w:rsidRPr="006A3387" w:rsidRDefault="006A3387" w:rsidP="006A3387">
      <w:pPr>
        <w:rPr>
          <w:b/>
          <w:bCs/>
        </w:rPr>
      </w:pPr>
      <w:r w:rsidRPr="006A3387">
        <w:rPr>
          <w:b/>
          <w:bCs/>
        </w:rPr>
        <w:t xml:space="preserve">1. Using examples, assess the role, function, success and recent developments of National Parks in the UK. </w:t>
      </w:r>
    </w:p>
    <w:p w14:paraId="11B4A1CD" w14:textId="38947E54" w:rsidR="006A3387" w:rsidRDefault="006A3387" w:rsidP="006A3387"/>
    <w:p w14:paraId="762C3EDC" w14:textId="151FCF83" w:rsidR="006A3387" w:rsidRDefault="006A3387" w:rsidP="006A3387">
      <w:r>
        <w:t>The statutory purposes of National Parks in the UK, as set out in the National Parks and Access to the Countryside Act 1949 (as amended in 1995), are a) conservation of “natural beauty, wildlife and cultural heritage”, and b) promotion of public understanding and enjoyment of the “special qualities” of those areas. The areas that are designated as National Parks are to be so designated by virtue of their natural beauty and the recreation opportunities that they offer, both because of the landscape that enables those opportunities and also because of their location close to where people live</w:t>
      </w:r>
      <w:r w:rsidR="00C831CB">
        <w:t>. T</w:t>
      </w:r>
      <w:r>
        <w:t>hese overarching criteria contained in the legislation have remained unamended since 1951.</w:t>
      </w:r>
    </w:p>
    <w:p w14:paraId="007CC371" w14:textId="77777777" w:rsidR="006A3387" w:rsidRDefault="006A3387" w:rsidP="006A3387"/>
    <w:p w14:paraId="1A74676C" w14:textId="00688359" w:rsidR="006A3387" w:rsidRDefault="006A3387" w:rsidP="006A3387">
      <w:r>
        <w:t>Following the National Parks Review in 1974, the Sandford Principle stated that where the two purposes of conservation and recreation cannot be effectively reconciled, conservation must take priority. This principle was given legal basis in the Environment Act 1995, which obliged a relevant authority (which in this context includes a government minister, government agency, local authority, National Park authority) to give “greater weight” to the conservation purpose above the recreation purpose in the event of a conflict. The wording suggests that these two purposes must be balanced as far as possible, and that public enjoyment should still be very much in consideration even where it is in conflict with conservation. The legislation implies that actions taken by authorities should be proportionate.</w:t>
      </w:r>
    </w:p>
    <w:p w14:paraId="557B461D" w14:textId="753D9E0C" w:rsidR="006A3387" w:rsidRDefault="006A3387" w:rsidP="006A3387"/>
    <w:p w14:paraId="57E5388E" w14:textId="1260AEE5" w:rsidR="006A3387" w:rsidRDefault="006A3387" w:rsidP="006A3387">
      <w:r>
        <w:t xml:space="preserve">At a simplistic level, this suggests that there is a constant conflict </w:t>
      </w:r>
      <w:r w:rsidRPr="007C59D5">
        <w:t>between conservation and tourism/recreation</w:t>
      </w:r>
      <w:r>
        <w:t xml:space="preserve">: while the </w:t>
      </w:r>
      <w:r w:rsidRPr="00AB773E">
        <w:t>million</w:t>
      </w:r>
      <w:r>
        <w:t>s</w:t>
      </w:r>
      <w:r w:rsidRPr="00AB773E">
        <w:t xml:space="preserve"> </w:t>
      </w:r>
      <w:r>
        <w:t xml:space="preserve">of </w:t>
      </w:r>
      <w:r w:rsidRPr="00AB773E">
        <w:t xml:space="preserve">people </w:t>
      </w:r>
      <w:r>
        <w:t xml:space="preserve">that </w:t>
      </w:r>
      <w:r w:rsidRPr="00AB773E">
        <w:t>visit national parks each year</w:t>
      </w:r>
      <w:r>
        <w:t xml:space="preserve"> </w:t>
      </w:r>
      <w:r w:rsidRPr="00AB773E">
        <w:t xml:space="preserve">bring </w:t>
      </w:r>
      <w:r>
        <w:t>economic activity</w:t>
      </w:r>
      <w:r w:rsidRPr="00AB773E">
        <w:t xml:space="preserve"> into the parks</w:t>
      </w:r>
      <w:r>
        <w:t xml:space="preserve"> (for example, by</w:t>
      </w:r>
      <w:r w:rsidRPr="00AB773E">
        <w:t xml:space="preserve"> their use of car parks, hotels and restaurants</w:t>
      </w:r>
      <w:r>
        <w:t>)</w:t>
      </w:r>
      <w:r w:rsidRPr="00AB773E">
        <w:t xml:space="preserve">, the </w:t>
      </w:r>
      <w:r>
        <w:t>sheer</w:t>
      </w:r>
      <w:r w:rsidRPr="00AB773E">
        <w:t xml:space="preserve"> numbers damage the environment by erosion </w:t>
      </w:r>
      <w:r>
        <w:t>and litter</w:t>
      </w:r>
      <w:r w:rsidRPr="00AB773E">
        <w:t xml:space="preserve">, and cause </w:t>
      </w:r>
      <w:r>
        <w:t>pollution and damage by traffic and illegal parking</w:t>
      </w:r>
      <w:r w:rsidRPr="00AB773E">
        <w:t>.</w:t>
      </w:r>
      <w:r>
        <w:t xml:space="preserve"> However, there are examples where this is not the case.</w:t>
      </w:r>
    </w:p>
    <w:p w14:paraId="22223BCB" w14:textId="165CA1DB" w:rsidR="006A3387" w:rsidRDefault="006A3387" w:rsidP="006A3387"/>
    <w:p w14:paraId="7ABA107E" w14:textId="7D719CEA" w:rsidR="006A3387" w:rsidRDefault="006A3387" w:rsidP="006A3387">
      <w:r>
        <w:t>I will look at some examples of National Parks (NPs) to see how the authorities and other interest groups working for and within the NP have sought to achieve the statutory purposes and other objectives.</w:t>
      </w:r>
    </w:p>
    <w:p w14:paraId="0A9DB516" w14:textId="5F38B06F" w:rsidR="006A3387" w:rsidRDefault="006A3387" w:rsidP="006A3387"/>
    <w:p w14:paraId="2A00D8F9" w14:textId="77777777" w:rsidR="0096748A" w:rsidRDefault="006A3387" w:rsidP="0096748A">
      <w:r>
        <w:t xml:space="preserve">Perhaps more than any other NP, the Lake District typifies the “cultural heritage” character of NPs. </w:t>
      </w:r>
      <w:r w:rsidRPr="006A3387">
        <w:t xml:space="preserve">In 2017 it gained UNESCO World Heritage status, the only </w:t>
      </w:r>
      <w:r>
        <w:t>NP</w:t>
      </w:r>
      <w:r w:rsidRPr="006A3387">
        <w:t xml:space="preserve"> in the UK to do so. However, this was not for its conservation importance but because of its cultural heritage.</w:t>
      </w:r>
      <w:r>
        <w:t xml:space="preserve"> It was already established as a tourist destination before its establishment as a National Park in 1951, being the subject or location of a wealth of artistic works, such as those by Turner, Wordsworth and Coleridge.</w:t>
      </w:r>
    </w:p>
    <w:p w14:paraId="2D39B71D" w14:textId="77777777" w:rsidR="0096748A" w:rsidRDefault="0096748A" w:rsidP="0096748A"/>
    <w:p w14:paraId="4B3F0E62" w14:textId="079D2281" w:rsidR="0096748A" w:rsidRDefault="006A3387" w:rsidP="0096748A">
      <w:r>
        <w:lastRenderedPageBreak/>
        <w:t xml:space="preserve">It is worth noting that it was its </w:t>
      </w:r>
      <w:r w:rsidR="0096748A">
        <w:t>spectacular landscape</w:t>
      </w:r>
      <w:r>
        <w:t xml:space="preserve"> that attracted the romantic artists to the </w:t>
      </w:r>
      <w:r w:rsidR="0096748A">
        <w:t>area</w:t>
      </w:r>
      <w:r>
        <w:t>.</w:t>
      </w:r>
      <w:r w:rsidR="0096748A">
        <w:t xml:space="preserve"> However, although it feels wild when you stand atop one of the peaks in the Lake District, the landscape has been shaped by agriculture, settlement and other human activity, as evident from the unforested slopes and </w:t>
      </w:r>
      <w:proofErr w:type="gramStart"/>
      <w:r w:rsidR="0096748A">
        <w:t>dry stone</w:t>
      </w:r>
      <w:proofErr w:type="gramEnd"/>
      <w:r w:rsidR="0096748A">
        <w:t xml:space="preserve"> walls. Indeed, much of the land is still used for agricultural purposes. It was for this reason that UNESCO granted world heritage to the park for its cultural significance, shaped by human activity in the land itself and the minds of its visitors, and not </w:t>
      </w:r>
      <w:r w:rsidR="00C831CB">
        <w:t xml:space="preserve">for </w:t>
      </w:r>
      <w:r w:rsidR="0096748A">
        <w:t xml:space="preserve">its importance as a natural habitat. </w:t>
      </w:r>
    </w:p>
    <w:p w14:paraId="224F1357" w14:textId="4EA5A2E2" w:rsidR="006A3387" w:rsidRDefault="006A3387" w:rsidP="006A3387"/>
    <w:p w14:paraId="06332483" w14:textId="32415CA5" w:rsidR="0096748A" w:rsidRDefault="006A3387" w:rsidP="0096748A">
      <w:r>
        <w:t xml:space="preserve">The NP today is </w:t>
      </w:r>
      <w:r w:rsidR="0096748A">
        <w:t xml:space="preserve">one of the most visited parks in the UK, but it is a minority of visitors that venture beyond the urban centres, and an even smaller minority that go into the open countryside, beyond the easily accessible viewpoints. The challenge, therefore, for the National Park authority is that the money flowing into the local economy comes from tourists in the town centres like Windermere and Ambleside, drawn by the Lake District’s cultural status in the national imagination, but this might appear to conflict with the reason for the Lake District being given NP status, being its spectacular landscape. </w:t>
      </w:r>
    </w:p>
    <w:p w14:paraId="00631369" w14:textId="73EC4516" w:rsidR="0096748A" w:rsidRDefault="0096748A" w:rsidP="0096748A"/>
    <w:p w14:paraId="459C36AF" w14:textId="4C126CD0" w:rsidR="0096748A" w:rsidRDefault="0096748A" w:rsidP="0096748A">
      <w:r>
        <w:t>The Lake District is a key example for the difficulties that the NP authority has in managing development within the park (subject to planning laws) and recreation as the principle sector that brings in economic activity. For example, the authority introduced a controversial 10 knot speed limit on Windermere lake, which acted as an effective ban on water-skiing and other water sports. It was an attempt to ensure that visitors could have “quiet enjoyment” of the lake and to help protect wildlife, but this had an immediate impact on businesses who relied on those sports for income.</w:t>
      </w:r>
    </w:p>
    <w:p w14:paraId="79E5437F" w14:textId="6B5B5A77" w:rsidR="0096748A" w:rsidRDefault="0096748A" w:rsidP="0096748A"/>
    <w:p w14:paraId="2AAA86D6" w14:textId="67DB1955" w:rsidR="0096748A" w:rsidRDefault="0096748A" w:rsidP="0096748A">
      <w:r>
        <w:t xml:space="preserve">Another conflict is in walkers that tread on the land in large numbers, particularly on the main thoroughfares such as the summit path to Scafell Pike. </w:t>
      </w:r>
      <w:r w:rsidR="004834CE">
        <w:t>During the Three Peak Challenge, Scafell Pike is in the middle of Ben Nevis and Snowdon, and gets huge amounts of traffic from commercially-organised charity events. These can cause significant disruption and damage to the local community and the paths, which require maintenance and repair as a result.</w:t>
      </w:r>
    </w:p>
    <w:p w14:paraId="5B67CDBC" w14:textId="384C88CD" w:rsidR="004834CE" w:rsidRDefault="004834CE" w:rsidP="0096748A"/>
    <w:p w14:paraId="6B2902B4" w14:textId="423BED7C" w:rsidR="004834CE" w:rsidRDefault="004834CE" w:rsidP="0096748A">
      <w:r>
        <w:t>On the other hand, there are ways that the NP authorities have successfully employed solutions that not only balance conservation with tourism/recreation, but even make the two work in synergy.</w:t>
      </w:r>
    </w:p>
    <w:p w14:paraId="10128425" w14:textId="31643E9B" w:rsidR="004834CE" w:rsidRDefault="004834CE" w:rsidP="0096748A"/>
    <w:p w14:paraId="28848AFD" w14:textId="79C32553" w:rsidR="004834CE" w:rsidRDefault="004834CE" w:rsidP="004834CE">
      <w:r>
        <w:t xml:space="preserve">In the Peak District, there has been a conservation partnership since 2000 with the British Mountaineering Council (BMC), National Trust and RSPB at </w:t>
      </w:r>
      <w:proofErr w:type="spellStart"/>
      <w:r>
        <w:t>Stanage</w:t>
      </w:r>
      <w:proofErr w:type="spellEnd"/>
      <w:r>
        <w:t xml:space="preserve"> Edge, which is an important nesting site for the ring ouzel (</w:t>
      </w:r>
      <w:r w:rsidRPr="00706D60">
        <w:t xml:space="preserve">Turdus </w:t>
      </w:r>
      <w:proofErr w:type="spellStart"/>
      <w:r w:rsidRPr="00706D60">
        <w:t>torquatus</w:t>
      </w:r>
      <w:proofErr w:type="spellEnd"/>
      <w:r>
        <w:t xml:space="preserve">). </w:t>
      </w:r>
      <w:proofErr w:type="spellStart"/>
      <w:r>
        <w:t>Stanage</w:t>
      </w:r>
      <w:proofErr w:type="spellEnd"/>
      <w:r>
        <w:t xml:space="preserve"> Edge is also one of the most well-known climbing spots in the UK, but the ring ouzel population has thrived despite the area’s popularity, whereas it has been in decline elsewhere in the country. The BMC has played a key role in balancing access and conservation needs, by educating the climbing community about the location of nesting bird sites and agreeing voluntary climbing restrictions with wildlife organisations.  Climbers take an active role in locating and monitoring the nesting sites, as well as in the discussions as to what restrictions are required. As a result, there is very high levels of engagement and self-enforcement of the restrictions.</w:t>
      </w:r>
    </w:p>
    <w:p w14:paraId="4E7BCA20" w14:textId="7E0619E5" w:rsidR="004834CE" w:rsidRDefault="004834CE" w:rsidP="004834CE"/>
    <w:p w14:paraId="4B1C5216" w14:textId="7C4D8626" w:rsidR="004834CE" w:rsidRDefault="004834CE" w:rsidP="004834CE">
      <w:r>
        <w:t>What is key is the involvement of key stakeholders in protecting the environment of the NP and education about the impact that they can have (both positive and negative) on the landscape that they enjoy. In the climbing world, climbers frequently use crags on private land, so there is often a balancing act between access and conservation: if climbers ruin the area, then their access may be withdrawn. With NPs, there is practically free access to the park, via the numerous public rights of way. With no threat of access being cut off, it is necessary instead to focus on how voluntary self-regulation can mitigate damage done by visitors.</w:t>
      </w:r>
    </w:p>
    <w:p w14:paraId="45205943" w14:textId="050D4A1E" w:rsidR="004834CE" w:rsidRDefault="004834CE" w:rsidP="004834CE"/>
    <w:p w14:paraId="14265B6A" w14:textId="77777777" w:rsidR="004834CE" w:rsidRDefault="004834CE" w:rsidP="004834CE">
      <w:r>
        <w:t xml:space="preserve">The New Forest NP too has focused on working in partnership with lots of different organisations and interest groups, and has consulted with them extensively. In the Better Boundaries project in 2012 the landowner created many land enhancements such as hedgerow and tree planting with the support of the national park authority. </w:t>
      </w:r>
    </w:p>
    <w:p w14:paraId="3EA83F0F" w14:textId="77777777" w:rsidR="004834CE" w:rsidRDefault="004834CE" w:rsidP="004834CE"/>
    <w:p w14:paraId="2A30A75A" w14:textId="108BFF1C" w:rsidR="004834CE" w:rsidRDefault="004834CE" w:rsidP="004834CE">
      <w:r>
        <w:t>Success can be seen in these partnerships, where disparate groups are brought together, from a consultation, to a discussion forum, to a project that is managed or implemented by someone other than the National Park authority. The establishment of NPs, together with formation of authorities whose responsibility it is to balance the needs of conservation and recreation and who, by necessity, bring together many different organisations in collaboration, has been crucial to making the most of limited budgets and tools of enforcement</w:t>
      </w:r>
      <w:r w:rsidR="00CF1944">
        <w:t>, in particular for the New Forest, which is close to the urban centres of the South and reachable by London.</w:t>
      </w:r>
      <w:r w:rsidR="00E209C6">
        <w:t xml:space="preserve"> Part of the Conservative agenda in government is providing better services with less funding, which has led to reforms that value efficiency and effectiveness. </w:t>
      </w:r>
    </w:p>
    <w:p w14:paraId="625FF78B" w14:textId="16A88A88" w:rsidR="004834CE" w:rsidRDefault="004834CE" w:rsidP="004834CE"/>
    <w:p w14:paraId="0ED6FCF7" w14:textId="6A9E433B" w:rsidR="004834CE" w:rsidRDefault="004834CE" w:rsidP="004834CE">
      <w:r>
        <w:t>Notwithstanding their heavy use for tourism and recreation, there remains an important role within NP for wildlife conservation. Snowdonia is an important habitat for the l</w:t>
      </w:r>
      <w:r w:rsidRPr="005C78C7">
        <w:t xml:space="preserve">esser horseshoe bat (Rhinolophus </w:t>
      </w:r>
      <w:proofErr w:type="spellStart"/>
      <w:r w:rsidRPr="005C78C7">
        <w:t>hipposideros</w:t>
      </w:r>
      <w:proofErr w:type="spellEnd"/>
      <w:r w:rsidRPr="005C78C7">
        <w:t>)</w:t>
      </w:r>
      <w:r>
        <w:t xml:space="preserve">. The bat has protected status under both UK and European legislation, including the Wildlife and Countryside Act 1981, which included additional provisions for NPs. However, the protections for the bat (as well as other protected species) are legally separate from the national park designation. The protected habitats fall under European legislation by virtue of the designation of special areas of conservation (SACs) within the national park and under UK legislation by the designation of sites of special scientific interest (SSSIs). Each of these has more teeth when it comes to legal protections, including obligations to monitor and criminal offences for damaging or disturbing the land or the wildlife. Given the requirement to actively manage these protected areas in a way that keeps them in a “favourable” condition (for the protection of the relevant species or characteristic), they are arguably more effective tools for conservation than national parks, which (from a legal perspective) are more reactive (e.g. to planning applications or damage) than proactive in their approach to conservation. </w:t>
      </w:r>
    </w:p>
    <w:p w14:paraId="68B3441A" w14:textId="77777777" w:rsidR="004834CE" w:rsidRDefault="004834CE" w:rsidP="004834CE">
      <w:pPr>
        <w:pStyle w:val="ListParagraph"/>
      </w:pPr>
    </w:p>
    <w:p w14:paraId="5AD7409F" w14:textId="6BAC984F" w:rsidR="004834CE" w:rsidRDefault="004834CE" w:rsidP="004834CE">
      <w:r>
        <w:t xml:space="preserve">Where national parks are more successful than SSSIs are in their cultural and educational role. The parks attract visitors away from urban environments and place them in the middle of nature. It is difficult to persuade someone to protect an abstract concept, so by continuing to provide access to the open countryside, albeit an anthropocentric version, there is the hope </w:t>
      </w:r>
      <w:r>
        <w:lastRenderedPageBreak/>
        <w:t>that visitors will want to take action to protect it.  This is a difficult thing to achieve by a protected conservation reserve, which must be more careful in restricting the scope and frequency of access.</w:t>
      </w:r>
    </w:p>
    <w:p w14:paraId="4A2341B2" w14:textId="77777777" w:rsidR="0096748A" w:rsidRDefault="0096748A" w:rsidP="0096748A"/>
    <w:p w14:paraId="350055D9" w14:textId="7679F101" w:rsidR="00E209C6" w:rsidRDefault="00CF1944" w:rsidP="006A3387">
      <w:r>
        <w:t>This people-centred approach to NPs is evident in the government’s 8-Point Plan for England’s National Parks in March 2016 and the Landscapes Review published in May 2018. The three main areas</w:t>
      </w:r>
      <w:r w:rsidR="00E209C6">
        <w:t xml:space="preserve"> of the 2016 Plan</w:t>
      </w:r>
      <w:r>
        <w:t xml:space="preserve"> all focused on the human part of NPs: “Inspiring Natural Environments”, which places the NP as a tool for promoting a passion for conservation, rather than a tool for conservation in itself, “Drivers of the Rural Economy”, which focuses on the economic benefits of the NP, and “Natural Treasures”, which places accessibility, cultural heritage and recreational opportunity as the key qualities. </w:t>
      </w:r>
      <w:r w:rsidR="00E209C6">
        <w:t>The Landscapes Review too looks at accessibility as a key aim, making the countryside available for everyone, and not just middle-aged white people.</w:t>
      </w:r>
    </w:p>
    <w:p w14:paraId="2FD59D31" w14:textId="30FC3B2A" w:rsidR="00E209C6" w:rsidRDefault="00E209C6" w:rsidP="006A3387"/>
    <w:p w14:paraId="57769658" w14:textId="67AB4558" w:rsidR="00E209C6" w:rsidRDefault="00E209C6" w:rsidP="006A3387">
      <w:r>
        <w:t>While these are admirable benefits, without careful guidance and management, they may feed into a conflict rather than a collaboration between conservation and tourism. The government is at the same time looking to reform the governance of NPs, removing layers of hierarchy and seeking to remove duplication of activities. This is a bold approach, which may improve the effectiveness of NP authorities if there is greater coordination and shared approaches. However, there is a danger that large scale reform will only disrupt the work of the NP authorities and make it harder for them to work on a local level, with issues that demand a granular approach and not a top-down one.</w:t>
      </w:r>
    </w:p>
    <w:p w14:paraId="0BE89E4C" w14:textId="77777777" w:rsidR="006A3387" w:rsidRDefault="006A3387"/>
    <w:p w14:paraId="7CC13AF7" w14:textId="38754AF7" w:rsidR="006A3387" w:rsidRPr="00E209C6" w:rsidRDefault="006A3387">
      <w:pPr>
        <w:rPr>
          <w:b/>
          <w:bCs/>
        </w:rPr>
      </w:pPr>
      <w:r w:rsidRPr="00E209C6">
        <w:rPr>
          <w:b/>
          <w:bCs/>
        </w:rPr>
        <w:t>SECTION B</w:t>
      </w:r>
    </w:p>
    <w:p w14:paraId="06C9B54F" w14:textId="033D476F" w:rsidR="006A3387" w:rsidRPr="00E209C6" w:rsidRDefault="006A3387">
      <w:pPr>
        <w:rPr>
          <w:b/>
          <w:bCs/>
        </w:rPr>
      </w:pPr>
    </w:p>
    <w:p w14:paraId="60EA157C" w14:textId="2EE91435" w:rsidR="006A3387" w:rsidRPr="00E209C6" w:rsidRDefault="006A3387">
      <w:pPr>
        <w:rPr>
          <w:b/>
          <w:bCs/>
        </w:rPr>
      </w:pPr>
      <w:r w:rsidRPr="00E209C6">
        <w:rPr>
          <w:b/>
          <w:bCs/>
        </w:rPr>
        <w:t xml:space="preserve">5. Using examples, describe and reflect on the role of </w:t>
      </w:r>
      <w:proofErr w:type="spellStart"/>
      <w:proofErr w:type="gramStart"/>
      <w:r w:rsidRPr="00E209C6">
        <w:rPr>
          <w:b/>
          <w:bCs/>
        </w:rPr>
        <w:t>Non Governmental</w:t>
      </w:r>
      <w:proofErr w:type="spellEnd"/>
      <w:proofErr w:type="gramEnd"/>
      <w:r w:rsidRPr="00E209C6">
        <w:rPr>
          <w:b/>
          <w:bCs/>
        </w:rPr>
        <w:t xml:space="preserve"> influence on environmental conservation.</w:t>
      </w:r>
    </w:p>
    <w:p w14:paraId="3EB8F970" w14:textId="30902107" w:rsidR="006A3387" w:rsidRDefault="006A3387"/>
    <w:p w14:paraId="597C61A2" w14:textId="77777777" w:rsidR="0009667C" w:rsidRDefault="00614DC6" w:rsidP="0009667C">
      <w:r>
        <w:t xml:space="preserve">Governments and their institutions do not act in a vacuum. They act through and are </w:t>
      </w:r>
      <w:r w:rsidR="00543592">
        <w:t>influenced</w:t>
      </w:r>
      <w:r>
        <w:t xml:space="preserve"> by individuals and non-governmental </w:t>
      </w:r>
      <w:r w:rsidR="00543592">
        <w:t>organisations (NGOs)</w:t>
      </w:r>
      <w:r>
        <w:t>, and</w:t>
      </w:r>
      <w:r w:rsidR="00543592">
        <w:t xml:space="preserve"> the achievement of</w:t>
      </w:r>
      <w:r>
        <w:t xml:space="preserve"> </w:t>
      </w:r>
      <w:r w:rsidR="00543592">
        <w:t>their objectives often relies on the input and collaboration of actors in the public sphere.</w:t>
      </w:r>
      <w:r w:rsidR="0009667C">
        <w:t xml:space="preserve"> </w:t>
      </w:r>
    </w:p>
    <w:p w14:paraId="72412318" w14:textId="77777777" w:rsidR="0009667C" w:rsidRDefault="0009667C" w:rsidP="0009667C"/>
    <w:p w14:paraId="5066EAC2" w14:textId="13BA6F01" w:rsidR="0009667C" w:rsidRDefault="0009667C" w:rsidP="0009667C">
      <w:r>
        <w:t xml:space="preserve">Environmental policy is (perhaps with the exception of tax), likely to have the most direct impact on individuals and many policies are directed towards human (or consumer) behaviour. It is therefore particularly important that policies are developed based on good information and that there is buy-in from the electorate. </w:t>
      </w:r>
    </w:p>
    <w:p w14:paraId="2F40D466" w14:textId="77777777" w:rsidR="00614DC6" w:rsidRDefault="00614DC6" w:rsidP="00614DC6"/>
    <w:p w14:paraId="541D4705" w14:textId="268460CE" w:rsidR="00543592" w:rsidRDefault="00543592" w:rsidP="00614DC6">
      <w:r>
        <w:t xml:space="preserve">NGOs and individuals in civil society can influence environmental conservation in a </w:t>
      </w:r>
      <w:proofErr w:type="gramStart"/>
      <w:r>
        <w:t>myriad ways</w:t>
      </w:r>
      <w:proofErr w:type="gramEnd"/>
      <w:r>
        <w:t xml:space="preserve"> but this essay will focus on: 1. formulation of environmental policy, 2. implementation of policy objectives, 3. assessment and monitoring, 4. advocacy.</w:t>
      </w:r>
    </w:p>
    <w:p w14:paraId="3F8289C4" w14:textId="0DEBFEA5" w:rsidR="00543592" w:rsidRDefault="00543592" w:rsidP="00614DC6"/>
    <w:p w14:paraId="3194BCA2" w14:textId="78416A47" w:rsidR="00543592" w:rsidRDefault="00543592" w:rsidP="00614DC6">
      <w:r>
        <w:t>1. Formulation of environmental policy</w:t>
      </w:r>
    </w:p>
    <w:p w14:paraId="00971447" w14:textId="3EF1A802" w:rsidR="00543592" w:rsidRDefault="00543592" w:rsidP="00614DC6"/>
    <w:p w14:paraId="785493B2" w14:textId="76B1A804" w:rsidR="00543592" w:rsidRDefault="000605D9" w:rsidP="00543592">
      <w:r>
        <w:lastRenderedPageBreak/>
        <w:t>NGOs and individuals p</w:t>
      </w:r>
      <w:r w:rsidR="00543592">
        <w:t>rovide expert knowledge and experience to governments, bringing new ideas to the table. They may have better technical skills than politicians and the capacity to respond more quickly to fast-changing events and data.</w:t>
      </w:r>
    </w:p>
    <w:p w14:paraId="18879525" w14:textId="77777777" w:rsidR="0009667C" w:rsidRDefault="0009667C" w:rsidP="00543592"/>
    <w:p w14:paraId="1D856E18" w14:textId="41919371" w:rsidR="0009667C" w:rsidRDefault="0009667C" w:rsidP="0009667C">
      <w:r>
        <w:t>They also have a role in influencing the general public through campaigns to raise awareness and mobilise them to act, such as using petitions or public protest. This participation puts pressure on governments or corporations to change behaviour. Participation is needed by governments to lend legitimacy to their actions, so large scale participation on an issue can often (but not always) strengthen a government’s hand or even change its direction.</w:t>
      </w:r>
    </w:p>
    <w:p w14:paraId="09F7A0E5" w14:textId="7BE417B4" w:rsidR="0009667C" w:rsidRDefault="0009667C" w:rsidP="0009667C"/>
    <w:p w14:paraId="5A1FE426" w14:textId="0C30D435" w:rsidR="0009667C" w:rsidRDefault="0009667C" w:rsidP="0009667C">
      <w:r>
        <w:t>Individuals can change their thinking and behaviour more quickly than a group or an institution. It is in this way that an individual can challenge old modes of thinking or respond more quickly to change. Some have taken on the role of warning others of a new threat before it is widely understood. People may identify risks at a time when they are not known, and thereby make a difference by challenging the prevailing view of the time. However, while individuals have ideas and a drive to make things happen, they need movements and organisations around them to become influential. In this way, NGOs can help to extend the reach and impact of individuals in civil society, assisted by engagement with the media.</w:t>
      </w:r>
    </w:p>
    <w:p w14:paraId="28028F74" w14:textId="47EC5697" w:rsidR="00543592" w:rsidRDefault="00543592" w:rsidP="00543592"/>
    <w:p w14:paraId="6ED6222B" w14:textId="06F2D730" w:rsidR="00D367C7" w:rsidRDefault="00D367C7" w:rsidP="00D367C7">
      <w:r>
        <w:t xml:space="preserve">Rachel Carson, in her book Silent Spring, warned of the dangers of DDT on wildlife in water. While she was not the only person to be raising concerns about DDT at the time, her writing successfully reached a wide audience and she is credited with kick-starting an environmental movement that put pressure on the government to introduce pesticide bans. Carson drew on case studies and data already available in the scientific community, but collated them in a way that was engaging and accessible to the general public. She was not an environmental scientist herself (although she had a </w:t>
      </w:r>
      <w:proofErr w:type="spellStart"/>
      <w:r>
        <w:t>Masters</w:t>
      </w:r>
      <w:proofErr w:type="spellEnd"/>
      <w:r>
        <w:t xml:space="preserve"> degree in science and her background was in science writing), but she was a world-famous author with an established audience, who bridged the gap between science and the public in a way that kicked off wide public participation in the issues.</w:t>
      </w:r>
    </w:p>
    <w:p w14:paraId="2D361246" w14:textId="0E67C600" w:rsidR="00D367C7" w:rsidRDefault="00D367C7" w:rsidP="00D367C7"/>
    <w:p w14:paraId="57257CDE" w14:textId="08D22062" w:rsidR="00543592" w:rsidRDefault="00D367C7" w:rsidP="00543592">
      <w:r>
        <w:t xml:space="preserve">Carson was able to have influence on people by appealing to their moral sensibilities and using narrative to evoke an emotional reaction about nature in a way that pure scientific papers were unable to do. However, Carson was subject to vicious personal attacks and criticisms for taking a soft approach to science. Her influence as an individual was entirely dependent on her audience, which attention gave her access to politicians – she gave testimony directly to a Senate subcommittee. </w:t>
      </w:r>
    </w:p>
    <w:p w14:paraId="29F5D182" w14:textId="77777777" w:rsidR="00543592" w:rsidRDefault="00543592" w:rsidP="00543592"/>
    <w:p w14:paraId="10DA78EB" w14:textId="792A1F56" w:rsidR="00543592" w:rsidRDefault="00543592" w:rsidP="00543592">
      <w:r>
        <w:t>2. Implementation of policy objectives</w:t>
      </w:r>
    </w:p>
    <w:p w14:paraId="2591D703" w14:textId="77777777" w:rsidR="00D367C7" w:rsidRDefault="00D367C7" w:rsidP="00543592"/>
    <w:p w14:paraId="427BF672" w14:textId="7EA1B1DF" w:rsidR="00D367C7" w:rsidRDefault="00543592" w:rsidP="00543592">
      <w:r>
        <w:t xml:space="preserve">Globalisation challenges the ability of national governments to act effectively, as many environmental issues cross borders. Conversely, limited resources may affect their ability to manage issues on a very local scale. NGOs </w:t>
      </w:r>
      <w:r w:rsidR="00D367C7">
        <w:t xml:space="preserve">and civil society </w:t>
      </w:r>
      <w:r>
        <w:t xml:space="preserve">can be partners </w:t>
      </w:r>
      <w:r w:rsidR="00D367C7">
        <w:t>at all levels, from</w:t>
      </w:r>
      <w:r>
        <w:t xml:space="preserve"> international collaboration </w:t>
      </w:r>
      <w:r w:rsidR="00D367C7">
        <w:t xml:space="preserve">(such as Conservation International, which </w:t>
      </w:r>
      <w:r w:rsidR="00915EAC">
        <w:t>supports the creation and management of protection areas</w:t>
      </w:r>
      <w:r w:rsidR="00D367C7">
        <w:t xml:space="preserve">) </w:t>
      </w:r>
      <w:r>
        <w:t>as well as filling the gap at a local level</w:t>
      </w:r>
      <w:r w:rsidR="00D367C7">
        <w:t xml:space="preserve"> (such as the South </w:t>
      </w:r>
      <w:r w:rsidR="00D367C7">
        <w:lastRenderedPageBreak/>
        <w:t>Wales Wildlife Trust</w:t>
      </w:r>
      <w:r w:rsidR="00915EAC">
        <w:t>, which manages nature reserves and helps to educate the public on local conservation issues</w:t>
      </w:r>
      <w:r w:rsidR="00D367C7">
        <w:t>)</w:t>
      </w:r>
      <w:r>
        <w:t>.</w:t>
      </w:r>
    </w:p>
    <w:p w14:paraId="262F21A3" w14:textId="77777777" w:rsidR="00D367C7" w:rsidRDefault="00D367C7" w:rsidP="00543592"/>
    <w:p w14:paraId="12532D57" w14:textId="4774E909" w:rsidR="00543592" w:rsidRDefault="00543592" w:rsidP="00543592">
      <w:r>
        <w:t>However, this may arguably encourage a shift away from public institutions (which, for all their faults, have a democratic and accountable basis) to market solutions, albeit not-for-profit ones</w:t>
      </w:r>
      <w:r w:rsidR="00D367C7">
        <w:t>, which in turn takes</w:t>
      </w:r>
      <w:r>
        <w:t xml:space="preserve"> power away from citizens, who have a say in their government, </w:t>
      </w:r>
      <w:r w:rsidR="00D367C7">
        <w:t>and grants</w:t>
      </w:r>
      <w:r>
        <w:t xml:space="preserve"> private power </w:t>
      </w:r>
      <w:r w:rsidR="00D367C7">
        <w:t>t</w:t>
      </w:r>
      <w:r w:rsidR="00915EAC">
        <w:t>o</w:t>
      </w:r>
      <w:r>
        <w:t xml:space="preserve"> organisations. On an international level this has particularly strong repercussions for poorer countries, whose governments may have fewer resources to employ in protecting their natural resources than international, well-funded NGOs such as the World Wildlife Fund. </w:t>
      </w:r>
    </w:p>
    <w:p w14:paraId="6B1CDEDA" w14:textId="4D9E3034" w:rsidR="00915EAC" w:rsidRDefault="00915EAC" w:rsidP="00543592"/>
    <w:p w14:paraId="48AC2105" w14:textId="69B62226" w:rsidR="00915EAC" w:rsidRDefault="00915EAC" w:rsidP="00543592">
      <w:r>
        <w:t>On the other hand, their role is unlikely to diminish because of the scale in effort required to protect nature and tackle climate change. It is unlikely to be possible for governments at either international, national or local level to have nearly enough resources to apply towards all of their stated environmental objectives.</w:t>
      </w:r>
    </w:p>
    <w:p w14:paraId="2796C350" w14:textId="5DCFAF19" w:rsidR="00543592" w:rsidRDefault="00543592" w:rsidP="00543592"/>
    <w:p w14:paraId="037D4686" w14:textId="09CEEA18" w:rsidR="00543592" w:rsidRDefault="00543592" w:rsidP="00543592">
      <w:r>
        <w:t>3. Assessment and monitoring</w:t>
      </w:r>
    </w:p>
    <w:p w14:paraId="61F742BB" w14:textId="65C7D99F" w:rsidR="00543592" w:rsidRDefault="00543592" w:rsidP="00543592"/>
    <w:p w14:paraId="6C2A6304" w14:textId="045F4479" w:rsidR="00543592" w:rsidRDefault="00915EAC" w:rsidP="00543592">
      <w:pPr>
        <w:pStyle w:val="ListParagraph"/>
        <w:ind w:left="0"/>
      </w:pPr>
      <w:r>
        <w:t xml:space="preserve">NGOs and individual citizens can improve data collection, which in turn helps with policy formation and also acts as an enforcement tool to ensure that environmental obligations are being met. For </w:t>
      </w:r>
      <w:proofErr w:type="gramStart"/>
      <w:r>
        <w:t>example</w:t>
      </w:r>
      <w:proofErr w:type="gramEnd"/>
      <w:r>
        <w:t xml:space="preserve"> the International Union for Conservation of Nature (IUCN) </w:t>
      </w:r>
      <w:r w:rsidR="00543592">
        <w:t>produces accurate up to date research on conservation, including the conservation status of thousands of species on its “Red List”.</w:t>
      </w:r>
      <w:r>
        <w:t xml:space="preserve"> Individuals that are not trained scientists can also get involved through citizen science, collecting or managing scientific data.</w:t>
      </w:r>
    </w:p>
    <w:p w14:paraId="52F98D77" w14:textId="77777777" w:rsidR="00915EAC" w:rsidRDefault="00915EAC" w:rsidP="00543592">
      <w:pPr>
        <w:pStyle w:val="ListParagraph"/>
        <w:ind w:left="0"/>
      </w:pPr>
    </w:p>
    <w:p w14:paraId="312579BB" w14:textId="720A15FD" w:rsidR="00543592" w:rsidRDefault="00543592" w:rsidP="00543592">
      <w:pPr>
        <w:pStyle w:val="ListParagraph"/>
        <w:ind w:left="0"/>
      </w:pPr>
      <w:r>
        <w:t xml:space="preserve">The Zoological Society of London </w:t>
      </w:r>
      <w:r w:rsidR="00915EAC">
        <w:t xml:space="preserve">(ZSL) is an NGO that </w:t>
      </w:r>
      <w:r>
        <w:t>manages numerous monitoring programmes around the UK and internationally. For example, they complete annual population surveys of seals in the Thames estuary. By consistently conducting annual surveys, they have buil</w:t>
      </w:r>
      <w:r w:rsidR="00915EAC">
        <w:t>t</w:t>
      </w:r>
      <w:r>
        <w:t xml:space="preserve"> up important maps of habitats. They have also encouraged public participation in marine mammal sightings, increasing the amount of data available to decision-makers. The charity feeds into a working group that includes government agencies and other NGOs, which uses the monitoring data to formulate habitat management plans for the region.</w:t>
      </w:r>
    </w:p>
    <w:p w14:paraId="458F817D" w14:textId="77777777" w:rsidR="00915EAC" w:rsidRDefault="00915EAC" w:rsidP="00543592">
      <w:pPr>
        <w:pStyle w:val="ListParagraph"/>
        <w:ind w:left="0"/>
      </w:pPr>
    </w:p>
    <w:p w14:paraId="05BBB65B" w14:textId="07FA8B0B" w:rsidR="00543592" w:rsidRDefault="00543592" w:rsidP="00543592">
      <w:pPr>
        <w:pStyle w:val="ListParagraph"/>
        <w:ind w:left="0"/>
      </w:pPr>
      <w:r>
        <w:t>An advantage here is the stability and consistency of the effort. In contrast to a one-off consultation or survey, NGOs can manage monitoring efforts year on year, which presents a much more accurate picture of what is happening in the environment. This is the case so long as the NGO is sustainable – i.e. it does not collapse because of management problems or lack of finance.</w:t>
      </w:r>
    </w:p>
    <w:p w14:paraId="31B4C97D" w14:textId="77777777" w:rsidR="00915EAC" w:rsidRDefault="00915EAC" w:rsidP="00543592">
      <w:pPr>
        <w:pStyle w:val="ListParagraph"/>
        <w:ind w:left="0"/>
      </w:pPr>
    </w:p>
    <w:p w14:paraId="0D4F761C" w14:textId="77777777" w:rsidR="00543592" w:rsidRDefault="00543592" w:rsidP="00543592">
      <w:pPr>
        <w:pStyle w:val="ListParagraph"/>
        <w:ind w:left="0"/>
      </w:pPr>
      <w:r>
        <w:t>Where ZSL has been successful is the coordination of its monitoring efforts with decision-makers. This coordination is important, as otherwise painstakingly collected monitoring data could well come to nothing if it is not received by or understood by the relevant decision-makers. The proper sharing of knowledge is therefore important to making the collection of information by NGOs effective.</w:t>
      </w:r>
    </w:p>
    <w:p w14:paraId="3C72DABA" w14:textId="77777777" w:rsidR="00543592" w:rsidRDefault="00543592" w:rsidP="00543592">
      <w:pPr>
        <w:pStyle w:val="ListParagraph"/>
        <w:ind w:left="0"/>
      </w:pPr>
    </w:p>
    <w:p w14:paraId="34D08C10" w14:textId="3F9A149C" w:rsidR="00543592" w:rsidRDefault="00543592" w:rsidP="00543592"/>
    <w:p w14:paraId="15157380" w14:textId="72FCAC45" w:rsidR="00543592" w:rsidRDefault="00543592" w:rsidP="00543592"/>
    <w:p w14:paraId="6269CACD" w14:textId="17594624" w:rsidR="00543592" w:rsidRDefault="00543592" w:rsidP="00543592">
      <w:r>
        <w:t>4. Advocacy</w:t>
      </w:r>
    </w:p>
    <w:p w14:paraId="56E4856E" w14:textId="7A6AD401" w:rsidR="00543592" w:rsidRDefault="00543592" w:rsidP="00543592"/>
    <w:p w14:paraId="6E0C568D" w14:textId="5F8D9E0A" w:rsidR="00915EAC" w:rsidRDefault="00915EAC" w:rsidP="00543592">
      <w:r>
        <w:t xml:space="preserve">Individuals that are passionate about a subject can be a powerful force in making things happen in conservation. Wangari Maathai </w:t>
      </w:r>
      <w:r w:rsidR="00C831CB">
        <w:t>played a major role in the success of the Green Belt Movement by personally advocating on national and international forums for the project.</w:t>
      </w:r>
    </w:p>
    <w:p w14:paraId="3451AD73" w14:textId="77777777" w:rsidR="00915EAC" w:rsidRDefault="00915EAC" w:rsidP="00543592"/>
    <w:p w14:paraId="27B17CBF" w14:textId="6E654743" w:rsidR="00543592" w:rsidRDefault="00543592" w:rsidP="00543592">
      <w:r>
        <w:t>NGOs can help vocalize the interests of persons not well-represented in policymaking.</w:t>
      </w:r>
      <w:r w:rsidR="00C831CB">
        <w:t xml:space="preserve"> </w:t>
      </w:r>
      <w:r w:rsidR="00C831CB">
        <w:t>Frequently environmental issues disproportionately affect marginalised people, and NGOs have sought to advocate on their behalf.</w:t>
      </w:r>
      <w:r w:rsidR="00C831CB">
        <w:t xml:space="preserve"> For example, Oxfam lobbies for environmental justice for people in poorer countries that are facing problems caused by climate change.</w:t>
      </w:r>
      <w:r>
        <w:t xml:space="preserve"> </w:t>
      </w:r>
      <w:r w:rsidR="00C831CB">
        <w:t>NGOs can</w:t>
      </w:r>
      <w:r>
        <w:t xml:space="preserve"> represent diverse interests of stakeholders, whose voice might otherwise not be heard in the context of decision-making. </w:t>
      </w:r>
    </w:p>
    <w:p w14:paraId="54961B30" w14:textId="77777777" w:rsidR="00543592" w:rsidRDefault="00543592" w:rsidP="00543592"/>
    <w:p w14:paraId="12FC636C" w14:textId="2D3C563C" w:rsidR="00543592" w:rsidRDefault="00543592" w:rsidP="00614DC6">
      <w:r>
        <w:t xml:space="preserve">However, this raises the question whether there has been any sort of democratic process or consultation whereby such marginalised people have a say in who represents them in decision-making forums. For example, there has been criticism </w:t>
      </w:r>
      <w:r w:rsidR="00915EAC">
        <w:t xml:space="preserve">of Extinction Rebellion </w:t>
      </w:r>
      <w:r>
        <w:t>that they lack diversity and in fact are disproportionately white and middle class.</w:t>
      </w:r>
    </w:p>
    <w:p w14:paraId="14CC1EBF" w14:textId="77777777" w:rsidR="000605D9" w:rsidRDefault="000605D9" w:rsidP="000605D9"/>
    <w:p w14:paraId="2A369399" w14:textId="77777777" w:rsidR="000605D9" w:rsidRDefault="000605D9" w:rsidP="000605D9">
      <w:r>
        <w:t>Conclusion</w:t>
      </w:r>
    </w:p>
    <w:p w14:paraId="5F43C23B" w14:textId="77777777" w:rsidR="000605D9" w:rsidRDefault="000605D9" w:rsidP="000605D9"/>
    <w:p w14:paraId="181B3BF0" w14:textId="5C9A0B95" w:rsidR="000605D9" w:rsidRDefault="000605D9" w:rsidP="000605D9">
      <w:r>
        <w:t xml:space="preserve">As opposed to governments, NGOs and individuals usually have much more limited resources, both in funding and people-power. This often makes them more efficient in what they are able to achieve on limited budgets, but their impact may be stymied. Their actions may also lack the broad understanding or knowledge that may be accessible to governments. </w:t>
      </w:r>
    </w:p>
    <w:p w14:paraId="44E31F31" w14:textId="77777777" w:rsidR="000605D9" w:rsidRDefault="000605D9" w:rsidP="000605D9"/>
    <w:p w14:paraId="23F17048" w14:textId="5FF61E96" w:rsidR="000605D9" w:rsidRDefault="000605D9" w:rsidP="000605D9">
      <w:r>
        <w:t xml:space="preserve">As private organisations, there is arguably less transparency in NGOs than in the public sector. Their vision and purpose </w:t>
      </w:r>
      <w:proofErr w:type="gramStart"/>
      <w:r>
        <w:t>does</w:t>
      </w:r>
      <w:proofErr w:type="gramEnd"/>
      <w:r>
        <w:t xml:space="preserve"> not have a basis in the democratic process on a public level (although there may have been discussion within the membership organisation). While this makes them a flexible, responsive tool, it also means that they are less transparent as a whole. While there are legal routes to obtaining information about public bodies, who often have obligation to report and monitor, this is not the case for NGOs, who fall outside freedom of information remits. These concerns may be allayed by improving the transparency, participation and accountability of NGOs. By improving the representation within them and ensuring that best practice is rewarded. </w:t>
      </w:r>
    </w:p>
    <w:p w14:paraId="00003E88" w14:textId="246B994F" w:rsidR="000605D9" w:rsidRDefault="000605D9" w:rsidP="000605D9"/>
    <w:p w14:paraId="4EE5447D" w14:textId="57004073" w:rsidR="000605D9" w:rsidRDefault="000605D9" w:rsidP="000605D9">
      <w:r>
        <w:t>In summary, NGOs and individuals in civil society play a crucial role in shaping government objectives in environmental conservation and in helping to implement those objectives. Often their apparent weaknesses, in resources and size, make them able to adapt and innovate in a way that is not possible for governments, but which is very important in a fast-changing world that demands quick and effective action on the environment.</w:t>
      </w:r>
    </w:p>
    <w:p w14:paraId="329D5201" w14:textId="77777777" w:rsidR="00E209C6" w:rsidRDefault="00E209C6"/>
    <w:p w14:paraId="72B09450" w14:textId="2693D800" w:rsidR="006A3387" w:rsidRPr="006A3387" w:rsidRDefault="006A3387">
      <w:pPr>
        <w:rPr>
          <w:b/>
          <w:bCs/>
        </w:rPr>
      </w:pPr>
      <w:r w:rsidRPr="006A3387">
        <w:rPr>
          <w:b/>
          <w:bCs/>
        </w:rPr>
        <w:lastRenderedPageBreak/>
        <w:t>SECTION C</w:t>
      </w:r>
    </w:p>
    <w:p w14:paraId="10D232AC" w14:textId="6AEEAC93" w:rsidR="006A3387" w:rsidRPr="006A3387" w:rsidRDefault="006A3387">
      <w:pPr>
        <w:rPr>
          <w:b/>
          <w:bCs/>
        </w:rPr>
      </w:pPr>
    </w:p>
    <w:p w14:paraId="615F772A" w14:textId="2FB3C2BF" w:rsidR="006A3387" w:rsidRPr="006A3387" w:rsidRDefault="006A3387">
      <w:pPr>
        <w:rPr>
          <w:b/>
          <w:bCs/>
        </w:rPr>
      </w:pPr>
      <w:r w:rsidRPr="006A3387">
        <w:rPr>
          <w:b/>
          <w:bCs/>
        </w:rPr>
        <w:t>8. Describe the development of EU Environmental Action Programmes and consider how BREXIT will influence environmental management in the UK?</w:t>
      </w:r>
    </w:p>
    <w:p w14:paraId="49818D24" w14:textId="77777777" w:rsidR="006A3387" w:rsidRDefault="006A3387"/>
    <w:p w14:paraId="7DE9DB64" w14:textId="4863095E" w:rsidR="00AC28ED" w:rsidRDefault="00AC28ED" w:rsidP="00BE6E62">
      <w:r>
        <w:t xml:space="preserve">The main source of European Union (EU) environment policy has been overarching environment action programmes (EAPs) that set out the priority objectives in environmental policy for at least the next parliamentary term. EAPs are discussed by and adopted by the European Parliament, containing members democratically elected in member states (MS). </w:t>
      </w:r>
    </w:p>
    <w:p w14:paraId="02CEFFDE" w14:textId="77777777" w:rsidR="00AC28ED" w:rsidRDefault="00AC28ED" w:rsidP="00BE6E62"/>
    <w:p w14:paraId="393AECC6" w14:textId="71089A6B" w:rsidR="00BE6E62" w:rsidRDefault="00BE6E62" w:rsidP="00BE6E62">
      <w:r>
        <w:t>In the 20</w:t>
      </w:r>
      <w:r w:rsidRPr="00BE6E62">
        <w:rPr>
          <w:vertAlign w:val="superscript"/>
        </w:rPr>
        <w:t>th</w:t>
      </w:r>
      <w:r>
        <w:t xml:space="preserve"> Century, the EU concentrated on individual issues, such as acid rain or pollution</w:t>
      </w:r>
      <w:r w:rsidR="00AC28ED">
        <w:t>, in the</w:t>
      </w:r>
      <w:r>
        <w:t xml:space="preserve"> first to fifth EAPs. However, it was recognised that dealing with these issues in silos was not as effective as seeing them as interrelated. The environment continued to depreciate during this time and scientists were warning that the outlook for climate change was worsening. Against that background, in 2002, the emphasis was shifted to looking at overarching issues and </w:t>
      </w:r>
      <w:r w:rsidR="00157294">
        <w:t>taking a long-term approach</w:t>
      </w:r>
      <w:r>
        <w:t xml:space="preserve">. </w:t>
      </w:r>
      <w:r w:rsidR="00157294">
        <w:t xml:space="preserve">EAP 6 also looked to integrate the environment in other policy areas, so that it was no longer siloed, and in the remit of non-governmental institutions, replacing a top-down approach from central government. There were more tools than just legislation: economic instruments to incentivise changes in behaviour from business and consumers, together with educational and research tools that would help solve problems, and green investment programmes were introduced. This broader approach looked at setting objectives and principles within the priority areas of climate change, nature/biodiversity, health and quality of life, and natural resources and waste. EAP 7 was designed to run from 2013 until 2020. The focus here was on protecting “natural capital” and transition to an energy-efficient and low carbon economy. The background for the development of the EAP was the slow recovery from a major financial crisis in 2008, leading to concerns that economic competitiveness would slow down action from </w:t>
      </w:r>
      <w:r w:rsidR="00AC28ED">
        <w:t>MS</w:t>
      </w:r>
      <w:r w:rsidR="00157294">
        <w:t xml:space="preserve"> at a time when ambition was needed. The </w:t>
      </w:r>
      <w:r w:rsidR="00AC28ED">
        <w:t xml:space="preserve">EAP was therefore </w:t>
      </w:r>
      <w:proofErr w:type="spellStart"/>
      <w:r w:rsidR="00AC28ED">
        <w:t>partly</w:t>
      </w:r>
      <w:proofErr w:type="spellEnd"/>
      <w:r w:rsidR="00AC28ED">
        <w:t xml:space="preserve"> framed in terms of economic benefit and competitiveness. In alignment with international environmental talks, the EAP also set out a long-term direction that looked towards 2050 and the targets that would ultimately be contained in the Paris Accord. In this way, the EU ensured that it helped member states to achieve their international obligations at the same time as maintaining global competitiveness and protecting its citizens.</w:t>
      </w:r>
    </w:p>
    <w:p w14:paraId="4DD6E8DB" w14:textId="77777777" w:rsidR="00BE6E62" w:rsidRDefault="00BE6E62" w:rsidP="00BE6E62"/>
    <w:p w14:paraId="59AC2AD6" w14:textId="255F28C0" w:rsidR="00BE6E62" w:rsidRDefault="00BE6E62" w:rsidP="00BE6E62">
      <w:r>
        <w:t>The proposal for an 8</w:t>
      </w:r>
      <w:r w:rsidRPr="00BE6E62">
        <w:rPr>
          <w:vertAlign w:val="superscript"/>
        </w:rPr>
        <w:t>th</w:t>
      </w:r>
      <w:r>
        <w:t xml:space="preserve"> EAP was published on 14 October 2020</w:t>
      </w:r>
      <w:r w:rsidR="00AC28ED">
        <w:t xml:space="preserve"> and this EAP will guide policy on the environment in the EU (and probably in the UK) until 2030. The EAP will support the objectives of the European Green Deal and is aimed at achieving EU emissions targets, strengthening resilience, enhancing biodiversity and achieving zero-pollution.</w:t>
      </w:r>
    </w:p>
    <w:p w14:paraId="028D7060" w14:textId="77777777" w:rsidR="00BE6E62" w:rsidRDefault="00BE6E62"/>
    <w:p w14:paraId="53E05A32" w14:textId="64F8F043" w:rsidR="00CC185D" w:rsidRDefault="00E72E59">
      <w:r>
        <w:t>Until 31 January 2020, the UK, as a member state of the EU was subject to the legislative framework set out in EU Regulations and Directives and the jurisdiction of the European Court of Justice (ECJ). Outside the EU, the UK is no longer subject to the EU Regulations and will no longer be obliged to import Directives into UK law.</w:t>
      </w:r>
    </w:p>
    <w:p w14:paraId="5B12328D" w14:textId="642A1FD1" w:rsidR="00E72E59" w:rsidRDefault="00E72E59"/>
    <w:p w14:paraId="3F13718A" w14:textId="5D708D76" w:rsidR="00E72E59" w:rsidRDefault="00E72E59">
      <w:r>
        <w:lastRenderedPageBreak/>
        <w:t>During the course of the UK’s membership of the EU, most environmental legislation and protection was derived from the EU’s institutions and legislature. This included regulatory standards (such as the Waste Framework Directive) to monitoring obligations to protect species (such as the Habitats Directive and the Birds Directive). The current government has expressed a general commitment to protecting the environment but there has been concern that this commitment may be watered down by other priorities and national legislation does not provide as strong a framework for environmental conservation.</w:t>
      </w:r>
    </w:p>
    <w:p w14:paraId="41EFC4C7" w14:textId="265CE920" w:rsidR="00E72E59" w:rsidRDefault="00E72E59"/>
    <w:p w14:paraId="55683A81" w14:textId="67C310D1" w:rsidR="00E72E59" w:rsidRDefault="00E72E59">
      <w:r>
        <w:t xml:space="preserve">I will look at four areas to assess how the </w:t>
      </w:r>
      <w:r w:rsidR="00CA3D0C">
        <w:t>position post-Brexit is different from membership of the EU and how that will affect environmental governance in the UK: 1. environmental protections, 2. monitoring and enforcement, 3. collaboration and transparency, and 4. agriculture and fishing.</w:t>
      </w:r>
    </w:p>
    <w:p w14:paraId="416913BE" w14:textId="7727367D" w:rsidR="00CA3D0C" w:rsidRDefault="00CA3D0C"/>
    <w:p w14:paraId="36624AC7" w14:textId="4839FC26" w:rsidR="00CA3D0C" w:rsidRDefault="00CA3D0C">
      <w:r>
        <w:t>1. Environmental protections</w:t>
      </w:r>
    </w:p>
    <w:p w14:paraId="738B2BDF" w14:textId="3D1F03B2" w:rsidR="00CA3D0C" w:rsidRDefault="00CA3D0C"/>
    <w:p w14:paraId="0AA5FF62" w14:textId="23175D15" w:rsidR="00CA3D0C" w:rsidRDefault="00CA3D0C" w:rsidP="00CA3D0C">
      <w:r>
        <w:t>It is important to note first that EU Directives are not directly applicable in MS; they must be transposed by domestic legislation. For example, the Birds Directive itself does not have legal effect in the UK, instead the definitions and obligations in so far as they relate to the UK were transposed into Part 1 of the Wildlife and Countryside Act 1981.</w:t>
      </w:r>
    </w:p>
    <w:p w14:paraId="2BF373BB" w14:textId="77777777" w:rsidR="00CA3D0C" w:rsidRDefault="00CA3D0C" w:rsidP="00CA3D0C"/>
    <w:p w14:paraId="29E2ADC8" w14:textId="7D6BE2D9" w:rsidR="00CA3D0C" w:rsidRDefault="00CA3D0C" w:rsidP="00CA3D0C">
      <w:r>
        <w:t>For this reason, on exit from the EU, much of the environmental law that had EU origin will continue to be in force. However, certain of the obligations will cease to have effect, e.g. the monitoring and enforcement provisions, which were designed to refer to EU bodies, will need instead to dovetail with national institutions (which I will discuss later).</w:t>
      </w:r>
    </w:p>
    <w:p w14:paraId="20E3E2F9" w14:textId="77777777" w:rsidR="00CA3D0C" w:rsidRDefault="00CA3D0C" w:rsidP="00CA3D0C"/>
    <w:p w14:paraId="5F03EA15" w14:textId="32FCC5A8" w:rsidR="00801295" w:rsidRDefault="00CA3D0C" w:rsidP="00801295">
      <w:r>
        <w:t xml:space="preserve">In general terms the </w:t>
      </w:r>
      <w:r w:rsidRPr="00CA3D0C">
        <w:t>EU-UK Trade and Cooperation Agreement</w:t>
      </w:r>
      <w:r>
        <w:t xml:space="preserve"> (TCA) sets out level playing field provisions for</w:t>
      </w:r>
      <w:r w:rsidR="00801295">
        <w:t xml:space="preserve"> environmental protections (including emissions, air quality, biodiversity, waste, habitat protection, pollution and agricultural standards)</w:t>
      </w:r>
      <w:r>
        <w:t xml:space="preserve">, under which both parties have the right to determine their own laws subject to the agreement’s constraints, but both parties must maintain existing levels of environmental protection, including those </w:t>
      </w:r>
      <w:r w:rsidR="00801295">
        <w:t xml:space="preserve">to tackle climate change (Article 7.2, TCA). </w:t>
      </w:r>
      <w:r>
        <w:t xml:space="preserve">The UK and the EU may establish their own levels of protection but neither may lower the level of protection below that already in place </w:t>
      </w:r>
      <w:r w:rsidRPr="00801295">
        <w:rPr>
          <w:b/>
          <w:bCs/>
          <w:u w:val="single"/>
        </w:rPr>
        <w:t>if that would impact trade or investment</w:t>
      </w:r>
      <w:r w:rsidR="00801295" w:rsidRPr="00801295">
        <w:rPr>
          <w:b/>
          <w:bCs/>
        </w:rPr>
        <w:t xml:space="preserve"> </w:t>
      </w:r>
      <w:r w:rsidR="00801295" w:rsidRPr="00801295">
        <w:t>(Article 7.2.2, TCA)</w:t>
      </w:r>
      <w:r w:rsidRPr="00801295">
        <w:t xml:space="preserve">. </w:t>
      </w:r>
    </w:p>
    <w:p w14:paraId="63FC05FF" w14:textId="77777777" w:rsidR="00801295" w:rsidRDefault="00801295" w:rsidP="00801295"/>
    <w:p w14:paraId="49355350" w14:textId="4157C8B3" w:rsidR="00CA3D0C" w:rsidRDefault="00801295" w:rsidP="00801295">
      <w:r>
        <w:t>In effect, if either the UK or EU wishes to claim that the other party has weakened its environmental protections</w:t>
      </w:r>
      <w:r w:rsidR="009C40DA">
        <w:t xml:space="preserve">, it must prove that its trade or investment has been negatively affected. </w:t>
      </w:r>
      <w:r>
        <w:t xml:space="preserve"> </w:t>
      </w:r>
      <w:r w:rsidR="009C40DA">
        <w:t xml:space="preserve">However, it may be </w:t>
      </w:r>
      <w:r w:rsidR="00CA3D0C">
        <w:t xml:space="preserve">difficult to prove that trade or investment is affected by protections being lowered (for example, if the UK removes species protection for the sand lizard (Lacerta </w:t>
      </w:r>
      <w:proofErr w:type="spellStart"/>
      <w:r w:rsidR="00CA3D0C">
        <w:t>agilis</w:t>
      </w:r>
      <w:proofErr w:type="spellEnd"/>
      <w:r w:rsidR="00CA3D0C">
        <w:t xml:space="preserve">), which is otherwise protected under the Habitats </w:t>
      </w:r>
      <w:r w:rsidR="009C40DA">
        <w:t>D</w:t>
      </w:r>
      <w:r w:rsidR="00CA3D0C">
        <w:t>irective, how might the EU be able to prove that it impacts trade or investment</w:t>
      </w:r>
      <w:r w:rsidR="009C40DA">
        <w:t>?</w:t>
      </w:r>
      <w:r w:rsidR="00CA3D0C">
        <w:t xml:space="preserve"> It is unlikely therefore that the EU trade agreement will in practice prevent the UK from weakening environmental policies in the future. It is noteworthy that the additional wording was proposed by the UK, not the EU</w:t>
      </w:r>
      <w:r w:rsidR="009C40DA">
        <w:t xml:space="preserve">, which raises concerns that, despite its ostensible commitment to the environment, </w:t>
      </w:r>
      <w:r w:rsidR="00CA3D0C">
        <w:t>the UK government wants to have the freedom in future to weaken environmental protections.</w:t>
      </w:r>
    </w:p>
    <w:p w14:paraId="74FC2405" w14:textId="77777777" w:rsidR="009C40DA" w:rsidRDefault="009C40DA" w:rsidP="009C40DA"/>
    <w:p w14:paraId="66C2B3BF" w14:textId="2529CF3B" w:rsidR="00CA3D0C" w:rsidRDefault="009C40DA" w:rsidP="009C40DA">
      <w:r>
        <w:t xml:space="preserve">A recent example is the authorisation of a </w:t>
      </w:r>
      <w:r w:rsidRPr="009C40DA">
        <w:t>neonicotinoid</w:t>
      </w:r>
      <w:r>
        <w:t xml:space="preserve"> </w:t>
      </w:r>
      <w:r w:rsidR="00CA3D0C">
        <w:t>being introduced</w:t>
      </w:r>
      <w:r>
        <w:t xml:space="preserve"> for emergency use</w:t>
      </w:r>
      <w:r w:rsidR="00CA3D0C">
        <w:t xml:space="preserve">, despite </w:t>
      </w:r>
      <w:r>
        <w:t>a ban in the EU and a pledge by the UK government to uphold that ban in the UK. While some EU MS have also allowed similar use (and this is permitted within the relevant EU law), it is perhaps indicative that a mere pledge to keep to EU restrictions is not always enough protection in the long term.</w:t>
      </w:r>
    </w:p>
    <w:p w14:paraId="4FFFD489" w14:textId="24897E43" w:rsidR="009C40DA" w:rsidRDefault="009C40DA" w:rsidP="009C40DA"/>
    <w:p w14:paraId="30E52A5C" w14:textId="65433114" w:rsidR="009C40DA" w:rsidRDefault="009C40DA" w:rsidP="009C40DA">
      <w:r>
        <w:t>The key problem with environmental protections being contained in Acts of Parliament is that parliamentary sovereignty means that future governments may amend or repeal in full those Acts, and weaken the protections contained in them. We do not have a concept of entrenchment in UK law, even for constitutional law, so only intranational law would legally restrict a future government (or even the present government) from weakening environmental law. Although it is worth noting that they may be restricted politically from doing so.</w:t>
      </w:r>
    </w:p>
    <w:p w14:paraId="5DBEB3F7" w14:textId="780AF38D" w:rsidR="009C40DA" w:rsidRDefault="009C40DA" w:rsidP="009C40DA"/>
    <w:p w14:paraId="572E6CD8" w14:textId="362CFE6B" w:rsidR="009C40DA" w:rsidRDefault="009C40DA" w:rsidP="009C40DA">
      <w:r>
        <w:t>2. Monitoring and enforcement</w:t>
      </w:r>
    </w:p>
    <w:p w14:paraId="0D554FE4" w14:textId="77777777" w:rsidR="00C831CB" w:rsidRDefault="00C831CB" w:rsidP="009C40DA"/>
    <w:p w14:paraId="02C87F35" w14:textId="65C68E7D" w:rsidR="009C40DA" w:rsidRDefault="009C40DA" w:rsidP="009C40DA">
      <w:r>
        <w:t xml:space="preserve">Following Brexit, the ECJ no longer has jurisdiction in the UK, so there will no longer be the threat of legal action from the Commission for failing to meet legal duties set out in the directives. </w:t>
      </w:r>
    </w:p>
    <w:p w14:paraId="60C4CF5F" w14:textId="77777777" w:rsidR="009C40DA" w:rsidRDefault="009C40DA" w:rsidP="009C40DA"/>
    <w:p w14:paraId="238F0302" w14:textId="54F19C1D" w:rsidR="009C40DA" w:rsidRDefault="009C40DA" w:rsidP="009C40DA">
      <w:r>
        <w:t xml:space="preserve">The UK government has in some cases not been proactive in its </w:t>
      </w:r>
      <w:r w:rsidR="007D42F3">
        <w:t>action on the environment. For example, i</w:t>
      </w:r>
      <w:r>
        <w:t xml:space="preserve">n 2018, the </w:t>
      </w:r>
      <w:r w:rsidR="007D42F3">
        <w:t>ECJ</w:t>
      </w:r>
      <w:r>
        <w:t xml:space="preserve"> (on application by the European Commission) found that the UK had failed to fulfil its obligations under the Habitats Directive, because it had not established sufficient sites to protect the harbour porpoise</w:t>
      </w:r>
      <w:r w:rsidR="007D42F3">
        <w:t xml:space="preserve"> (</w:t>
      </w:r>
      <w:proofErr w:type="spellStart"/>
      <w:r w:rsidR="007D42F3">
        <w:t>Phocoena</w:t>
      </w:r>
      <w:proofErr w:type="spellEnd"/>
      <w:r w:rsidR="007D42F3">
        <w:t xml:space="preserve"> </w:t>
      </w:r>
      <w:proofErr w:type="spellStart"/>
      <w:r w:rsidR="007D42F3">
        <w:t>phocoena</w:t>
      </w:r>
      <w:proofErr w:type="spellEnd"/>
      <w:r w:rsidR="007D42F3">
        <w:t>), and it was only after this case was brought against the UK that they introduced special areas of conservation for that species.</w:t>
      </w:r>
    </w:p>
    <w:p w14:paraId="40732C2F" w14:textId="77777777" w:rsidR="009C40DA" w:rsidRDefault="009C40DA" w:rsidP="009C40DA"/>
    <w:p w14:paraId="2485BAA6" w14:textId="0671AFB9" w:rsidR="007D42F3" w:rsidRDefault="007D42F3" w:rsidP="007D42F3">
      <w:r>
        <w:t>The Environment Bill 2020 sets out how the UK is intending to replace the monitoring and enforcement role of the EU. These include long-term environmental targets, environmental improvement plans (EIPs), a policy statement on environmental principles, and the creation of an Office of Environmental Protection (OEP) in England.</w:t>
      </w:r>
    </w:p>
    <w:p w14:paraId="6698806B" w14:textId="71BB792D" w:rsidR="007D42F3" w:rsidRDefault="007D42F3" w:rsidP="009C40DA"/>
    <w:p w14:paraId="3D39514C" w14:textId="77777777" w:rsidR="007D42F3" w:rsidRDefault="007D42F3" w:rsidP="009C40DA">
      <w:r>
        <w:t>While this goes some way to delivering some of the existing protections and on the face of it evidences the current government’s desire to maintain existing environmental protections, the legal protections are not as strong and stable as they were under the EU, which makes them vulnerable to being weakened in the future, or at least, falling behind the EU’s standards.</w:t>
      </w:r>
    </w:p>
    <w:p w14:paraId="5F4EBDDC" w14:textId="77777777" w:rsidR="007D42F3" w:rsidRDefault="007D42F3" w:rsidP="009C40DA"/>
    <w:p w14:paraId="2DE10864" w14:textId="7CE7A3E9" w:rsidR="009C40DA" w:rsidRDefault="007D42F3" w:rsidP="009C40DA">
      <w:r>
        <w:t xml:space="preserve">The OEP will act as an independent domestic watchdog on the environment in England, which replaces some of the functions of the ECJ and the Commission. However, as a body appointed by and reporting to government, it is </w:t>
      </w:r>
      <w:r w:rsidR="009C40DA">
        <w:t>unlikely to be an adequate substitute to the threat of action from the EU</w:t>
      </w:r>
      <w:r>
        <w:t>. At any point, its funding could be withdrawn or it could be abolished entirely, which could suggest that it will shy away from being overly critical of the government. There is also limited deterrence to the government from judicial review fines, which simply return to the Treasury. It also ties up a court system that is already overstretched.</w:t>
      </w:r>
    </w:p>
    <w:p w14:paraId="2D0BBB79" w14:textId="77777777" w:rsidR="009C40DA" w:rsidRDefault="009C40DA" w:rsidP="009C40DA"/>
    <w:p w14:paraId="3623CDF3" w14:textId="38691487" w:rsidR="009C40DA" w:rsidRDefault="007D42F3" w:rsidP="009C40DA">
      <w:r>
        <w:t>3. Collaboration and transparency</w:t>
      </w:r>
    </w:p>
    <w:p w14:paraId="32454C38" w14:textId="2789DDA2" w:rsidR="007D42F3" w:rsidRDefault="007D42F3" w:rsidP="009C40DA"/>
    <w:p w14:paraId="3746D23F" w14:textId="53C49723" w:rsidR="007D42F3" w:rsidRDefault="007D42F3" w:rsidP="007D42F3">
      <w:r>
        <w:t xml:space="preserve">One of the key advantages of the EU was the ability to collaborate and coordinate on issues that were by their nature cross-boundary. In the context of the environment, pollution, migratory species and climate change all have effects that cross boundaries and demand international collaboration. After Brexit, the UK will no longer be part of the international forum provided by membership of the EU and that means that it will not be as able to collaborate in the formulation and implementation of environmental policy on an intranational scale. </w:t>
      </w:r>
    </w:p>
    <w:p w14:paraId="32FC83DE" w14:textId="77777777" w:rsidR="007D42F3" w:rsidRDefault="007D42F3" w:rsidP="007D42F3"/>
    <w:p w14:paraId="4BA036EE" w14:textId="3D1DF843" w:rsidR="007D42F3" w:rsidRDefault="007D42F3" w:rsidP="007D42F3">
      <w:r>
        <w:t xml:space="preserve">EU is more stable politically because of its constitution and size, so is able to think and act beyond </w:t>
      </w:r>
      <w:proofErr w:type="gramStart"/>
      <w:r>
        <w:t>4 or 5 year</w:t>
      </w:r>
      <w:proofErr w:type="gramEnd"/>
      <w:r>
        <w:t xml:space="preserve"> election cycles. It is also more sheltered from political pressure (for which it is frequently criticised). However, the environment demands long-term policy stability. Maintaining stability is important to ensure legal protections remain effective, as </w:t>
      </w:r>
      <w:proofErr w:type="gramStart"/>
      <w:r>
        <w:t>short term</w:t>
      </w:r>
      <w:proofErr w:type="gramEnd"/>
      <w:r>
        <w:t xml:space="preserve"> actions may have irreversible consequences.</w:t>
      </w:r>
    </w:p>
    <w:p w14:paraId="57E206A8" w14:textId="77777777" w:rsidR="00C831CB" w:rsidRDefault="00C831CB" w:rsidP="004A675A"/>
    <w:p w14:paraId="4F53D6E7" w14:textId="1CE6A8AF" w:rsidR="004A675A" w:rsidRDefault="004A675A" w:rsidP="004A675A">
      <w:r>
        <w:t>After Brexit, the UK will have a certain amount of alignment in standards due to level playing field provisions, however there will inevitably be some divergence. In addition, environmental policy is a devolved matter, so there may be further divergence even within the internal market. Wales has already adopted more ambitious policies and legislation going forward will be influenced by Well-being of Future Generations (Wales) Act 2015. Scotland and Wales have indicated that they will align their environmental policy with that of the EU going forward, so if there is any falling behind in England, there may be differences in protections across the border. As a consequence, while environmental policy in different parts of the UK is likely to move broadly in the same direction, it might be at slightly different paces and perhaps with different ambition depending on the political factors in play at the time.</w:t>
      </w:r>
    </w:p>
    <w:p w14:paraId="49FC4520" w14:textId="6DF4CAC4" w:rsidR="004A675A" w:rsidRDefault="004A675A" w:rsidP="004A675A"/>
    <w:p w14:paraId="7954556A" w14:textId="6D114766" w:rsidR="009C40DA" w:rsidRDefault="004A675A" w:rsidP="009C40DA">
      <w:r>
        <w:t>4. Agriculture and fishing</w:t>
      </w:r>
    </w:p>
    <w:p w14:paraId="4AECF337" w14:textId="7F3B52D4" w:rsidR="004A675A" w:rsidRDefault="004A675A" w:rsidP="009C40DA"/>
    <w:p w14:paraId="3613EBF4" w14:textId="3D502680" w:rsidR="004A675A" w:rsidRDefault="004A675A" w:rsidP="004A675A">
      <w:r>
        <w:t>Leaving the EU means that the UK will no longer be part of the Common Agricultural Policy (CAP), so it can take its own legislative approach to farming. Agricultural policy is devolved, so again, there may be different approaches between different countries.</w:t>
      </w:r>
    </w:p>
    <w:p w14:paraId="354FAD15" w14:textId="77777777" w:rsidR="004A675A" w:rsidRDefault="004A675A" w:rsidP="004A675A"/>
    <w:p w14:paraId="5E481566" w14:textId="132EF473" w:rsidR="004A675A" w:rsidRDefault="004A675A" w:rsidP="004A675A">
      <w:r>
        <w:t>The major change will be to the framework of subsidies to farmers, as leaving the CAP has allowed the UK to shift the support it provides from a £ per hectare approach to one that actively supports conservation and animal welfare. By 2028 all subsidies are to be directed towards “public goods”. The detail has not yet been published, but it is clear that the government intends that money is to go towards the protection of nature, biodiversity and air/water quality, as set out in Section 1 of the Agriculture Act 2020.</w:t>
      </w:r>
    </w:p>
    <w:p w14:paraId="0B64A1A5" w14:textId="2E99DD75" w:rsidR="004A675A" w:rsidRDefault="004A675A" w:rsidP="004A675A"/>
    <w:p w14:paraId="05FE0ACE" w14:textId="4E4D405F" w:rsidR="004A675A" w:rsidRDefault="004A675A" w:rsidP="004A675A">
      <w:r>
        <w:t xml:space="preserve">Many biodiversity and water quality issues stem from agricultural practices, and there are obvious improvements that can be made to address these e.g. soil run off prevented by better agricultural practice such as planting trees and hedgerows besides riverbanks. Improving </w:t>
      </w:r>
      <w:r>
        <w:lastRenderedPageBreak/>
        <w:t>sustainable approaches and increasing funding towards these improvements is therefore likely to be an effective tool.</w:t>
      </w:r>
    </w:p>
    <w:p w14:paraId="5FD192EA" w14:textId="77777777" w:rsidR="004A675A" w:rsidRDefault="004A675A" w:rsidP="004A675A"/>
    <w:p w14:paraId="69DD9CE7" w14:textId="0506F0C4" w:rsidR="00CA3D0C" w:rsidRDefault="00614DC6">
      <w:r>
        <w:t xml:space="preserve">The UK has now ceased to be a part of the Common Fisheries Policy (CFP), which governed quotas and other sustainability measures in EU waters. </w:t>
      </w:r>
      <w:r w:rsidR="004A675A">
        <w:t>The Fisheries Ac</w:t>
      </w:r>
      <w:r>
        <w:t xml:space="preserve">t 2020, introduced in part replacement of the CFP, does not contain specific measures on how sustainability will be achieved in UK seas, and if they are to be introduced, it will be in secondary legislation, yet to be published. </w:t>
      </w:r>
    </w:p>
    <w:p w14:paraId="4877A240" w14:textId="30983D74" w:rsidR="00614DC6" w:rsidRDefault="00614DC6"/>
    <w:p w14:paraId="5B7A5A90" w14:textId="75D0C1BA" w:rsidR="00614DC6" w:rsidRDefault="00614DC6"/>
    <w:sectPr w:rsidR="00614DC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A91D84"/>
    <w:multiLevelType w:val="hybridMultilevel"/>
    <w:tmpl w:val="3BA6D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BA57D9"/>
    <w:multiLevelType w:val="hybridMultilevel"/>
    <w:tmpl w:val="B88E8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FF4F8B"/>
    <w:multiLevelType w:val="hybridMultilevel"/>
    <w:tmpl w:val="6AFA8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4B09A8"/>
    <w:multiLevelType w:val="hybridMultilevel"/>
    <w:tmpl w:val="39DCF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8D7D0D"/>
    <w:multiLevelType w:val="hybridMultilevel"/>
    <w:tmpl w:val="5E405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730C30"/>
    <w:multiLevelType w:val="hybridMultilevel"/>
    <w:tmpl w:val="9E84C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705012"/>
    <w:multiLevelType w:val="hybridMultilevel"/>
    <w:tmpl w:val="02468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83243C"/>
    <w:multiLevelType w:val="hybridMultilevel"/>
    <w:tmpl w:val="9D321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4F1408"/>
    <w:multiLevelType w:val="hybridMultilevel"/>
    <w:tmpl w:val="7B862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9A0218"/>
    <w:multiLevelType w:val="hybridMultilevel"/>
    <w:tmpl w:val="19B0B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8"/>
  </w:num>
  <w:num w:numId="5">
    <w:abstractNumId w:val="6"/>
  </w:num>
  <w:num w:numId="6">
    <w:abstractNumId w:val="9"/>
  </w:num>
  <w:num w:numId="7">
    <w:abstractNumId w:val="1"/>
  </w:num>
  <w:num w:numId="8">
    <w:abstractNumId w:val="5"/>
  </w:num>
  <w:num w:numId="9">
    <w:abstractNumId w:val="0"/>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E59"/>
    <w:rsid w:val="000605D9"/>
    <w:rsid w:val="0009667C"/>
    <w:rsid w:val="00157294"/>
    <w:rsid w:val="00295AE3"/>
    <w:rsid w:val="002C3A1A"/>
    <w:rsid w:val="004834CE"/>
    <w:rsid w:val="004A675A"/>
    <w:rsid w:val="00543592"/>
    <w:rsid w:val="00614DC6"/>
    <w:rsid w:val="006A3387"/>
    <w:rsid w:val="007D42F3"/>
    <w:rsid w:val="00801295"/>
    <w:rsid w:val="00915EAC"/>
    <w:rsid w:val="0096748A"/>
    <w:rsid w:val="0097617D"/>
    <w:rsid w:val="009C40DA"/>
    <w:rsid w:val="00AC28ED"/>
    <w:rsid w:val="00BE6E62"/>
    <w:rsid w:val="00C831CB"/>
    <w:rsid w:val="00CA3D0C"/>
    <w:rsid w:val="00CC185D"/>
    <w:rsid w:val="00CF1944"/>
    <w:rsid w:val="00D367C7"/>
    <w:rsid w:val="00E209C6"/>
    <w:rsid w:val="00E72E59"/>
    <w:rsid w:val="00F60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41D83A"/>
  <w15:chartTrackingRefBased/>
  <w15:docId w15:val="{61C501FC-10D1-5F46-9C79-5CC0F920C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3D0C"/>
    <w:pPr>
      <w:ind w:left="720"/>
      <w:contextualSpacing/>
    </w:pPr>
  </w:style>
  <w:style w:type="table" w:styleId="TableGrid">
    <w:name w:val="Table Grid"/>
    <w:basedOn w:val="TableNormal"/>
    <w:uiPriority w:val="39"/>
    <w:rsid w:val="00CA3D0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A67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37918">
      <w:bodyDiv w:val="1"/>
      <w:marLeft w:val="0"/>
      <w:marRight w:val="0"/>
      <w:marTop w:val="0"/>
      <w:marBottom w:val="0"/>
      <w:divBdr>
        <w:top w:val="none" w:sz="0" w:space="0" w:color="auto"/>
        <w:left w:val="none" w:sz="0" w:space="0" w:color="auto"/>
        <w:bottom w:val="none" w:sz="0" w:space="0" w:color="auto"/>
        <w:right w:val="none" w:sz="0" w:space="0" w:color="auto"/>
      </w:divBdr>
    </w:div>
    <w:div w:id="260915467">
      <w:bodyDiv w:val="1"/>
      <w:marLeft w:val="0"/>
      <w:marRight w:val="0"/>
      <w:marTop w:val="0"/>
      <w:marBottom w:val="0"/>
      <w:divBdr>
        <w:top w:val="none" w:sz="0" w:space="0" w:color="auto"/>
        <w:left w:val="none" w:sz="0" w:space="0" w:color="auto"/>
        <w:bottom w:val="none" w:sz="0" w:space="0" w:color="auto"/>
        <w:right w:val="none" w:sz="0" w:space="0" w:color="auto"/>
      </w:divBdr>
    </w:div>
    <w:div w:id="316344602">
      <w:bodyDiv w:val="1"/>
      <w:marLeft w:val="0"/>
      <w:marRight w:val="0"/>
      <w:marTop w:val="0"/>
      <w:marBottom w:val="0"/>
      <w:divBdr>
        <w:top w:val="none" w:sz="0" w:space="0" w:color="auto"/>
        <w:left w:val="none" w:sz="0" w:space="0" w:color="auto"/>
        <w:bottom w:val="none" w:sz="0" w:space="0" w:color="auto"/>
        <w:right w:val="none" w:sz="0" w:space="0" w:color="auto"/>
      </w:divBdr>
    </w:div>
    <w:div w:id="494687527">
      <w:bodyDiv w:val="1"/>
      <w:marLeft w:val="0"/>
      <w:marRight w:val="0"/>
      <w:marTop w:val="0"/>
      <w:marBottom w:val="0"/>
      <w:divBdr>
        <w:top w:val="none" w:sz="0" w:space="0" w:color="auto"/>
        <w:left w:val="none" w:sz="0" w:space="0" w:color="auto"/>
        <w:bottom w:val="none" w:sz="0" w:space="0" w:color="auto"/>
        <w:right w:val="none" w:sz="0" w:space="0" w:color="auto"/>
      </w:divBdr>
    </w:div>
    <w:div w:id="1276867295">
      <w:bodyDiv w:val="1"/>
      <w:marLeft w:val="0"/>
      <w:marRight w:val="0"/>
      <w:marTop w:val="0"/>
      <w:marBottom w:val="0"/>
      <w:divBdr>
        <w:top w:val="none" w:sz="0" w:space="0" w:color="auto"/>
        <w:left w:val="none" w:sz="0" w:space="0" w:color="auto"/>
        <w:bottom w:val="none" w:sz="0" w:space="0" w:color="auto"/>
        <w:right w:val="none" w:sz="0" w:space="0" w:color="auto"/>
      </w:divBdr>
      <w:divsChild>
        <w:div w:id="2002393907">
          <w:marLeft w:val="0"/>
          <w:marRight w:val="0"/>
          <w:marTop w:val="0"/>
          <w:marBottom w:val="0"/>
          <w:divBdr>
            <w:top w:val="none" w:sz="0" w:space="0" w:color="auto"/>
            <w:left w:val="none" w:sz="0" w:space="0" w:color="auto"/>
            <w:bottom w:val="none" w:sz="0" w:space="0" w:color="auto"/>
            <w:right w:val="none" w:sz="0" w:space="0" w:color="auto"/>
          </w:divBdr>
        </w:div>
        <w:div w:id="93206714">
          <w:marLeft w:val="0"/>
          <w:marRight w:val="0"/>
          <w:marTop w:val="0"/>
          <w:marBottom w:val="0"/>
          <w:divBdr>
            <w:top w:val="none" w:sz="0" w:space="0" w:color="auto"/>
            <w:left w:val="none" w:sz="0" w:space="0" w:color="auto"/>
            <w:bottom w:val="none" w:sz="0" w:space="0" w:color="auto"/>
            <w:right w:val="none" w:sz="0" w:space="0" w:color="auto"/>
          </w:divBdr>
        </w:div>
        <w:div w:id="766772506">
          <w:marLeft w:val="0"/>
          <w:marRight w:val="0"/>
          <w:marTop w:val="0"/>
          <w:marBottom w:val="0"/>
          <w:divBdr>
            <w:top w:val="none" w:sz="0" w:space="0" w:color="auto"/>
            <w:left w:val="none" w:sz="0" w:space="0" w:color="auto"/>
            <w:bottom w:val="none" w:sz="0" w:space="0" w:color="auto"/>
            <w:right w:val="none" w:sz="0" w:space="0" w:color="auto"/>
          </w:divBdr>
        </w:div>
      </w:divsChild>
    </w:div>
    <w:div w:id="1667632419">
      <w:bodyDiv w:val="1"/>
      <w:marLeft w:val="0"/>
      <w:marRight w:val="0"/>
      <w:marTop w:val="0"/>
      <w:marBottom w:val="0"/>
      <w:divBdr>
        <w:top w:val="none" w:sz="0" w:space="0" w:color="auto"/>
        <w:left w:val="none" w:sz="0" w:space="0" w:color="auto"/>
        <w:bottom w:val="none" w:sz="0" w:space="0" w:color="auto"/>
        <w:right w:val="none" w:sz="0" w:space="0" w:color="auto"/>
      </w:divBdr>
    </w:div>
    <w:div w:id="1956911998">
      <w:bodyDiv w:val="1"/>
      <w:marLeft w:val="0"/>
      <w:marRight w:val="0"/>
      <w:marTop w:val="0"/>
      <w:marBottom w:val="0"/>
      <w:divBdr>
        <w:top w:val="none" w:sz="0" w:space="0" w:color="auto"/>
        <w:left w:val="none" w:sz="0" w:space="0" w:color="auto"/>
        <w:bottom w:val="none" w:sz="0" w:space="0" w:color="auto"/>
        <w:right w:val="none" w:sz="0" w:space="0" w:color="auto"/>
      </w:divBdr>
    </w:div>
    <w:div w:id="2117754239">
      <w:bodyDiv w:val="1"/>
      <w:marLeft w:val="0"/>
      <w:marRight w:val="0"/>
      <w:marTop w:val="0"/>
      <w:marBottom w:val="0"/>
      <w:divBdr>
        <w:top w:val="none" w:sz="0" w:space="0" w:color="auto"/>
        <w:left w:val="none" w:sz="0" w:space="0" w:color="auto"/>
        <w:bottom w:val="none" w:sz="0" w:space="0" w:color="auto"/>
        <w:right w:val="none" w:sz="0" w:space="0" w:color="auto"/>
      </w:divBdr>
      <w:divsChild>
        <w:div w:id="5537823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165</TotalTime>
  <Pages>12</Pages>
  <Words>5103</Words>
  <Characters>29090</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Fairbrother</dc:creator>
  <cp:keywords/>
  <dc:description/>
  <cp:lastModifiedBy>Lucy Fairbrother</cp:lastModifiedBy>
  <cp:revision>3</cp:revision>
  <dcterms:created xsi:type="dcterms:W3CDTF">2021-01-11T09:00:00Z</dcterms:created>
  <dcterms:modified xsi:type="dcterms:W3CDTF">2021-01-11T12:44:00Z</dcterms:modified>
</cp:coreProperties>
</file>