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37758" w14:textId="0F3E3A22" w:rsidR="00C71215" w:rsidRDefault="00C71215" w:rsidP="00C71215">
      <w:pPr>
        <w:spacing w:after="0" w:line="259" w:lineRule="auto"/>
      </w:pPr>
      <w:r>
        <w:rPr>
          <w:noProof/>
          <w:lang w:val="en-US" w:bidi="ar-SA"/>
        </w:rPr>
        <w:drawing>
          <wp:anchor distT="0" distB="0" distL="114300" distR="114300" simplePos="0" relativeHeight="251658240" behindDoc="1" locked="0" layoutInCell="1" allowOverlap="1" wp14:anchorId="6148D8BB" wp14:editId="405CE25D">
            <wp:simplePos x="0" y="0"/>
            <wp:positionH relativeFrom="column">
              <wp:posOffset>1619250</wp:posOffset>
            </wp:positionH>
            <wp:positionV relativeFrom="paragraph">
              <wp:posOffset>0</wp:posOffset>
            </wp:positionV>
            <wp:extent cx="1809750" cy="600075"/>
            <wp:effectExtent l="0" t="0" r="0" b="9525"/>
            <wp:wrapTight wrapText="bothSides">
              <wp:wrapPolygon edited="0">
                <wp:start x="0" y="0"/>
                <wp:lineTo x="0" y="15771"/>
                <wp:lineTo x="1819" y="21257"/>
                <wp:lineTo x="17962" y="21257"/>
                <wp:lineTo x="21373" y="16457"/>
                <wp:lineTo x="21373" y="10971"/>
                <wp:lineTo x="16598" y="10971"/>
                <wp:lineTo x="20008" y="8229"/>
                <wp:lineTo x="19781" y="0"/>
                <wp:lineTo x="0" y="0"/>
              </wp:wrapPolygon>
            </wp:wrapTight>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7">
                      <a:extLst>
                        <a:ext uri="{28A0092B-C50C-407E-A947-70E740481C1C}">
                          <a14:useLocalDpi xmlns:a14="http://schemas.microsoft.com/office/drawing/2010/main" val="0"/>
                        </a:ext>
                      </a:extLst>
                    </a:blip>
                    <a:stretch>
                      <a:fillRect/>
                    </a:stretch>
                  </pic:blipFill>
                  <pic:spPr>
                    <a:xfrm>
                      <a:off x="0" y="0"/>
                      <a:ext cx="1809750" cy="600075"/>
                    </a:xfrm>
                    <a:prstGeom prst="rect">
                      <a:avLst/>
                    </a:prstGeom>
                  </pic:spPr>
                </pic:pic>
              </a:graphicData>
            </a:graphic>
          </wp:anchor>
        </w:drawing>
      </w:r>
    </w:p>
    <w:p w14:paraId="70F8AE28" w14:textId="77777777" w:rsidR="00C71215" w:rsidRDefault="00C71215" w:rsidP="00C71215">
      <w:pPr>
        <w:spacing w:after="0" w:line="259" w:lineRule="auto"/>
      </w:pPr>
    </w:p>
    <w:p w14:paraId="0E6381A6" w14:textId="77777777" w:rsidR="00D16AF0" w:rsidRDefault="00D16AF0"/>
    <w:p w14:paraId="10A0F08F" w14:textId="77777777" w:rsidR="00D16AF0" w:rsidRDefault="00D16AF0"/>
    <w:p w14:paraId="78A1E0FF" w14:textId="77777777" w:rsidR="00D16AF0" w:rsidRDefault="00D16AF0"/>
    <w:p w14:paraId="0E1B6B73" w14:textId="007957E1" w:rsidR="00D16AF0" w:rsidRPr="00D16AF0" w:rsidRDefault="00D16AF0">
      <w:pPr>
        <w:rPr>
          <w:rFonts w:ascii="Arial" w:hAnsi="Arial" w:cs="Arial"/>
          <w:sz w:val="22"/>
          <w:szCs w:val="22"/>
        </w:rPr>
      </w:pPr>
      <w:r w:rsidRPr="00D16AF0">
        <w:rPr>
          <w:rFonts w:ascii="Arial" w:hAnsi="Arial" w:cs="Arial"/>
          <w:sz w:val="22"/>
          <w:szCs w:val="22"/>
        </w:rPr>
        <w:t xml:space="preserve"> MODULE: Strategic Management and Sustainability</w:t>
      </w:r>
    </w:p>
    <w:p w14:paraId="3BE422B3" w14:textId="42800606" w:rsidR="00D16AF0" w:rsidRPr="00D16AF0" w:rsidRDefault="00D16AF0">
      <w:pPr>
        <w:rPr>
          <w:rFonts w:ascii="Arial" w:hAnsi="Arial" w:cs="Arial"/>
          <w:sz w:val="22"/>
          <w:szCs w:val="22"/>
        </w:rPr>
      </w:pPr>
      <w:r w:rsidRPr="00D16AF0">
        <w:rPr>
          <w:rFonts w:ascii="Arial" w:hAnsi="Arial" w:cs="Arial"/>
          <w:sz w:val="22"/>
          <w:szCs w:val="22"/>
        </w:rPr>
        <w:t xml:space="preserve"> MODULE CODE: LCBB6015</w:t>
      </w:r>
    </w:p>
    <w:p w14:paraId="2E9BC632" w14:textId="7795E452" w:rsidR="00D16AF0" w:rsidRPr="00D16AF0" w:rsidRDefault="00D16AF0">
      <w:pPr>
        <w:rPr>
          <w:rFonts w:ascii="Arial" w:hAnsi="Arial" w:cs="Arial"/>
          <w:sz w:val="22"/>
          <w:szCs w:val="22"/>
        </w:rPr>
      </w:pPr>
      <w:r w:rsidRPr="00D16AF0">
        <w:rPr>
          <w:rFonts w:ascii="Arial" w:hAnsi="Arial" w:cs="Arial"/>
          <w:sz w:val="22"/>
          <w:szCs w:val="22"/>
        </w:rPr>
        <w:t xml:space="preserve"> STUDENT NAME: Camelia Croitoru</w:t>
      </w:r>
    </w:p>
    <w:p w14:paraId="5A3D190F" w14:textId="3101ACA4" w:rsidR="00D16AF0" w:rsidRPr="00D16AF0" w:rsidRDefault="00D16AF0">
      <w:pPr>
        <w:rPr>
          <w:rFonts w:ascii="Arial" w:hAnsi="Arial" w:cs="Arial"/>
          <w:sz w:val="22"/>
          <w:szCs w:val="22"/>
        </w:rPr>
      </w:pPr>
      <w:r w:rsidRPr="00D16AF0">
        <w:rPr>
          <w:rFonts w:ascii="Arial" w:hAnsi="Arial" w:cs="Arial"/>
          <w:sz w:val="22"/>
          <w:szCs w:val="22"/>
        </w:rPr>
        <w:t xml:space="preserve"> STUDENT ID: 2247724</w:t>
      </w:r>
    </w:p>
    <w:p w14:paraId="0EBF901A" w14:textId="40003BAF" w:rsidR="00D16AF0" w:rsidRPr="00D16AF0" w:rsidRDefault="00D16AF0">
      <w:pPr>
        <w:rPr>
          <w:rFonts w:ascii="Arial" w:hAnsi="Arial" w:cs="Arial"/>
          <w:sz w:val="22"/>
          <w:szCs w:val="22"/>
        </w:rPr>
      </w:pPr>
      <w:r w:rsidRPr="00D16AF0">
        <w:rPr>
          <w:rFonts w:ascii="Arial" w:hAnsi="Arial" w:cs="Arial"/>
          <w:sz w:val="22"/>
          <w:szCs w:val="22"/>
        </w:rPr>
        <w:t xml:space="preserve"> COMPONENT 1: WRITTEN REPORT </w:t>
      </w:r>
    </w:p>
    <w:p w14:paraId="639F9EFE" w14:textId="376BB0CC" w:rsidR="00D16AF0" w:rsidRPr="00D16AF0" w:rsidRDefault="00D16AF0">
      <w:pPr>
        <w:rPr>
          <w:rFonts w:ascii="Arial" w:hAnsi="Arial" w:cs="Arial"/>
          <w:sz w:val="22"/>
          <w:szCs w:val="22"/>
        </w:rPr>
      </w:pPr>
      <w:r w:rsidRPr="00D16AF0">
        <w:rPr>
          <w:rFonts w:ascii="Arial" w:hAnsi="Arial" w:cs="Arial"/>
          <w:sz w:val="22"/>
          <w:szCs w:val="22"/>
        </w:rPr>
        <w:t xml:space="preserve"> MODULE LEADER: Dr Liyanage Sampath Rodrigo</w:t>
      </w:r>
    </w:p>
    <w:p w14:paraId="03337F43" w14:textId="77777777" w:rsidR="00D16AF0" w:rsidRDefault="00D16AF0"/>
    <w:p w14:paraId="51844785" w14:textId="77777777" w:rsidR="00D16AF0" w:rsidRDefault="00D16AF0"/>
    <w:p w14:paraId="6E90AAB7" w14:textId="77777777" w:rsidR="00D16AF0" w:rsidRDefault="00D16AF0"/>
    <w:p w14:paraId="36B9E85D" w14:textId="6822E90C" w:rsidR="003C0A46" w:rsidRDefault="00C71215">
      <w:r>
        <w:br w:type="page"/>
      </w:r>
    </w:p>
    <w:sdt>
      <w:sdtPr>
        <w:rPr>
          <w:rFonts w:ascii="Arial" w:eastAsiaTheme="minorHAnsi" w:hAnsi="Arial" w:cs="Arial"/>
          <w:color w:val="auto"/>
          <w:kern w:val="2"/>
          <w:sz w:val="22"/>
          <w:szCs w:val="22"/>
          <w:lang w:val="en-GB" w:bidi="hi-IN"/>
          <w14:ligatures w14:val="standardContextual"/>
        </w:rPr>
        <w:id w:val="2033219186"/>
        <w:docPartObj>
          <w:docPartGallery w:val="Table of Contents"/>
          <w:docPartUnique/>
        </w:docPartObj>
      </w:sdtPr>
      <w:sdtEndPr>
        <w:rPr>
          <w:b/>
          <w:bCs/>
          <w:noProof/>
        </w:rPr>
      </w:sdtEndPr>
      <w:sdtContent>
        <w:p w14:paraId="2B9B4F39" w14:textId="77777777" w:rsidR="003C0A46" w:rsidRPr="0076216E" w:rsidRDefault="003C0A46" w:rsidP="003C0A46">
          <w:pPr>
            <w:pStyle w:val="TOCHeading"/>
            <w:spacing w:line="360" w:lineRule="auto"/>
            <w:jc w:val="both"/>
            <w:rPr>
              <w:rFonts w:ascii="Arial" w:hAnsi="Arial" w:cs="Arial"/>
              <w:sz w:val="22"/>
              <w:szCs w:val="22"/>
            </w:rPr>
          </w:pPr>
          <w:r w:rsidRPr="0076216E">
            <w:rPr>
              <w:rFonts w:ascii="Arial" w:hAnsi="Arial" w:cs="Arial"/>
              <w:sz w:val="22"/>
              <w:szCs w:val="22"/>
            </w:rPr>
            <w:t>Table of Contents</w:t>
          </w:r>
        </w:p>
        <w:p w14:paraId="003AFB74" w14:textId="24837710" w:rsidR="003C0A46" w:rsidRPr="0076216E" w:rsidRDefault="003C0A46" w:rsidP="003C0A46">
          <w:pPr>
            <w:pStyle w:val="TOC1"/>
            <w:tabs>
              <w:tab w:val="right" w:leader="dot" w:pos="9016"/>
            </w:tabs>
            <w:spacing w:line="360" w:lineRule="auto"/>
            <w:jc w:val="both"/>
            <w:rPr>
              <w:rFonts w:ascii="Arial" w:hAnsi="Arial" w:cs="Arial"/>
              <w:noProof/>
              <w:sz w:val="22"/>
              <w:szCs w:val="22"/>
            </w:rPr>
          </w:pPr>
          <w:r w:rsidRPr="0076216E">
            <w:rPr>
              <w:rFonts w:ascii="Arial" w:hAnsi="Arial" w:cs="Arial"/>
              <w:sz w:val="22"/>
              <w:szCs w:val="22"/>
            </w:rPr>
            <w:fldChar w:fldCharType="begin"/>
          </w:r>
          <w:r w:rsidRPr="0076216E">
            <w:rPr>
              <w:rFonts w:ascii="Arial" w:hAnsi="Arial" w:cs="Arial"/>
              <w:sz w:val="22"/>
              <w:szCs w:val="22"/>
            </w:rPr>
            <w:instrText xml:space="preserve"> TOC \o "1-3" \h \z \u </w:instrText>
          </w:r>
          <w:r w:rsidRPr="0076216E">
            <w:rPr>
              <w:rFonts w:ascii="Arial" w:hAnsi="Arial" w:cs="Arial"/>
              <w:sz w:val="22"/>
              <w:szCs w:val="22"/>
            </w:rPr>
            <w:fldChar w:fldCharType="separate"/>
          </w:r>
          <w:hyperlink w:anchor="_Toc223612398" w:history="1">
            <w:r w:rsidRPr="0076216E">
              <w:rPr>
                <w:rStyle w:val="Hyperlink"/>
                <w:rFonts w:ascii="Arial" w:hAnsi="Arial" w:cs="Arial"/>
                <w:noProof/>
                <w:sz w:val="22"/>
                <w:szCs w:val="22"/>
              </w:rPr>
              <w:t>Executive Summary</w:t>
            </w:r>
            <w:r w:rsidRPr="0076216E">
              <w:rPr>
                <w:rFonts w:ascii="Arial" w:hAnsi="Arial" w:cs="Arial"/>
                <w:noProof/>
                <w:webHidden/>
                <w:sz w:val="22"/>
                <w:szCs w:val="22"/>
              </w:rPr>
              <w:tab/>
            </w:r>
            <w:r w:rsidRPr="0076216E">
              <w:rPr>
                <w:rFonts w:ascii="Arial" w:hAnsi="Arial" w:cs="Arial"/>
                <w:noProof/>
                <w:webHidden/>
                <w:sz w:val="22"/>
                <w:szCs w:val="22"/>
              </w:rPr>
              <w:fldChar w:fldCharType="begin"/>
            </w:r>
            <w:r w:rsidRPr="0076216E">
              <w:rPr>
                <w:rFonts w:ascii="Arial" w:hAnsi="Arial" w:cs="Arial"/>
                <w:noProof/>
                <w:webHidden/>
                <w:sz w:val="22"/>
                <w:szCs w:val="22"/>
              </w:rPr>
              <w:instrText xml:space="preserve"> PAGEREF _Toc223612398 \h </w:instrText>
            </w:r>
            <w:r w:rsidRPr="0076216E">
              <w:rPr>
                <w:rFonts w:ascii="Arial" w:hAnsi="Arial" w:cs="Arial"/>
                <w:noProof/>
                <w:webHidden/>
                <w:sz w:val="22"/>
                <w:szCs w:val="22"/>
              </w:rPr>
            </w:r>
            <w:r w:rsidRPr="0076216E">
              <w:rPr>
                <w:rFonts w:ascii="Arial" w:hAnsi="Arial" w:cs="Arial"/>
                <w:noProof/>
                <w:webHidden/>
                <w:sz w:val="22"/>
                <w:szCs w:val="22"/>
              </w:rPr>
              <w:fldChar w:fldCharType="separate"/>
            </w:r>
            <w:r w:rsidR="00545E85" w:rsidRPr="0076216E">
              <w:rPr>
                <w:rFonts w:ascii="Arial" w:hAnsi="Arial" w:cs="Arial"/>
                <w:noProof/>
                <w:webHidden/>
                <w:sz w:val="22"/>
                <w:szCs w:val="22"/>
              </w:rPr>
              <w:t>2</w:t>
            </w:r>
            <w:r w:rsidRPr="0076216E">
              <w:rPr>
                <w:rFonts w:ascii="Arial" w:hAnsi="Arial" w:cs="Arial"/>
                <w:noProof/>
                <w:webHidden/>
                <w:sz w:val="22"/>
                <w:szCs w:val="22"/>
              </w:rPr>
              <w:fldChar w:fldCharType="end"/>
            </w:r>
          </w:hyperlink>
        </w:p>
        <w:p w14:paraId="71CD3807" w14:textId="30912A3A" w:rsidR="003C0A46" w:rsidRPr="0076216E" w:rsidRDefault="003C0A46" w:rsidP="003C0A46">
          <w:pPr>
            <w:pStyle w:val="TOC1"/>
            <w:tabs>
              <w:tab w:val="right" w:leader="dot" w:pos="9016"/>
            </w:tabs>
            <w:spacing w:line="360" w:lineRule="auto"/>
            <w:jc w:val="both"/>
            <w:rPr>
              <w:rFonts w:ascii="Arial" w:hAnsi="Arial" w:cs="Arial"/>
              <w:noProof/>
              <w:sz w:val="22"/>
              <w:szCs w:val="22"/>
            </w:rPr>
          </w:pPr>
          <w:hyperlink w:anchor="_Toc223612399" w:history="1">
            <w:r w:rsidRPr="0076216E">
              <w:rPr>
                <w:rStyle w:val="Hyperlink"/>
                <w:rFonts w:ascii="Arial" w:hAnsi="Arial" w:cs="Arial"/>
                <w:noProof/>
                <w:sz w:val="22"/>
                <w:szCs w:val="22"/>
              </w:rPr>
              <w:t>Introduction</w:t>
            </w:r>
            <w:r w:rsidRPr="0076216E">
              <w:rPr>
                <w:rFonts w:ascii="Arial" w:hAnsi="Arial" w:cs="Arial"/>
                <w:noProof/>
                <w:webHidden/>
                <w:sz w:val="22"/>
                <w:szCs w:val="22"/>
              </w:rPr>
              <w:tab/>
            </w:r>
            <w:r w:rsidRPr="0076216E">
              <w:rPr>
                <w:rFonts w:ascii="Arial" w:hAnsi="Arial" w:cs="Arial"/>
                <w:noProof/>
                <w:webHidden/>
                <w:sz w:val="22"/>
                <w:szCs w:val="22"/>
              </w:rPr>
              <w:fldChar w:fldCharType="begin"/>
            </w:r>
            <w:r w:rsidRPr="0076216E">
              <w:rPr>
                <w:rFonts w:ascii="Arial" w:hAnsi="Arial" w:cs="Arial"/>
                <w:noProof/>
                <w:webHidden/>
                <w:sz w:val="22"/>
                <w:szCs w:val="22"/>
              </w:rPr>
              <w:instrText xml:space="preserve"> PAGEREF _Toc223612399 \h </w:instrText>
            </w:r>
            <w:r w:rsidRPr="0076216E">
              <w:rPr>
                <w:rFonts w:ascii="Arial" w:hAnsi="Arial" w:cs="Arial"/>
                <w:noProof/>
                <w:webHidden/>
                <w:sz w:val="22"/>
                <w:szCs w:val="22"/>
              </w:rPr>
            </w:r>
            <w:r w:rsidRPr="0076216E">
              <w:rPr>
                <w:rFonts w:ascii="Arial" w:hAnsi="Arial" w:cs="Arial"/>
                <w:noProof/>
                <w:webHidden/>
                <w:sz w:val="22"/>
                <w:szCs w:val="22"/>
              </w:rPr>
              <w:fldChar w:fldCharType="separate"/>
            </w:r>
            <w:r w:rsidR="00545E85" w:rsidRPr="0076216E">
              <w:rPr>
                <w:rFonts w:ascii="Arial" w:hAnsi="Arial" w:cs="Arial"/>
                <w:noProof/>
                <w:webHidden/>
                <w:sz w:val="22"/>
                <w:szCs w:val="22"/>
              </w:rPr>
              <w:t>3</w:t>
            </w:r>
            <w:r w:rsidRPr="0076216E">
              <w:rPr>
                <w:rFonts w:ascii="Arial" w:hAnsi="Arial" w:cs="Arial"/>
                <w:noProof/>
                <w:webHidden/>
                <w:sz w:val="22"/>
                <w:szCs w:val="22"/>
              </w:rPr>
              <w:fldChar w:fldCharType="end"/>
            </w:r>
          </w:hyperlink>
        </w:p>
        <w:p w14:paraId="68EB48CC" w14:textId="48CB54B2" w:rsidR="003C0A46" w:rsidRPr="0076216E" w:rsidRDefault="003C0A46" w:rsidP="003C0A46">
          <w:pPr>
            <w:pStyle w:val="TOC1"/>
            <w:tabs>
              <w:tab w:val="right" w:leader="dot" w:pos="9016"/>
            </w:tabs>
            <w:spacing w:line="360" w:lineRule="auto"/>
            <w:jc w:val="both"/>
            <w:rPr>
              <w:rFonts w:ascii="Arial" w:hAnsi="Arial" w:cs="Arial"/>
              <w:noProof/>
              <w:sz w:val="22"/>
              <w:szCs w:val="22"/>
            </w:rPr>
          </w:pPr>
          <w:hyperlink w:anchor="_Toc223612400" w:history="1">
            <w:r w:rsidRPr="0076216E">
              <w:rPr>
                <w:rStyle w:val="Hyperlink"/>
                <w:rFonts w:ascii="Arial" w:hAnsi="Arial" w:cs="Arial"/>
                <w:noProof/>
                <w:sz w:val="22"/>
                <w:szCs w:val="22"/>
              </w:rPr>
              <w:t>Strategy Analysis</w:t>
            </w:r>
            <w:r w:rsidRPr="0076216E">
              <w:rPr>
                <w:rFonts w:ascii="Arial" w:hAnsi="Arial" w:cs="Arial"/>
                <w:noProof/>
                <w:webHidden/>
                <w:sz w:val="22"/>
                <w:szCs w:val="22"/>
              </w:rPr>
              <w:tab/>
            </w:r>
            <w:r w:rsidRPr="0076216E">
              <w:rPr>
                <w:rFonts w:ascii="Arial" w:hAnsi="Arial" w:cs="Arial"/>
                <w:noProof/>
                <w:webHidden/>
                <w:sz w:val="22"/>
                <w:szCs w:val="22"/>
              </w:rPr>
              <w:fldChar w:fldCharType="begin"/>
            </w:r>
            <w:r w:rsidRPr="0076216E">
              <w:rPr>
                <w:rFonts w:ascii="Arial" w:hAnsi="Arial" w:cs="Arial"/>
                <w:noProof/>
                <w:webHidden/>
                <w:sz w:val="22"/>
                <w:szCs w:val="22"/>
              </w:rPr>
              <w:instrText xml:space="preserve"> PAGEREF _Toc223612400 \h </w:instrText>
            </w:r>
            <w:r w:rsidRPr="0076216E">
              <w:rPr>
                <w:rFonts w:ascii="Arial" w:hAnsi="Arial" w:cs="Arial"/>
                <w:noProof/>
                <w:webHidden/>
                <w:sz w:val="22"/>
                <w:szCs w:val="22"/>
              </w:rPr>
            </w:r>
            <w:r w:rsidRPr="0076216E">
              <w:rPr>
                <w:rFonts w:ascii="Arial" w:hAnsi="Arial" w:cs="Arial"/>
                <w:noProof/>
                <w:webHidden/>
                <w:sz w:val="22"/>
                <w:szCs w:val="22"/>
              </w:rPr>
              <w:fldChar w:fldCharType="separate"/>
            </w:r>
            <w:r w:rsidR="00545E85" w:rsidRPr="0076216E">
              <w:rPr>
                <w:rFonts w:ascii="Arial" w:hAnsi="Arial" w:cs="Arial"/>
                <w:noProof/>
                <w:webHidden/>
                <w:sz w:val="22"/>
                <w:szCs w:val="22"/>
              </w:rPr>
              <w:t>4</w:t>
            </w:r>
            <w:r w:rsidRPr="0076216E">
              <w:rPr>
                <w:rFonts w:ascii="Arial" w:hAnsi="Arial" w:cs="Arial"/>
                <w:noProof/>
                <w:webHidden/>
                <w:sz w:val="22"/>
                <w:szCs w:val="22"/>
              </w:rPr>
              <w:fldChar w:fldCharType="end"/>
            </w:r>
          </w:hyperlink>
        </w:p>
        <w:p w14:paraId="2554A3AF" w14:textId="46EC09D4" w:rsidR="003C0A46" w:rsidRPr="0076216E" w:rsidRDefault="003C0A46" w:rsidP="003C0A46">
          <w:pPr>
            <w:pStyle w:val="TOC2"/>
            <w:tabs>
              <w:tab w:val="right" w:leader="dot" w:pos="9016"/>
            </w:tabs>
            <w:spacing w:line="360" w:lineRule="auto"/>
            <w:jc w:val="both"/>
            <w:rPr>
              <w:rFonts w:ascii="Arial" w:hAnsi="Arial" w:cs="Arial"/>
              <w:noProof/>
              <w:sz w:val="22"/>
              <w:szCs w:val="22"/>
            </w:rPr>
          </w:pPr>
          <w:hyperlink w:anchor="_Toc223612401" w:history="1">
            <w:r w:rsidRPr="0076216E">
              <w:rPr>
                <w:rStyle w:val="Hyperlink"/>
                <w:rFonts w:ascii="Arial" w:hAnsi="Arial" w:cs="Arial"/>
                <w:noProof/>
                <w:sz w:val="22"/>
                <w:szCs w:val="22"/>
              </w:rPr>
              <w:t>External Environment Audit</w:t>
            </w:r>
            <w:r w:rsidRPr="0076216E">
              <w:rPr>
                <w:rFonts w:ascii="Arial" w:hAnsi="Arial" w:cs="Arial"/>
                <w:noProof/>
                <w:webHidden/>
                <w:sz w:val="22"/>
                <w:szCs w:val="22"/>
              </w:rPr>
              <w:tab/>
            </w:r>
            <w:r w:rsidRPr="0076216E">
              <w:rPr>
                <w:rFonts w:ascii="Arial" w:hAnsi="Arial" w:cs="Arial"/>
                <w:noProof/>
                <w:webHidden/>
                <w:sz w:val="22"/>
                <w:szCs w:val="22"/>
              </w:rPr>
              <w:fldChar w:fldCharType="begin"/>
            </w:r>
            <w:r w:rsidRPr="0076216E">
              <w:rPr>
                <w:rFonts w:ascii="Arial" w:hAnsi="Arial" w:cs="Arial"/>
                <w:noProof/>
                <w:webHidden/>
                <w:sz w:val="22"/>
                <w:szCs w:val="22"/>
              </w:rPr>
              <w:instrText xml:space="preserve"> PAGEREF _Toc223612401 \h </w:instrText>
            </w:r>
            <w:r w:rsidRPr="0076216E">
              <w:rPr>
                <w:rFonts w:ascii="Arial" w:hAnsi="Arial" w:cs="Arial"/>
                <w:noProof/>
                <w:webHidden/>
                <w:sz w:val="22"/>
                <w:szCs w:val="22"/>
              </w:rPr>
            </w:r>
            <w:r w:rsidRPr="0076216E">
              <w:rPr>
                <w:rFonts w:ascii="Arial" w:hAnsi="Arial" w:cs="Arial"/>
                <w:noProof/>
                <w:webHidden/>
                <w:sz w:val="22"/>
                <w:szCs w:val="22"/>
              </w:rPr>
              <w:fldChar w:fldCharType="separate"/>
            </w:r>
            <w:r w:rsidR="00545E85" w:rsidRPr="0076216E">
              <w:rPr>
                <w:rFonts w:ascii="Arial" w:hAnsi="Arial" w:cs="Arial"/>
                <w:noProof/>
                <w:webHidden/>
                <w:sz w:val="22"/>
                <w:szCs w:val="22"/>
              </w:rPr>
              <w:t>4</w:t>
            </w:r>
            <w:r w:rsidRPr="0076216E">
              <w:rPr>
                <w:rFonts w:ascii="Arial" w:hAnsi="Arial" w:cs="Arial"/>
                <w:noProof/>
                <w:webHidden/>
                <w:sz w:val="22"/>
                <w:szCs w:val="22"/>
              </w:rPr>
              <w:fldChar w:fldCharType="end"/>
            </w:r>
          </w:hyperlink>
        </w:p>
        <w:p w14:paraId="3B1847CB" w14:textId="432B1618" w:rsidR="003C0A46" w:rsidRPr="0076216E" w:rsidRDefault="003C0A46" w:rsidP="003C0A46">
          <w:pPr>
            <w:pStyle w:val="TOC2"/>
            <w:tabs>
              <w:tab w:val="right" w:leader="dot" w:pos="9016"/>
            </w:tabs>
            <w:spacing w:line="360" w:lineRule="auto"/>
            <w:jc w:val="both"/>
            <w:rPr>
              <w:rFonts w:ascii="Arial" w:hAnsi="Arial" w:cs="Arial"/>
              <w:noProof/>
              <w:sz w:val="22"/>
              <w:szCs w:val="22"/>
            </w:rPr>
          </w:pPr>
          <w:hyperlink w:anchor="_Toc223612402" w:history="1">
            <w:r w:rsidRPr="0076216E">
              <w:rPr>
                <w:rStyle w:val="Hyperlink"/>
                <w:rFonts w:ascii="Arial" w:hAnsi="Arial" w:cs="Arial"/>
                <w:noProof/>
                <w:sz w:val="22"/>
                <w:szCs w:val="22"/>
              </w:rPr>
              <w:t>Internal Environment Audit</w:t>
            </w:r>
            <w:r w:rsidRPr="0076216E">
              <w:rPr>
                <w:rFonts w:ascii="Arial" w:hAnsi="Arial" w:cs="Arial"/>
                <w:noProof/>
                <w:webHidden/>
                <w:sz w:val="22"/>
                <w:szCs w:val="22"/>
              </w:rPr>
              <w:tab/>
            </w:r>
            <w:r w:rsidRPr="0076216E">
              <w:rPr>
                <w:rFonts w:ascii="Arial" w:hAnsi="Arial" w:cs="Arial"/>
                <w:noProof/>
                <w:webHidden/>
                <w:sz w:val="22"/>
                <w:szCs w:val="22"/>
              </w:rPr>
              <w:fldChar w:fldCharType="begin"/>
            </w:r>
            <w:r w:rsidRPr="0076216E">
              <w:rPr>
                <w:rFonts w:ascii="Arial" w:hAnsi="Arial" w:cs="Arial"/>
                <w:noProof/>
                <w:webHidden/>
                <w:sz w:val="22"/>
                <w:szCs w:val="22"/>
              </w:rPr>
              <w:instrText xml:space="preserve"> PAGEREF _Toc223612402 \h </w:instrText>
            </w:r>
            <w:r w:rsidRPr="0076216E">
              <w:rPr>
                <w:rFonts w:ascii="Arial" w:hAnsi="Arial" w:cs="Arial"/>
                <w:noProof/>
                <w:webHidden/>
                <w:sz w:val="22"/>
                <w:szCs w:val="22"/>
              </w:rPr>
            </w:r>
            <w:r w:rsidRPr="0076216E">
              <w:rPr>
                <w:rFonts w:ascii="Arial" w:hAnsi="Arial" w:cs="Arial"/>
                <w:noProof/>
                <w:webHidden/>
                <w:sz w:val="22"/>
                <w:szCs w:val="22"/>
              </w:rPr>
              <w:fldChar w:fldCharType="separate"/>
            </w:r>
            <w:r w:rsidR="00545E85" w:rsidRPr="0076216E">
              <w:rPr>
                <w:rFonts w:ascii="Arial" w:hAnsi="Arial" w:cs="Arial"/>
                <w:noProof/>
                <w:webHidden/>
                <w:sz w:val="22"/>
                <w:szCs w:val="22"/>
              </w:rPr>
              <w:t>5</w:t>
            </w:r>
            <w:r w:rsidRPr="0076216E">
              <w:rPr>
                <w:rFonts w:ascii="Arial" w:hAnsi="Arial" w:cs="Arial"/>
                <w:noProof/>
                <w:webHidden/>
                <w:sz w:val="22"/>
                <w:szCs w:val="22"/>
              </w:rPr>
              <w:fldChar w:fldCharType="end"/>
            </w:r>
          </w:hyperlink>
        </w:p>
        <w:p w14:paraId="2D86FAB5" w14:textId="5484CD5D" w:rsidR="003C0A46" w:rsidRPr="0076216E" w:rsidRDefault="003C0A46" w:rsidP="003C0A46">
          <w:pPr>
            <w:pStyle w:val="TOC2"/>
            <w:tabs>
              <w:tab w:val="right" w:leader="dot" w:pos="9016"/>
            </w:tabs>
            <w:spacing w:line="360" w:lineRule="auto"/>
            <w:jc w:val="both"/>
            <w:rPr>
              <w:rFonts w:ascii="Arial" w:hAnsi="Arial" w:cs="Arial"/>
              <w:noProof/>
              <w:sz w:val="22"/>
              <w:szCs w:val="22"/>
            </w:rPr>
          </w:pPr>
          <w:hyperlink w:anchor="_Toc223612403" w:history="1">
            <w:r w:rsidRPr="0076216E">
              <w:rPr>
                <w:rStyle w:val="Hyperlink"/>
                <w:rFonts w:ascii="Arial" w:hAnsi="Arial" w:cs="Arial"/>
                <w:noProof/>
                <w:sz w:val="22"/>
                <w:szCs w:val="22"/>
              </w:rPr>
              <w:t>SWOT Analysis</w:t>
            </w:r>
            <w:r w:rsidRPr="0076216E">
              <w:rPr>
                <w:rFonts w:ascii="Arial" w:hAnsi="Arial" w:cs="Arial"/>
                <w:noProof/>
                <w:webHidden/>
                <w:sz w:val="22"/>
                <w:szCs w:val="22"/>
              </w:rPr>
              <w:tab/>
            </w:r>
            <w:r w:rsidRPr="0076216E">
              <w:rPr>
                <w:rFonts w:ascii="Arial" w:hAnsi="Arial" w:cs="Arial"/>
                <w:noProof/>
                <w:webHidden/>
                <w:sz w:val="22"/>
                <w:szCs w:val="22"/>
              </w:rPr>
              <w:fldChar w:fldCharType="begin"/>
            </w:r>
            <w:r w:rsidRPr="0076216E">
              <w:rPr>
                <w:rFonts w:ascii="Arial" w:hAnsi="Arial" w:cs="Arial"/>
                <w:noProof/>
                <w:webHidden/>
                <w:sz w:val="22"/>
                <w:szCs w:val="22"/>
              </w:rPr>
              <w:instrText xml:space="preserve"> PAGEREF _Toc223612403 \h </w:instrText>
            </w:r>
            <w:r w:rsidRPr="0076216E">
              <w:rPr>
                <w:rFonts w:ascii="Arial" w:hAnsi="Arial" w:cs="Arial"/>
                <w:noProof/>
                <w:webHidden/>
                <w:sz w:val="22"/>
                <w:szCs w:val="22"/>
              </w:rPr>
            </w:r>
            <w:r w:rsidRPr="0076216E">
              <w:rPr>
                <w:rFonts w:ascii="Arial" w:hAnsi="Arial" w:cs="Arial"/>
                <w:noProof/>
                <w:webHidden/>
                <w:sz w:val="22"/>
                <w:szCs w:val="22"/>
              </w:rPr>
              <w:fldChar w:fldCharType="separate"/>
            </w:r>
            <w:r w:rsidR="00545E85" w:rsidRPr="0076216E">
              <w:rPr>
                <w:rFonts w:ascii="Arial" w:hAnsi="Arial" w:cs="Arial"/>
                <w:noProof/>
                <w:webHidden/>
                <w:sz w:val="22"/>
                <w:szCs w:val="22"/>
              </w:rPr>
              <w:t>6</w:t>
            </w:r>
            <w:r w:rsidRPr="0076216E">
              <w:rPr>
                <w:rFonts w:ascii="Arial" w:hAnsi="Arial" w:cs="Arial"/>
                <w:noProof/>
                <w:webHidden/>
                <w:sz w:val="22"/>
                <w:szCs w:val="22"/>
              </w:rPr>
              <w:fldChar w:fldCharType="end"/>
            </w:r>
          </w:hyperlink>
        </w:p>
        <w:p w14:paraId="2E4CC1EE" w14:textId="4C5317C2" w:rsidR="003C0A46" w:rsidRPr="0076216E" w:rsidRDefault="003C0A46" w:rsidP="003C0A46">
          <w:pPr>
            <w:pStyle w:val="TOC1"/>
            <w:tabs>
              <w:tab w:val="right" w:leader="dot" w:pos="9016"/>
            </w:tabs>
            <w:spacing w:line="360" w:lineRule="auto"/>
            <w:jc w:val="both"/>
            <w:rPr>
              <w:rFonts w:ascii="Arial" w:hAnsi="Arial" w:cs="Arial"/>
              <w:noProof/>
              <w:sz w:val="22"/>
              <w:szCs w:val="22"/>
            </w:rPr>
          </w:pPr>
          <w:hyperlink w:anchor="_Toc223612404" w:history="1">
            <w:r w:rsidRPr="0076216E">
              <w:rPr>
                <w:rStyle w:val="Hyperlink"/>
                <w:rFonts w:ascii="Arial" w:hAnsi="Arial" w:cs="Arial"/>
                <w:noProof/>
                <w:sz w:val="22"/>
                <w:szCs w:val="22"/>
              </w:rPr>
              <w:t>Strategy Formulation</w:t>
            </w:r>
            <w:r w:rsidRPr="0076216E">
              <w:rPr>
                <w:rFonts w:ascii="Arial" w:hAnsi="Arial" w:cs="Arial"/>
                <w:noProof/>
                <w:webHidden/>
                <w:sz w:val="22"/>
                <w:szCs w:val="22"/>
              </w:rPr>
              <w:tab/>
            </w:r>
            <w:r w:rsidRPr="0076216E">
              <w:rPr>
                <w:rFonts w:ascii="Arial" w:hAnsi="Arial" w:cs="Arial"/>
                <w:noProof/>
                <w:webHidden/>
                <w:sz w:val="22"/>
                <w:szCs w:val="22"/>
              </w:rPr>
              <w:fldChar w:fldCharType="begin"/>
            </w:r>
            <w:r w:rsidRPr="0076216E">
              <w:rPr>
                <w:rFonts w:ascii="Arial" w:hAnsi="Arial" w:cs="Arial"/>
                <w:noProof/>
                <w:webHidden/>
                <w:sz w:val="22"/>
                <w:szCs w:val="22"/>
              </w:rPr>
              <w:instrText xml:space="preserve"> PAGEREF _Toc223612404 \h </w:instrText>
            </w:r>
            <w:r w:rsidRPr="0076216E">
              <w:rPr>
                <w:rFonts w:ascii="Arial" w:hAnsi="Arial" w:cs="Arial"/>
                <w:noProof/>
                <w:webHidden/>
                <w:sz w:val="22"/>
                <w:szCs w:val="22"/>
              </w:rPr>
            </w:r>
            <w:r w:rsidRPr="0076216E">
              <w:rPr>
                <w:rFonts w:ascii="Arial" w:hAnsi="Arial" w:cs="Arial"/>
                <w:noProof/>
                <w:webHidden/>
                <w:sz w:val="22"/>
                <w:szCs w:val="22"/>
              </w:rPr>
              <w:fldChar w:fldCharType="separate"/>
            </w:r>
            <w:r w:rsidR="00545E85" w:rsidRPr="0076216E">
              <w:rPr>
                <w:rFonts w:ascii="Arial" w:hAnsi="Arial" w:cs="Arial"/>
                <w:noProof/>
                <w:webHidden/>
                <w:sz w:val="22"/>
                <w:szCs w:val="22"/>
              </w:rPr>
              <w:t>7</w:t>
            </w:r>
            <w:r w:rsidRPr="0076216E">
              <w:rPr>
                <w:rFonts w:ascii="Arial" w:hAnsi="Arial" w:cs="Arial"/>
                <w:noProof/>
                <w:webHidden/>
                <w:sz w:val="22"/>
                <w:szCs w:val="22"/>
              </w:rPr>
              <w:fldChar w:fldCharType="end"/>
            </w:r>
          </w:hyperlink>
        </w:p>
        <w:p w14:paraId="51B88893" w14:textId="1F1E10EA" w:rsidR="003C0A46" w:rsidRPr="0076216E" w:rsidRDefault="003C0A46" w:rsidP="003C0A46">
          <w:pPr>
            <w:pStyle w:val="TOC1"/>
            <w:tabs>
              <w:tab w:val="right" w:leader="dot" w:pos="9016"/>
            </w:tabs>
            <w:spacing w:line="360" w:lineRule="auto"/>
            <w:jc w:val="both"/>
            <w:rPr>
              <w:rFonts w:ascii="Arial" w:hAnsi="Arial" w:cs="Arial"/>
              <w:noProof/>
              <w:sz w:val="22"/>
              <w:szCs w:val="22"/>
            </w:rPr>
          </w:pPr>
          <w:hyperlink w:anchor="_Toc223612405" w:history="1">
            <w:r w:rsidRPr="0076216E">
              <w:rPr>
                <w:rStyle w:val="Hyperlink"/>
                <w:rFonts w:ascii="Arial" w:hAnsi="Arial" w:cs="Arial"/>
                <w:noProof/>
                <w:sz w:val="22"/>
                <w:szCs w:val="22"/>
              </w:rPr>
              <w:t>Conclusion and Recommendations</w:t>
            </w:r>
            <w:r w:rsidRPr="0076216E">
              <w:rPr>
                <w:rFonts w:ascii="Arial" w:hAnsi="Arial" w:cs="Arial"/>
                <w:noProof/>
                <w:webHidden/>
                <w:sz w:val="22"/>
                <w:szCs w:val="22"/>
              </w:rPr>
              <w:tab/>
            </w:r>
            <w:r w:rsidRPr="0076216E">
              <w:rPr>
                <w:rFonts w:ascii="Arial" w:hAnsi="Arial" w:cs="Arial"/>
                <w:noProof/>
                <w:webHidden/>
                <w:sz w:val="22"/>
                <w:szCs w:val="22"/>
              </w:rPr>
              <w:fldChar w:fldCharType="begin"/>
            </w:r>
            <w:r w:rsidRPr="0076216E">
              <w:rPr>
                <w:rFonts w:ascii="Arial" w:hAnsi="Arial" w:cs="Arial"/>
                <w:noProof/>
                <w:webHidden/>
                <w:sz w:val="22"/>
                <w:szCs w:val="22"/>
              </w:rPr>
              <w:instrText xml:space="preserve"> PAGEREF _Toc223612405 \h </w:instrText>
            </w:r>
            <w:r w:rsidRPr="0076216E">
              <w:rPr>
                <w:rFonts w:ascii="Arial" w:hAnsi="Arial" w:cs="Arial"/>
                <w:noProof/>
                <w:webHidden/>
                <w:sz w:val="22"/>
                <w:szCs w:val="22"/>
              </w:rPr>
            </w:r>
            <w:r w:rsidRPr="0076216E">
              <w:rPr>
                <w:rFonts w:ascii="Arial" w:hAnsi="Arial" w:cs="Arial"/>
                <w:noProof/>
                <w:webHidden/>
                <w:sz w:val="22"/>
                <w:szCs w:val="22"/>
              </w:rPr>
              <w:fldChar w:fldCharType="separate"/>
            </w:r>
            <w:r w:rsidR="00545E85" w:rsidRPr="0076216E">
              <w:rPr>
                <w:rFonts w:ascii="Arial" w:hAnsi="Arial" w:cs="Arial"/>
                <w:noProof/>
                <w:webHidden/>
                <w:sz w:val="22"/>
                <w:szCs w:val="22"/>
              </w:rPr>
              <w:t>8</w:t>
            </w:r>
            <w:r w:rsidRPr="0076216E">
              <w:rPr>
                <w:rFonts w:ascii="Arial" w:hAnsi="Arial" w:cs="Arial"/>
                <w:noProof/>
                <w:webHidden/>
                <w:sz w:val="22"/>
                <w:szCs w:val="22"/>
              </w:rPr>
              <w:fldChar w:fldCharType="end"/>
            </w:r>
          </w:hyperlink>
        </w:p>
        <w:p w14:paraId="2F5C4353" w14:textId="22B72DD3" w:rsidR="003C0A46" w:rsidRPr="0076216E" w:rsidRDefault="003C0A46" w:rsidP="003C0A46">
          <w:pPr>
            <w:pStyle w:val="TOC1"/>
            <w:tabs>
              <w:tab w:val="right" w:leader="dot" w:pos="9016"/>
            </w:tabs>
            <w:spacing w:line="360" w:lineRule="auto"/>
            <w:jc w:val="both"/>
            <w:rPr>
              <w:rFonts w:ascii="Arial" w:hAnsi="Arial" w:cs="Arial"/>
              <w:noProof/>
              <w:sz w:val="22"/>
              <w:szCs w:val="22"/>
            </w:rPr>
          </w:pPr>
          <w:hyperlink w:anchor="_Toc223612406" w:history="1">
            <w:r w:rsidRPr="0076216E">
              <w:rPr>
                <w:rStyle w:val="Hyperlink"/>
                <w:rFonts w:ascii="Arial" w:hAnsi="Arial" w:cs="Arial"/>
                <w:noProof/>
                <w:sz w:val="22"/>
                <w:szCs w:val="22"/>
              </w:rPr>
              <w:t>References</w:t>
            </w:r>
            <w:r w:rsidRPr="0076216E">
              <w:rPr>
                <w:rFonts w:ascii="Arial" w:hAnsi="Arial" w:cs="Arial"/>
                <w:noProof/>
                <w:webHidden/>
                <w:sz w:val="22"/>
                <w:szCs w:val="22"/>
              </w:rPr>
              <w:tab/>
            </w:r>
            <w:r w:rsidRPr="0076216E">
              <w:rPr>
                <w:rFonts w:ascii="Arial" w:hAnsi="Arial" w:cs="Arial"/>
                <w:noProof/>
                <w:webHidden/>
                <w:sz w:val="22"/>
                <w:szCs w:val="22"/>
              </w:rPr>
              <w:fldChar w:fldCharType="begin"/>
            </w:r>
            <w:r w:rsidRPr="0076216E">
              <w:rPr>
                <w:rFonts w:ascii="Arial" w:hAnsi="Arial" w:cs="Arial"/>
                <w:noProof/>
                <w:webHidden/>
                <w:sz w:val="22"/>
                <w:szCs w:val="22"/>
              </w:rPr>
              <w:instrText xml:space="preserve"> PAGEREF _Toc223612406 \h </w:instrText>
            </w:r>
            <w:r w:rsidRPr="0076216E">
              <w:rPr>
                <w:rFonts w:ascii="Arial" w:hAnsi="Arial" w:cs="Arial"/>
                <w:noProof/>
                <w:webHidden/>
                <w:sz w:val="22"/>
                <w:szCs w:val="22"/>
              </w:rPr>
            </w:r>
            <w:r w:rsidRPr="0076216E">
              <w:rPr>
                <w:rFonts w:ascii="Arial" w:hAnsi="Arial" w:cs="Arial"/>
                <w:noProof/>
                <w:webHidden/>
                <w:sz w:val="22"/>
                <w:szCs w:val="22"/>
              </w:rPr>
              <w:fldChar w:fldCharType="separate"/>
            </w:r>
            <w:r w:rsidR="00545E85" w:rsidRPr="0076216E">
              <w:rPr>
                <w:rFonts w:ascii="Arial" w:hAnsi="Arial" w:cs="Arial"/>
                <w:noProof/>
                <w:webHidden/>
                <w:sz w:val="22"/>
                <w:szCs w:val="22"/>
              </w:rPr>
              <w:t>9</w:t>
            </w:r>
            <w:r w:rsidRPr="0076216E">
              <w:rPr>
                <w:rFonts w:ascii="Arial" w:hAnsi="Arial" w:cs="Arial"/>
                <w:noProof/>
                <w:webHidden/>
                <w:sz w:val="22"/>
                <w:szCs w:val="22"/>
              </w:rPr>
              <w:fldChar w:fldCharType="end"/>
            </w:r>
          </w:hyperlink>
        </w:p>
        <w:p w14:paraId="018F8B6B" w14:textId="77777777" w:rsidR="003C0A46" w:rsidRPr="003C0A46" w:rsidRDefault="003C0A46" w:rsidP="003C0A46">
          <w:pPr>
            <w:spacing w:line="360" w:lineRule="auto"/>
            <w:jc w:val="both"/>
            <w:rPr>
              <w:rFonts w:ascii="Arial" w:hAnsi="Arial" w:cs="Arial"/>
              <w:b/>
              <w:bCs/>
              <w:noProof/>
              <w:sz w:val="22"/>
              <w:szCs w:val="22"/>
            </w:rPr>
          </w:pPr>
          <w:r w:rsidRPr="0076216E">
            <w:rPr>
              <w:rFonts w:ascii="Arial" w:hAnsi="Arial" w:cs="Arial"/>
              <w:b/>
              <w:bCs/>
              <w:noProof/>
              <w:sz w:val="22"/>
              <w:szCs w:val="22"/>
            </w:rPr>
            <w:fldChar w:fldCharType="end"/>
          </w:r>
        </w:p>
      </w:sdtContent>
    </w:sdt>
    <w:p w14:paraId="51167BAA" w14:textId="64150915" w:rsidR="003C0A46" w:rsidRDefault="003C0A46" w:rsidP="003C0A46">
      <w:pPr>
        <w:pStyle w:val="TOCHeading"/>
        <w:spacing w:line="360" w:lineRule="auto"/>
        <w:jc w:val="both"/>
      </w:pPr>
    </w:p>
    <w:p w14:paraId="3698AE8E" w14:textId="58885D28" w:rsidR="003C0A46" w:rsidRDefault="003C0A46"/>
    <w:p w14:paraId="286BD811" w14:textId="77777777" w:rsidR="00C71215" w:rsidRDefault="00C71215">
      <w:pPr>
        <w:rPr>
          <w:rFonts w:ascii="Times New Roman" w:eastAsiaTheme="majorEastAsia" w:hAnsi="Times New Roman" w:cstheme="majorBidi"/>
          <w:color w:val="2F5496" w:themeColor="accent1" w:themeShade="BF"/>
          <w:szCs w:val="36"/>
        </w:rPr>
      </w:pPr>
    </w:p>
    <w:p w14:paraId="2E8DA3F2" w14:textId="77777777" w:rsidR="00FB6C0E" w:rsidRPr="00527428" w:rsidRDefault="00FB6C0E" w:rsidP="00527428">
      <w:pPr>
        <w:spacing w:line="360" w:lineRule="auto"/>
        <w:jc w:val="both"/>
        <w:rPr>
          <w:rFonts w:ascii="Times New Roman" w:hAnsi="Times New Roman" w:cs="Times New Roman"/>
          <w:szCs w:val="24"/>
        </w:rPr>
      </w:pPr>
      <w:r w:rsidRPr="00527428">
        <w:rPr>
          <w:rFonts w:ascii="Times New Roman" w:hAnsi="Times New Roman" w:cs="Times New Roman"/>
          <w:szCs w:val="24"/>
        </w:rPr>
        <w:br w:type="page"/>
      </w:r>
    </w:p>
    <w:p w14:paraId="0E1FA6C8" w14:textId="77777777" w:rsidR="003C0A46" w:rsidRPr="003C0A46" w:rsidRDefault="003C0A46" w:rsidP="003C0A46">
      <w:pPr>
        <w:pStyle w:val="Heading1"/>
        <w:spacing w:line="360" w:lineRule="auto"/>
        <w:jc w:val="both"/>
        <w:rPr>
          <w:rFonts w:ascii="Arial" w:hAnsi="Arial" w:cs="Arial"/>
          <w:sz w:val="22"/>
          <w:szCs w:val="22"/>
        </w:rPr>
      </w:pPr>
      <w:bookmarkStart w:id="0" w:name="_Toc223612398"/>
      <w:r w:rsidRPr="003C0A46">
        <w:rPr>
          <w:rFonts w:ascii="Arial" w:hAnsi="Arial" w:cs="Arial"/>
          <w:sz w:val="22"/>
          <w:szCs w:val="22"/>
        </w:rPr>
        <w:lastRenderedPageBreak/>
        <w:t>Executive Summary</w:t>
      </w:r>
      <w:bookmarkEnd w:id="0"/>
    </w:p>
    <w:p w14:paraId="6F4DFFD3" w14:textId="757DCB6A" w:rsidR="003C0A46" w:rsidRPr="003C0A46" w:rsidRDefault="003C0A46" w:rsidP="003C0A46">
      <w:pPr>
        <w:spacing w:line="360" w:lineRule="auto"/>
        <w:jc w:val="both"/>
        <w:rPr>
          <w:rFonts w:ascii="Arial" w:hAnsi="Arial" w:cs="Arial"/>
          <w:sz w:val="22"/>
          <w:szCs w:val="22"/>
        </w:rPr>
      </w:pPr>
      <w:r w:rsidRPr="003C0A46">
        <w:rPr>
          <w:rFonts w:ascii="Arial" w:hAnsi="Arial" w:cs="Arial"/>
          <w:sz w:val="22"/>
          <w:szCs w:val="22"/>
        </w:rPr>
        <w:t>The radical disruption that is happening in the car industry in the United Kingdom is owed to the rate at which technology is evolving, being very high, stricter environmental laws, and alteration of consumer needs. This has necessitated the strategic management of automotive companies that would want to be competitive and viable in a highly dynamic environment. Bentley Motors is one of the major manufacturers of luxury cars produced in Britain and is offered in the highly competitive global market. The strategic location of this company is contained in this report.</w:t>
      </w:r>
    </w:p>
    <w:p w14:paraId="3B40AC11" w14:textId="5200B300" w:rsidR="00527428" w:rsidRDefault="003C0A46" w:rsidP="003C0A46">
      <w:pPr>
        <w:spacing w:line="360" w:lineRule="auto"/>
        <w:jc w:val="both"/>
        <w:rPr>
          <w:rFonts w:ascii="Arial" w:hAnsi="Arial" w:cs="Arial"/>
          <w:sz w:val="22"/>
          <w:szCs w:val="22"/>
        </w:rPr>
      </w:pPr>
      <w:r w:rsidRPr="003C0A46">
        <w:rPr>
          <w:rFonts w:ascii="Arial" w:hAnsi="Arial" w:cs="Arial"/>
          <w:sz w:val="22"/>
          <w:szCs w:val="22"/>
        </w:rPr>
        <w:t>The known strategic management frameworks have been applied in the report to analyse the external and internal environmental factors that influence Bentley Motors. The external environment is analysed in PESTLE analysis and Porter's Five Forces and thus isolates the macro-environmental as well as industry-level forces, which affect the strategies adopted by the company. To examine the competitive advantage and weaknesses of Bentley, the internal environment analysis will focus on the value-creating activities and the strategic resources of the company. These observations led the report to propose proactive steps that would result in Bentley becoming more generous in the market, making its electrification shift, and having</w:t>
      </w:r>
    </w:p>
    <w:p w14:paraId="08C0D00C" w14:textId="4945FAD9" w:rsidR="003C0A46" w:rsidRPr="00527428" w:rsidRDefault="003C0A46" w:rsidP="003C0A46">
      <w:pPr>
        <w:spacing w:line="360" w:lineRule="auto"/>
        <w:jc w:val="both"/>
        <w:rPr>
          <w:rFonts w:ascii="Times New Roman" w:hAnsi="Times New Roman" w:cs="Times New Roman"/>
          <w:szCs w:val="24"/>
        </w:rPr>
      </w:pPr>
      <w:r w:rsidRPr="003C0A46">
        <w:rPr>
          <w:rFonts w:ascii="Arial" w:hAnsi="Arial" w:cs="Arial"/>
          <w:sz w:val="22"/>
          <w:szCs w:val="22"/>
        </w:rPr>
        <w:t>sustainable growth in the long term. The findings demonstrate that despite having a formidable brand, heritage, and workshops, Bentley still needs to adjust its course of action to effectively respond to the regulatory pressures, technological disruptions, and shifts in the luxury tastes</w:t>
      </w:r>
      <w:r>
        <w:rPr>
          <w:rFonts w:ascii="Arial" w:hAnsi="Arial" w:cs="Arial"/>
          <w:sz w:val="22"/>
          <w:szCs w:val="22"/>
        </w:rPr>
        <w:t>.</w:t>
      </w:r>
    </w:p>
    <w:p w14:paraId="4315EE62" w14:textId="77777777" w:rsidR="00527428" w:rsidRPr="00527428" w:rsidRDefault="00527428" w:rsidP="00527428">
      <w:pPr>
        <w:spacing w:line="360" w:lineRule="auto"/>
        <w:jc w:val="both"/>
        <w:rPr>
          <w:rFonts w:ascii="Times New Roman" w:eastAsiaTheme="majorEastAsia" w:hAnsi="Times New Roman" w:cs="Times New Roman"/>
          <w:color w:val="2F5496" w:themeColor="accent1" w:themeShade="BF"/>
          <w:szCs w:val="24"/>
        </w:rPr>
      </w:pPr>
      <w:r w:rsidRPr="00527428">
        <w:rPr>
          <w:rFonts w:ascii="Times New Roman" w:hAnsi="Times New Roman" w:cs="Times New Roman"/>
          <w:szCs w:val="24"/>
        </w:rPr>
        <w:br w:type="page"/>
      </w:r>
    </w:p>
    <w:p w14:paraId="21F66033" w14:textId="01876AB9" w:rsidR="002D57AB" w:rsidRPr="003C0A46" w:rsidRDefault="002D57AB" w:rsidP="00527428">
      <w:pPr>
        <w:pStyle w:val="Heading1"/>
        <w:spacing w:line="360" w:lineRule="auto"/>
        <w:jc w:val="both"/>
        <w:rPr>
          <w:rFonts w:ascii="Arial" w:hAnsi="Arial" w:cs="Arial"/>
          <w:sz w:val="22"/>
          <w:szCs w:val="22"/>
        </w:rPr>
      </w:pPr>
      <w:bookmarkStart w:id="1" w:name="_Toc223612399"/>
      <w:r w:rsidRPr="003C0A46">
        <w:rPr>
          <w:rFonts w:ascii="Arial" w:hAnsi="Arial" w:cs="Arial"/>
          <w:sz w:val="22"/>
          <w:szCs w:val="22"/>
        </w:rPr>
        <w:lastRenderedPageBreak/>
        <w:t>Introduction</w:t>
      </w:r>
      <w:bookmarkEnd w:id="1"/>
    </w:p>
    <w:p w14:paraId="0B63DE36" w14:textId="5178621D" w:rsidR="00F073BA" w:rsidRPr="003C0A46" w:rsidRDefault="00F073BA" w:rsidP="00527428">
      <w:pPr>
        <w:spacing w:line="360" w:lineRule="auto"/>
        <w:jc w:val="both"/>
        <w:rPr>
          <w:rFonts w:ascii="Arial" w:hAnsi="Arial" w:cs="Arial"/>
          <w:sz w:val="22"/>
          <w:szCs w:val="22"/>
        </w:rPr>
      </w:pPr>
      <w:r w:rsidRPr="003C0A46">
        <w:rPr>
          <w:rFonts w:ascii="Arial" w:hAnsi="Arial" w:cs="Arial"/>
          <w:sz w:val="22"/>
          <w:szCs w:val="22"/>
        </w:rPr>
        <w:t xml:space="preserve">Strategic management comes in as a key factor that assists organisations in coping with the complex and unpredictable business environments. It involves the formulation, creation, and testing of decisions that can help the firms to achieve long-term objectives and be </w:t>
      </w:r>
      <w:r w:rsidR="003C0A46" w:rsidRPr="003C0A46">
        <w:rPr>
          <w:rFonts w:ascii="Arial" w:hAnsi="Arial" w:cs="Arial"/>
          <w:sz w:val="22"/>
          <w:szCs w:val="22"/>
        </w:rPr>
        <w:t>able</w:t>
      </w:r>
      <w:r w:rsidRPr="003C0A46">
        <w:rPr>
          <w:rFonts w:ascii="Arial" w:hAnsi="Arial" w:cs="Arial"/>
          <w:sz w:val="22"/>
          <w:szCs w:val="22"/>
        </w:rPr>
        <w:t xml:space="preserve"> to react suitably </w:t>
      </w:r>
      <w:r w:rsidR="003C0A46" w:rsidRPr="003C0A46">
        <w:rPr>
          <w:rFonts w:ascii="Arial" w:hAnsi="Arial" w:cs="Arial"/>
          <w:sz w:val="22"/>
          <w:szCs w:val="22"/>
        </w:rPr>
        <w:t>regarding</w:t>
      </w:r>
      <w:r w:rsidRPr="003C0A46">
        <w:rPr>
          <w:rFonts w:ascii="Arial" w:hAnsi="Arial" w:cs="Arial"/>
          <w:sz w:val="22"/>
          <w:szCs w:val="22"/>
        </w:rPr>
        <w:t xml:space="preserve"> the external forces as well as the capabilities of the firms (Lasserre and Monteiro, 2022).</w:t>
      </w:r>
      <w:r w:rsidR="00513C77" w:rsidRPr="003C0A46">
        <w:rPr>
          <w:rFonts w:ascii="Arial" w:hAnsi="Arial" w:cs="Arial"/>
          <w:sz w:val="22"/>
          <w:szCs w:val="22"/>
        </w:rPr>
        <w:t xml:space="preserve"> </w:t>
      </w:r>
      <w:r w:rsidRPr="003C0A46">
        <w:rPr>
          <w:rFonts w:ascii="Arial" w:hAnsi="Arial" w:cs="Arial"/>
          <w:sz w:val="22"/>
          <w:szCs w:val="22"/>
        </w:rPr>
        <w:t xml:space="preserve">This is particularly applicable to industries that </w:t>
      </w:r>
      <w:r w:rsidR="003C0A46" w:rsidRPr="003C0A46">
        <w:rPr>
          <w:rFonts w:ascii="Arial" w:hAnsi="Arial" w:cs="Arial"/>
          <w:sz w:val="22"/>
          <w:szCs w:val="22"/>
        </w:rPr>
        <w:t>must</w:t>
      </w:r>
      <w:r w:rsidRPr="003C0A46">
        <w:rPr>
          <w:rFonts w:ascii="Arial" w:hAnsi="Arial" w:cs="Arial"/>
          <w:sz w:val="22"/>
          <w:szCs w:val="22"/>
        </w:rPr>
        <w:t xml:space="preserve"> be highly innovative, draw heavy inflows of capital, and be under the control of their governments, like the automotive industry, where strategic management is vital concerning competitive advantage and organisational sustainability (Du and </w:t>
      </w:r>
      <w:proofErr w:type="spellStart"/>
      <w:r w:rsidRPr="003C0A46">
        <w:rPr>
          <w:rFonts w:ascii="Arial" w:hAnsi="Arial" w:cs="Arial"/>
          <w:sz w:val="22"/>
          <w:szCs w:val="22"/>
        </w:rPr>
        <w:t>Shepotylo</w:t>
      </w:r>
      <w:proofErr w:type="spellEnd"/>
      <w:r w:rsidRPr="003C0A46">
        <w:rPr>
          <w:rFonts w:ascii="Arial" w:hAnsi="Arial" w:cs="Arial"/>
          <w:sz w:val="22"/>
          <w:szCs w:val="22"/>
        </w:rPr>
        <w:t>, 2024).</w:t>
      </w:r>
    </w:p>
    <w:p w14:paraId="115072D2" w14:textId="77777777" w:rsidR="00F073BA" w:rsidRPr="003C0A46" w:rsidRDefault="00F073BA" w:rsidP="00527428">
      <w:pPr>
        <w:spacing w:line="360" w:lineRule="auto"/>
        <w:jc w:val="both"/>
        <w:rPr>
          <w:rFonts w:ascii="Arial" w:hAnsi="Arial" w:cs="Arial"/>
          <w:sz w:val="22"/>
          <w:szCs w:val="22"/>
        </w:rPr>
      </w:pPr>
      <w:r w:rsidRPr="003C0A46">
        <w:rPr>
          <w:rFonts w:ascii="Arial" w:hAnsi="Arial" w:cs="Arial"/>
          <w:sz w:val="22"/>
          <w:szCs w:val="22"/>
        </w:rPr>
        <w:t xml:space="preserve">The automotive industry has always been regarded as one of the supporting industries of the UK that considerably contributes to the workforce, the export, and the novelties (Du and </w:t>
      </w:r>
      <w:proofErr w:type="spellStart"/>
      <w:r w:rsidRPr="003C0A46">
        <w:rPr>
          <w:rFonts w:ascii="Arial" w:hAnsi="Arial" w:cs="Arial"/>
          <w:sz w:val="22"/>
          <w:szCs w:val="22"/>
        </w:rPr>
        <w:t>Shepotylo</w:t>
      </w:r>
      <w:proofErr w:type="spellEnd"/>
      <w:r w:rsidRPr="003C0A46">
        <w:rPr>
          <w:rFonts w:ascii="Arial" w:hAnsi="Arial" w:cs="Arial"/>
          <w:sz w:val="22"/>
          <w:szCs w:val="22"/>
        </w:rPr>
        <w:t>, 2024). The industry, however, is currently experiencing a fundamental shift in the composition of its structure with the transition of the world into the electric car, growing environmental regulations, and changing customer requirements regarding eco-friendliness and internet accessibility. These inventions bring a possible risk to the established automotive firms with their numerous brands, and specifically those whose ventures fall in the luxury category, with differentiation and brand image being the major assets.</w:t>
      </w:r>
    </w:p>
    <w:p w14:paraId="411DFC71" w14:textId="77777777" w:rsidR="00376FC6" w:rsidRPr="003C0A46" w:rsidRDefault="00376FC6" w:rsidP="00527428">
      <w:pPr>
        <w:spacing w:line="360" w:lineRule="auto"/>
        <w:jc w:val="both"/>
        <w:rPr>
          <w:rFonts w:ascii="Arial" w:hAnsi="Arial" w:cs="Arial"/>
          <w:sz w:val="22"/>
          <w:szCs w:val="22"/>
        </w:rPr>
      </w:pPr>
      <w:r w:rsidRPr="003C0A46">
        <w:rPr>
          <w:rFonts w:ascii="Arial" w:hAnsi="Arial" w:cs="Arial"/>
          <w:sz w:val="22"/>
          <w:szCs w:val="22"/>
        </w:rPr>
        <w:t>Bentley Motors is a famous British company that deals with luxury cars of high quality. The company is well known all over the world for its focus on performance, exclusiveness, and craftsmanship, which has helped the company to stay in its own niche in the premium car market. The niche market of Bentley is a place where brand recognition, the quality of the product, and customer experience are simply a success factor. Another strategic sphere that the company has shown in the last several years in its long-term vision is sustainability and electrification (Bentley, 2026).</w:t>
      </w:r>
    </w:p>
    <w:p w14:paraId="5C7743D9" w14:textId="21675FB0" w:rsidR="00C769CF" w:rsidRPr="003C0A46" w:rsidRDefault="00F073BA" w:rsidP="00527428">
      <w:pPr>
        <w:spacing w:line="360" w:lineRule="auto"/>
        <w:jc w:val="both"/>
        <w:rPr>
          <w:rFonts w:ascii="Arial" w:hAnsi="Arial" w:cs="Arial"/>
          <w:sz w:val="22"/>
          <w:szCs w:val="22"/>
        </w:rPr>
      </w:pPr>
      <w:r w:rsidRPr="003C0A46">
        <w:rPr>
          <w:rFonts w:ascii="Arial" w:hAnsi="Arial" w:cs="Arial"/>
          <w:sz w:val="22"/>
          <w:szCs w:val="22"/>
        </w:rPr>
        <w:t>The direction of Bentley's vision is based on the purpose of becoming a sustainable luxury provider of mobility and maintaining its design and performance heritage. It has a greater interest in the luxury cars of high quality, which is combined with hi-fi technology and the outdated craftsmanship in its mission. Its core strategic goals involve going carbon-neutral, expanding its electric and hybrid car portfolio, and growing its market foundation around the world, but brand exclusivity will remain (Bentley, 2026). This report talks about why Bentley Motors can align its own internal capabilities and the external opportunities so that it can ensure its future achievements in the changing automobile world.</w:t>
      </w:r>
    </w:p>
    <w:p w14:paraId="7CCFEE1F" w14:textId="7F2C2AEA" w:rsidR="002D57AB" w:rsidRPr="003C0A46" w:rsidRDefault="002D57AB" w:rsidP="00527428">
      <w:pPr>
        <w:pStyle w:val="Heading1"/>
        <w:spacing w:line="360" w:lineRule="auto"/>
        <w:jc w:val="both"/>
        <w:rPr>
          <w:rFonts w:ascii="Arial" w:hAnsi="Arial" w:cs="Arial"/>
          <w:sz w:val="22"/>
          <w:szCs w:val="22"/>
        </w:rPr>
      </w:pPr>
      <w:bookmarkStart w:id="2" w:name="_Toc223612400"/>
      <w:r w:rsidRPr="003C0A46">
        <w:rPr>
          <w:rFonts w:ascii="Arial" w:hAnsi="Arial" w:cs="Arial"/>
          <w:sz w:val="22"/>
          <w:szCs w:val="22"/>
        </w:rPr>
        <w:lastRenderedPageBreak/>
        <w:t>Strategy Analysis</w:t>
      </w:r>
      <w:bookmarkEnd w:id="2"/>
    </w:p>
    <w:p w14:paraId="4FEF0BBA" w14:textId="5EE21FFB" w:rsidR="002D57AB" w:rsidRPr="003C0A46" w:rsidRDefault="002D57AB" w:rsidP="00527428">
      <w:pPr>
        <w:pStyle w:val="Heading2"/>
        <w:spacing w:line="360" w:lineRule="auto"/>
        <w:jc w:val="both"/>
        <w:rPr>
          <w:rFonts w:ascii="Arial" w:hAnsi="Arial" w:cs="Arial"/>
          <w:sz w:val="22"/>
          <w:szCs w:val="22"/>
        </w:rPr>
      </w:pPr>
      <w:bookmarkStart w:id="3" w:name="_Toc223612401"/>
      <w:r w:rsidRPr="003C0A46">
        <w:rPr>
          <w:rFonts w:ascii="Arial" w:hAnsi="Arial" w:cs="Arial"/>
          <w:sz w:val="22"/>
          <w:szCs w:val="22"/>
        </w:rPr>
        <w:t>External Environment Audit</w:t>
      </w:r>
      <w:bookmarkEnd w:id="3"/>
    </w:p>
    <w:p w14:paraId="1F563C41" w14:textId="77777777" w:rsidR="00BA2FBE" w:rsidRPr="003C0A46" w:rsidRDefault="00BA2FBE" w:rsidP="00527428">
      <w:pPr>
        <w:spacing w:line="360" w:lineRule="auto"/>
        <w:jc w:val="both"/>
        <w:rPr>
          <w:rFonts w:ascii="Arial" w:hAnsi="Arial" w:cs="Arial"/>
          <w:sz w:val="22"/>
          <w:szCs w:val="22"/>
        </w:rPr>
      </w:pPr>
      <w:r w:rsidRPr="003C0A46">
        <w:rPr>
          <w:rFonts w:ascii="Arial" w:hAnsi="Arial" w:cs="Arial"/>
          <w:sz w:val="22"/>
          <w:szCs w:val="22"/>
        </w:rPr>
        <w:t>The external environment plays a critical role in the discovery of the factors that influence the organisational strategy, yet the managers have no direct control over it. In this instance of Bentley Motors, the macro environmental and industry-level forces are significant in the strategic decision-making, investment focus, and long-term competitiveness.</w:t>
      </w:r>
    </w:p>
    <w:p w14:paraId="7AE0FB23" w14:textId="27B97016" w:rsidR="002D57AB" w:rsidRPr="003C0A46" w:rsidRDefault="002D57AB" w:rsidP="00527428">
      <w:pPr>
        <w:spacing w:line="360" w:lineRule="auto"/>
        <w:jc w:val="both"/>
        <w:rPr>
          <w:rFonts w:ascii="Arial" w:hAnsi="Arial" w:cs="Arial"/>
          <w:b/>
          <w:bCs/>
          <w:sz w:val="22"/>
          <w:szCs w:val="22"/>
        </w:rPr>
      </w:pPr>
      <w:r w:rsidRPr="003C0A46">
        <w:rPr>
          <w:rFonts w:ascii="Arial" w:hAnsi="Arial" w:cs="Arial"/>
          <w:b/>
          <w:bCs/>
          <w:sz w:val="22"/>
          <w:szCs w:val="22"/>
        </w:rPr>
        <w:t>PESTLE Analysis</w:t>
      </w:r>
    </w:p>
    <w:p w14:paraId="279F049A" w14:textId="6426D084" w:rsidR="00471EA5" w:rsidRPr="003C0A46" w:rsidRDefault="00FB6C0E" w:rsidP="00527428">
      <w:pPr>
        <w:spacing w:line="360" w:lineRule="auto"/>
        <w:jc w:val="both"/>
        <w:rPr>
          <w:rFonts w:ascii="Arial" w:hAnsi="Arial" w:cs="Arial"/>
          <w:sz w:val="22"/>
          <w:szCs w:val="22"/>
        </w:rPr>
      </w:pPr>
      <w:r w:rsidRPr="003C0A46">
        <w:rPr>
          <w:rFonts w:ascii="Arial" w:hAnsi="Arial" w:cs="Arial"/>
          <w:sz w:val="22"/>
          <w:szCs w:val="22"/>
        </w:rPr>
        <w:t xml:space="preserve">Political Factors - </w:t>
      </w:r>
      <w:r w:rsidR="00471EA5" w:rsidRPr="003C0A46">
        <w:rPr>
          <w:rFonts w:ascii="Arial" w:hAnsi="Arial" w:cs="Arial"/>
          <w:sz w:val="22"/>
          <w:szCs w:val="22"/>
        </w:rPr>
        <w:t>Automotive is also a sector that is most influenced by the political determinant</w:t>
      </w:r>
      <w:r w:rsidR="00C54A33" w:rsidRPr="003C0A46">
        <w:rPr>
          <w:rFonts w:ascii="Arial" w:hAnsi="Arial" w:cs="Arial"/>
          <w:sz w:val="22"/>
          <w:szCs w:val="22"/>
        </w:rPr>
        <w:t>s</w:t>
      </w:r>
      <w:r w:rsidR="00471EA5" w:rsidRPr="003C0A46">
        <w:rPr>
          <w:rFonts w:ascii="Arial" w:hAnsi="Arial" w:cs="Arial"/>
          <w:sz w:val="22"/>
          <w:szCs w:val="22"/>
        </w:rPr>
        <w:t xml:space="preserve"> through the government policies, trade policies, and emission requirements. In this case, the governments of the UK and other leading markets are promoting the use of electric cars with incentives and, at the same time, a stricter method of emission policy (</w:t>
      </w:r>
      <w:proofErr w:type="spellStart"/>
      <w:r w:rsidR="00471EA5" w:rsidRPr="003C0A46">
        <w:rPr>
          <w:rFonts w:ascii="Arial" w:hAnsi="Arial" w:cs="Arial"/>
          <w:sz w:val="22"/>
          <w:szCs w:val="22"/>
        </w:rPr>
        <w:t>Ajeigbe</w:t>
      </w:r>
      <w:proofErr w:type="spellEnd"/>
      <w:r w:rsidR="00471EA5" w:rsidRPr="003C0A46">
        <w:rPr>
          <w:rFonts w:ascii="Arial" w:hAnsi="Arial" w:cs="Arial"/>
          <w:sz w:val="22"/>
          <w:szCs w:val="22"/>
        </w:rPr>
        <w:t xml:space="preserve"> and Holt, 2025). The various policies that Bentley Motors ought to adopt in the case scenario </w:t>
      </w:r>
      <w:proofErr w:type="gramStart"/>
      <w:r w:rsidR="00471EA5" w:rsidRPr="003C0A46">
        <w:rPr>
          <w:rFonts w:ascii="Arial" w:hAnsi="Arial" w:cs="Arial"/>
          <w:sz w:val="22"/>
          <w:szCs w:val="22"/>
        </w:rPr>
        <w:t>have to</w:t>
      </w:r>
      <w:proofErr w:type="gramEnd"/>
      <w:r w:rsidR="00471EA5" w:rsidRPr="003C0A46">
        <w:rPr>
          <w:rFonts w:ascii="Arial" w:hAnsi="Arial" w:cs="Arial"/>
          <w:sz w:val="22"/>
          <w:szCs w:val="22"/>
        </w:rPr>
        <w:t xml:space="preserve"> be well aligned with national and global regulatory frameworks, whereby it must invest in electric and hybrid technologies and deal with the risk posed by changing trade deals and tariffs.</w:t>
      </w:r>
    </w:p>
    <w:p w14:paraId="0FFB64F0" w14:textId="0C6B6C30" w:rsidR="00471EA5" w:rsidRPr="003C0A46" w:rsidRDefault="00FB6C0E" w:rsidP="00527428">
      <w:pPr>
        <w:spacing w:line="360" w:lineRule="auto"/>
        <w:jc w:val="both"/>
        <w:rPr>
          <w:rFonts w:ascii="Arial" w:hAnsi="Arial" w:cs="Arial"/>
          <w:sz w:val="22"/>
          <w:szCs w:val="22"/>
        </w:rPr>
      </w:pPr>
      <w:r w:rsidRPr="003C0A46">
        <w:rPr>
          <w:rFonts w:ascii="Arial" w:hAnsi="Arial" w:cs="Arial"/>
          <w:sz w:val="22"/>
          <w:szCs w:val="22"/>
        </w:rPr>
        <w:t xml:space="preserve">Economic Factors - </w:t>
      </w:r>
      <w:r w:rsidR="00471EA5" w:rsidRPr="003C0A46">
        <w:rPr>
          <w:rFonts w:ascii="Arial" w:hAnsi="Arial" w:cs="Arial"/>
          <w:sz w:val="22"/>
          <w:szCs w:val="22"/>
        </w:rPr>
        <w:t>The luxury automotive industry depends on the economic factors that shape the purchasing power of consumers and the cost of production to determine its demand</w:t>
      </w:r>
      <w:r w:rsidR="008F47CD" w:rsidRPr="003C0A46">
        <w:rPr>
          <w:rFonts w:ascii="Arial" w:hAnsi="Arial" w:cs="Arial"/>
          <w:sz w:val="22"/>
          <w:szCs w:val="22"/>
        </w:rPr>
        <w:t xml:space="preserve"> (European Automobile Manufacturers Association, 2025).</w:t>
      </w:r>
      <w:r w:rsidR="00471EA5" w:rsidRPr="003C0A46">
        <w:rPr>
          <w:rFonts w:ascii="Arial" w:hAnsi="Arial" w:cs="Arial"/>
          <w:sz w:val="22"/>
          <w:szCs w:val="22"/>
        </w:rPr>
        <w:t xml:space="preserve"> The economic uncertainty in the world system, rise in inflation, exchange rate changes, and interest rate demand may have an influence on the demand for high-value vehicles. Although the consumers of Bentley are slightly less price-sensitive, the recessions of an economy in the long run can reduce the discretionary spending. In addition, increasing the cost of operating and profitability is enhanced by the increase in the price of raw material, modern technologies, professional labour, etc. (Fan and Iqbal, 2022).</w:t>
      </w:r>
    </w:p>
    <w:p w14:paraId="4B6B5D53" w14:textId="6F64BCB3" w:rsidR="00675C79" w:rsidRPr="003C0A46" w:rsidRDefault="00675C79" w:rsidP="00527428">
      <w:pPr>
        <w:spacing w:line="360" w:lineRule="auto"/>
        <w:jc w:val="both"/>
        <w:rPr>
          <w:rFonts w:ascii="Arial" w:hAnsi="Arial" w:cs="Arial"/>
          <w:sz w:val="22"/>
          <w:szCs w:val="22"/>
        </w:rPr>
      </w:pPr>
      <w:r w:rsidRPr="003C0A46">
        <w:rPr>
          <w:rFonts w:ascii="Arial" w:hAnsi="Arial" w:cs="Arial"/>
          <w:sz w:val="22"/>
          <w:szCs w:val="22"/>
        </w:rPr>
        <w:t xml:space="preserve">Social </w:t>
      </w:r>
      <w:r w:rsidR="00757658" w:rsidRPr="003C0A46">
        <w:rPr>
          <w:rFonts w:ascii="Arial" w:hAnsi="Arial" w:cs="Arial"/>
          <w:sz w:val="22"/>
          <w:szCs w:val="22"/>
        </w:rPr>
        <w:t>F</w:t>
      </w:r>
      <w:r w:rsidRPr="003C0A46">
        <w:rPr>
          <w:rFonts w:ascii="Arial" w:hAnsi="Arial" w:cs="Arial"/>
          <w:sz w:val="22"/>
          <w:szCs w:val="22"/>
        </w:rPr>
        <w:t xml:space="preserve">actors </w:t>
      </w:r>
      <w:r w:rsidR="00EC221A" w:rsidRPr="003C0A46">
        <w:rPr>
          <w:rFonts w:ascii="Arial" w:hAnsi="Arial" w:cs="Arial"/>
          <w:sz w:val="22"/>
          <w:szCs w:val="22"/>
        </w:rPr>
        <w:t>-</w:t>
      </w:r>
      <w:r w:rsidR="00FB6C0E" w:rsidRPr="003C0A46">
        <w:rPr>
          <w:rFonts w:ascii="Arial" w:hAnsi="Arial" w:cs="Arial"/>
          <w:sz w:val="22"/>
          <w:szCs w:val="22"/>
        </w:rPr>
        <w:t xml:space="preserve"> They </w:t>
      </w:r>
      <w:r w:rsidRPr="003C0A46">
        <w:rPr>
          <w:rFonts w:ascii="Arial" w:hAnsi="Arial" w:cs="Arial"/>
          <w:sz w:val="22"/>
          <w:szCs w:val="22"/>
        </w:rPr>
        <w:t xml:space="preserve">refer to the evolving consumer values and the preferences for lifestyle. Luxury customers are currently becoming more concerned with the areas of sustainability, ethical business </w:t>
      </w:r>
      <w:r w:rsidR="005A3629" w:rsidRPr="003C0A46">
        <w:rPr>
          <w:rFonts w:ascii="Arial" w:hAnsi="Arial" w:cs="Arial"/>
          <w:sz w:val="22"/>
          <w:szCs w:val="22"/>
        </w:rPr>
        <w:t>behaviour</w:t>
      </w:r>
      <w:r w:rsidRPr="003C0A46">
        <w:rPr>
          <w:rFonts w:ascii="Arial" w:hAnsi="Arial" w:cs="Arial"/>
          <w:sz w:val="22"/>
          <w:szCs w:val="22"/>
        </w:rPr>
        <w:t xml:space="preserve">, depth of technology, and the traditional notions of performance and exclusivity. This transition presents a chance to benefit the attention of luxury customers who are environmentally conscious in the situation with Bentley; however, it will have to be closely handled to ensure that the sustainability efforts </w:t>
      </w:r>
      <w:proofErr w:type="spellStart"/>
      <w:r w:rsidRPr="003C0A46">
        <w:rPr>
          <w:rFonts w:ascii="Arial" w:hAnsi="Arial" w:cs="Arial"/>
          <w:sz w:val="22"/>
          <w:szCs w:val="22"/>
        </w:rPr>
        <w:t>favor</w:t>
      </w:r>
      <w:proofErr w:type="spellEnd"/>
      <w:r w:rsidRPr="003C0A46">
        <w:rPr>
          <w:rFonts w:ascii="Arial" w:hAnsi="Arial" w:cs="Arial"/>
          <w:sz w:val="22"/>
          <w:szCs w:val="22"/>
        </w:rPr>
        <w:t>, but do not hinder, brand history and reputation (Fan and Iqbal, 2022).</w:t>
      </w:r>
    </w:p>
    <w:p w14:paraId="65AB1703" w14:textId="29527B8D" w:rsidR="00710578" w:rsidRPr="003C0A46" w:rsidRDefault="00710578" w:rsidP="00527428">
      <w:pPr>
        <w:spacing w:line="360" w:lineRule="auto"/>
        <w:jc w:val="both"/>
        <w:rPr>
          <w:rFonts w:ascii="Arial" w:hAnsi="Arial" w:cs="Arial"/>
          <w:sz w:val="22"/>
          <w:szCs w:val="22"/>
        </w:rPr>
      </w:pPr>
      <w:r w:rsidRPr="003C0A46">
        <w:rPr>
          <w:rFonts w:ascii="Arial" w:hAnsi="Arial" w:cs="Arial"/>
          <w:sz w:val="22"/>
          <w:szCs w:val="22"/>
        </w:rPr>
        <w:t xml:space="preserve">Technological Factors - Technological factors are the reason behind the change of the automotive industry, as it is evolving towards electrification, the development of batteries, autonomous driving, and the creation of digital connections. </w:t>
      </w:r>
      <w:r w:rsidR="003C0A46" w:rsidRPr="003C0A46">
        <w:rPr>
          <w:rFonts w:ascii="Arial" w:hAnsi="Arial" w:cs="Arial"/>
          <w:sz w:val="22"/>
          <w:szCs w:val="22"/>
        </w:rPr>
        <w:t>To</w:t>
      </w:r>
      <w:r w:rsidRPr="003C0A46">
        <w:rPr>
          <w:rFonts w:ascii="Arial" w:hAnsi="Arial" w:cs="Arial"/>
          <w:sz w:val="22"/>
          <w:szCs w:val="22"/>
        </w:rPr>
        <w:t xml:space="preserve"> keep up </w:t>
      </w:r>
      <w:r w:rsidRPr="00545E85">
        <w:rPr>
          <w:rFonts w:ascii="Arial" w:hAnsi="Arial" w:cs="Arial"/>
          <w:sz w:val="22"/>
          <w:szCs w:val="22"/>
        </w:rPr>
        <w:t>with the times, Bentley</w:t>
      </w:r>
      <w:r w:rsidRPr="00527428">
        <w:rPr>
          <w:rFonts w:ascii="Times New Roman" w:hAnsi="Times New Roman" w:cs="Times New Roman"/>
          <w:szCs w:val="24"/>
        </w:rPr>
        <w:t xml:space="preserve"> </w:t>
      </w:r>
      <w:r w:rsidRPr="003C0A46">
        <w:rPr>
          <w:rFonts w:ascii="Arial" w:hAnsi="Arial" w:cs="Arial"/>
          <w:sz w:val="22"/>
          <w:szCs w:val="22"/>
        </w:rPr>
        <w:lastRenderedPageBreak/>
        <w:t xml:space="preserve">should always be researching to keep up with the ever-changing world, just like its recent update, </w:t>
      </w:r>
      <w:r w:rsidR="00545E85" w:rsidRPr="003C0A46">
        <w:rPr>
          <w:rFonts w:ascii="Arial" w:hAnsi="Arial" w:cs="Arial"/>
          <w:sz w:val="22"/>
          <w:szCs w:val="22"/>
        </w:rPr>
        <w:t>and</w:t>
      </w:r>
      <w:r w:rsidRPr="003C0A46">
        <w:rPr>
          <w:rFonts w:ascii="Arial" w:hAnsi="Arial" w:cs="Arial"/>
          <w:sz w:val="22"/>
          <w:szCs w:val="22"/>
        </w:rPr>
        <w:t xml:space="preserve"> adopting new technology in a manner that will not compromise its luxury reputation. This capability to combine the new technology with the </w:t>
      </w:r>
      <w:proofErr w:type="spellStart"/>
      <w:r w:rsidRPr="003C0A46">
        <w:rPr>
          <w:rFonts w:ascii="Arial" w:hAnsi="Arial" w:cs="Arial"/>
          <w:sz w:val="22"/>
          <w:szCs w:val="22"/>
        </w:rPr>
        <w:t>oldsmanship</w:t>
      </w:r>
      <w:proofErr w:type="spellEnd"/>
      <w:r w:rsidRPr="003C0A46">
        <w:rPr>
          <w:rFonts w:ascii="Arial" w:hAnsi="Arial" w:cs="Arial"/>
          <w:sz w:val="22"/>
          <w:szCs w:val="22"/>
        </w:rPr>
        <w:t xml:space="preserve"> plays a very important role in further sustaining the differentiation in the luxury automotive market (Braidy, Pokharel, and </w:t>
      </w:r>
      <w:proofErr w:type="spellStart"/>
      <w:r w:rsidRPr="003C0A46">
        <w:rPr>
          <w:rFonts w:ascii="Arial" w:hAnsi="Arial" w:cs="Arial"/>
          <w:sz w:val="22"/>
          <w:szCs w:val="22"/>
        </w:rPr>
        <w:t>ElMekkawy</w:t>
      </w:r>
      <w:proofErr w:type="spellEnd"/>
      <w:r w:rsidRPr="003C0A46">
        <w:rPr>
          <w:rFonts w:ascii="Arial" w:hAnsi="Arial" w:cs="Arial"/>
          <w:sz w:val="22"/>
          <w:szCs w:val="22"/>
        </w:rPr>
        <w:t>, 2025).</w:t>
      </w:r>
    </w:p>
    <w:p w14:paraId="1025235B" w14:textId="3CBACF2F" w:rsidR="00675C79" w:rsidRPr="003C0A46" w:rsidRDefault="00757658" w:rsidP="00527428">
      <w:pPr>
        <w:spacing w:line="360" w:lineRule="auto"/>
        <w:jc w:val="both"/>
        <w:rPr>
          <w:rFonts w:ascii="Arial" w:hAnsi="Arial" w:cs="Arial"/>
          <w:sz w:val="22"/>
          <w:szCs w:val="22"/>
        </w:rPr>
      </w:pPr>
      <w:r w:rsidRPr="003C0A46">
        <w:rPr>
          <w:rFonts w:ascii="Arial" w:hAnsi="Arial" w:cs="Arial"/>
          <w:sz w:val="22"/>
          <w:szCs w:val="22"/>
        </w:rPr>
        <w:t xml:space="preserve">Legal Factors - </w:t>
      </w:r>
      <w:r w:rsidR="00675C79" w:rsidRPr="003C0A46">
        <w:rPr>
          <w:rFonts w:ascii="Arial" w:hAnsi="Arial" w:cs="Arial"/>
          <w:sz w:val="22"/>
          <w:szCs w:val="22"/>
        </w:rPr>
        <w:t>The legal considerations were very strict on the issues related to vehicle safety, compliance, labour, and consumer laws. The information and the need to comply with the various places that have intricate and evolving legal orders in different localities introduce operating costs and administrative complications (Cordes, Dudley, and Washington, 2022). However, adhering to such laws is crucial to remain in the business, be a brand that is credible and legitimately viable over the long term.</w:t>
      </w:r>
    </w:p>
    <w:p w14:paraId="1ABE262C" w14:textId="7111A9E6" w:rsidR="00675C79" w:rsidRPr="003C0A46" w:rsidRDefault="00CB00F2" w:rsidP="00527428">
      <w:pPr>
        <w:spacing w:line="360" w:lineRule="auto"/>
        <w:jc w:val="both"/>
        <w:rPr>
          <w:rFonts w:ascii="Arial" w:hAnsi="Arial" w:cs="Arial"/>
          <w:sz w:val="22"/>
          <w:szCs w:val="22"/>
        </w:rPr>
      </w:pPr>
      <w:r w:rsidRPr="003C0A46">
        <w:rPr>
          <w:rFonts w:ascii="Arial" w:hAnsi="Arial" w:cs="Arial"/>
          <w:sz w:val="22"/>
          <w:szCs w:val="22"/>
        </w:rPr>
        <w:t xml:space="preserve">Environmental Factors - </w:t>
      </w:r>
      <w:r w:rsidR="00675C79" w:rsidRPr="003C0A46">
        <w:rPr>
          <w:rFonts w:ascii="Arial" w:hAnsi="Arial" w:cs="Arial"/>
          <w:sz w:val="22"/>
          <w:szCs w:val="22"/>
        </w:rPr>
        <w:t>The influence of environmental factors has increased due to the heightened awareness of the problem of climate change, carbon emissions, and the application of resources on a sustainable basis. The automobile manufacturers are faced with mounting pressure to reduce the environmental effects of vehicles during the product lifecycle, including production and disposal. The issues that Bentley must overcome and mitigate are carbon neutrality, high-quality material responsible use, waste reduction, the ideals of the closed-circular economy, and the preservation of luxury performance and exclusivity. Active environmental governance can lead to promoting Bentley as a sustainable luxury brand by enhancing its brand image and leading to the sustainability of strategic decisions in the long run (Fan and Iqbal, 2022).</w:t>
      </w:r>
    </w:p>
    <w:p w14:paraId="1A0228AB" w14:textId="6EE80868" w:rsidR="002D57AB" w:rsidRPr="003C0A46" w:rsidRDefault="002D57AB" w:rsidP="00527428">
      <w:pPr>
        <w:spacing w:line="360" w:lineRule="auto"/>
        <w:jc w:val="both"/>
        <w:rPr>
          <w:rFonts w:ascii="Arial" w:hAnsi="Arial" w:cs="Arial"/>
          <w:b/>
          <w:bCs/>
          <w:sz w:val="22"/>
          <w:szCs w:val="22"/>
        </w:rPr>
      </w:pPr>
      <w:r w:rsidRPr="003C0A46">
        <w:rPr>
          <w:rFonts w:ascii="Arial" w:hAnsi="Arial" w:cs="Arial"/>
          <w:b/>
          <w:bCs/>
          <w:sz w:val="22"/>
          <w:szCs w:val="22"/>
        </w:rPr>
        <w:t>Porter’s Five Forces Analysis</w:t>
      </w:r>
    </w:p>
    <w:p w14:paraId="4FAF523D" w14:textId="18A4BE51" w:rsidR="000D643A" w:rsidRPr="003C0A46" w:rsidRDefault="000D643A" w:rsidP="00527428">
      <w:pPr>
        <w:spacing w:line="360" w:lineRule="auto"/>
        <w:jc w:val="both"/>
        <w:rPr>
          <w:rFonts w:ascii="Arial" w:hAnsi="Arial" w:cs="Arial"/>
          <w:sz w:val="22"/>
          <w:szCs w:val="22"/>
        </w:rPr>
      </w:pPr>
      <w:r w:rsidRPr="003C0A46">
        <w:rPr>
          <w:rFonts w:ascii="Arial" w:hAnsi="Arial" w:cs="Arial"/>
          <w:sz w:val="22"/>
          <w:szCs w:val="22"/>
        </w:rPr>
        <w:t xml:space="preserve">The threat of entry is minimal in the luxury car industry due to capital requirements, brand loyalty, the importance of heritage, and reputation. The bargaining strength of buyers is moderate </w:t>
      </w:r>
      <w:r w:rsidR="003C0A46" w:rsidRPr="003C0A46">
        <w:rPr>
          <w:rFonts w:ascii="Arial" w:hAnsi="Arial" w:cs="Arial"/>
          <w:sz w:val="22"/>
          <w:szCs w:val="22"/>
        </w:rPr>
        <w:t>since</w:t>
      </w:r>
      <w:r w:rsidRPr="003C0A46">
        <w:rPr>
          <w:rFonts w:ascii="Arial" w:hAnsi="Arial" w:cs="Arial"/>
          <w:sz w:val="22"/>
          <w:szCs w:val="22"/>
        </w:rPr>
        <w:t xml:space="preserve"> the consumers of Bentley seek exclusivity and </w:t>
      </w:r>
      <w:r w:rsidR="00545E85" w:rsidRPr="003C0A46">
        <w:rPr>
          <w:rFonts w:ascii="Arial" w:hAnsi="Arial" w:cs="Arial"/>
          <w:sz w:val="22"/>
          <w:szCs w:val="22"/>
        </w:rPr>
        <w:t>customising yet</w:t>
      </w:r>
      <w:r w:rsidRPr="003C0A46">
        <w:rPr>
          <w:rFonts w:ascii="Arial" w:hAnsi="Arial" w:cs="Arial"/>
          <w:sz w:val="22"/>
          <w:szCs w:val="22"/>
        </w:rPr>
        <w:t xml:space="preserve"> can be replaced within the luxurious brands (</w:t>
      </w:r>
      <w:proofErr w:type="spellStart"/>
      <w:r w:rsidRPr="003C0A46">
        <w:rPr>
          <w:rFonts w:ascii="Arial" w:hAnsi="Arial" w:cs="Arial"/>
          <w:sz w:val="22"/>
          <w:szCs w:val="22"/>
        </w:rPr>
        <w:t>Sogra</w:t>
      </w:r>
      <w:proofErr w:type="spellEnd"/>
      <w:r w:rsidRPr="003C0A46">
        <w:rPr>
          <w:rFonts w:ascii="Arial" w:hAnsi="Arial" w:cs="Arial"/>
          <w:sz w:val="22"/>
          <w:szCs w:val="22"/>
        </w:rPr>
        <w:t xml:space="preserve"> et al., 2026). Supplier power could also be high due to the application of specialised materials and high technology. The threat posed by substitute is moderate because of the high-end electric vehicles and the alternative upscale mobility. The competition in the luxury car market is intense, and Bentley Motors must continue positioning after a fixed duration of time (</w:t>
      </w:r>
      <w:proofErr w:type="spellStart"/>
      <w:r w:rsidRPr="003C0A46">
        <w:rPr>
          <w:rFonts w:ascii="Arial" w:hAnsi="Arial" w:cs="Arial"/>
          <w:sz w:val="22"/>
          <w:szCs w:val="22"/>
        </w:rPr>
        <w:t>Sogra</w:t>
      </w:r>
      <w:proofErr w:type="spellEnd"/>
      <w:r w:rsidRPr="003C0A46">
        <w:rPr>
          <w:rFonts w:ascii="Arial" w:hAnsi="Arial" w:cs="Arial"/>
          <w:sz w:val="22"/>
          <w:szCs w:val="22"/>
        </w:rPr>
        <w:t xml:space="preserve"> et al., 2026).</w:t>
      </w:r>
    </w:p>
    <w:p w14:paraId="03CF0BEE" w14:textId="0EB2A973" w:rsidR="002D57AB" w:rsidRPr="003C0A46" w:rsidRDefault="002D57AB" w:rsidP="00527428">
      <w:pPr>
        <w:pStyle w:val="Heading2"/>
        <w:spacing w:line="360" w:lineRule="auto"/>
        <w:jc w:val="both"/>
        <w:rPr>
          <w:rFonts w:ascii="Arial" w:hAnsi="Arial" w:cs="Arial"/>
          <w:sz w:val="22"/>
          <w:szCs w:val="22"/>
        </w:rPr>
      </w:pPr>
      <w:bookmarkStart w:id="4" w:name="_Toc223612402"/>
      <w:r w:rsidRPr="003C0A46">
        <w:rPr>
          <w:rFonts w:ascii="Arial" w:hAnsi="Arial" w:cs="Arial"/>
          <w:sz w:val="22"/>
          <w:szCs w:val="22"/>
        </w:rPr>
        <w:t>Internal Environment Audit</w:t>
      </w:r>
      <w:bookmarkEnd w:id="4"/>
    </w:p>
    <w:p w14:paraId="61FFFFD5" w14:textId="77777777" w:rsidR="0040696C" w:rsidRPr="00545E85" w:rsidRDefault="0040696C" w:rsidP="00527428">
      <w:pPr>
        <w:spacing w:line="360" w:lineRule="auto"/>
        <w:jc w:val="both"/>
        <w:rPr>
          <w:rFonts w:ascii="Arial" w:hAnsi="Arial" w:cs="Arial"/>
          <w:sz w:val="22"/>
          <w:szCs w:val="22"/>
        </w:rPr>
      </w:pPr>
      <w:r w:rsidRPr="003C0A46">
        <w:rPr>
          <w:rFonts w:ascii="Arial" w:hAnsi="Arial" w:cs="Arial"/>
          <w:sz w:val="22"/>
          <w:szCs w:val="22"/>
        </w:rPr>
        <w:t>The internal environment analysis plays a critical role in unveiling the contribution of organisational resources and capabilities to competitive advantage. The area of the core competencies of the company is the heritage, craftsmanship, and commitment to luxury</w:t>
      </w:r>
      <w:r w:rsidRPr="00527428">
        <w:rPr>
          <w:rFonts w:ascii="Times New Roman" w:hAnsi="Times New Roman" w:cs="Times New Roman"/>
          <w:szCs w:val="24"/>
        </w:rPr>
        <w:t xml:space="preserve"> </w:t>
      </w:r>
      <w:r w:rsidRPr="00545E85">
        <w:rPr>
          <w:rFonts w:ascii="Arial" w:hAnsi="Arial" w:cs="Arial"/>
          <w:sz w:val="22"/>
          <w:szCs w:val="22"/>
        </w:rPr>
        <w:lastRenderedPageBreak/>
        <w:t>excellence in the case of Bentley Motors, and the internal weaknesses are related to the cost structure and rate of technological change (</w:t>
      </w:r>
      <w:proofErr w:type="spellStart"/>
      <w:r w:rsidRPr="00545E85">
        <w:rPr>
          <w:rFonts w:ascii="Arial" w:hAnsi="Arial" w:cs="Arial"/>
          <w:sz w:val="22"/>
          <w:szCs w:val="22"/>
        </w:rPr>
        <w:t>Ludborza</w:t>
      </w:r>
      <w:proofErr w:type="spellEnd"/>
      <w:r w:rsidRPr="00545E85">
        <w:rPr>
          <w:rFonts w:ascii="Arial" w:hAnsi="Arial" w:cs="Arial"/>
          <w:sz w:val="22"/>
          <w:szCs w:val="22"/>
        </w:rPr>
        <w:t>, 2024).</w:t>
      </w:r>
    </w:p>
    <w:p w14:paraId="4B06B547" w14:textId="77777777" w:rsidR="0040696C" w:rsidRPr="00545E85" w:rsidRDefault="0040696C" w:rsidP="00527428">
      <w:pPr>
        <w:spacing w:line="360" w:lineRule="auto"/>
        <w:jc w:val="both"/>
        <w:rPr>
          <w:rFonts w:ascii="Arial" w:hAnsi="Arial" w:cs="Arial"/>
          <w:sz w:val="22"/>
          <w:szCs w:val="22"/>
        </w:rPr>
      </w:pPr>
      <w:r w:rsidRPr="00545E85">
        <w:rPr>
          <w:rFonts w:ascii="Arial" w:hAnsi="Arial" w:cs="Arial"/>
          <w:sz w:val="22"/>
          <w:szCs w:val="22"/>
        </w:rPr>
        <w:t>Bentley operates in a niche with differentiation, exclusiveness, and quality rather than operational efficiency as the value-generating forces. The characteristic low volumes coupled with the high value production enable the company to charge high value and large brand loyalty at the expense of lesser economies of scale compared to the mass-market producers (</w:t>
      </w:r>
      <w:proofErr w:type="spellStart"/>
      <w:r w:rsidRPr="00545E85">
        <w:rPr>
          <w:rFonts w:ascii="Arial" w:hAnsi="Arial" w:cs="Arial"/>
          <w:sz w:val="22"/>
          <w:szCs w:val="22"/>
        </w:rPr>
        <w:t>Ludborza</w:t>
      </w:r>
      <w:proofErr w:type="spellEnd"/>
      <w:r w:rsidRPr="00545E85">
        <w:rPr>
          <w:rFonts w:ascii="Arial" w:hAnsi="Arial" w:cs="Arial"/>
          <w:sz w:val="22"/>
          <w:szCs w:val="22"/>
        </w:rPr>
        <w:t>, 2024).</w:t>
      </w:r>
    </w:p>
    <w:p w14:paraId="1E8F4A41" w14:textId="297005CF" w:rsidR="002D57AB" w:rsidRPr="00545E85" w:rsidRDefault="002D57AB" w:rsidP="00527428">
      <w:pPr>
        <w:spacing w:line="360" w:lineRule="auto"/>
        <w:jc w:val="both"/>
        <w:rPr>
          <w:rFonts w:ascii="Arial" w:hAnsi="Arial" w:cs="Arial"/>
          <w:b/>
          <w:bCs/>
          <w:sz w:val="22"/>
          <w:szCs w:val="22"/>
        </w:rPr>
      </w:pPr>
      <w:r w:rsidRPr="00545E85">
        <w:rPr>
          <w:rFonts w:ascii="Arial" w:hAnsi="Arial" w:cs="Arial"/>
          <w:b/>
          <w:bCs/>
          <w:sz w:val="22"/>
          <w:szCs w:val="22"/>
        </w:rPr>
        <w:t>Value Chain Analysis</w:t>
      </w:r>
    </w:p>
    <w:p w14:paraId="29F9F186" w14:textId="77777777" w:rsidR="00200B4B" w:rsidRPr="00545E85" w:rsidRDefault="00200B4B" w:rsidP="00527428">
      <w:pPr>
        <w:spacing w:line="360" w:lineRule="auto"/>
        <w:jc w:val="both"/>
        <w:rPr>
          <w:rFonts w:ascii="Arial" w:hAnsi="Arial" w:cs="Arial"/>
          <w:sz w:val="22"/>
          <w:szCs w:val="22"/>
        </w:rPr>
      </w:pPr>
      <w:r w:rsidRPr="00545E85">
        <w:rPr>
          <w:rFonts w:ascii="Arial" w:hAnsi="Arial" w:cs="Arial"/>
          <w:sz w:val="22"/>
          <w:szCs w:val="22"/>
        </w:rPr>
        <w:t>Inbound logistics of Bentley were directed at the procurement of high-quality raw materials such as high-quality leather, wood veneers, and high-quality engineering materials. This ensures high quality, but at the same time results in a rise in procurement and supplier dependence costs. The rich operations combine the new technology in the engineering sector, and the old artistry, and much of the value addition is the bespoke production, which incurs more labour and labour costs over a longer period. The outbound logistics focus on brand image and customer experience through the managed dealership networks. The heritage, storytelling, and personalisation are the subjects of marketing and sales, making Bentley compete on perceived value and not on costs. Even the loyalty of customers is enhanced by having after-sales services, where customers have high-quality services of maintaining their properties as well as long-term ownership (Busacca et al., 2025).</w:t>
      </w:r>
    </w:p>
    <w:p w14:paraId="44F54CF8" w14:textId="68283D7C" w:rsidR="002D57AB" w:rsidRPr="00545E85" w:rsidRDefault="002D57AB" w:rsidP="00527428">
      <w:pPr>
        <w:spacing w:line="360" w:lineRule="auto"/>
        <w:jc w:val="both"/>
        <w:rPr>
          <w:rFonts w:ascii="Arial" w:hAnsi="Arial" w:cs="Arial"/>
          <w:b/>
          <w:bCs/>
          <w:sz w:val="22"/>
          <w:szCs w:val="22"/>
        </w:rPr>
      </w:pPr>
      <w:r w:rsidRPr="00545E85">
        <w:rPr>
          <w:rFonts w:ascii="Arial" w:hAnsi="Arial" w:cs="Arial"/>
          <w:b/>
          <w:bCs/>
          <w:sz w:val="22"/>
          <w:szCs w:val="22"/>
        </w:rPr>
        <w:t>Resource-Based View and VRIO Analysis</w:t>
      </w:r>
    </w:p>
    <w:p w14:paraId="70F7373B" w14:textId="77777777" w:rsidR="00A72888" w:rsidRPr="00545E85" w:rsidRDefault="00A72888" w:rsidP="00527428">
      <w:pPr>
        <w:spacing w:line="360" w:lineRule="auto"/>
        <w:jc w:val="both"/>
        <w:rPr>
          <w:rFonts w:ascii="Arial" w:hAnsi="Arial" w:cs="Arial"/>
          <w:sz w:val="22"/>
          <w:szCs w:val="22"/>
        </w:rPr>
      </w:pPr>
      <w:r w:rsidRPr="00545E85">
        <w:rPr>
          <w:rFonts w:ascii="Arial" w:hAnsi="Arial" w:cs="Arial"/>
          <w:sz w:val="22"/>
          <w:szCs w:val="22"/>
        </w:rPr>
        <w:t>Bentley Motors has tangible and intangible resources according to one of the resource-based approaches, and they have a beneficial effect on developing competitive advantage (Agrawal et al., 2025). The physical resources are indicated by the development of modern manufacturing equipment and engineering skills based on long-term investment. Bentley, on the other hand, has the best available resources, but these are intangible. Brand reputation, heritage, and artisanship are one-of-a-kind and difficult to reproduce and imprint in the minds of consumers. The human resources are also competent, and this contributes to product excellence and innovativeness. The strategic resources are chosen to use the VRIO framework as the sustained competitive advantage, but the additional development of technological skills is important (Amaya et al., 2024).</w:t>
      </w:r>
    </w:p>
    <w:p w14:paraId="309936D5" w14:textId="77777777" w:rsidR="00545E85" w:rsidRPr="00545E85" w:rsidRDefault="00545E85" w:rsidP="00545E85">
      <w:pPr>
        <w:pStyle w:val="Heading2"/>
        <w:spacing w:line="360" w:lineRule="auto"/>
        <w:jc w:val="both"/>
        <w:rPr>
          <w:rFonts w:ascii="Arial" w:hAnsi="Arial" w:cs="Arial"/>
          <w:sz w:val="22"/>
          <w:szCs w:val="22"/>
        </w:rPr>
      </w:pPr>
      <w:bookmarkStart w:id="5" w:name="_Toc223612403"/>
      <w:r w:rsidRPr="00545E85">
        <w:rPr>
          <w:rFonts w:ascii="Arial" w:hAnsi="Arial" w:cs="Arial"/>
          <w:sz w:val="22"/>
          <w:szCs w:val="22"/>
        </w:rPr>
        <w:t>SWOT Analysis</w:t>
      </w:r>
      <w:bookmarkEnd w:id="5"/>
    </w:p>
    <w:p w14:paraId="68190AF9" w14:textId="3260C92F" w:rsidR="00024ED2" w:rsidRPr="00527428" w:rsidRDefault="00545E85" w:rsidP="00545E85">
      <w:pPr>
        <w:spacing w:line="360" w:lineRule="auto"/>
        <w:jc w:val="both"/>
        <w:rPr>
          <w:rFonts w:ascii="Times New Roman" w:eastAsiaTheme="majorEastAsia" w:hAnsi="Times New Roman" w:cs="Times New Roman"/>
          <w:color w:val="2F5496" w:themeColor="accent1" w:themeShade="BF"/>
          <w:szCs w:val="24"/>
        </w:rPr>
      </w:pPr>
      <w:r w:rsidRPr="00545E85">
        <w:rPr>
          <w:rFonts w:ascii="Arial" w:hAnsi="Arial" w:cs="Arial"/>
          <w:sz w:val="22"/>
          <w:szCs w:val="22"/>
        </w:rPr>
        <w:t>Good brand identity, heritage, craftsmanship, and a customer base of loyal customers are Bentley's strengths. The</w:t>
      </w:r>
      <w:r>
        <w:rPr>
          <w:rFonts w:ascii="Arial" w:hAnsi="Arial" w:cs="Arial"/>
          <w:sz w:val="22"/>
          <w:szCs w:val="22"/>
        </w:rPr>
        <w:t xml:space="preserve"> </w:t>
      </w:r>
      <w:r w:rsidRPr="00545E85">
        <w:rPr>
          <w:rFonts w:ascii="Arial" w:hAnsi="Arial" w:cs="Arial"/>
          <w:sz w:val="22"/>
          <w:szCs w:val="22"/>
        </w:rPr>
        <w:t>weaknesses are high cost of production, low economies of scale, and low levels of adaptation to mass electrification. The opportunities include the presence of</w:t>
      </w:r>
      <w:r w:rsidRPr="00527428">
        <w:rPr>
          <w:rFonts w:ascii="Times New Roman" w:hAnsi="Times New Roman" w:cs="Times New Roman"/>
          <w:szCs w:val="24"/>
        </w:rPr>
        <w:t xml:space="preserve"> </w:t>
      </w:r>
      <w:r w:rsidR="00024ED2" w:rsidRPr="00527428">
        <w:rPr>
          <w:rFonts w:ascii="Times New Roman" w:hAnsi="Times New Roman" w:cs="Times New Roman"/>
          <w:szCs w:val="24"/>
        </w:rPr>
        <w:br w:type="page"/>
      </w:r>
    </w:p>
    <w:p w14:paraId="1C0FCF42" w14:textId="77777777" w:rsidR="00545E85" w:rsidRPr="00545E85" w:rsidRDefault="00545E85" w:rsidP="00545E85">
      <w:pPr>
        <w:spacing w:line="360" w:lineRule="auto"/>
        <w:jc w:val="both"/>
        <w:rPr>
          <w:rFonts w:ascii="Arial" w:hAnsi="Arial" w:cs="Arial"/>
          <w:sz w:val="22"/>
          <w:szCs w:val="22"/>
        </w:rPr>
      </w:pPr>
      <w:bookmarkStart w:id="6" w:name="_Toc223612404"/>
      <w:r w:rsidRPr="00545E85">
        <w:rPr>
          <w:rFonts w:ascii="Arial" w:hAnsi="Arial" w:cs="Arial"/>
          <w:sz w:val="22"/>
          <w:szCs w:val="22"/>
        </w:rPr>
        <w:lastRenderedPageBreak/>
        <w:t xml:space="preserve">an increased demand for sustainable luxury, the advancement of technologies, and the creation of more promising consumer markets (Ranfagni and </w:t>
      </w:r>
      <w:proofErr w:type="spellStart"/>
      <w:r w:rsidRPr="00545E85">
        <w:rPr>
          <w:rFonts w:ascii="Arial" w:hAnsi="Arial" w:cs="Arial"/>
          <w:sz w:val="22"/>
          <w:szCs w:val="22"/>
        </w:rPr>
        <w:t>Ozuem</w:t>
      </w:r>
      <w:proofErr w:type="spellEnd"/>
      <w:r w:rsidRPr="00545E85">
        <w:rPr>
          <w:rFonts w:ascii="Arial" w:hAnsi="Arial" w:cs="Arial"/>
          <w:sz w:val="22"/>
          <w:szCs w:val="22"/>
        </w:rPr>
        <w:t>, 2022). The threats are a strong competitive force, a strong regulatory pressure, and a rapid technological change.</w:t>
      </w:r>
    </w:p>
    <w:p w14:paraId="4F2A1260" w14:textId="77777777" w:rsidR="00545E85" w:rsidRPr="00545E85" w:rsidRDefault="00545E85" w:rsidP="00527428">
      <w:pPr>
        <w:pStyle w:val="Heading1"/>
        <w:spacing w:line="360" w:lineRule="auto"/>
        <w:jc w:val="both"/>
        <w:rPr>
          <w:rFonts w:cs="Times New Roman"/>
          <w:sz w:val="22"/>
          <w:szCs w:val="22"/>
        </w:rPr>
      </w:pPr>
    </w:p>
    <w:p w14:paraId="403E29E7" w14:textId="56B74049" w:rsidR="002D57AB" w:rsidRPr="00545E85" w:rsidRDefault="002D57AB" w:rsidP="00527428">
      <w:pPr>
        <w:pStyle w:val="Heading1"/>
        <w:spacing w:line="360" w:lineRule="auto"/>
        <w:jc w:val="both"/>
        <w:rPr>
          <w:rFonts w:ascii="Arial" w:hAnsi="Arial" w:cs="Arial"/>
          <w:sz w:val="22"/>
          <w:szCs w:val="22"/>
        </w:rPr>
      </w:pPr>
      <w:r w:rsidRPr="00545E85">
        <w:rPr>
          <w:rFonts w:ascii="Arial" w:hAnsi="Arial" w:cs="Arial"/>
          <w:sz w:val="22"/>
          <w:szCs w:val="22"/>
        </w:rPr>
        <w:t>Strategy Formulation</w:t>
      </w:r>
      <w:bookmarkEnd w:id="6"/>
    </w:p>
    <w:p w14:paraId="30B697CC" w14:textId="503B5170" w:rsidR="00857CFF" w:rsidRPr="00545E85" w:rsidRDefault="003E0537" w:rsidP="00527428">
      <w:pPr>
        <w:spacing w:line="360" w:lineRule="auto"/>
        <w:jc w:val="both"/>
        <w:rPr>
          <w:rFonts w:ascii="Arial" w:eastAsiaTheme="majorEastAsia" w:hAnsi="Arial" w:cs="Arial"/>
          <w:color w:val="2F5496" w:themeColor="accent1" w:themeShade="BF"/>
          <w:sz w:val="22"/>
          <w:szCs w:val="22"/>
        </w:rPr>
      </w:pPr>
      <w:r w:rsidRPr="00545E85">
        <w:rPr>
          <w:rFonts w:ascii="Arial" w:hAnsi="Arial" w:cs="Arial"/>
          <w:sz w:val="22"/>
          <w:szCs w:val="22"/>
        </w:rPr>
        <w:t xml:space="preserve">To make it more long-term competitive and sustainable, Bentley Motors needs to consider integrated strategic work </w:t>
      </w:r>
      <w:r w:rsidR="00545E85" w:rsidRPr="00545E85">
        <w:rPr>
          <w:rFonts w:ascii="Arial" w:hAnsi="Arial" w:cs="Arial"/>
          <w:sz w:val="22"/>
          <w:szCs w:val="22"/>
        </w:rPr>
        <w:t>regarding</w:t>
      </w:r>
      <w:r w:rsidRPr="00545E85">
        <w:rPr>
          <w:rFonts w:ascii="Arial" w:hAnsi="Arial" w:cs="Arial"/>
          <w:sz w:val="22"/>
          <w:szCs w:val="22"/>
        </w:rPr>
        <w:t xml:space="preserve"> the luxury brand environment and responsibility. There is a necessity of expediting the electrification and keeping pace with it in terms of performance and exclusiveness. It is also possible and reasonable to expound on the sustainability-based differentiation strategy to develop brand credibility through the sourcing and production of carbon-neutral products in a responsible way. In addition, the digital innovation may be invested in to enhance customer experience at the levels of personalisation and connection, not excluding the traditional craftsmanship (Johnson et al., 2024). </w:t>
      </w:r>
      <w:r w:rsidR="00857CFF" w:rsidRPr="00545E85">
        <w:rPr>
          <w:rFonts w:ascii="Arial" w:hAnsi="Arial" w:cs="Arial"/>
          <w:sz w:val="22"/>
          <w:szCs w:val="22"/>
        </w:rPr>
        <w:br w:type="page"/>
      </w:r>
    </w:p>
    <w:p w14:paraId="75363859" w14:textId="31E4C717" w:rsidR="002D57AB" w:rsidRPr="00545E85" w:rsidRDefault="002D57AB" w:rsidP="00527428">
      <w:pPr>
        <w:pStyle w:val="Heading1"/>
        <w:spacing w:line="360" w:lineRule="auto"/>
        <w:jc w:val="both"/>
        <w:rPr>
          <w:rFonts w:ascii="Arial" w:hAnsi="Arial" w:cs="Arial"/>
          <w:sz w:val="22"/>
          <w:szCs w:val="22"/>
        </w:rPr>
      </w:pPr>
      <w:bookmarkStart w:id="7" w:name="_Toc223612405"/>
      <w:r w:rsidRPr="00545E85">
        <w:rPr>
          <w:rFonts w:ascii="Arial" w:hAnsi="Arial" w:cs="Arial"/>
          <w:sz w:val="22"/>
          <w:szCs w:val="22"/>
        </w:rPr>
        <w:lastRenderedPageBreak/>
        <w:t>Conclusion and Recommendations</w:t>
      </w:r>
      <w:bookmarkEnd w:id="7"/>
    </w:p>
    <w:p w14:paraId="763B2306" w14:textId="77777777" w:rsidR="005B0F79" w:rsidRPr="00545E85" w:rsidRDefault="005B0F79" w:rsidP="00527428">
      <w:pPr>
        <w:spacing w:line="360" w:lineRule="auto"/>
        <w:jc w:val="both"/>
        <w:rPr>
          <w:rFonts w:ascii="Arial" w:hAnsi="Arial" w:cs="Arial"/>
          <w:sz w:val="22"/>
          <w:szCs w:val="22"/>
        </w:rPr>
      </w:pPr>
      <w:r w:rsidRPr="00545E85">
        <w:rPr>
          <w:rFonts w:ascii="Arial" w:hAnsi="Arial" w:cs="Arial"/>
          <w:sz w:val="22"/>
          <w:szCs w:val="22"/>
        </w:rPr>
        <w:t>In conclusion, the business environment would be facing a highly competitive and dynamic environment in the automotive industry where Bentley Motors intends to do business, and the only solution to this industry is good strategic management. The external scenario demonstrates that the increasing regulatory requirements, rapid technological advancement, and changing customer interests, in particular, the notion of sustainability and electrification, are transforming the entire automotive sector around the world. At the same time, internal analysis reveals that the competitive advantages of Bentley have been its traditional brand, craftsmanship, and compliance with exclusivity and quality that still distinguish the company in terms of luxury automotive.</w:t>
      </w:r>
    </w:p>
    <w:p w14:paraId="18CEB43A" w14:textId="04F32CCB" w:rsidR="004774C6" w:rsidRPr="00545E85" w:rsidRDefault="005B0F79" w:rsidP="00527428">
      <w:pPr>
        <w:spacing w:line="360" w:lineRule="auto"/>
        <w:jc w:val="both"/>
        <w:rPr>
          <w:rFonts w:ascii="Arial" w:hAnsi="Arial" w:cs="Arial"/>
          <w:sz w:val="22"/>
          <w:szCs w:val="22"/>
        </w:rPr>
      </w:pPr>
      <w:r w:rsidRPr="00545E85">
        <w:rPr>
          <w:rFonts w:ascii="Arial" w:hAnsi="Arial" w:cs="Arial"/>
          <w:sz w:val="22"/>
          <w:szCs w:val="22"/>
        </w:rPr>
        <w:t xml:space="preserve">To be competitive and resilient, Bentley should invest in several initiatives that are core to the company. In the process, electrification must also be maintained, but luxury performance and brand image must be maintained. Along with this, an increasing sustainability agenda over the course of the value process will establish a greater branding of Bentley as a responsible luxury brand. Finally, dedicated investment in online innovation may enhance the service to the customers and the efficiency of the </w:t>
      </w:r>
      <w:r w:rsidR="00545E85" w:rsidRPr="00545E85">
        <w:rPr>
          <w:rFonts w:ascii="Arial" w:hAnsi="Arial" w:cs="Arial"/>
          <w:sz w:val="22"/>
          <w:szCs w:val="22"/>
        </w:rPr>
        <w:t>organisation and</w:t>
      </w:r>
      <w:r w:rsidRPr="00545E85">
        <w:rPr>
          <w:rFonts w:ascii="Arial" w:hAnsi="Arial" w:cs="Arial"/>
          <w:sz w:val="22"/>
          <w:szCs w:val="22"/>
        </w:rPr>
        <w:t xml:space="preserve"> complement the ancient trade. Bentley Motors </w:t>
      </w:r>
      <w:r w:rsidR="00545E85" w:rsidRPr="00545E85">
        <w:rPr>
          <w:rFonts w:ascii="Arial" w:hAnsi="Arial" w:cs="Arial"/>
          <w:sz w:val="22"/>
          <w:szCs w:val="22"/>
        </w:rPr>
        <w:t>can</w:t>
      </w:r>
      <w:r w:rsidRPr="00545E85">
        <w:rPr>
          <w:rFonts w:ascii="Arial" w:hAnsi="Arial" w:cs="Arial"/>
          <w:sz w:val="22"/>
          <w:szCs w:val="22"/>
        </w:rPr>
        <w:t xml:space="preserve"> retain its premium position in the market and succeed in the long-term strategic stability by aligning its potential as an internal force to the opportunity available in the market and acting proactively towards the new issues as they come.</w:t>
      </w:r>
    </w:p>
    <w:p w14:paraId="6F2DD497" w14:textId="77777777" w:rsidR="00FB6C0E" w:rsidRPr="00527428" w:rsidRDefault="00FB6C0E" w:rsidP="00527428">
      <w:pPr>
        <w:spacing w:line="360" w:lineRule="auto"/>
        <w:jc w:val="both"/>
        <w:rPr>
          <w:rFonts w:ascii="Times New Roman" w:hAnsi="Times New Roman" w:cs="Times New Roman"/>
          <w:szCs w:val="24"/>
        </w:rPr>
      </w:pPr>
      <w:r w:rsidRPr="00527428">
        <w:rPr>
          <w:rFonts w:ascii="Times New Roman" w:hAnsi="Times New Roman" w:cs="Times New Roman"/>
          <w:szCs w:val="24"/>
        </w:rPr>
        <w:br w:type="page"/>
      </w:r>
    </w:p>
    <w:p w14:paraId="02831CDB" w14:textId="1449D2EF" w:rsidR="004774C6" w:rsidRPr="0076216E" w:rsidRDefault="004774C6" w:rsidP="00527428">
      <w:pPr>
        <w:pStyle w:val="Heading1"/>
        <w:spacing w:line="360" w:lineRule="auto"/>
        <w:jc w:val="both"/>
        <w:rPr>
          <w:rFonts w:ascii="Arial" w:hAnsi="Arial" w:cs="Arial"/>
          <w:sz w:val="22"/>
          <w:szCs w:val="22"/>
        </w:rPr>
      </w:pPr>
      <w:bookmarkStart w:id="8" w:name="_Toc223612406"/>
      <w:r w:rsidRPr="0076216E">
        <w:rPr>
          <w:rFonts w:ascii="Arial" w:hAnsi="Arial" w:cs="Arial"/>
          <w:sz w:val="22"/>
          <w:szCs w:val="22"/>
        </w:rPr>
        <w:lastRenderedPageBreak/>
        <w:t>References</w:t>
      </w:r>
      <w:bookmarkEnd w:id="8"/>
    </w:p>
    <w:p w14:paraId="696E7695" w14:textId="7799D293"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 xml:space="preserve">Agrawal, R., </w:t>
      </w:r>
      <w:proofErr w:type="spellStart"/>
      <w:r w:rsidRPr="0076216E">
        <w:rPr>
          <w:rFonts w:ascii="Arial" w:hAnsi="Arial" w:cs="Arial"/>
          <w:sz w:val="22"/>
          <w:szCs w:val="22"/>
        </w:rPr>
        <w:t>Samadhiya</w:t>
      </w:r>
      <w:proofErr w:type="spellEnd"/>
      <w:r w:rsidRPr="0076216E">
        <w:rPr>
          <w:rFonts w:ascii="Arial" w:hAnsi="Arial" w:cs="Arial"/>
          <w:sz w:val="22"/>
          <w:szCs w:val="22"/>
        </w:rPr>
        <w:t xml:space="preserve">, A., </w:t>
      </w:r>
      <w:proofErr w:type="spellStart"/>
      <w:r w:rsidRPr="0076216E">
        <w:rPr>
          <w:rFonts w:ascii="Arial" w:hAnsi="Arial" w:cs="Arial"/>
          <w:sz w:val="22"/>
          <w:szCs w:val="22"/>
        </w:rPr>
        <w:t>Banaitis</w:t>
      </w:r>
      <w:proofErr w:type="spellEnd"/>
      <w:r w:rsidRPr="0076216E">
        <w:rPr>
          <w:rFonts w:ascii="Arial" w:hAnsi="Arial" w:cs="Arial"/>
          <w:sz w:val="22"/>
          <w:szCs w:val="22"/>
        </w:rPr>
        <w:t>, A. and Kumar, A. (2025) ‘Entrepreneurial barriers in achieving sustainable business and cultivation of innovation: a resource-based view theory perspective’. </w:t>
      </w:r>
      <w:r w:rsidRPr="0076216E">
        <w:rPr>
          <w:rFonts w:ascii="Arial" w:hAnsi="Arial" w:cs="Arial"/>
          <w:i/>
          <w:iCs/>
          <w:sz w:val="22"/>
          <w:szCs w:val="22"/>
        </w:rPr>
        <w:t>Management Decision</w:t>
      </w:r>
      <w:r w:rsidRPr="0076216E">
        <w:rPr>
          <w:rFonts w:ascii="Arial" w:hAnsi="Arial" w:cs="Arial"/>
          <w:sz w:val="22"/>
          <w:szCs w:val="22"/>
        </w:rPr>
        <w:t>, </w:t>
      </w:r>
      <w:r w:rsidRPr="0076216E">
        <w:rPr>
          <w:rFonts w:ascii="Arial" w:hAnsi="Arial" w:cs="Arial"/>
          <w:i/>
          <w:iCs/>
          <w:sz w:val="22"/>
          <w:szCs w:val="22"/>
        </w:rPr>
        <w:t>63</w:t>
      </w:r>
      <w:r w:rsidRPr="0076216E">
        <w:rPr>
          <w:rFonts w:ascii="Arial" w:hAnsi="Arial" w:cs="Arial"/>
          <w:sz w:val="22"/>
          <w:szCs w:val="22"/>
        </w:rPr>
        <w:t xml:space="preserve">(4), pp.1207-1228. Available at: </w:t>
      </w:r>
      <w:hyperlink r:id="rId8" w:history="1">
        <w:r w:rsidRPr="0076216E">
          <w:rPr>
            <w:rStyle w:val="Hyperlink"/>
            <w:rFonts w:ascii="Arial" w:hAnsi="Arial" w:cs="Arial"/>
            <w:sz w:val="22"/>
            <w:szCs w:val="22"/>
          </w:rPr>
          <w:t>https://repository.londonmet.ac.uk/9149/3/Revised%20Manuscript-F.pdf</w:t>
        </w:r>
      </w:hyperlink>
      <w:r w:rsidR="00B8023A" w:rsidRPr="0076216E">
        <w:rPr>
          <w:rFonts w:ascii="Arial" w:hAnsi="Arial" w:cs="Arial"/>
          <w:sz w:val="22"/>
          <w:szCs w:val="22"/>
        </w:rPr>
        <w:t xml:space="preserve"> (Accessed: 5 March 2026).</w:t>
      </w:r>
    </w:p>
    <w:p w14:paraId="4DC83494" w14:textId="4C39D54A" w:rsidR="00FA176B" w:rsidRPr="0076216E" w:rsidRDefault="00FA176B" w:rsidP="00527428">
      <w:pPr>
        <w:spacing w:line="360" w:lineRule="auto"/>
        <w:jc w:val="both"/>
        <w:rPr>
          <w:rFonts w:ascii="Arial" w:hAnsi="Arial" w:cs="Arial"/>
          <w:sz w:val="22"/>
          <w:szCs w:val="22"/>
        </w:rPr>
      </w:pPr>
      <w:proofErr w:type="spellStart"/>
      <w:r w:rsidRPr="0076216E">
        <w:rPr>
          <w:rFonts w:ascii="Arial" w:hAnsi="Arial" w:cs="Arial"/>
          <w:sz w:val="22"/>
          <w:szCs w:val="22"/>
        </w:rPr>
        <w:t>Ajeigbe</w:t>
      </w:r>
      <w:proofErr w:type="spellEnd"/>
      <w:r w:rsidRPr="0076216E">
        <w:rPr>
          <w:rFonts w:ascii="Arial" w:hAnsi="Arial" w:cs="Arial"/>
          <w:sz w:val="22"/>
          <w:szCs w:val="22"/>
        </w:rPr>
        <w:t xml:space="preserve">, K. and Holt, W. (2025) ‘Government Policies and Incentives for EV Manufacturing’. Available at: </w:t>
      </w:r>
      <w:hyperlink r:id="rId9" w:history="1">
        <w:r w:rsidRPr="0076216E">
          <w:rPr>
            <w:rStyle w:val="Hyperlink"/>
            <w:rFonts w:ascii="Arial" w:hAnsi="Arial" w:cs="Arial"/>
            <w:sz w:val="22"/>
            <w:szCs w:val="22"/>
          </w:rPr>
          <w:t>https://www.researchgate.net/profile/Kolade-Ajeigbe-2/publication/390329268_Government_Policies_and_Incentives_for_EV_Manufacturing/links/67ea6d919b1c6c487768ab10/Government-Policies-and-Incentives-for-EV-Manufacturing.pdf</w:t>
        </w:r>
      </w:hyperlink>
      <w:r w:rsidR="00B8023A" w:rsidRPr="0076216E">
        <w:rPr>
          <w:rFonts w:ascii="Arial" w:hAnsi="Arial" w:cs="Arial"/>
          <w:sz w:val="22"/>
          <w:szCs w:val="22"/>
        </w:rPr>
        <w:t xml:space="preserve"> (Accessed: 5 March 2026).</w:t>
      </w:r>
    </w:p>
    <w:p w14:paraId="1495F4AD" w14:textId="6FFEA375"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Amaya, N., Bernal-Torres, C.A., Nicolás-Rojas, Y.W. and Pando-Ezcurra, T.T. (2024) ‘Role of internal resources on the competitive advantage building in a knowledge-intensive organisation in an emerging market’. </w:t>
      </w:r>
      <w:r w:rsidRPr="0076216E">
        <w:rPr>
          <w:rFonts w:ascii="Arial" w:hAnsi="Arial" w:cs="Arial"/>
          <w:i/>
          <w:iCs/>
          <w:sz w:val="22"/>
          <w:szCs w:val="22"/>
        </w:rPr>
        <w:t>VINE Journal of Information and Knowledge Management Systems</w:t>
      </w:r>
      <w:r w:rsidRPr="0076216E">
        <w:rPr>
          <w:rFonts w:ascii="Arial" w:hAnsi="Arial" w:cs="Arial"/>
          <w:sz w:val="22"/>
          <w:szCs w:val="22"/>
        </w:rPr>
        <w:t>, </w:t>
      </w:r>
      <w:r w:rsidRPr="0076216E">
        <w:rPr>
          <w:rFonts w:ascii="Arial" w:hAnsi="Arial" w:cs="Arial"/>
          <w:i/>
          <w:iCs/>
          <w:sz w:val="22"/>
          <w:szCs w:val="22"/>
        </w:rPr>
        <w:t>54</w:t>
      </w:r>
      <w:r w:rsidRPr="0076216E">
        <w:rPr>
          <w:rFonts w:ascii="Arial" w:hAnsi="Arial" w:cs="Arial"/>
          <w:sz w:val="22"/>
          <w:szCs w:val="22"/>
        </w:rPr>
        <w:t xml:space="preserve">(5), pp.1153-1169. Available at: </w:t>
      </w:r>
      <w:hyperlink r:id="rId10" w:history="1">
        <w:r w:rsidRPr="0076216E">
          <w:rPr>
            <w:rStyle w:val="Hyperlink"/>
            <w:rFonts w:ascii="Arial" w:hAnsi="Arial" w:cs="Arial"/>
            <w:sz w:val="22"/>
            <w:szCs w:val="22"/>
          </w:rPr>
          <w:t>https://www.emerald.com/vjikms/article-pdf/54/5/1153/9524442/vjikms-01-2022-0029.pdf</w:t>
        </w:r>
      </w:hyperlink>
      <w:r w:rsidR="00994BC1" w:rsidRPr="0076216E">
        <w:rPr>
          <w:rFonts w:ascii="Arial" w:hAnsi="Arial" w:cs="Arial"/>
          <w:sz w:val="22"/>
          <w:szCs w:val="22"/>
        </w:rPr>
        <w:t xml:space="preserve"> (Accessed: 5 March 2026).</w:t>
      </w:r>
    </w:p>
    <w:p w14:paraId="57D83B55" w14:textId="09E4B836"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 xml:space="preserve">Bentley (2026) ‘The Bentley brand manifesto’. Available at: </w:t>
      </w:r>
      <w:hyperlink r:id="rId11" w:history="1">
        <w:r w:rsidRPr="0076216E">
          <w:rPr>
            <w:rStyle w:val="Hyperlink"/>
            <w:rFonts w:ascii="Arial" w:hAnsi="Arial" w:cs="Arial"/>
            <w:sz w:val="22"/>
            <w:szCs w:val="22"/>
          </w:rPr>
          <w:t>https://www.bentleymotors.com/en/about-bentley/beyond-100/bentley-brand-manifesto.html</w:t>
        </w:r>
      </w:hyperlink>
      <w:r w:rsidR="00994BC1" w:rsidRPr="0076216E">
        <w:rPr>
          <w:rFonts w:ascii="Arial" w:hAnsi="Arial" w:cs="Arial"/>
          <w:sz w:val="22"/>
          <w:szCs w:val="22"/>
        </w:rPr>
        <w:t xml:space="preserve"> (Accessed: 5 March 2026).</w:t>
      </w:r>
    </w:p>
    <w:p w14:paraId="1D690559" w14:textId="22E318EA"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 xml:space="preserve">Braidy, A., Pokharel, S. and </w:t>
      </w:r>
      <w:proofErr w:type="spellStart"/>
      <w:r w:rsidRPr="0076216E">
        <w:rPr>
          <w:rFonts w:ascii="Arial" w:hAnsi="Arial" w:cs="Arial"/>
          <w:sz w:val="22"/>
          <w:szCs w:val="22"/>
        </w:rPr>
        <w:t>ElMekkawy</w:t>
      </w:r>
      <w:proofErr w:type="spellEnd"/>
      <w:r w:rsidRPr="0076216E">
        <w:rPr>
          <w:rFonts w:ascii="Arial" w:hAnsi="Arial" w:cs="Arial"/>
          <w:sz w:val="22"/>
          <w:szCs w:val="22"/>
        </w:rPr>
        <w:t>, T.Y. (2025) ‘Research perspectives on innovation in the automotive sector’. </w:t>
      </w:r>
      <w:r w:rsidRPr="0076216E">
        <w:rPr>
          <w:rFonts w:ascii="Arial" w:hAnsi="Arial" w:cs="Arial"/>
          <w:i/>
          <w:iCs/>
          <w:sz w:val="22"/>
          <w:szCs w:val="22"/>
        </w:rPr>
        <w:t>Sustainability</w:t>
      </w:r>
      <w:r w:rsidRPr="0076216E">
        <w:rPr>
          <w:rFonts w:ascii="Arial" w:hAnsi="Arial" w:cs="Arial"/>
          <w:sz w:val="22"/>
          <w:szCs w:val="22"/>
        </w:rPr>
        <w:t>, </w:t>
      </w:r>
      <w:r w:rsidRPr="0076216E">
        <w:rPr>
          <w:rFonts w:ascii="Arial" w:hAnsi="Arial" w:cs="Arial"/>
          <w:i/>
          <w:iCs/>
          <w:sz w:val="22"/>
          <w:szCs w:val="22"/>
        </w:rPr>
        <w:t>17</w:t>
      </w:r>
      <w:r w:rsidRPr="0076216E">
        <w:rPr>
          <w:rFonts w:ascii="Arial" w:hAnsi="Arial" w:cs="Arial"/>
          <w:sz w:val="22"/>
          <w:szCs w:val="22"/>
        </w:rPr>
        <w:t xml:space="preserve">(7), p.2795. Available at: </w:t>
      </w:r>
      <w:hyperlink r:id="rId12" w:history="1">
        <w:r w:rsidRPr="0076216E">
          <w:rPr>
            <w:rStyle w:val="Hyperlink"/>
            <w:rFonts w:ascii="Arial" w:hAnsi="Arial" w:cs="Arial"/>
            <w:sz w:val="22"/>
            <w:szCs w:val="22"/>
          </w:rPr>
          <w:t>https://www.mdpi.com/2071-1050/17/7/2795</w:t>
        </w:r>
      </w:hyperlink>
      <w:r w:rsidR="00994BC1" w:rsidRPr="0076216E">
        <w:rPr>
          <w:rFonts w:ascii="Arial" w:hAnsi="Arial" w:cs="Arial"/>
          <w:sz w:val="22"/>
          <w:szCs w:val="22"/>
        </w:rPr>
        <w:t xml:space="preserve"> (Accessed: 5 March 2026).</w:t>
      </w:r>
    </w:p>
    <w:p w14:paraId="60FED629" w14:textId="58E16A86"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 xml:space="preserve">Busacca, B., Bertoli, G., </w:t>
      </w:r>
      <w:proofErr w:type="spellStart"/>
      <w:r w:rsidRPr="0076216E">
        <w:rPr>
          <w:rFonts w:ascii="Arial" w:hAnsi="Arial" w:cs="Arial"/>
          <w:sz w:val="22"/>
          <w:szCs w:val="22"/>
        </w:rPr>
        <w:t>Chizzoli</w:t>
      </w:r>
      <w:proofErr w:type="spellEnd"/>
      <w:r w:rsidRPr="0076216E">
        <w:rPr>
          <w:rFonts w:ascii="Arial" w:hAnsi="Arial" w:cs="Arial"/>
          <w:sz w:val="22"/>
          <w:szCs w:val="22"/>
        </w:rPr>
        <w:t>, C. and Munz, K. (2025) ‘</w:t>
      </w:r>
      <w:r w:rsidRPr="0076216E">
        <w:rPr>
          <w:rFonts w:ascii="Arial" w:hAnsi="Arial" w:cs="Arial"/>
          <w:i/>
          <w:iCs/>
          <w:sz w:val="22"/>
          <w:szCs w:val="22"/>
        </w:rPr>
        <w:t>Customer Management: Growth, Value and Loyalty’</w:t>
      </w:r>
      <w:r w:rsidRPr="0076216E">
        <w:rPr>
          <w:rFonts w:ascii="Arial" w:hAnsi="Arial" w:cs="Arial"/>
          <w:sz w:val="22"/>
          <w:szCs w:val="22"/>
        </w:rPr>
        <w:t xml:space="preserve">. EGEA spa. Available at: </w:t>
      </w:r>
      <w:hyperlink r:id="rId13" w:anchor="v=onepage&amp;q&amp;f=false" w:history="1">
        <w:r w:rsidRPr="0076216E">
          <w:rPr>
            <w:rStyle w:val="Hyperlink"/>
            <w:rFonts w:ascii="Arial" w:hAnsi="Arial" w:cs="Arial"/>
            <w:sz w:val="22"/>
            <w:szCs w:val="22"/>
          </w:rPr>
          <w:t>https://books.google.co.in/books?hl=en&amp;lr=&amp;id=Zv-eEQAAQBAJ&amp;oi=fnd&amp;pg=PT10&amp;dq=After-sales+services+further+enhance+customer+loyalty+through+premium+maintenance+and+long-term+ownership+support.+bentley&amp;ots=lSzKjMquFV&amp;sig=LA9S2OyCdnwH6eyAo-twJCCcvV8&amp;redir_esc=y#v=onepage&amp;q&amp;f=false</w:t>
        </w:r>
      </w:hyperlink>
      <w:r w:rsidR="00994BC1" w:rsidRPr="0076216E">
        <w:rPr>
          <w:rFonts w:ascii="Arial" w:hAnsi="Arial" w:cs="Arial"/>
          <w:sz w:val="22"/>
          <w:szCs w:val="22"/>
        </w:rPr>
        <w:t xml:space="preserve"> (Accessed: 5 March 2026).</w:t>
      </w:r>
    </w:p>
    <w:p w14:paraId="2B6AD0E4" w14:textId="0BB7512F"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 xml:space="preserve">Cordes, J.J., Dudley, S.E. and Washington, L. (2022) ‘Regulatory compliance </w:t>
      </w:r>
      <w:proofErr w:type="gramStart"/>
      <w:r w:rsidRPr="0076216E">
        <w:rPr>
          <w:rFonts w:ascii="Arial" w:hAnsi="Arial" w:cs="Arial"/>
          <w:sz w:val="22"/>
          <w:szCs w:val="22"/>
        </w:rPr>
        <w:t>burdens’</w:t>
      </w:r>
      <w:proofErr w:type="gramEnd"/>
      <w:r w:rsidRPr="0076216E">
        <w:rPr>
          <w:rFonts w:ascii="Arial" w:hAnsi="Arial" w:cs="Arial"/>
          <w:sz w:val="22"/>
          <w:szCs w:val="22"/>
        </w:rPr>
        <w:t>. </w:t>
      </w:r>
      <w:r w:rsidRPr="0076216E">
        <w:rPr>
          <w:rFonts w:ascii="Arial" w:hAnsi="Arial" w:cs="Arial"/>
          <w:i/>
          <w:iCs/>
          <w:sz w:val="22"/>
          <w:szCs w:val="22"/>
        </w:rPr>
        <w:t xml:space="preserve">GW Regulatory Studies </w:t>
      </w:r>
      <w:proofErr w:type="spellStart"/>
      <w:r w:rsidRPr="0076216E">
        <w:rPr>
          <w:rFonts w:ascii="Arial" w:hAnsi="Arial" w:cs="Arial"/>
          <w:i/>
          <w:iCs/>
          <w:sz w:val="22"/>
          <w:szCs w:val="22"/>
        </w:rPr>
        <w:t>Center</w:t>
      </w:r>
      <w:proofErr w:type="spellEnd"/>
      <w:r w:rsidRPr="0076216E">
        <w:rPr>
          <w:rFonts w:ascii="Arial" w:hAnsi="Arial" w:cs="Arial"/>
          <w:sz w:val="22"/>
          <w:szCs w:val="22"/>
        </w:rPr>
        <w:t xml:space="preserve">. Available at: </w:t>
      </w:r>
      <w:hyperlink r:id="rId14" w:history="1">
        <w:r w:rsidRPr="0076216E">
          <w:rPr>
            <w:rStyle w:val="Hyperlink"/>
            <w:rFonts w:ascii="Arial" w:hAnsi="Arial" w:cs="Arial"/>
            <w:sz w:val="22"/>
            <w:szCs w:val="22"/>
          </w:rPr>
          <w:t>https://regulatorystudies.columbian.gwu.edu/sites/g/files/zaxdzs4751/files/2022-</w:t>
        </w:r>
        <w:r w:rsidRPr="0076216E">
          <w:rPr>
            <w:rStyle w:val="Hyperlink"/>
            <w:rFonts w:ascii="Arial" w:hAnsi="Arial" w:cs="Arial"/>
            <w:sz w:val="22"/>
            <w:szCs w:val="22"/>
          </w:rPr>
          <w:lastRenderedPageBreak/>
          <w:t>10/regulatory_compliance_burdens_litreview_synthesis_finalweb.pdf</w:t>
        </w:r>
      </w:hyperlink>
      <w:r w:rsidR="00994BC1" w:rsidRPr="0076216E">
        <w:rPr>
          <w:rFonts w:ascii="Arial" w:hAnsi="Arial" w:cs="Arial"/>
          <w:sz w:val="22"/>
          <w:szCs w:val="22"/>
        </w:rPr>
        <w:t xml:space="preserve"> (Accessed: 5 March 2026).</w:t>
      </w:r>
    </w:p>
    <w:p w14:paraId="3BDC872E" w14:textId="4983D6C8"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 xml:space="preserve">Du, J. and </w:t>
      </w:r>
      <w:proofErr w:type="spellStart"/>
      <w:r w:rsidRPr="0076216E">
        <w:rPr>
          <w:rFonts w:ascii="Arial" w:hAnsi="Arial" w:cs="Arial"/>
          <w:sz w:val="22"/>
          <w:szCs w:val="22"/>
        </w:rPr>
        <w:t>Shepotylo</w:t>
      </w:r>
      <w:proofErr w:type="spellEnd"/>
      <w:r w:rsidRPr="0076216E">
        <w:rPr>
          <w:rFonts w:ascii="Arial" w:hAnsi="Arial" w:cs="Arial"/>
          <w:sz w:val="22"/>
          <w:szCs w:val="22"/>
        </w:rPr>
        <w:t>, O. (2024) ‘Powering the Future: Aligning Economic Policy for Automotive Sector Resilience in the Face of Critical Material Dependency Challenges’. </w:t>
      </w:r>
      <w:r w:rsidRPr="0076216E">
        <w:rPr>
          <w:rFonts w:ascii="Arial" w:hAnsi="Arial" w:cs="Arial"/>
          <w:i/>
          <w:iCs/>
          <w:sz w:val="22"/>
          <w:szCs w:val="22"/>
        </w:rPr>
        <w:t>Centre for Business Prosperity</w:t>
      </w:r>
      <w:r w:rsidRPr="0076216E">
        <w:rPr>
          <w:rFonts w:ascii="Arial" w:hAnsi="Arial" w:cs="Arial"/>
          <w:sz w:val="22"/>
          <w:szCs w:val="22"/>
        </w:rPr>
        <w:t xml:space="preserve">. Available at: </w:t>
      </w:r>
      <w:hyperlink r:id="rId15" w:history="1">
        <w:r w:rsidRPr="0076216E">
          <w:rPr>
            <w:rStyle w:val="Hyperlink"/>
            <w:rFonts w:ascii="Arial" w:hAnsi="Arial" w:cs="Arial"/>
            <w:sz w:val="22"/>
            <w:szCs w:val="22"/>
          </w:rPr>
          <w:t>https://www.aston.ac.uk/sites/default/files/2024-12/uk_critical_dependencies_in_gvc_of_ev_20-12-2023_final.pdf</w:t>
        </w:r>
      </w:hyperlink>
      <w:r w:rsidR="00994BC1" w:rsidRPr="0076216E">
        <w:rPr>
          <w:rFonts w:ascii="Arial" w:hAnsi="Arial" w:cs="Arial"/>
          <w:sz w:val="22"/>
          <w:szCs w:val="22"/>
        </w:rPr>
        <w:t xml:space="preserve"> (Accessed: 5 March 2026).</w:t>
      </w:r>
    </w:p>
    <w:p w14:paraId="163ACD13" w14:textId="75A7F5EA"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 xml:space="preserve">European Automobile Manufacturers Association (2025) ‘Economic and Market Report: Global and EU auto industry – Full year 2024’. Available at: </w:t>
      </w:r>
      <w:hyperlink r:id="rId16" w:history="1">
        <w:r w:rsidRPr="0076216E">
          <w:rPr>
            <w:rStyle w:val="Hyperlink"/>
            <w:rFonts w:ascii="Arial" w:hAnsi="Arial" w:cs="Arial"/>
            <w:sz w:val="22"/>
            <w:szCs w:val="22"/>
          </w:rPr>
          <w:t>Economic and Market Report: Global and EU auto industry – Full year 2024 - ACEA - European Automobile Manufacturers' Association</w:t>
        </w:r>
      </w:hyperlink>
      <w:r w:rsidR="00994BC1" w:rsidRPr="0076216E">
        <w:rPr>
          <w:rFonts w:ascii="Arial" w:hAnsi="Arial" w:cs="Arial"/>
          <w:sz w:val="22"/>
          <w:szCs w:val="22"/>
        </w:rPr>
        <w:t xml:space="preserve"> (Accessed: 5 March 2026).</w:t>
      </w:r>
    </w:p>
    <w:p w14:paraId="68DA11D0" w14:textId="59A78551"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Fan, W. and Iqbal, M. (2022) ‘Economic, social, and environmental determinants of automotive industry competitiveness’. </w:t>
      </w:r>
      <w:r w:rsidRPr="0076216E">
        <w:rPr>
          <w:rFonts w:ascii="Arial" w:hAnsi="Arial" w:cs="Arial"/>
          <w:i/>
          <w:iCs/>
          <w:sz w:val="22"/>
          <w:szCs w:val="22"/>
        </w:rPr>
        <w:t>Journal of Energy and Environmental Policy Options</w:t>
      </w:r>
      <w:r w:rsidRPr="0076216E">
        <w:rPr>
          <w:rFonts w:ascii="Arial" w:hAnsi="Arial" w:cs="Arial"/>
          <w:sz w:val="22"/>
          <w:szCs w:val="22"/>
        </w:rPr>
        <w:t>, </w:t>
      </w:r>
      <w:r w:rsidRPr="0076216E">
        <w:rPr>
          <w:rFonts w:ascii="Arial" w:hAnsi="Arial" w:cs="Arial"/>
          <w:i/>
          <w:iCs/>
          <w:sz w:val="22"/>
          <w:szCs w:val="22"/>
        </w:rPr>
        <w:t>5</w:t>
      </w:r>
      <w:r w:rsidRPr="0076216E">
        <w:rPr>
          <w:rFonts w:ascii="Arial" w:hAnsi="Arial" w:cs="Arial"/>
          <w:sz w:val="22"/>
          <w:szCs w:val="22"/>
        </w:rPr>
        <w:t xml:space="preserve">(4), pp.36-43. Available at: </w:t>
      </w:r>
      <w:hyperlink r:id="rId17" w:history="1">
        <w:r w:rsidRPr="0076216E">
          <w:rPr>
            <w:rStyle w:val="Hyperlink"/>
            <w:rFonts w:ascii="Arial" w:hAnsi="Arial" w:cs="Arial"/>
            <w:sz w:val="22"/>
            <w:szCs w:val="22"/>
          </w:rPr>
          <w:t>https://resdojournals.com/index.php/JEEPO/article/download/296/480</w:t>
        </w:r>
      </w:hyperlink>
      <w:r w:rsidR="00994BC1" w:rsidRPr="0076216E">
        <w:rPr>
          <w:rFonts w:ascii="Arial" w:hAnsi="Arial" w:cs="Arial"/>
          <w:sz w:val="22"/>
          <w:szCs w:val="22"/>
        </w:rPr>
        <w:t xml:space="preserve"> (Accessed: 5 March 2026).</w:t>
      </w:r>
    </w:p>
    <w:p w14:paraId="10EA5672" w14:textId="71E3BFC5"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Johnson, E., Fernandez, C., Chavez, M., Müller, H. and Tanaka, Y. (2024) ‘The Influence of Digital Transformation on Business Model Innovation in Traditional Industries’. </w:t>
      </w:r>
      <w:r w:rsidRPr="0076216E">
        <w:rPr>
          <w:rFonts w:ascii="Arial" w:hAnsi="Arial" w:cs="Arial"/>
          <w:i/>
          <w:iCs/>
          <w:sz w:val="22"/>
          <w:szCs w:val="22"/>
        </w:rPr>
        <w:t>International Journal of Management, Business, and Economics</w:t>
      </w:r>
      <w:r w:rsidRPr="0076216E">
        <w:rPr>
          <w:rFonts w:ascii="Arial" w:hAnsi="Arial" w:cs="Arial"/>
          <w:sz w:val="22"/>
          <w:szCs w:val="22"/>
        </w:rPr>
        <w:t>, </w:t>
      </w:r>
      <w:r w:rsidRPr="0076216E">
        <w:rPr>
          <w:rFonts w:ascii="Arial" w:hAnsi="Arial" w:cs="Arial"/>
          <w:i/>
          <w:iCs/>
          <w:sz w:val="22"/>
          <w:szCs w:val="22"/>
        </w:rPr>
        <w:t>1</w:t>
      </w:r>
      <w:r w:rsidRPr="0076216E">
        <w:rPr>
          <w:rFonts w:ascii="Arial" w:hAnsi="Arial" w:cs="Arial"/>
          <w:sz w:val="22"/>
          <w:szCs w:val="22"/>
        </w:rPr>
        <w:t xml:space="preserve">(1). Available at: </w:t>
      </w:r>
      <w:hyperlink r:id="rId18" w:history="1">
        <w:r w:rsidRPr="0076216E">
          <w:rPr>
            <w:rStyle w:val="Hyperlink"/>
            <w:rFonts w:ascii="Arial" w:hAnsi="Arial" w:cs="Arial"/>
            <w:sz w:val="22"/>
            <w:szCs w:val="22"/>
          </w:rPr>
          <w:t>https://jurnals.net/access/IJMBE/article/download/5/5</w:t>
        </w:r>
      </w:hyperlink>
      <w:r w:rsidR="00994BC1" w:rsidRPr="0076216E">
        <w:rPr>
          <w:rFonts w:ascii="Arial" w:hAnsi="Arial" w:cs="Arial"/>
          <w:sz w:val="22"/>
          <w:szCs w:val="22"/>
        </w:rPr>
        <w:t xml:space="preserve"> (Accessed: 5 March 2026).</w:t>
      </w:r>
    </w:p>
    <w:p w14:paraId="09030CE3" w14:textId="0576C498"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Lasserre, P. and Monteiro, F. (2022) ‘</w:t>
      </w:r>
      <w:r w:rsidRPr="0076216E">
        <w:rPr>
          <w:rFonts w:ascii="Arial" w:hAnsi="Arial" w:cs="Arial"/>
          <w:i/>
          <w:iCs/>
          <w:sz w:val="22"/>
          <w:szCs w:val="22"/>
        </w:rPr>
        <w:t>Global strategic management’</w:t>
      </w:r>
      <w:r w:rsidRPr="0076216E">
        <w:rPr>
          <w:rFonts w:ascii="Arial" w:hAnsi="Arial" w:cs="Arial"/>
          <w:sz w:val="22"/>
          <w:szCs w:val="22"/>
        </w:rPr>
        <w:t xml:space="preserve">. Bloomsbury Publishing. Available at: </w:t>
      </w:r>
      <w:hyperlink r:id="rId19" w:anchor="v=onepage&amp;q=Strategic%20management%20%20uk&amp;f=false" w:history="1">
        <w:r w:rsidRPr="0076216E">
          <w:rPr>
            <w:rStyle w:val="Hyperlink"/>
            <w:rFonts w:ascii="Arial" w:hAnsi="Arial" w:cs="Arial"/>
            <w:sz w:val="22"/>
            <w:szCs w:val="22"/>
          </w:rPr>
          <w:t>https://books.google.co.in/books?hl=en&amp;lr=&amp;id=TtiVEAAAQBAJ&amp;oi=fnd&amp;pg=PP1&amp;dq=Strategic+management++uk&amp;ots=wyz6-zXyjf&amp;sig=dpZVFjf7xYEXvGc82z_4yjTNipE&amp;redir_esc=y#v=onepage&amp;q=Strategic%20management%20%20uk&amp;f=false</w:t>
        </w:r>
      </w:hyperlink>
      <w:r w:rsidR="00994BC1" w:rsidRPr="0076216E">
        <w:rPr>
          <w:rFonts w:ascii="Arial" w:hAnsi="Arial" w:cs="Arial"/>
          <w:sz w:val="22"/>
          <w:szCs w:val="22"/>
        </w:rPr>
        <w:t xml:space="preserve"> (Accessed: 5 March 2026).</w:t>
      </w:r>
    </w:p>
    <w:p w14:paraId="55122027" w14:textId="62BA8C85" w:rsidR="00FA176B" w:rsidRPr="0076216E" w:rsidRDefault="00FA176B" w:rsidP="00527428">
      <w:pPr>
        <w:spacing w:line="360" w:lineRule="auto"/>
        <w:jc w:val="both"/>
        <w:rPr>
          <w:rFonts w:ascii="Arial" w:hAnsi="Arial" w:cs="Arial"/>
          <w:sz w:val="22"/>
          <w:szCs w:val="22"/>
        </w:rPr>
      </w:pPr>
      <w:proofErr w:type="spellStart"/>
      <w:r w:rsidRPr="0076216E">
        <w:rPr>
          <w:rFonts w:ascii="Arial" w:hAnsi="Arial" w:cs="Arial"/>
          <w:sz w:val="22"/>
          <w:szCs w:val="22"/>
        </w:rPr>
        <w:t>Ludborza</w:t>
      </w:r>
      <w:proofErr w:type="spellEnd"/>
      <w:r w:rsidRPr="0076216E">
        <w:rPr>
          <w:rFonts w:ascii="Arial" w:hAnsi="Arial" w:cs="Arial"/>
          <w:sz w:val="22"/>
          <w:szCs w:val="22"/>
        </w:rPr>
        <w:t xml:space="preserve">, E. (2024) </w:t>
      </w:r>
      <w:proofErr w:type="spellStart"/>
      <w:r w:rsidRPr="0076216E">
        <w:rPr>
          <w:rFonts w:ascii="Arial" w:hAnsi="Arial" w:cs="Arial"/>
          <w:sz w:val="22"/>
          <w:szCs w:val="22"/>
        </w:rPr>
        <w:t>‘Re</w:t>
      </w:r>
      <w:proofErr w:type="spellEnd"/>
      <w:r w:rsidRPr="0076216E">
        <w:rPr>
          <w:rFonts w:ascii="Arial" w:hAnsi="Arial" w:cs="Arial"/>
          <w:sz w:val="22"/>
          <w:szCs w:val="22"/>
        </w:rPr>
        <w:t xml:space="preserve">: crafting luxury-The value of luxury craftsmanship from Boomers and Millennials' point of view’. Available at: </w:t>
      </w:r>
      <w:hyperlink r:id="rId20" w:history="1">
        <w:r w:rsidRPr="0076216E">
          <w:rPr>
            <w:rStyle w:val="Hyperlink"/>
            <w:rFonts w:ascii="Arial" w:hAnsi="Arial" w:cs="Arial"/>
            <w:sz w:val="22"/>
            <w:szCs w:val="22"/>
          </w:rPr>
          <w:t>https://aaltodoc.aalto.fi/items/30af69ac-53f0-43d6-a076-9361e685d965</w:t>
        </w:r>
      </w:hyperlink>
      <w:r w:rsidR="00994BC1" w:rsidRPr="0076216E">
        <w:rPr>
          <w:rFonts w:ascii="Arial" w:hAnsi="Arial" w:cs="Arial"/>
          <w:sz w:val="22"/>
          <w:szCs w:val="22"/>
        </w:rPr>
        <w:t xml:space="preserve"> (Accessed: 5 March 2026).</w:t>
      </w:r>
    </w:p>
    <w:p w14:paraId="33686125" w14:textId="553FEF30" w:rsidR="00FA176B" w:rsidRPr="0076216E" w:rsidRDefault="00FA176B" w:rsidP="00527428">
      <w:pPr>
        <w:spacing w:line="360" w:lineRule="auto"/>
        <w:jc w:val="both"/>
        <w:rPr>
          <w:rFonts w:ascii="Arial" w:hAnsi="Arial" w:cs="Arial"/>
          <w:sz w:val="22"/>
          <w:szCs w:val="22"/>
        </w:rPr>
      </w:pPr>
      <w:r w:rsidRPr="0076216E">
        <w:rPr>
          <w:rFonts w:ascii="Arial" w:hAnsi="Arial" w:cs="Arial"/>
          <w:sz w:val="22"/>
          <w:szCs w:val="22"/>
        </w:rPr>
        <w:t xml:space="preserve">Ranfagni, S. and </w:t>
      </w:r>
      <w:proofErr w:type="spellStart"/>
      <w:r w:rsidRPr="0076216E">
        <w:rPr>
          <w:rFonts w:ascii="Arial" w:hAnsi="Arial" w:cs="Arial"/>
          <w:sz w:val="22"/>
          <w:szCs w:val="22"/>
        </w:rPr>
        <w:t>Ozuem</w:t>
      </w:r>
      <w:proofErr w:type="spellEnd"/>
      <w:r w:rsidRPr="0076216E">
        <w:rPr>
          <w:rFonts w:ascii="Arial" w:hAnsi="Arial" w:cs="Arial"/>
          <w:sz w:val="22"/>
          <w:szCs w:val="22"/>
        </w:rPr>
        <w:t xml:space="preserve">, W. (2022) ‘Luxury and sustainability: Technological pathways and potential </w:t>
      </w:r>
      <w:proofErr w:type="gramStart"/>
      <w:r w:rsidRPr="0076216E">
        <w:rPr>
          <w:rFonts w:ascii="Arial" w:hAnsi="Arial" w:cs="Arial"/>
          <w:sz w:val="22"/>
          <w:szCs w:val="22"/>
        </w:rPr>
        <w:t>opportunities’</w:t>
      </w:r>
      <w:proofErr w:type="gramEnd"/>
      <w:r w:rsidRPr="0076216E">
        <w:rPr>
          <w:rFonts w:ascii="Arial" w:hAnsi="Arial" w:cs="Arial"/>
          <w:sz w:val="22"/>
          <w:szCs w:val="22"/>
        </w:rPr>
        <w:t>. </w:t>
      </w:r>
      <w:r w:rsidRPr="0076216E">
        <w:rPr>
          <w:rFonts w:ascii="Arial" w:hAnsi="Arial" w:cs="Arial"/>
          <w:i/>
          <w:iCs/>
          <w:sz w:val="22"/>
          <w:szCs w:val="22"/>
        </w:rPr>
        <w:t>Sustainability</w:t>
      </w:r>
      <w:r w:rsidRPr="0076216E">
        <w:rPr>
          <w:rFonts w:ascii="Arial" w:hAnsi="Arial" w:cs="Arial"/>
          <w:sz w:val="22"/>
          <w:szCs w:val="22"/>
        </w:rPr>
        <w:t>, </w:t>
      </w:r>
      <w:r w:rsidRPr="0076216E">
        <w:rPr>
          <w:rFonts w:ascii="Arial" w:hAnsi="Arial" w:cs="Arial"/>
          <w:i/>
          <w:iCs/>
          <w:sz w:val="22"/>
          <w:szCs w:val="22"/>
        </w:rPr>
        <w:t>14</w:t>
      </w:r>
      <w:r w:rsidRPr="0076216E">
        <w:rPr>
          <w:rFonts w:ascii="Arial" w:hAnsi="Arial" w:cs="Arial"/>
          <w:sz w:val="22"/>
          <w:szCs w:val="22"/>
        </w:rPr>
        <w:t xml:space="preserve">(9), p.5209. Available at: </w:t>
      </w:r>
      <w:hyperlink r:id="rId21" w:history="1">
        <w:r w:rsidRPr="0076216E">
          <w:rPr>
            <w:rStyle w:val="Hyperlink"/>
            <w:rFonts w:ascii="Arial" w:hAnsi="Arial" w:cs="Arial"/>
            <w:sz w:val="22"/>
            <w:szCs w:val="22"/>
          </w:rPr>
          <w:t>https://www.mdpi.com/2071-1050/14/9/5209</w:t>
        </w:r>
      </w:hyperlink>
      <w:r w:rsidR="00994BC1" w:rsidRPr="0076216E">
        <w:rPr>
          <w:rFonts w:ascii="Arial" w:hAnsi="Arial" w:cs="Arial"/>
          <w:sz w:val="22"/>
          <w:szCs w:val="22"/>
        </w:rPr>
        <w:t xml:space="preserve"> (Accessed: 5 March 2026).</w:t>
      </w:r>
    </w:p>
    <w:p w14:paraId="46638E46" w14:textId="772A8B0F" w:rsidR="00FA176B" w:rsidRPr="00527428" w:rsidRDefault="00FA176B" w:rsidP="00994BC1">
      <w:pPr>
        <w:spacing w:line="360" w:lineRule="auto"/>
        <w:jc w:val="both"/>
        <w:rPr>
          <w:rFonts w:ascii="Times New Roman" w:hAnsi="Times New Roman" w:cs="Times New Roman"/>
          <w:szCs w:val="24"/>
        </w:rPr>
      </w:pPr>
      <w:proofErr w:type="spellStart"/>
      <w:r w:rsidRPr="0076216E">
        <w:rPr>
          <w:rFonts w:ascii="Arial" w:hAnsi="Arial" w:cs="Arial"/>
          <w:sz w:val="22"/>
          <w:szCs w:val="22"/>
        </w:rPr>
        <w:t>Sogra</w:t>
      </w:r>
      <w:proofErr w:type="spellEnd"/>
      <w:r w:rsidRPr="0076216E">
        <w:rPr>
          <w:rFonts w:ascii="Arial" w:hAnsi="Arial" w:cs="Arial"/>
          <w:sz w:val="22"/>
          <w:szCs w:val="22"/>
        </w:rPr>
        <w:t xml:space="preserve">, S.F., </w:t>
      </w:r>
      <w:proofErr w:type="spellStart"/>
      <w:r w:rsidRPr="0076216E">
        <w:rPr>
          <w:rFonts w:ascii="Arial" w:hAnsi="Arial" w:cs="Arial"/>
          <w:sz w:val="22"/>
          <w:szCs w:val="22"/>
        </w:rPr>
        <w:t>Sogra</w:t>
      </w:r>
      <w:proofErr w:type="spellEnd"/>
      <w:r w:rsidRPr="0076216E">
        <w:rPr>
          <w:rFonts w:ascii="Arial" w:hAnsi="Arial" w:cs="Arial"/>
          <w:sz w:val="22"/>
          <w:szCs w:val="22"/>
        </w:rPr>
        <w:t xml:space="preserve">, S.M., Puri, T., Obohwemu, K.O., </w:t>
      </w:r>
      <w:proofErr w:type="spellStart"/>
      <w:r w:rsidRPr="0076216E">
        <w:rPr>
          <w:rFonts w:ascii="Arial" w:hAnsi="Arial" w:cs="Arial"/>
          <w:sz w:val="22"/>
          <w:szCs w:val="22"/>
        </w:rPr>
        <w:t>Ndioho</w:t>
      </w:r>
      <w:proofErr w:type="spellEnd"/>
      <w:r w:rsidRPr="0076216E">
        <w:rPr>
          <w:rFonts w:ascii="Arial" w:hAnsi="Arial" w:cs="Arial"/>
          <w:sz w:val="22"/>
          <w:szCs w:val="22"/>
        </w:rPr>
        <w:t xml:space="preserve">, I.F., </w:t>
      </w:r>
      <w:proofErr w:type="spellStart"/>
      <w:r w:rsidRPr="0076216E">
        <w:rPr>
          <w:rFonts w:ascii="Arial" w:hAnsi="Arial" w:cs="Arial"/>
          <w:sz w:val="22"/>
          <w:szCs w:val="22"/>
        </w:rPr>
        <w:t>Kachitsa</w:t>
      </w:r>
      <w:proofErr w:type="spellEnd"/>
      <w:r w:rsidRPr="0076216E">
        <w:rPr>
          <w:rFonts w:ascii="Arial" w:hAnsi="Arial" w:cs="Arial"/>
          <w:sz w:val="22"/>
          <w:szCs w:val="22"/>
        </w:rPr>
        <w:t xml:space="preserve">, C.L., </w:t>
      </w:r>
      <w:proofErr w:type="spellStart"/>
      <w:r w:rsidRPr="0076216E">
        <w:rPr>
          <w:rFonts w:ascii="Arial" w:hAnsi="Arial" w:cs="Arial"/>
          <w:sz w:val="22"/>
          <w:szCs w:val="22"/>
        </w:rPr>
        <w:t>Akinmade</w:t>
      </w:r>
      <w:proofErr w:type="spellEnd"/>
      <w:r w:rsidRPr="0076216E">
        <w:rPr>
          <w:rFonts w:ascii="Arial" w:hAnsi="Arial" w:cs="Arial"/>
          <w:sz w:val="22"/>
          <w:szCs w:val="22"/>
        </w:rPr>
        <w:t xml:space="preserve">, O.V., </w:t>
      </w:r>
      <w:proofErr w:type="spellStart"/>
      <w:r w:rsidRPr="0076216E">
        <w:rPr>
          <w:rFonts w:ascii="Arial" w:hAnsi="Arial" w:cs="Arial"/>
          <w:sz w:val="22"/>
          <w:szCs w:val="22"/>
        </w:rPr>
        <w:t>Ooju</w:t>
      </w:r>
      <w:proofErr w:type="spellEnd"/>
      <w:r w:rsidRPr="0076216E">
        <w:rPr>
          <w:rFonts w:ascii="Arial" w:hAnsi="Arial" w:cs="Arial"/>
          <w:sz w:val="22"/>
          <w:szCs w:val="22"/>
        </w:rPr>
        <w:t xml:space="preserve">, O.E., </w:t>
      </w:r>
      <w:proofErr w:type="spellStart"/>
      <w:r w:rsidRPr="0076216E">
        <w:rPr>
          <w:rFonts w:ascii="Arial" w:hAnsi="Arial" w:cs="Arial"/>
          <w:sz w:val="22"/>
          <w:szCs w:val="22"/>
        </w:rPr>
        <w:t>Ituah</w:t>
      </w:r>
      <w:proofErr w:type="spellEnd"/>
      <w:r w:rsidRPr="0076216E">
        <w:rPr>
          <w:rFonts w:ascii="Arial" w:hAnsi="Arial" w:cs="Arial"/>
          <w:sz w:val="22"/>
          <w:szCs w:val="22"/>
        </w:rPr>
        <w:t>, F., Fard, J.K. and Deborah, O.O. (2026) ‘Strategic Environmental Analysis in the Automobile Industry: The Role of External Forces in Shaping</w:t>
      </w:r>
      <w:r w:rsidRPr="00527428">
        <w:rPr>
          <w:rFonts w:ascii="Times New Roman" w:hAnsi="Times New Roman" w:cs="Times New Roman"/>
          <w:szCs w:val="24"/>
        </w:rPr>
        <w:t xml:space="preserve"> </w:t>
      </w:r>
      <w:r w:rsidRPr="0076216E">
        <w:rPr>
          <w:rFonts w:ascii="Arial" w:hAnsi="Arial" w:cs="Arial"/>
          <w:sz w:val="22"/>
          <w:szCs w:val="22"/>
        </w:rPr>
        <w:lastRenderedPageBreak/>
        <w:t>Operations’. </w:t>
      </w:r>
      <w:r w:rsidRPr="0076216E">
        <w:rPr>
          <w:rFonts w:ascii="Arial" w:hAnsi="Arial" w:cs="Arial"/>
          <w:i/>
          <w:iCs/>
          <w:sz w:val="22"/>
          <w:szCs w:val="22"/>
        </w:rPr>
        <w:t>International Journal of Management and Business Development</w:t>
      </w:r>
      <w:r w:rsidRPr="0076216E">
        <w:rPr>
          <w:rFonts w:ascii="Arial" w:hAnsi="Arial" w:cs="Arial"/>
          <w:sz w:val="22"/>
          <w:szCs w:val="22"/>
        </w:rPr>
        <w:t>, </w:t>
      </w:r>
      <w:r w:rsidRPr="0076216E">
        <w:rPr>
          <w:rFonts w:ascii="Arial" w:hAnsi="Arial" w:cs="Arial"/>
          <w:i/>
          <w:iCs/>
          <w:sz w:val="22"/>
          <w:szCs w:val="22"/>
        </w:rPr>
        <w:t>3</w:t>
      </w:r>
      <w:r w:rsidRPr="0076216E">
        <w:rPr>
          <w:rFonts w:ascii="Arial" w:hAnsi="Arial" w:cs="Arial"/>
          <w:sz w:val="22"/>
          <w:szCs w:val="22"/>
        </w:rPr>
        <w:t xml:space="preserve">(02), pp.6-16. Available at: </w:t>
      </w:r>
      <w:hyperlink r:id="rId22" w:history="1">
        <w:r w:rsidRPr="0076216E">
          <w:rPr>
            <w:rStyle w:val="Hyperlink"/>
            <w:rFonts w:ascii="Arial" w:hAnsi="Arial" w:cs="Arial"/>
            <w:sz w:val="22"/>
            <w:szCs w:val="22"/>
          </w:rPr>
          <w:t>https://aimjournals.com/index.php/ijmbd/article/download/504/439</w:t>
        </w:r>
      </w:hyperlink>
      <w:r w:rsidR="00404CD2" w:rsidRPr="0076216E">
        <w:rPr>
          <w:rFonts w:ascii="Arial" w:hAnsi="Arial" w:cs="Arial"/>
          <w:sz w:val="22"/>
          <w:szCs w:val="22"/>
        </w:rPr>
        <w:t xml:space="preserve"> (Accessed: 5 March 2026).</w:t>
      </w:r>
    </w:p>
    <w:sectPr w:rsidR="00FA176B" w:rsidRPr="00527428" w:rsidSect="003C0A46">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15415" w14:textId="77777777" w:rsidR="00F83D5B" w:rsidRDefault="00F83D5B" w:rsidP="00C22869">
      <w:pPr>
        <w:spacing w:after="0" w:line="240" w:lineRule="auto"/>
      </w:pPr>
      <w:r>
        <w:separator/>
      </w:r>
    </w:p>
  </w:endnote>
  <w:endnote w:type="continuationSeparator" w:id="0">
    <w:p w14:paraId="24E424E0" w14:textId="77777777" w:rsidR="00F83D5B" w:rsidRDefault="00F83D5B" w:rsidP="00C22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7467571"/>
      <w:docPartObj>
        <w:docPartGallery w:val="Page Numbers (Bottom of Page)"/>
        <w:docPartUnique/>
      </w:docPartObj>
    </w:sdtPr>
    <w:sdtEndPr>
      <w:rPr>
        <w:noProof/>
      </w:rPr>
    </w:sdtEndPr>
    <w:sdtContent>
      <w:p w14:paraId="2D3AF36D" w14:textId="1B53C70C" w:rsidR="00545E85" w:rsidRDefault="00545E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EA9A37" w14:textId="77777777" w:rsidR="00C22869" w:rsidRDefault="00C22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B65A4" w14:textId="77777777" w:rsidR="00F83D5B" w:rsidRDefault="00F83D5B" w:rsidP="00C22869">
      <w:pPr>
        <w:spacing w:after="0" w:line="240" w:lineRule="auto"/>
      </w:pPr>
      <w:r>
        <w:separator/>
      </w:r>
    </w:p>
  </w:footnote>
  <w:footnote w:type="continuationSeparator" w:id="0">
    <w:p w14:paraId="6969E2A0" w14:textId="77777777" w:rsidR="00F83D5B" w:rsidRDefault="00F83D5B" w:rsidP="00C228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7AB"/>
    <w:rsid w:val="00024ED2"/>
    <w:rsid w:val="000272F2"/>
    <w:rsid w:val="00045CF4"/>
    <w:rsid w:val="000831AA"/>
    <w:rsid w:val="000C7D5D"/>
    <w:rsid w:val="000D643A"/>
    <w:rsid w:val="0011123C"/>
    <w:rsid w:val="001468BD"/>
    <w:rsid w:val="00160DC8"/>
    <w:rsid w:val="001E6873"/>
    <w:rsid w:val="001F6FEA"/>
    <w:rsid w:val="00200B4B"/>
    <w:rsid w:val="00225876"/>
    <w:rsid w:val="002529FA"/>
    <w:rsid w:val="00272021"/>
    <w:rsid w:val="00291E01"/>
    <w:rsid w:val="002D57AB"/>
    <w:rsid w:val="002F10DF"/>
    <w:rsid w:val="00353E43"/>
    <w:rsid w:val="00376FC6"/>
    <w:rsid w:val="00382F7B"/>
    <w:rsid w:val="003B23EE"/>
    <w:rsid w:val="003C0A46"/>
    <w:rsid w:val="003C5ECE"/>
    <w:rsid w:val="003D425D"/>
    <w:rsid w:val="003E0537"/>
    <w:rsid w:val="004021DA"/>
    <w:rsid w:val="00404CD2"/>
    <w:rsid w:val="0040696C"/>
    <w:rsid w:val="004157C5"/>
    <w:rsid w:val="004225DC"/>
    <w:rsid w:val="00471EA5"/>
    <w:rsid w:val="004774C6"/>
    <w:rsid w:val="00484736"/>
    <w:rsid w:val="004C7004"/>
    <w:rsid w:val="004D1B7E"/>
    <w:rsid w:val="004F3133"/>
    <w:rsid w:val="00510229"/>
    <w:rsid w:val="00513C77"/>
    <w:rsid w:val="00527428"/>
    <w:rsid w:val="00527470"/>
    <w:rsid w:val="005325E4"/>
    <w:rsid w:val="00545E85"/>
    <w:rsid w:val="005A10ED"/>
    <w:rsid w:val="005A3629"/>
    <w:rsid w:val="005B0F79"/>
    <w:rsid w:val="005D2C58"/>
    <w:rsid w:val="005F2B67"/>
    <w:rsid w:val="0060675C"/>
    <w:rsid w:val="00640424"/>
    <w:rsid w:val="006443FD"/>
    <w:rsid w:val="00675C79"/>
    <w:rsid w:val="006930C7"/>
    <w:rsid w:val="006A143C"/>
    <w:rsid w:val="006C06DE"/>
    <w:rsid w:val="006D5B7C"/>
    <w:rsid w:val="00710578"/>
    <w:rsid w:val="00735ACF"/>
    <w:rsid w:val="00743D29"/>
    <w:rsid w:val="00757658"/>
    <w:rsid w:val="0076216E"/>
    <w:rsid w:val="007803F6"/>
    <w:rsid w:val="00781358"/>
    <w:rsid w:val="008012C2"/>
    <w:rsid w:val="00802658"/>
    <w:rsid w:val="008531C9"/>
    <w:rsid w:val="00857CFF"/>
    <w:rsid w:val="00865F15"/>
    <w:rsid w:val="008E4400"/>
    <w:rsid w:val="008F47CD"/>
    <w:rsid w:val="00913E6D"/>
    <w:rsid w:val="0093107A"/>
    <w:rsid w:val="00967CC0"/>
    <w:rsid w:val="00994BC1"/>
    <w:rsid w:val="00A1759E"/>
    <w:rsid w:val="00A24537"/>
    <w:rsid w:val="00A26126"/>
    <w:rsid w:val="00A57AD6"/>
    <w:rsid w:val="00A72888"/>
    <w:rsid w:val="00B8023A"/>
    <w:rsid w:val="00B80566"/>
    <w:rsid w:val="00BA2FBE"/>
    <w:rsid w:val="00BD0D6C"/>
    <w:rsid w:val="00C22869"/>
    <w:rsid w:val="00C51910"/>
    <w:rsid w:val="00C54A33"/>
    <w:rsid w:val="00C637C3"/>
    <w:rsid w:val="00C71215"/>
    <w:rsid w:val="00C7376D"/>
    <w:rsid w:val="00C769CF"/>
    <w:rsid w:val="00C93D13"/>
    <w:rsid w:val="00CA3BC2"/>
    <w:rsid w:val="00CB00F2"/>
    <w:rsid w:val="00CF641B"/>
    <w:rsid w:val="00CF797C"/>
    <w:rsid w:val="00D16AF0"/>
    <w:rsid w:val="00D73509"/>
    <w:rsid w:val="00D83A9E"/>
    <w:rsid w:val="00DC7C1E"/>
    <w:rsid w:val="00E2419F"/>
    <w:rsid w:val="00E461C6"/>
    <w:rsid w:val="00E50FE6"/>
    <w:rsid w:val="00E67883"/>
    <w:rsid w:val="00E808B4"/>
    <w:rsid w:val="00E90964"/>
    <w:rsid w:val="00EA0D98"/>
    <w:rsid w:val="00EC221A"/>
    <w:rsid w:val="00EE5D01"/>
    <w:rsid w:val="00F073BA"/>
    <w:rsid w:val="00F1556D"/>
    <w:rsid w:val="00F52983"/>
    <w:rsid w:val="00F83D5B"/>
    <w:rsid w:val="00FA176B"/>
    <w:rsid w:val="00FB6C0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6402E72"/>
  <w15:chartTrackingRefBased/>
  <w15:docId w15:val="{9A90C447-6D75-4097-87DA-CFD773F41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IN"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53E43"/>
    <w:pPr>
      <w:keepNext/>
      <w:keepLines/>
      <w:spacing w:before="360" w:after="80"/>
      <w:outlineLvl w:val="0"/>
    </w:pPr>
    <w:rPr>
      <w:rFonts w:ascii="Times New Roman" w:eastAsiaTheme="majorEastAsia" w:hAnsi="Times New Roman" w:cstheme="majorBidi"/>
      <w:color w:val="2F5496" w:themeColor="accent1" w:themeShade="BF"/>
      <w:szCs w:val="36"/>
    </w:rPr>
  </w:style>
  <w:style w:type="paragraph" w:styleId="Heading2">
    <w:name w:val="heading 2"/>
    <w:basedOn w:val="Normal"/>
    <w:next w:val="Normal"/>
    <w:link w:val="Heading2Char"/>
    <w:uiPriority w:val="9"/>
    <w:unhideWhenUsed/>
    <w:qFormat/>
    <w:rsid w:val="00382F7B"/>
    <w:pPr>
      <w:keepNext/>
      <w:keepLines/>
      <w:spacing w:before="160" w:after="80"/>
      <w:outlineLvl w:val="1"/>
    </w:pPr>
    <w:rPr>
      <w:rFonts w:ascii="Times New Roman" w:eastAsiaTheme="majorEastAsia" w:hAnsi="Times New Roman" w:cstheme="majorBidi"/>
      <w:color w:val="2F5496" w:themeColor="accent1" w:themeShade="BF"/>
      <w:szCs w:val="29"/>
    </w:rPr>
  </w:style>
  <w:style w:type="paragraph" w:styleId="Heading3">
    <w:name w:val="heading 3"/>
    <w:basedOn w:val="Normal"/>
    <w:next w:val="Normal"/>
    <w:link w:val="Heading3Char"/>
    <w:uiPriority w:val="9"/>
    <w:semiHidden/>
    <w:unhideWhenUsed/>
    <w:qFormat/>
    <w:rsid w:val="002D57AB"/>
    <w:pPr>
      <w:keepNext/>
      <w:keepLines/>
      <w:spacing w:before="160" w:after="80"/>
      <w:outlineLvl w:val="2"/>
    </w:pPr>
    <w:rPr>
      <w:rFonts w:eastAsiaTheme="majorEastAsia" w:cstheme="majorBidi"/>
      <w:color w:val="2F5496" w:themeColor="accent1" w:themeShade="BF"/>
      <w:sz w:val="28"/>
      <w:szCs w:val="25"/>
    </w:rPr>
  </w:style>
  <w:style w:type="paragraph" w:styleId="Heading4">
    <w:name w:val="heading 4"/>
    <w:basedOn w:val="Normal"/>
    <w:next w:val="Normal"/>
    <w:link w:val="Heading4Char"/>
    <w:uiPriority w:val="9"/>
    <w:semiHidden/>
    <w:unhideWhenUsed/>
    <w:qFormat/>
    <w:rsid w:val="002D57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57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57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7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7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7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E43"/>
    <w:rPr>
      <w:rFonts w:ascii="Times New Roman" w:eastAsiaTheme="majorEastAsia" w:hAnsi="Times New Roman" w:cstheme="majorBidi"/>
      <w:color w:val="2F5496" w:themeColor="accent1" w:themeShade="BF"/>
      <w:szCs w:val="36"/>
    </w:rPr>
  </w:style>
  <w:style w:type="character" w:customStyle="1" w:styleId="Heading2Char">
    <w:name w:val="Heading 2 Char"/>
    <w:basedOn w:val="DefaultParagraphFont"/>
    <w:link w:val="Heading2"/>
    <w:uiPriority w:val="9"/>
    <w:rsid w:val="00382F7B"/>
    <w:rPr>
      <w:rFonts w:ascii="Times New Roman" w:eastAsiaTheme="majorEastAsia" w:hAnsi="Times New Roman" w:cstheme="majorBidi"/>
      <w:color w:val="2F5496" w:themeColor="accent1" w:themeShade="BF"/>
      <w:szCs w:val="29"/>
    </w:rPr>
  </w:style>
  <w:style w:type="character" w:customStyle="1" w:styleId="Heading3Char">
    <w:name w:val="Heading 3 Char"/>
    <w:basedOn w:val="DefaultParagraphFont"/>
    <w:link w:val="Heading3"/>
    <w:uiPriority w:val="9"/>
    <w:semiHidden/>
    <w:rsid w:val="002D57AB"/>
    <w:rPr>
      <w:rFonts w:eastAsiaTheme="majorEastAsia" w:cstheme="majorBidi"/>
      <w:color w:val="2F5496" w:themeColor="accent1" w:themeShade="BF"/>
      <w:sz w:val="28"/>
      <w:szCs w:val="25"/>
    </w:rPr>
  </w:style>
  <w:style w:type="character" w:customStyle="1" w:styleId="Heading4Char">
    <w:name w:val="Heading 4 Char"/>
    <w:basedOn w:val="DefaultParagraphFont"/>
    <w:link w:val="Heading4"/>
    <w:uiPriority w:val="9"/>
    <w:semiHidden/>
    <w:rsid w:val="002D57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57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57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7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7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7AB"/>
    <w:rPr>
      <w:rFonts w:eastAsiaTheme="majorEastAsia" w:cstheme="majorBidi"/>
      <w:color w:val="272727" w:themeColor="text1" w:themeTint="D8"/>
    </w:rPr>
  </w:style>
  <w:style w:type="paragraph" w:styleId="Title">
    <w:name w:val="Title"/>
    <w:basedOn w:val="Normal"/>
    <w:next w:val="Normal"/>
    <w:link w:val="TitleChar"/>
    <w:uiPriority w:val="10"/>
    <w:qFormat/>
    <w:rsid w:val="002D57AB"/>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2D57AB"/>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2D57AB"/>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2D57AB"/>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2D57AB"/>
    <w:pPr>
      <w:spacing w:before="160"/>
      <w:jc w:val="center"/>
    </w:pPr>
    <w:rPr>
      <w:i/>
      <w:iCs/>
      <w:color w:val="404040" w:themeColor="text1" w:themeTint="BF"/>
    </w:rPr>
  </w:style>
  <w:style w:type="character" w:customStyle="1" w:styleId="QuoteChar">
    <w:name w:val="Quote Char"/>
    <w:basedOn w:val="DefaultParagraphFont"/>
    <w:link w:val="Quote"/>
    <w:uiPriority w:val="29"/>
    <w:rsid w:val="002D57AB"/>
    <w:rPr>
      <w:i/>
      <w:iCs/>
      <w:color w:val="404040" w:themeColor="text1" w:themeTint="BF"/>
    </w:rPr>
  </w:style>
  <w:style w:type="paragraph" w:styleId="ListParagraph">
    <w:name w:val="List Paragraph"/>
    <w:basedOn w:val="Normal"/>
    <w:uiPriority w:val="34"/>
    <w:qFormat/>
    <w:rsid w:val="002D57AB"/>
    <w:pPr>
      <w:ind w:left="720"/>
      <w:contextualSpacing/>
    </w:pPr>
  </w:style>
  <w:style w:type="character" w:styleId="IntenseEmphasis">
    <w:name w:val="Intense Emphasis"/>
    <w:basedOn w:val="DefaultParagraphFont"/>
    <w:uiPriority w:val="21"/>
    <w:qFormat/>
    <w:rsid w:val="002D57AB"/>
    <w:rPr>
      <w:i/>
      <w:iCs/>
      <w:color w:val="2F5496" w:themeColor="accent1" w:themeShade="BF"/>
    </w:rPr>
  </w:style>
  <w:style w:type="paragraph" w:styleId="IntenseQuote">
    <w:name w:val="Intense Quote"/>
    <w:basedOn w:val="Normal"/>
    <w:next w:val="Normal"/>
    <w:link w:val="IntenseQuoteChar"/>
    <w:uiPriority w:val="30"/>
    <w:qFormat/>
    <w:rsid w:val="002D57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57AB"/>
    <w:rPr>
      <w:i/>
      <w:iCs/>
      <w:color w:val="2F5496" w:themeColor="accent1" w:themeShade="BF"/>
    </w:rPr>
  </w:style>
  <w:style w:type="character" w:styleId="IntenseReference">
    <w:name w:val="Intense Reference"/>
    <w:basedOn w:val="DefaultParagraphFont"/>
    <w:uiPriority w:val="32"/>
    <w:qFormat/>
    <w:rsid w:val="002D57AB"/>
    <w:rPr>
      <w:b/>
      <w:bCs/>
      <w:smallCaps/>
      <w:color w:val="2F5496" w:themeColor="accent1" w:themeShade="BF"/>
      <w:spacing w:val="5"/>
    </w:rPr>
  </w:style>
  <w:style w:type="character" w:styleId="Hyperlink">
    <w:name w:val="Hyperlink"/>
    <w:basedOn w:val="DefaultParagraphFont"/>
    <w:uiPriority w:val="99"/>
    <w:unhideWhenUsed/>
    <w:rsid w:val="00E2419F"/>
    <w:rPr>
      <w:color w:val="0563C1" w:themeColor="hyperlink"/>
      <w:u w:val="single"/>
    </w:rPr>
  </w:style>
  <w:style w:type="character" w:customStyle="1" w:styleId="UnresolvedMention1">
    <w:name w:val="Unresolved Mention1"/>
    <w:basedOn w:val="DefaultParagraphFont"/>
    <w:uiPriority w:val="99"/>
    <w:semiHidden/>
    <w:unhideWhenUsed/>
    <w:rsid w:val="00E2419F"/>
    <w:rPr>
      <w:color w:val="605E5C"/>
      <w:shd w:val="clear" w:color="auto" w:fill="E1DFDD"/>
    </w:rPr>
  </w:style>
  <w:style w:type="table" w:customStyle="1" w:styleId="TableGrid">
    <w:name w:val="TableGrid"/>
    <w:rsid w:val="00C71215"/>
    <w:pPr>
      <w:spacing w:after="0" w:line="240" w:lineRule="auto"/>
    </w:pPr>
    <w:rPr>
      <w:rFonts w:eastAsiaTheme="minorEastAsia"/>
      <w:szCs w:val="24"/>
      <w:lang w:val="en-GB" w:eastAsia="en-GB" w:bidi="ar-SA"/>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527428"/>
    <w:pPr>
      <w:spacing w:before="240" w:after="0" w:line="259" w:lineRule="auto"/>
      <w:outlineLvl w:val="9"/>
    </w:pPr>
    <w:rPr>
      <w:rFonts w:asciiTheme="majorHAnsi" w:hAnsiTheme="majorHAnsi"/>
      <w:kern w:val="0"/>
      <w:sz w:val="32"/>
      <w:szCs w:val="32"/>
      <w:lang w:val="en-US" w:bidi="ar-SA"/>
      <w14:ligatures w14:val="none"/>
    </w:rPr>
  </w:style>
  <w:style w:type="paragraph" w:styleId="TOC1">
    <w:name w:val="toc 1"/>
    <w:basedOn w:val="Normal"/>
    <w:next w:val="Normal"/>
    <w:autoRedefine/>
    <w:uiPriority w:val="39"/>
    <w:unhideWhenUsed/>
    <w:rsid w:val="00527428"/>
    <w:pPr>
      <w:spacing w:after="100"/>
    </w:pPr>
  </w:style>
  <w:style w:type="paragraph" w:styleId="TOC2">
    <w:name w:val="toc 2"/>
    <w:basedOn w:val="Normal"/>
    <w:next w:val="Normal"/>
    <w:autoRedefine/>
    <w:uiPriority w:val="39"/>
    <w:unhideWhenUsed/>
    <w:rsid w:val="00527428"/>
    <w:pPr>
      <w:spacing w:after="100"/>
      <w:ind w:left="240"/>
    </w:pPr>
  </w:style>
  <w:style w:type="paragraph" w:styleId="Header">
    <w:name w:val="header"/>
    <w:basedOn w:val="Normal"/>
    <w:link w:val="HeaderChar"/>
    <w:uiPriority w:val="99"/>
    <w:unhideWhenUsed/>
    <w:rsid w:val="00C22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869"/>
    <w:rPr>
      <w:lang w:val="en-GB"/>
    </w:rPr>
  </w:style>
  <w:style w:type="paragraph" w:styleId="Footer">
    <w:name w:val="footer"/>
    <w:basedOn w:val="Normal"/>
    <w:link w:val="FooterChar"/>
    <w:uiPriority w:val="99"/>
    <w:unhideWhenUsed/>
    <w:rsid w:val="00C22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86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londonmet.ac.uk/9149/3/Revised%20Manuscript-F.pdf" TargetMode="External"/><Relationship Id="rId13" Type="http://schemas.openxmlformats.org/officeDocument/2006/relationships/hyperlink" Target="https://books.google.co.in/books?hl=en&amp;lr=&amp;id=Zv-eEQAAQBAJ&amp;oi=fnd&amp;pg=PT10&amp;dq=After-sales+services+further+enhance+customer+loyalty+through+premium+maintenance+and+long-term+ownership+support.+bentley&amp;ots=lSzKjMquFV&amp;sig=LA9S2OyCdnwH6eyAo-twJCCcvV8&amp;redir_esc=y" TargetMode="External"/><Relationship Id="rId18" Type="http://schemas.openxmlformats.org/officeDocument/2006/relationships/hyperlink" Target="https://jurnals.net/access/IJMBE/article/download/5/5" TargetMode="External"/><Relationship Id="rId3" Type="http://schemas.openxmlformats.org/officeDocument/2006/relationships/settings" Target="settings.xml"/><Relationship Id="rId21" Type="http://schemas.openxmlformats.org/officeDocument/2006/relationships/hyperlink" Target="https://www.mdpi.com/2071-1050/14/9/5209" TargetMode="External"/><Relationship Id="rId7" Type="http://schemas.openxmlformats.org/officeDocument/2006/relationships/image" Target="media/image1.png"/><Relationship Id="rId12" Type="http://schemas.openxmlformats.org/officeDocument/2006/relationships/hyperlink" Target="https://www.mdpi.com/2071-1050/17/7/2795" TargetMode="External"/><Relationship Id="rId17" Type="http://schemas.openxmlformats.org/officeDocument/2006/relationships/hyperlink" Target="https://resdojournals.com/index.php/JEEPO/article/download/296/48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cea.auto/publication/economic-and-market-report-global-and-eu-auto-industry-full-year-2024/" TargetMode="External"/><Relationship Id="rId20" Type="http://schemas.openxmlformats.org/officeDocument/2006/relationships/hyperlink" Target="https://aaltodoc.aalto.fi/items/30af69ac-53f0-43d6-a076-9361e685d96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entleymotors.com/en/about-bentley/beyond-100/bentley-brand-manifesto.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ston.ac.uk/sites/default/files/2024-12/uk_critical_dependencies_in_gvc_of_ev_20-12-2023_final.pdf" TargetMode="External"/><Relationship Id="rId23" Type="http://schemas.openxmlformats.org/officeDocument/2006/relationships/footer" Target="footer1.xml"/><Relationship Id="rId10" Type="http://schemas.openxmlformats.org/officeDocument/2006/relationships/hyperlink" Target="https://www.emerald.com/vjikms/article-pdf/54/5/1153/9524442/vjikms-01-2022-0029.pdf" TargetMode="External"/><Relationship Id="rId19" Type="http://schemas.openxmlformats.org/officeDocument/2006/relationships/hyperlink" Target="https://books.google.co.in/books?hl=en&amp;lr=&amp;id=TtiVEAAAQBAJ&amp;oi=fnd&amp;pg=PP1&amp;dq=Strategic+management++uk&amp;ots=wyz6-zXyjf&amp;sig=dpZVFjf7xYEXvGc82z_4yjTNipE&amp;redir_esc=y" TargetMode="External"/><Relationship Id="rId4" Type="http://schemas.openxmlformats.org/officeDocument/2006/relationships/webSettings" Target="webSettings.xml"/><Relationship Id="rId9" Type="http://schemas.openxmlformats.org/officeDocument/2006/relationships/hyperlink" Target="https://www.researchgate.net/profile/Kolade-Ajeigbe-2/publication/390329268_Government_Policies_and_Incentives_for_EV_Manufacturing/links/67ea6d919b1c6c487768ab10/Government-Policies-and-Incentives-for-EV-Manufacturing.pdf" TargetMode="External"/><Relationship Id="rId14" Type="http://schemas.openxmlformats.org/officeDocument/2006/relationships/hyperlink" Target="https://regulatorystudies.columbian.gwu.edu/sites/g/files/zaxdzs4751/files/2022-10/regulatory_compliance_burdens_litreview_synthesis_finalweb.pdf" TargetMode="External"/><Relationship Id="rId22" Type="http://schemas.openxmlformats.org/officeDocument/2006/relationships/hyperlink" Target="https://aimjournals.com/index.php/ijmbd/article/download/504/4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A4012-076C-43FB-AC30-E38CA7998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3410</Words>
  <Characters>19439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CROITORU Camelia</dc:creator>
  <cp:keywords/>
  <dc:description/>
  <cp:lastModifiedBy>CROITORU Camelia</cp:lastModifiedBy>
  <cp:revision>3</cp:revision>
  <dcterms:created xsi:type="dcterms:W3CDTF">2026-03-06T20:41:00Z</dcterms:created>
  <dcterms:modified xsi:type="dcterms:W3CDTF">2026-03-06T20:44:00Z</dcterms:modified>
</cp:coreProperties>
</file>