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9D2CB42" w14:textId="77777777" w:rsidR="00D11504" w:rsidRDefault="00000000">
      <w:pPr>
        <w:keepNext w:val="0"/>
        <w:spacing w:before="1440" w:after="360" w:line="360" w:lineRule="auto"/>
        <w:jc w:val="both"/>
      </w:pPr>
      <w:r>
        <w:rPr>
          <w:rFonts w:ascii="Arial" w:hAnsi="Arial" w:eastAsia="Arial" w:cs="Arial"/>
          <w:b/>
          <w:sz w:val="24"/>
        </w:rPr>
        <w:t>University of Wales Trinity Saint David (UWTSD)</w:t>
      </w:r>
    </w:p>
    <w:p w14:paraId="56CC8ED6" w14:textId="77777777" w:rsidR="00D11504" w:rsidRDefault="00000000">
      <w:pPr>
        <w:keepNext w:val="0"/>
        <w:spacing w:line="360" w:lineRule="auto" w:before="0" w:after="120"/>
        <w:jc w:val="both"/>
      </w:pPr>
      <w:r>
        <w:rPr>
          <w:rFonts w:ascii="Arial" w:hAnsi="Arial" w:eastAsia="Arial" w:cs="Arial"/>
          <w:b/>
          <w:sz w:val="24"/>
        </w:rPr>
        <w:t>Problem Solving and Decision Making</w:t>
      </w:r>
    </w:p>
    <w:p w14:paraId="00908089" w14:textId="77777777" w:rsidR="00D11504" w:rsidRDefault="00000000">
      <w:pPr>
        <w:keepNext w:val="0"/>
        <w:spacing w:after="480" w:line="360" w:lineRule="auto" w:before="0"/>
        <w:jc w:val="both"/>
      </w:pPr>
      <w:r>
        <w:rPr>
          <w:rFonts w:ascii="Arial" w:hAnsi="Arial" w:eastAsia="Arial" w:cs="Arial"/>
          <w:b w:val="0"/>
          <w:sz w:val="24"/>
        </w:rPr>
        <w:t>Module Code: LCLM4004</w:t>
      </w:r>
    </w:p>
    <w:p w14:paraId="429FC49D" w14:textId="77777777" w:rsidR="00D11504" w:rsidRDefault="00000000">
      <w:pPr>
        <w:keepNext w:val="0"/>
        <w:spacing w:line="360" w:lineRule="auto" w:before="0" w:after="120"/>
        <w:jc w:val="both"/>
      </w:pPr>
      <w:r>
        <w:rPr>
          <w:rFonts w:ascii="Arial" w:hAnsi="Arial" w:eastAsia="Arial" w:cs="Arial"/>
          <w:b/>
          <w:sz w:val="24"/>
        </w:rPr>
        <w:t>Component 2 Individual Report</w:t>
      </w:r>
    </w:p>
    <w:p w14:paraId="06468166" w14:textId="77777777" w:rsidR="00D11504" w:rsidRDefault="00000000">
      <w:pPr>
        <w:keepNext w:val="0"/>
        <w:spacing w:after="600" w:line="360" w:lineRule="auto" w:before="0"/>
        <w:jc w:val="both"/>
      </w:pPr>
      <w:r>
        <w:rPr>
          <w:rFonts w:ascii="Arial" w:hAnsi="Arial" w:eastAsia="Arial" w:cs="Arial"/>
          <w:b/>
          <w:sz w:val="24"/>
        </w:rPr>
        <w:t>Basil’s Bakery</w:t>
      </w:r>
    </w:p>
    <w:p w14:paraId="59DED422" w14:textId="77777777" w:rsidR="00D11504" w:rsidRDefault="00000000">
      <w:pPr>
        <w:keepNext w:val="0"/>
        <w:spacing w:line="360" w:lineRule="auto" w:before="0" w:after="120"/>
        <w:jc w:val="both"/>
      </w:pPr>
      <w:r>
        <w:rPr>
          <w:rFonts w:ascii="Arial" w:hAnsi="Arial" w:eastAsia="Arial" w:cs="Arial"/>
          <w:b w:val="0"/>
          <w:sz w:val="24"/>
        </w:rPr>
        <w:t>Student Name: Oksana Bielova</w:t>
      </w:r>
    </w:p>
    <w:p w14:paraId="547D1163" w14:textId="77777777" w:rsidR="00D11504" w:rsidRDefault="00000000">
      <w:pPr>
        <w:keepNext w:val="0"/>
        <w:spacing w:line="360" w:lineRule="auto" w:before="0" w:after="120"/>
        <w:jc w:val="both"/>
      </w:pPr>
      <w:r>
        <w:rPr>
          <w:rFonts w:ascii="Arial" w:hAnsi="Arial" w:eastAsia="Arial" w:cs="Arial"/>
          <w:b w:val="0"/>
          <w:sz w:val="24"/>
        </w:rPr>
        <w:t>Student ID: 2526746</w:t>
      </w:r>
    </w:p>
    <w:p w14:paraId="5D10F887" w14:textId="77777777" w:rsidR="00D11504" w:rsidRDefault="00000000">
      <w:pPr>
        <w:keepNext w:val="0"/>
        <w:spacing w:line="360" w:lineRule="auto" w:before="0" w:after="120"/>
        <w:jc w:val="both"/>
      </w:pPr>
      <w:r>
        <w:rPr>
          <w:rFonts w:ascii="Arial" w:hAnsi="Arial" w:eastAsia="Arial" w:cs="Arial"/>
          <w:b w:val="0"/>
          <w:sz w:val="24"/>
        </w:rPr>
        <w:t>Lecturer’s Name: Toyin Adisa</w:t>
      </w:r>
    </w:p>
    <w:p w14:paraId="6F1B2CA8" w14:textId="77777777" w:rsidR="00D11504" w:rsidRDefault="00000000">
      <w:pPr>
        <w:spacing w:line="360" w:lineRule="auto" w:before="0" w:after="120"/>
      </w:pPr>
      <w:r>
        <w:rPr>
          <w:rFonts w:ascii="Arial" w:hAnsi="Arial" w:eastAsia="Arial" w:cs="Arial"/>
          <w:sz w:val="24"/>
        </w:rPr>
      </w:r>
    </w:p>
    <w:p w14:paraId="008D0C2A" w14:textId="77777777" w:rsidR="00D11504" w:rsidRDefault="00000000">
      <w:pPr>
        <w:pStyle w:val="Heading1"/>
        <w:keepNext/>
        <w:pageBreakBefore/>
        <w:spacing w:line="360" w:lineRule="auto" w:before="0" w:after="120"/>
        <w:jc w:val="center"/>
      </w:pPr>
      <w:r>
        <w:rPr>
          <w:rFonts w:ascii="Arial" w:eastAsia="Arial" w:hAnsi="Arial" w:cs="Arial"/>
          <w:b/>
          <w:sz w:val="24"/>
        </w:rPr>
        <w:lastRenderedPageBreak/>
        <w:t>Table of Contents</w:t>
      </w:r>
    </w:p>
    <w:p w14:paraId="3E1866B9" w14:textId="77777777" w:rsidR="00D11504" w:rsidRDefault="00000000">
      <w:pPr>
        <w:keepNext w:val="0"/>
        <w:tabs>
          <w:tab w:val="right" w:leader="dot" w:pos="8731"/>
        </w:tabs>
        <w:spacing w:after="0" w:line="360" w:lineRule="auto" w:before="0"/>
        <w:jc w:val="left"/>
      </w:pPr>
      <w:r>
        <w:rPr>
          <w:rFonts w:ascii="Arial" w:hAnsi="Arial" w:eastAsia="Arial" w:cs="Arial"/>
          <w:b w:val="0"/>
          <w:sz w:val="24"/>
        </w:rPr>
        <w:t>Abstract</w:t>
      </w:r>
      <w:r>
        <w:rPr>
          <w:rFonts w:ascii="Arial" w:hAnsi="Arial" w:eastAsia="Arial" w:cs="Arial"/>
          <w:b w:val="0"/>
          <w:sz w:val="24"/>
        </w:rPr>
        <w:tab/>
        <w:t>3</w:t>
      </w:r>
    </w:p>
    <w:p w14:paraId="49299B47" w14:textId="77777777" w:rsidR="00D11504" w:rsidRDefault="00000000">
      <w:pPr>
        <w:keepNext w:val="0"/>
        <w:tabs>
          <w:tab w:val="right" w:leader="dot" w:pos="8731"/>
        </w:tabs>
        <w:spacing w:after="0" w:line="360" w:lineRule="auto" w:before="0"/>
        <w:jc w:val="left"/>
      </w:pPr>
      <w:r>
        <w:rPr>
          <w:rFonts w:ascii="Arial" w:hAnsi="Arial" w:eastAsia="Arial" w:cs="Arial"/>
          <w:b w:val="0"/>
          <w:sz w:val="24"/>
        </w:rPr>
        <w:t>Introduction</w:t>
      </w:r>
      <w:r>
        <w:rPr>
          <w:rFonts w:ascii="Arial" w:hAnsi="Arial" w:eastAsia="Arial" w:cs="Arial"/>
          <w:b w:val="0"/>
          <w:sz w:val="24"/>
        </w:rPr>
        <w:tab/>
        <w:t>4</w:t>
      </w:r>
    </w:p>
    <w:p w14:paraId="5C36D074" w14:textId="77777777" w:rsidR="00D11504" w:rsidRDefault="00000000">
      <w:pPr>
        <w:keepNext w:val="0"/>
        <w:tabs>
          <w:tab w:val="right" w:leader="dot" w:pos="8731"/>
        </w:tabs>
        <w:spacing w:after="0" w:line="360" w:lineRule="auto" w:before="0"/>
        <w:jc w:val="left"/>
      </w:pPr>
      <w:r>
        <w:rPr>
          <w:rFonts w:ascii="Arial" w:hAnsi="Arial" w:eastAsia="Arial" w:cs="Arial"/>
          <w:b w:val="0"/>
          <w:sz w:val="24"/>
        </w:rPr>
        <w:t>Task 1: Overview of Case Study and Nature of the Problem</w:t>
      </w:r>
      <w:r>
        <w:rPr>
          <w:rFonts w:ascii="Arial" w:hAnsi="Arial" w:eastAsia="Arial" w:cs="Arial"/>
          <w:b w:val="0"/>
          <w:sz w:val="24"/>
        </w:rPr>
        <w:tab/>
        <w:t>4</w:t>
      </w:r>
    </w:p>
    <w:p w14:paraId="3DE7CDEE" w14:textId="77777777" w:rsidR="00D11504" w:rsidRDefault="00000000">
      <w:pPr>
        <w:keepNext w:val="0"/>
        <w:tabs>
          <w:tab w:val="right" w:leader="dot" w:pos="8731"/>
        </w:tabs>
        <w:spacing w:after="0" w:line="360" w:lineRule="auto" w:before="0"/>
        <w:jc w:val="left"/>
      </w:pPr>
      <w:r>
        <w:rPr>
          <w:rFonts w:ascii="Arial" w:hAnsi="Arial" w:eastAsia="Arial" w:cs="Arial"/>
          <w:b w:val="0"/>
          <w:sz w:val="24"/>
        </w:rPr>
        <w:t>Task 2: Proposed Solutions</w:t>
      </w:r>
      <w:r>
        <w:rPr>
          <w:rFonts w:ascii="Arial" w:hAnsi="Arial" w:eastAsia="Arial" w:cs="Arial"/>
          <w:b w:val="0"/>
          <w:sz w:val="24"/>
        </w:rPr>
        <w:tab/>
        <w:t>4</w:t>
      </w:r>
    </w:p>
    <w:p w14:paraId="00D3EA7F" w14:textId="77777777" w:rsidR="00D11504" w:rsidRDefault="00000000">
      <w:pPr>
        <w:keepNext w:val="0"/>
        <w:tabs>
          <w:tab w:val="right" w:leader="dot" w:pos="8731"/>
        </w:tabs>
        <w:spacing w:after="0" w:line="360" w:lineRule="auto" w:before="0"/>
        <w:jc w:val="left"/>
      </w:pPr>
      <w:r>
        <w:rPr>
          <w:rFonts w:ascii="Arial" w:hAnsi="Arial" w:eastAsia="Arial" w:cs="Arial"/>
          <w:b w:val="0"/>
          <w:sz w:val="24"/>
        </w:rPr>
        <w:t>Solution A — Controlled Artisan Development of a Small Owner-Operated Business</w:t>
      </w:r>
      <w:r>
        <w:rPr>
          <w:rFonts w:ascii="Arial" w:hAnsi="Arial" w:eastAsia="Arial" w:cs="Arial"/>
          <w:b w:val="0"/>
          <w:sz w:val="24"/>
        </w:rPr>
        <w:tab/>
        <w:t>4</w:t>
      </w:r>
    </w:p>
    <w:p w14:paraId="5CD7C51B" w14:textId="77777777" w:rsidR="00D11504" w:rsidRDefault="00000000">
      <w:pPr>
        <w:keepNext w:val="0"/>
        <w:tabs>
          <w:tab w:val="right" w:leader="dot" w:pos="8731"/>
        </w:tabs>
        <w:spacing w:after="0" w:line="360" w:lineRule="auto" w:before="0"/>
        <w:jc w:val="left"/>
      </w:pPr>
      <w:r>
        <w:rPr>
          <w:rFonts w:ascii="Arial" w:hAnsi="Arial" w:eastAsia="Arial" w:cs="Arial"/>
          <w:b w:val="0"/>
          <w:sz w:val="24"/>
        </w:rPr>
        <w:t>Solution B — Relocation to a Higher-Footfall Location with Differentiated Artisan Positioning</w:t>
      </w:r>
      <w:r>
        <w:rPr>
          <w:rFonts w:ascii="Arial" w:hAnsi="Arial" w:eastAsia="Arial" w:cs="Arial"/>
          <w:b w:val="0"/>
          <w:sz w:val="24"/>
        </w:rPr>
        <w:tab/>
        <w:t>5</w:t>
      </w:r>
    </w:p>
    <w:p w14:paraId="5CB174C6" w14:textId="77777777" w:rsidR="00D11504" w:rsidRDefault="00000000">
      <w:pPr>
        <w:keepNext w:val="0"/>
        <w:tabs>
          <w:tab w:val="right" w:leader="dot" w:pos="8731"/>
        </w:tabs>
        <w:spacing w:after="0" w:line="360" w:lineRule="auto" w:before="0"/>
        <w:jc w:val="left"/>
      </w:pPr>
      <w:r>
        <w:rPr>
          <w:rFonts w:ascii="Arial" w:hAnsi="Arial" w:eastAsia="Arial" w:cs="Arial"/>
          <w:b w:val="0"/>
          <w:sz w:val="24"/>
        </w:rPr>
        <w:t>Task 3a: PMI Evaluation of the Two Proposed Solutions</w:t>
      </w:r>
      <w:r>
        <w:rPr>
          <w:rFonts w:ascii="Arial" w:hAnsi="Arial" w:eastAsia="Arial" w:cs="Arial"/>
          <w:b w:val="0"/>
          <w:sz w:val="24"/>
        </w:rPr>
        <w:tab/>
        <w:t>5</w:t>
      </w:r>
    </w:p>
    <w:p w14:paraId="1ED9BEAD" w14:textId="77777777" w:rsidR="00D11504" w:rsidRDefault="00000000">
      <w:pPr>
        <w:keepNext w:val="0"/>
        <w:tabs>
          <w:tab w:val="right" w:leader="dot" w:pos="8731"/>
        </w:tabs>
        <w:spacing w:after="0" w:line="360" w:lineRule="auto" w:before="0"/>
        <w:jc w:val="left"/>
      </w:pPr>
      <w:r>
        <w:rPr>
          <w:rFonts w:ascii="Arial" w:hAnsi="Arial" w:eastAsia="Arial" w:cs="Arial"/>
          <w:b w:val="0"/>
          <w:sz w:val="24"/>
        </w:rPr>
        <w:t>Task 3b: Evaluation Results and Justification of the Selected Solution</w:t>
      </w:r>
      <w:r>
        <w:rPr>
          <w:rFonts w:ascii="Arial" w:hAnsi="Arial" w:eastAsia="Arial" w:cs="Arial"/>
          <w:b w:val="0"/>
          <w:sz w:val="24"/>
        </w:rPr>
        <w:tab/>
        <w:t>6</w:t>
      </w:r>
    </w:p>
    <w:p w14:paraId="2274B829" w14:textId="77777777" w:rsidR="00D11504" w:rsidRDefault="00000000">
      <w:pPr>
        <w:keepNext w:val="0"/>
        <w:tabs>
          <w:tab w:val="right" w:leader="dot" w:pos="8731"/>
        </w:tabs>
        <w:spacing w:after="0" w:line="360" w:lineRule="auto" w:before="0"/>
        <w:jc w:val="left"/>
      </w:pPr>
      <w:r>
        <w:rPr>
          <w:rFonts w:ascii="Arial" w:hAnsi="Arial" w:eastAsia="Arial" w:cs="Arial"/>
          <w:b w:val="0"/>
          <w:sz w:val="24"/>
        </w:rPr>
        <w:t>Task 4: Risk Analysis of the Preferred Solution</w:t>
      </w:r>
      <w:r>
        <w:rPr>
          <w:rFonts w:ascii="Arial" w:hAnsi="Arial" w:eastAsia="Arial" w:cs="Arial"/>
          <w:b w:val="0"/>
          <w:sz w:val="24"/>
        </w:rPr>
        <w:tab/>
        <w:t>7</w:t>
      </w:r>
    </w:p>
    <w:p w14:paraId="72C9B10B" w14:textId="77777777" w:rsidR="00D11504" w:rsidRDefault="00000000">
      <w:pPr>
        <w:keepNext w:val="0"/>
        <w:tabs>
          <w:tab w:val="right" w:leader="dot" w:pos="8731"/>
        </w:tabs>
        <w:spacing w:after="0" w:line="360" w:lineRule="auto" w:before="0"/>
        <w:jc w:val="left"/>
      </w:pPr>
      <w:r>
        <w:rPr>
          <w:rFonts w:ascii="Arial" w:hAnsi="Arial" w:eastAsia="Arial" w:cs="Arial"/>
          <w:b w:val="0"/>
          <w:sz w:val="24"/>
        </w:rPr>
        <w:t>Task 5: Implementation Plan</w:t>
      </w:r>
      <w:r>
        <w:rPr>
          <w:rFonts w:ascii="Arial" w:hAnsi="Arial" w:eastAsia="Arial" w:cs="Arial"/>
          <w:b w:val="0"/>
          <w:sz w:val="24"/>
        </w:rPr>
        <w:tab/>
        <w:t>7</w:t>
      </w:r>
    </w:p>
    <w:p w14:paraId="3E99DD05" w14:textId="77777777" w:rsidR="00D11504" w:rsidRDefault="00000000">
      <w:pPr>
        <w:keepNext w:val="0"/>
        <w:tabs>
          <w:tab w:val="right" w:leader="dot" w:pos="8731"/>
        </w:tabs>
        <w:spacing w:after="0" w:line="360" w:lineRule="auto" w:before="0"/>
        <w:jc w:val="left"/>
      </w:pPr>
      <w:r>
        <w:rPr>
          <w:rFonts w:ascii="Arial" w:hAnsi="Arial" w:eastAsia="Arial" w:cs="Arial"/>
          <w:b w:val="0"/>
          <w:sz w:val="24"/>
        </w:rPr>
        <w:t>Task 6: KPIs and SMART Objectives</w:t>
      </w:r>
      <w:r>
        <w:rPr>
          <w:rFonts w:ascii="Arial" w:hAnsi="Arial" w:eastAsia="Arial" w:cs="Arial"/>
          <w:b w:val="0"/>
          <w:sz w:val="24"/>
        </w:rPr>
        <w:tab/>
        <w:t>8</w:t>
      </w:r>
    </w:p>
    <w:p w14:paraId="2FC0E38E" w14:textId="77777777" w:rsidR="00D11504" w:rsidRDefault="00000000">
      <w:pPr>
        <w:keepNext w:val="0"/>
        <w:tabs>
          <w:tab w:val="right" w:leader="dot" w:pos="8731"/>
        </w:tabs>
        <w:spacing w:after="0" w:line="360" w:lineRule="auto" w:before="0"/>
        <w:jc w:val="left"/>
      </w:pPr>
      <w:r>
        <w:rPr>
          <w:rFonts w:ascii="Arial" w:hAnsi="Arial" w:eastAsia="Arial" w:cs="Arial"/>
          <w:b w:val="0"/>
          <w:sz w:val="24"/>
        </w:rPr>
        <w:t>Task 7: Key Findings</w:t>
      </w:r>
      <w:r>
        <w:rPr>
          <w:rFonts w:ascii="Arial" w:hAnsi="Arial" w:eastAsia="Arial" w:cs="Arial"/>
          <w:b w:val="0"/>
          <w:sz w:val="24"/>
        </w:rPr>
        <w:tab/>
        <w:t>9</w:t>
      </w:r>
    </w:p>
    <w:p w14:paraId="15E69727" w14:textId="77777777" w:rsidR="00D11504" w:rsidRDefault="00000000">
      <w:pPr>
        <w:keepNext w:val="0"/>
        <w:tabs>
          <w:tab w:val="right" w:leader="dot" w:pos="8731"/>
        </w:tabs>
        <w:spacing w:after="0" w:line="360" w:lineRule="auto" w:before="0"/>
        <w:jc w:val="left"/>
      </w:pPr>
      <w:r>
        <w:rPr>
          <w:rFonts w:ascii="Arial" w:hAnsi="Arial" w:eastAsia="Arial" w:cs="Arial"/>
          <w:b w:val="0"/>
          <w:sz w:val="24"/>
        </w:rPr>
        <w:t>Conclusion</w:t>
      </w:r>
      <w:r>
        <w:rPr>
          <w:rFonts w:ascii="Arial" w:hAnsi="Arial" w:eastAsia="Arial" w:cs="Arial"/>
          <w:b w:val="0"/>
          <w:sz w:val="24"/>
        </w:rPr>
        <w:tab/>
        <w:t>9</w:t>
      </w:r>
    </w:p>
    <w:p w14:paraId="4A418178" w14:textId="77777777" w:rsidR="00D11504" w:rsidRDefault="00000000">
      <w:pPr>
        <w:keepNext w:val="0"/>
        <w:tabs>
          <w:tab w:val="right" w:leader="dot" w:pos="8731"/>
        </w:tabs>
        <w:spacing w:after="0" w:line="360" w:lineRule="auto" w:before="0"/>
        <w:jc w:val="left"/>
      </w:pPr>
      <w:r>
        <w:rPr>
          <w:rFonts w:ascii="Arial" w:hAnsi="Arial" w:eastAsia="Arial" w:cs="Arial"/>
          <w:b w:val="0"/>
          <w:sz w:val="24"/>
        </w:rPr>
        <w:t>References</w:t>
      </w:r>
      <w:r>
        <w:rPr>
          <w:rFonts w:ascii="Arial" w:hAnsi="Arial" w:eastAsia="Arial" w:cs="Arial"/>
          <w:b w:val="0"/>
          <w:sz w:val="24"/>
        </w:rPr>
        <w:tab/>
        <w:t>10</w:t>
      </w:r>
    </w:p>
    <w:p w14:paraId="4E10AB50" w14:textId="77777777" w:rsidR="00D11504" w:rsidRDefault="00000000">
      <w:pPr>
        <w:keepNext w:val="0"/>
        <w:tabs>
          <w:tab w:val="right" w:leader="dot" w:pos="8731"/>
        </w:tabs>
        <w:spacing w:after="0" w:line="360" w:lineRule="auto" w:before="0"/>
        <w:jc w:val="left"/>
      </w:pPr>
      <w:r>
        <w:rPr>
          <w:rFonts w:ascii="Arial" w:hAnsi="Arial" w:eastAsia="Arial" w:cs="Arial"/>
          <w:b w:val="0"/>
          <w:sz w:val="24"/>
        </w:rPr>
        <w:t>Appendix A — PMI Analysis</w:t>
      </w:r>
      <w:r>
        <w:rPr>
          <w:rFonts w:ascii="Arial" w:hAnsi="Arial" w:eastAsia="Arial" w:cs="Arial"/>
          <w:b w:val="0"/>
          <w:sz w:val="24"/>
        </w:rPr>
        <w:tab/>
        <w:t>12</w:t>
      </w:r>
    </w:p>
    <w:p w14:paraId="70890A48" w14:textId="77777777" w:rsidR="00D11504" w:rsidRDefault="00000000">
      <w:pPr>
        <w:keepNext w:val="0"/>
        <w:tabs>
          <w:tab w:val="right" w:leader="dot" w:pos="8731"/>
        </w:tabs>
        <w:spacing w:after="0" w:line="360" w:lineRule="auto" w:before="0"/>
        <w:jc w:val="left"/>
      </w:pPr>
      <w:r>
        <w:rPr>
          <w:rFonts w:ascii="Arial" w:hAnsi="Arial" w:eastAsia="Arial" w:cs="Arial"/>
          <w:b w:val="0"/>
          <w:sz w:val="24"/>
        </w:rPr>
        <w:t>Appendix B — Risk Analysis Matrix</w:t>
      </w:r>
      <w:r>
        <w:rPr>
          <w:rFonts w:ascii="Arial" w:hAnsi="Arial" w:eastAsia="Arial" w:cs="Arial"/>
          <w:b w:val="0"/>
          <w:sz w:val="24"/>
        </w:rPr>
        <w:tab/>
        <w:t>15</w:t>
      </w:r>
    </w:p>
    <w:p w14:paraId="545C4D6A" w14:textId="77777777" w:rsidR="00D11504" w:rsidRDefault="00000000">
      <w:pPr>
        <w:keepNext w:val="0"/>
        <w:tabs>
          <w:tab w:val="right" w:leader="dot" w:pos="8731"/>
        </w:tabs>
        <w:spacing w:after="0" w:line="360" w:lineRule="auto" w:before="0"/>
        <w:jc w:val="left"/>
      </w:pPr>
      <w:r>
        <w:rPr>
          <w:rFonts w:ascii="Arial" w:hAnsi="Arial" w:eastAsia="Arial" w:cs="Arial"/>
          <w:b w:val="0"/>
          <w:sz w:val="24"/>
        </w:rPr>
        <w:t>Appendix C — Implementation Action Plan</w:t>
      </w:r>
      <w:r>
        <w:rPr>
          <w:rFonts w:ascii="Arial" w:hAnsi="Arial" w:eastAsia="Arial" w:cs="Arial"/>
          <w:b w:val="0"/>
          <w:sz w:val="24"/>
        </w:rPr>
        <w:tab/>
        <w:t>17</w:t>
      </w:r>
    </w:p>
    <w:p w14:paraId="7412AC81" w14:textId="77777777" w:rsidR="00D11504" w:rsidRDefault="00000000">
      <w:pPr>
        <w:keepNext w:val="0"/>
        <w:tabs>
          <w:tab w:val="right" w:leader="dot" w:pos="8731"/>
        </w:tabs>
        <w:spacing w:after="0" w:line="360" w:lineRule="auto" w:before="0"/>
        <w:jc w:val="left"/>
      </w:pPr>
      <w:r>
        <w:rPr>
          <w:rFonts w:ascii="Arial" w:hAnsi="Arial" w:eastAsia="Arial" w:cs="Arial"/>
          <w:b w:val="0"/>
          <w:sz w:val="24"/>
        </w:rPr>
        <w:t>Appendix D — KPI and SMART Objectives</w:t>
      </w:r>
      <w:r>
        <w:rPr>
          <w:rFonts w:ascii="Arial" w:hAnsi="Arial" w:eastAsia="Arial" w:cs="Arial"/>
          <w:b w:val="0"/>
          <w:sz w:val="24"/>
        </w:rPr>
        <w:tab/>
        <w:t>19</w:t>
      </w:r>
    </w:p>
    <w:p w14:paraId="0B70B845" w14:textId="77777777" w:rsidR="00D11504" w:rsidRDefault="00000000">
      <w:pPr>
        <w:spacing w:line="360" w:lineRule="auto" w:before="0" w:after="120"/>
      </w:pPr>
      <w:r>
        <w:rPr>
          <w:rFonts w:ascii="Arial" w:hAnsi="Arial" w:eastAsia="Arial" w:cs="Arial"/>
          <w:sz w:val="24"/>
        </w:rPr>
      </w:r>
    </w:p>
    <w:p w14:paraId="7E59D5A7" w14:textId="77777777" w:rsidR="00D11504" w:rsidRDefault="00000000">
      <w:pPr>
        <w:pStyle w:val="Heading1"/>
        <w:keepNext/>
        <w:pageBreakBefore/>
        <w:jc w:val="left"/>
      </w:pPr>
      <w:r>
        <w:rPr>
          <w:rFonts w:ascii="Arial" w:hAnsi="Arial" w:eastAsia="Arial" w:cs="Arial"/>
          <w:b/>
          <w:sz w:val="24"/>
        </w:rPr>
        <w:lastRenderedPageBreak/>
        <w:t>Abstract</w:t>
      </w:r>
    </w:p>
    <w:p w14:paraId="57665669" w14:textId="77777777" w:rsidR="00D11504" w:rsidRDefault="00000000">
      <w:pPr>
        <w:spacing w:after="120" w:line="360" w:lineRule="auto" w:before="0"/>
        <w:jc w:val="both"/>
      </w:pPr>
      <w:r>
        <w:rPr>
          <w:rFonts w:ascii="Arial" w:hAnsi="Arial" w:eastAsia="Arial" w:cs="Arial"/>
          <w:sz w:val="24"/>
        </w:rPr>
        <w:t>This report analyses Basil’s Bakery’s persistent post-2020 sales shortfall and evaluates two development strategies using problem-solving, Adizes’ organisational lifecycle and PAEI frameworks, PMI and risk analysis. The shortfall combines reduced retail-park footfall, changed working patterns and rising costs with strong operational dependence on Basil. Controlled Artisan Development is recommended: widen customer access through selective delegation, pre-ordering and delivery before adding organisational capacity, then use evidence on demand, profitability and workload to decide whether limited production support or relocation is justified.</w:t>
      </w:r>
    </w:p>
    <w:p w14:paraId="0C0DE5D2" w14:textId="77777777" w:rsidR="00D11504" w:rsidRDefault="00000000">
      <w:pPr>
        <w:spacing w:line="360" w:lineRule="auto" w:before="0" w:after="120"/>
      </w:pPr>
      <w:r>
        <w:rPr>
          <w:rFonts w:ascii="Arial" w:hAnsi="Arial" w:eastAsia="Arial" w:cs="Arial"/>
          <w:sz w:val="24"/>
        </w:rPr>
      </w:r>
    </w:p>
    <w:p w14:paraId="0C365D71" w14:textId="77777777" w:rsidR="00D11504" w:rsidRDefault="00000000">
      <w:pPr>
        <w:pStyle w:val="Heading1"/>
        <w:keepNext/>
        <w:pageBreakBefore/>
        <w:jc w:val="left"/>
      </w:pPr>
      <w:r>
        <w:rPr>
          <w:rFonts w:ascii="Arial" w:hAnsi="Arial" w:eastAsia="Arial" w:cs="Arial"/>
          <w:b/>
          <w:sz w:val="24"/>
        </w:rPr>
        <w:lastRenderedPageBreak/>
        <w:t>Introduction</w:t>
      </w:r>
    </w:p>
    <w:p w14:paraId="1CAB7BB7" w14:textId="77777777" w:rsidR="00D11504" w:rsidRDefault="00000000">
      <w:pPr>
        <w:spacing w:line="360" w:lineRule="auto" w:before="0" w:after="120"/>
        <w:jc w:val="both"/>
      </w:pPr>
      <w:r>
        <w:rPr>
          <w:rFonts w:ascii="Arial" w:hAnsi="Arial" w:eastAsia="Arial" w:cs="Arial"/>
          <w:sz w:val="24"/>
        </w:rPr>
        <w:t>Basil’s Bakery is an independent artisan bakery in Coventry whose strengths are Basil’s professional baking skills, high-quality organic products and established local reputation. Sales, however, remained about 25% below the 2019 level during 2023–2025 because of lower retail-park footfall, changed working patterns, rising operating costs and limited adaptation of customer access.</w:t>
      </w:r>
    </w:p>
    <w:p w14:paraId="79B5CFC7" w14:textId="77777777" w:rsidR="00D11504" w:rsidRDefault="00000000">
      <w:pPr>
        <w:spacing w:line="360" w:lineRule="auto" w:before="0" w:after="120"/>
        <w:jc w:val="both"/>
      </w:pPr>
      <w:r>
        <w:rPr>
          <w:rFonts w:ascii="Arial" w:hAnsi="Arial" w:eastAsia="Arial" w:cs="Arial"/>
          <w:sz w:val="24"/>
        </w:rPr>
        <w:t>This report evaluates how Basil can improve sales without creating organisational complexity before sustainable demand is known. Two alternatives are assessed through PMI and risk analysis, supported by Adizes’ organisational lifecycle and PAEI frameworks. The central argument is to scale access to Basil’s products before scaling the organisation, then translate the preferred strategy into implementation actions, KPIs and SMART objectives.</w:t>
      </w:r>
    </w:p>
    <w:p w14:paraId="4EF0FD41" w14:textId="77777777" w:rsidR="00D11504" w:rsidRDefault="00000000">
      <w:pPr>
        <w:pStyle w:val="Heading1"/>
        <w:keepNext/>
        <w:jc w:val="left"/>
      </w:pPr>
      <w:r>
        <w:rPr>
          <w:rFonts w:ascii="Arial" w:hAnsi="Arial" w:eastAsia="Arial" w:cs="Arial"/>
          <w:b/>
          <w:sz w:val="24"/>
        </w:rPr>
        <w:t>Task 1: Overview of Case Study and Nature of the Problem</w:t>
      </w:r>
    </w:p>
    <w:p w14:paraId="0E30791D" w14:textId="77777777" w:rsidR="00D11504" w:rsidRDefault="00000000">
      <w:pPr>
        <w:spacing w:line="360" w:lineRule="auto" w:before="0" w:after="120"/>
        <w:jc w:val="both"/>
      </w:pPr>
      <w:r>
        <w:rPr>
          <w:rFonts w:ascii="Arial" w:hAnsi="Arial" w:eastAsia="Arial" w:cs="Arial"/>
          <w:sz w:val="24"/>
        </w:rPr>
        <w:t>Basil’s Bakery grew year-on-year before 2020 but has since stabilised about 25% below its 2019 sales level. Lower retail-park footfall, nearby shop closures, home working and higher rent, utilities, business rates, insurance and organic ingredient costs have weakened performance. Customers have requested delivery and pre-ordering, but Basil’s workload limits consistent provision, creating a gap between customer demand and the current access model.</w:t>
      </w:r>
    </w:p>
    <w:p w14:paraId="74A3007C" w14:textId="77777777" w:rsidR="00D11504" w:rsidRDefault="00000000">
      <w:pPr>
        <w:spacing w:line="360" w:lineRule="auto" w:before="0" w:after="120"/>
        <w:jc w:val="both"/>
      </w:pPr>
      <w:r>
        <w:rPr>
          <w:rFonts w:ascii="Arial" w:hAnsi="Arial" w:eastAsia="Arial" w:cs="Arial"/>
          <w:sz w:val="24"/>
        </w:rPr>
        <w:t>Adizes’ framework suggests characteristics of the Go-Go/Founder’s Trap because key activities remain concentrated around the founder, although the case does not justify a definitive lifecycle diagnosis (Adizes, 1988). Through PAEI, Basil’s strongest role is Producer (P), while Entrepreneur (E) and Integrator (I) capabilities appear less developed from the available evidence (Adizes, 2004).</w:t>
      </w:r>
    </w:p>
    <w:p w14:paraId="2C5682AB" w14:textId="77777777" w:rsidR="00D11504" w:rsidRDefault="00000000">
      <w:pPr>
        <w:pStyle w:val="Heading1"/>
        <w:keepNext/>
        <w:spacing w:after="60"/>
        <w:jc w:val="left"/>
      </w:pPr>
      <w:r>
        <w:rPr>
          <w:rFonts w:ascii="Arial" w:hAnsi="Arial" w:eastAsia="Arial" w:cs="Arial"/>
          <w:b/>
          <w:sz w:val="24"/>
        </w:rPr>
        <w:t>Task 2: Proposed Solutions</w:t>
      </w:r>
    </w:p>
    <w:p w14:paraId="0DDFAA13" w14:textId="77777777" w:rsidR="00D11504" w:rsidRDefault="00000000">
      <w:pPr>
        <w:pStyle w:val="Heading2"/>
        <w:keepNext/>
        <w:jc w:val="left"/>
      </w:pPr>
      <w:r>
        <w:rPr>
          <w:rFonts w:ascii="Arial" w:hAnsi="Arial" w:eastAsia="Arial" w:cs="Arial"/>
          <w:b/>
          <w:sz w:val="24"/>
        </w:rPr>
        <w:t>Solution A — Controlled Artisan Development of a Small Owner-Operated Business</w:t>
      </w:r>
    </w:p>
    <w:p w14:paraId="588C471C" w14:textId="77777777" w:rsidR="00D11504" w:rsidRDefault="00000000">
      <w:pPr>
        <w:spacing w:line="360" w:lineRule="auto" w:before="0" w:after="120"/>
        <w:jc w:val="both"/>
      </w:pPr>
      <w:r>
        <w:rPr>
          <w:rFonts w:ascii="Arial" w:hAnsi="Arial" w:eastAsia="Arial" w:cs="Arial"/>
          <w:sz w:val="24"/>
        </w:rPr>
        <w:t xml:space="preserve">The first solution is Controlled Artisan Development: retain Basil’s Bakery as a small owner-operated business while reducing Basil’s operational overload. Basil remains the principal artisan baker, while selected non-production activities are delegated or outsourced. This reduces founder dependency without forcing him immediately into </w:t>
      </w:r>
      <w:r>
        <w:rPr>
          <w:rFonts w:ascii="Arial" w:hAnsi="Arial" w:eastAsia="Arial" w:cs="Arial"/>
          <w:sz w:val="24"/>
        </w:rPr>
        <w:lastRenderedPageBreak/>
        <w:t>managing a larger organisation and protects the product quality and artisan identity on which the bakery’s reputation depends.</w:t>
      </w:r>
    </w:p>
    <w:p w14:paraId="1890DD75" w14:textId="77777777" w:rsidR="00D11504" w:rsidRDefault="00000000">
      <w:pPr>
        <w:spacing w:line="360" w:lineRule="auto" w:before="0" w:after="120"/>
        <w:jc w:val="both"/>
      </w:pPr>
      <w:r>
        <w:rPr>
          <w:rFonts w:ascii="Arial" w:hAnsi="Arial" w:eastAsia="Arial" w:cs="Arial"/>
          <w:sz w:val="24"/>
        </w:rPr>
        <w:t>Development would proceed in three stages: stabilise and simplify operations, delegate selected functions, and decide on further growth only after evidence is available. Online pre-ordering and third-party delivery directly answer existing customer requests and widen access without permanent recruitment. Before expansion, Basil should establish his preferred role, sustainable production capacity and required profitability. Delivery platforms can create additional sales opportunities, but commissions and other charges must be assessed against their financial benefit (Li, Mirosa and Bremer, 2020). This gradual approach is consistent with research on digital transformation in agrifood SMEs, which emphasises that successful adoption depends on building dynamic capabilities aligned with the firm’s existing resources and identity rather than pursuing rapid technological expansion (Cannas, 2023).</w:t>
      </w:r>
    </w:p>
    <w:p w14:paraId="088C94A5" w14:textId="77777777" w:rsidR="00D11504" w:rsidRDefault="00000000">
      <w:pPr>
        <w:pStyle w:val="Heading2"/>
        <w:keepNext/>
        <w:jc w:val="left"/>
      </w:pPr>
      <w:r>
        <w:rPr>
          <w:rFonts w:ascii="Arial" w:hAnsi="Arial" w:eastAsia="Arial" w:cs="Arial"/>
          <w:b/>
          <w:sz w:val="24"/>
        </w:rPr>
        <w:t>Solution B — Relocation to a Higher-Footfall Location with Differentiated Artisan Positioning</w:t>
      </w:r>
    </w:p>
    <w:p w14:paraId="142F27D4" w14:textId="77777777" w:rsidR="00D11504" w:rsidRDefault="00000000">
      <w:pPr>
        <w:spacing w:line="360" w:lineRule="auto" w:before="0" w:after="120"/>
        <w:jc w:val="both"/>
      </w:pPr>
      <w:r>
        <w:rPr>
          <w:rFonts w:ascii="Arial" w:hAnsi="Arial" w:eastAsia="Arial" w:cs="Arial"/>
          <w:sz w:val="24"/>
        </w:rPr>
        <w:t>The second solution is relocation to a stronger-footfall location while retaining differentiated artisan positioning based on high-quality organic products. It directly addresses the structural weakness of the current retail park, where footfall has fallen, shops are closing and office workers visit less frequently.</w:t>
      </w:r>
    </w:p>
    <w:p w14:paraId="7017B818" w14:textId="77777777" w:rsidR="00D11504" w:rsidRDefault="00000000">
      <w:pPr>
        <w:spacing w:line="360" w:lineRule="auto" w:before="0" w:after="120"/>
        <w:jc w:val="both"/>
      </w:pPr>
      <w:r>
        <w:rPr>
          <w:rFonts w:ascii="Arial" w:hAnsi="Arial" w:eastAsia="Arial" w:cs="Arial"/>
          <w:sz w:val="24"/>
        </w:rPr>
        <w:t>Porter’s differentiation logic suggests distinctive attributes may support higher-value positioning (Porter, 1985), but customers cannot be assumed to pay premium prices. Relocation could reduce dependence on declining retail-park traffic while allowing Basil to remain primarily a producer. However, it requires substantial financial commitment when operating costs are already rising, demand at a new site is uncertain and some loyal customers could be lost. It should therefore remain a longer-term alternative rather than an immediate move.</w:t>
      </w:r>
    </w:p>
    <w:p w14:paraId="58FE66E1" w14:textId="77777777" w:rsidR="00D11504" w:rsidRDefault="00000000">
      <w:pPr>
        <w:pStyle w:val="Heading1"/>
        <w:keepNext/>
        <w:jc w:val="left"/>
      </w:pPr>
      <w:r>
        <w:rPr>
          <w:rFonts w:ascii="Arial" w:hAnsi="Arial" w:eastAsia="Arial" w:cs="Arial"/>
          <w:b/>
          <w:sz w:val="24"/>
        </w:rPr>
        <w:t>Task 3a: PMI Evaluation of the Two Proposed Solutions</w:t>
      </w:r>
    </w:p>
    <w:p w14:paraId="32BDB0D0" w14:textId="77777777" w:rsidR="00D11504" w:rsidRDefault="00000000">
      <w:pPr>
        <w:spacing w:line="360" w:lineRule="auto" w:before="0" w:after="120"/>
        <w:jc w:val="both"/>
      </w:pPr>
      <w:r>
        <w:rPr>
          <w:rFonts w:ascii="Arial" w:hAnsi="Arial" w:eastAsia="Arial" w:cs="Arial"/>
          <w:sz w:val="24"/>
        </w:rPr>
        <w:t>PMI (Plus, Minus, Interesting) was used to compare the benefits, disadvantages and potentially significant consequences of both alternatives, considering practicality, risk and short- and long-term effects. The full comparison is presented in Appendix A (de Bono, 1988).</w:t>
      </w:r>
    </w:p>
    <w:p w14:paraId="3499BB4E" w14:textId="77777777" w:rsidR="00217FD7" w:rsidRPr="00217FD7" w:rsidRDefault="00217FD7" w:rsidP="00217FD7">
      <w:pPr>
        <w:pStyle w:val="Heading1"/>
        <w:keepNext/>
        <w:jc w:val="left"/>
        <w:rPr>
          <w:rFonts w:ascii="Arial" w:eastAsia="Times New Roman" w:hAnsi="Arial" w:cs="Arial"/>
          <w:color w:val="000000"/>
          <w:sz w:val="27"/>
        </w:rPr>
      </w:pPr>
      <w:r w:rsidRPr="00217FD7">
        <w:rPr>
          <w:rFonts w:ascii="Arial" w:hAnsi="Arial" w:cs="Arial" w:eastAsia="Arial"/>
          <w:b/>
          <w:color w:val="000000"/>
          <w:sz w:val="24"/>
        </w:rPr>
        <w:lastRenderedPageBreak/>
        <w:t>Task 3b: Evaluation Results and Justification of the Selected Solution</w:t>
      </w:r>
    </w:p>
    <w:p w14:paraId="08B38192" w14:textId="77777777" w:rsidR="00217FD7" w:rsidRPr="00217FD7" w:rsidRDefault="00217FD7" w:rsidP="00217FD7">
      <w:pPr>
        <w:pStyle w:val="NormalWeb"/>
        <w:spacing w:line="360" w:lineRule="auto" w:before="0" w:after="120"/>
        <w:rPr>
          <w:rFonts w:ascii="Arial" w:hAnsi="Arial" w:cs="Arial"/>
          <w:color w:val="000000"/>
        </w:rPr>
      </w:pPr>
      <w:r w:rsidRPr="00217FD7">
        <w:rPr>
          <w:rFonts w:ascii="Arial" w:hAnsi="Arial" w:cs="Arial" w:eastAsia="Arial"/>
          <w:color w:val="000000"/>
          <w:sz w:val="24"/>
        </w:rPr>
        <w:t>The PMI favours Solution A because it addresses demonstrated customer needs with lower fixed commitments. Its main disadvantages—platform costs, founder dependence and capacity constraints—can be tested and mitigated through a pilot, whereas relocation involves less reversible costs, uncertain demand and possible loss of loyal customers. Although PMI is qualitative, financial risk, fit with Basil’s managerial capacity, responsiveness to demand and reversibility are the most relevant criteria because customer numbers remain below previous levels while costs have risen.</w:t>
      </w:r>
    </w:p>
    <w:p w14:paraId="697E7688" w14:textId="77777777" w:rsidR="00217FD7" w:rsidRPr="00217FD7" w:rsidRDefault="00217FD7" w:rsidP="00217FD7">
      <w:pPr>
        <w:keepNext w:val="0"/>
        <w:spacing w:line="360" w:lineRule="auto" w:before="0" w:after="120"/>
        <w:jc w:val="both"/>
        <w:rPr>
          <w:rFonts w:ascii="Arial" w:hAnsi="Arial" w:cs="Arial"/>
          <w:color w:val="000000"/>
        </w:rPr>
      </w:pPr>
      <w:r w:rsidRPr="00217FD7">
        <w:rPr>
          <w:rFonts w:ascii="Arial" w:hAnsi="Arial" w:cs="Arial" w:eastAsia="Arial"/>
          <w:b w:val="0"/>
          <w:color w:val="000000"/>
          <w:sz w:val="24"/>
        </w:rPr>
        <w:t>Solution A also fits the PAEI analysis: Basil’s strongest role is Producer (</w:t>
      </w:r>
      <w:proofErr w:type="spellStart"/>
      <w:r w:rsidRPr="00217FD7">
        <w:rPr>
          <w:rFonts w:ascii="Arial" w:hAnsi="Arial" w:cs="Arial" w:eastAsia="Arial"/>
          <w:b w:val="0"/>
          <w:color w:val="000000"/>
          <w:sz w:val="24"/>
        </w:rPr>
        <w:t>Adizes</w:t>
      </w:r>
      <w:proofErr w:type="spellEnd"/>
      <w:r w:rsidRPr="00217FD7">
        <w:rPr>
          <w:rFonts w:ascii="Arial" w:hAnsi="Arial" w:cs="Arial" w:eastAsia="Arial"/>
          <w:b w:val="0"/>
          <w:color w:val="000000"/>
          <w:sz w:val="24"/>
        </w:rPr>
        <w:t>, 2004), whereas rapid organisational expansion would require greater entrepreneurship, delegation and integration.</w:t>
      </w:r>
    </w:p>
    <w:p w14:paraId="33963DF6" w14:textId="77777777" w:rsidR="00217FD7" w:rsidRPr="00217FD7" w:rsidRDefault="00217FD7" w:rsidP="00217FD7">
      <w:pPr>
        <w:pStyle w:val="NormalWeb"/>
        <w:spacing w:line="360" w:lineRule="auto" w:before="0" w:after="120"/>
        <w:rPr>
          <w:rFonts w:ascii="Arial" w:hAnsi="Arial" w:cs="Arial"/>
          <w:color w:val="000000"/>
        </w:rPr>
      </w:pPr>
      <w:r w:rsidRPr="00217FD7">
        <w:rPr>
          <w:rFonts w:ascii="Arial" w:hAnsi="Arial" w:cs="Arial" w:eastAsia="Arial"/>
          <w:color w:val="000000"/>
          <w:sz w:val="24"/>
        </w:rPr>
        <w:t>The preferred sequence is therefore to expand customer access through pre-ordering, external delivery and simple digital channels before increasing organisational complexity. This tests whether sales can improve without the higher commitment of relocation and whether profitable demand exceeds Basil’s sustainable capacity. Relocation should be reconsidered only if location remains the principal constraint. Consistent with the Founder’s Trap interpretation, the pilot reduces founder dependency gradually rather than creating a larger structure immediately. Crucially, the pilot also allows Basil to experience selective delegation in practice and to assess whether this way of working is compatible with his preferred role, personal working style and managerial capacity before any permanent staffing decision is made. This measured approach is supported by evidence that SME digitalisation is most effective when proportionate to organisational capabilities and resources (Sinha, Raby and Salari, 2025), while agrifood SME research similarly emphasises building internal capabilities before scaling (Cannas, 2023).</w:t>
      </w:r>
    </w:p>
    <w:p w14:paraId="25D3D831" w14:textId="77777777" w:rsidR="00217FD7" w:rsidRPr="00217FD7" w:rsidRDefault="00217FD7" w:rsidP="00217FD7">
      <w:pPr>
        <w:pStyle w:val="NormalWeb"/>
        <w:spacing w:line="360" w:lineRule="auto" w:before="0" w:after="120"/>
        <w:rPr>
          <w:rFonts w:ascii="Arial" w:hAnsi="Arial" w:cs="Arial"/>
          <w:color w:val="000000"/>
        </w:rPr>
      </w:pPr>
      <w:r w:rsidRPr="00217FD7">
        <w:rPr>
          <w:rFonts w:ascii="Arial" w:hAnsi="Arial" w:cs="Arial" w:eastAsia="Arial"/>
          <w:color w:val="000000"/>
          <w:sz w:val="24"/>
        </w:rPr>
        <w:t>The recommended sequence is therefore: stabilise → delegate selected functions → test demand → assess results → add limited capacity if justified → consider relocation only if necessary.</w:t>
      </w:r>
    </w:p>
    <w:p w14:paraId="2E917D81" w14:textId="77777777" w:rsidR="00D11504" w:rsidRDefault="00000000">
      <w:pPr>
        <w:pStyle w:val="Heading1"/>
        <w:keepNext/>
        <w:jc w:val="left"/>
      </w:pPr>
      <w:r>
        <w:rPr>
          <w:rFonts w:ascii="Arial" w:hAnsi="Arial" w:eastAsia="Arial" w:cs="Arial"/>
          <w:b/>
          <w:sz w:val="24"/>
        </w:rPr>
        <w:lastRenderedPageBreak/>
        <w:t>Task 4: Risk Analysis of the Preferred Solution</w:t>
      </w:r>
    </w:p>
    <w:p w14:paraId="1E88813A" w14:textId="77777777" w:rsidR="00D11504" w:rsidRDefault="00000000">
      <w:pPr>
        <w:spacing w:line="360" w:lineRule="auto" w:before="0" w:after="120"/>
        <w:jc w:val="both"/>
      </w:pPr>
      <w:r>
        <w:rPr>
          <w:rFonts w:ascii="Arial" w:hAnsi="Arial" w:eastAsia="Arial" w:cs="Arial"/>
          <w:sz w:val="24"/>
        </w:rPr>
        <w:t>Controlled Artisan Development should begin with a limited pre-ordering and delivery pilot to test demand, profitability and capacity before higher fixed costs are accepted. A Likelihood × Impact matrix prioritises the main risks; the detailed assessment is provided in Appendix B (ISO, 2018; Project Management Institute, 2019).</w:t>
      </w:r>
    </w:p>
    <w:p w14:paraId="75D24CDB" w14:textId="77777777" w:rsidR="00D11504" w:rsidRDefault="00000000">
      <w:pPr>
        <w:spacing w:line="360" w:lineRule="auto" w:before="0" w:after="120"/>
        <w:jc w:val="both"/>
      </w:pPr>
      <w:r>
        <w:rPr>
          <w:rFonts w:ascii="Arial" w:hAnsi="Arial" w:eastAsia="Arial" w:cs="Arial"/>
          <w:sz w:val="24"/>
        </w:rPr>
        <w:t>Profitability is the highest-priority risk because platform commissions and logistics charges may raise revenue while reducing margins (Niu et al., 2021). Basil should therefore monitor contribution margin, not sales alone. Two further high risks are insufficient demand and demand exceeding capacity, which could respectively make the pilot ineffective or overload production and threaten quality. Sales, workload and sustainable capacity should therefore be monitored.</w:t>
      </w:r>
    </w:p>
    <w:p w14:paraId="1FDB7601" w14:textId="77777777" w:rsidR="00D11504" w:rsidRDefault="00000000">
      <w:pPr>
        <w:spacing w:line="360" w:lineRule="auto" w:before="0" w:after="120"/>
        <w:jc w:val="both"/>
      </w:pPr>
      <w:r>
        <w:rPr>
          <w:rFonts w:ascii="Arial" w:hAnsi="Arial" w:eastAsia="Arial" w:cs="Arial"/>
          <w:sz w:val="24"/>
        </w:rPr>
        <w:t>Delivery risk can be reduced through a limited radius, suitable packaging and direct customer communication; packaging logistics can materially affect food quality, customer satisfaction and competitiveness (Silva and Nilsson, 2025). The strategy remains manageable because it is reversible and requires no major irreversible investment. If profitable demand exceeds capacity, limited production support can be considered; if location remains the principal constraint, relocation can then be reassessed.</w:t>
      </w:r>
    </w:p>
    <w:p w14:paraId="0CA1F09C" w14:textId="77777777" w:rsidR="00217FD7" w:rsidRPr="00217FD7" w:rsidRDefault="00217FD7" w:rsidP="00217FD7">
      <w:pPr>
        <w:pStyle w:val="Heading1"/>
        <w:keepNext/>
        <w:jc w:val="left"/>
        <w:rPr>
          <w:rFonts w:ascii="Arial" w:eastAsia="Times New Roman" w:hAnsi="Arial" w:cs="Arial"/>
          <w:color w:val="000000"/>
          <w:sz w:val="27"/>
        </w:rPr>
      </w:pPr>
      <w:r w:rsidRPr="00217FD7">
        <w:rPr>
          <w:rFonts w:ascii="Arial" w:hAnsi="Arial" w:cs="Arial" w:eastAsia="Arial"/>
          <w:b/>
          <w:color w:val="000000"/>
          <w:sz w:val="24"/>
        </w:rPr>
        <w:t>Task 5: Implementation Plan</w:t>
      </w:r>
    </w:p>
    <w:p w14:paraId="3B983C81" w14:textId="77777777" w:rsidR="00217FD7" w:rsidRPr="00217FD7" w:rsidRDefault="00217FD7" w:rsidP="00217FD7">
      <w:pPr>
        <w:pStyle w:val="NormalWeb"/>
        <w:spacing w:line="360" w:lineRule="auto" w:before="0" w:after="120"/>
        <w:rPr>
          <w:rFonts w:ascii="Arial" w:hAnsi="Arial" w:cs="Arial"/>
          <w:color w:val="000000"/>
        </w:rPr>
      </w:pPr>
      <w:r w:rsidRPr="00217FD7">
        <w:rPr>
          <w:rFonts w:ascii="Arial" w:hAnsi="Arial" w:cs="Arial" w:eastAsia="Arial"/>
          <w:color w:val="000000"/>
          <w:sz w:val="24"/>
        </w:rPr>
        <w:t xml:space="preserve">Implementation should be phased so each commitment depends on evidence from the previous stage (Andries, </w:t>
      </w:r>
      <w:proofErr w:type="spellStart"/>
      <w:r w:rsidRPr="00217FD7">
        <w:rPr>
          <w:rFonts w:ascii="Arial" w:hAnsi="Arial" w:cs="Arial" w:eastAsia="Arial"/>
          <w:color w:val="000000"/>
          <w:sz w:val="24"/>
        </w:rPr>
        <w:t>Debackere</w:t>
      </w:r>
      <w:proofErr w:type="spellEnd"/>
      <w:r w:rsidRPr="00217FD7">
        <w:rPr>
          <w:rFonts w:ascii="Arial" w:hAnsi="Arial" w:cs="Arial" w:eastAsia="Arial"/>
          <w:color w:val="000000"/>
          <w:sz w:val="24"/>
        </w:rPr>
        <w:t xml:space="preserve"> and Van Looy, 2013). In Weeks 1–2, Basil and the business consultant should define Basil’s preferred future role and establish baseline sales, operating costs and sustainable production capacity. In Weeks 3–4, they should compare direct pre-ordering and third-party delivery on cost, suitability and operational requirements. If the pilot subsequently identifies consistent end-of-day surplus, a surplus-food platform could be evaluated as an optional secondary channel; the case itself does not establish that such surplus currently exists.</w:t>
      </w:r>
    </w:p>
    <w:p w14:paraId="5A5604AB" w14:textId="77777777" w:rsidR="00217FD7" w:rsidRPr="00217FD7" w:rsidRDefault="00217FD7" w:rsidP="00217FD7">
      <w:pPr>
        <w:pStyle w:val="NormalWeb"/>
        <w:spacing w:line="360" w:lineRule="auto" w:before="0" w:after="120"/>
        <w:rPr>
          <w:rFonts w:ascii="Arial" w:hAnsi="Arial" w:cs="Arial"/>
          <w:color w:val="000000"/>
        </w:rPr>
      </w:pPr>
      <w:r w:rsidRPr="00217FD7">
        <w:rPr>
          <w:rFonts w:ascii="Arial" w:hAnsi="Arial" w:cs="Arial" w:eastAsia="Arial"/>
          <w:color w:val="000000"/>
          <w:sz w:val="24"/>
        </w:rPr>
        <w:t xml:space="preserve">During Months 2–3, pre-ordering and external delivery should be piloted without permanent recruitment, using order limits where necessary and retaining Basil’s control over product quality. By testing pre-ordering and delivery within clearly defined limits, the plan deliberately avoids the risk of over-digitalisation, recognising </w:t>
      </w:r>
      <w:r w:rsidRPr="00217FD7">
        <w:rPr>
          <w:rFonts w:ascii="Arial" w:hAnsi="Arial" w:cs="Arial" w:eastAsia="Arial"/>
          <w:color w:val="000000"/>
          <w:sz w:val="24"/>
        </w:rPr>
        <w:lastRenderedPageBreak/>
        <w:t>that optimal outcomes for small firms occur when the scope and depth of digital adoption remain matched to available resources (Sinha, Raby and Salari, 2025). Running the pilot without permanent recruitment first also gives Basil the opportunity to test how the delegation of non-production tasks works for him personally, before deciding whether he wishes to expand the team. During Months 4–6, results should be reviewed against sales, contribution margin, demand, workload and capacity. Profitable demand above sustainable capacity would justify considering limited production support; continuing location constraints would justify reassessing relocation. This sequence is appropriate because it resolves the lowest-cost, most reversible questions first and prevents Basil from committing resources before demand and capacity are evidenced. Responsibility also follows capability: Basil retains decisions affecting product quality and sustainable workload; the business consultant provides independent financial and strategic evaluation; and a digital freelancer or external service provider is used only where specialist channel expertise is required. The phased sequence of clarifying capacity before introducing digital channels reflects the need, identified in agrifood SME research, to develop dynamic capabilities progressively rather than imposing large-scale change (Cannas, 2023). Detailed activities, timings and responsibilities are provided in Appendix C.</w:t>
      </w:r>
    </w:p>
    <w:p w14:paraId="414AD55C" w14:textId="77777777" w:rsidR="00D11504" w:rsidRPr="00217FD7" w:rsidRDefault="00D11504">
      <w:pPr>
        <w:spacing w:line="360" w:lineRule="auto" w:before="0" w:after="120"/>
        <w:jc w:val="both"/>
        <w:rPr>
          <w:lang w:val="en-GB"/>
        </w:rPr>
      </w:pPr>
    </w:p>
    <w:p w14:paraId="403A3D7B" w14:textId="77777777" w:rsidR="00D11504" w:rsidRDefault="00000000">
      <w:pPr>
        <w:pStyle w:val="Heading1"/>
        <w:keepNext/>
        <w:jc w:val="left"/>
      </w:pPr>
      <w:r>
        <w:rPr>
          <w:rFonts w:ascii="Arial" w:hAnsi="Arial" w:eastAsia="Arial" w:cs="Arial"/>
          <w:b/>
          <w:sz w:val="24"/>
        </w:rPr>
        <w:t>Task 6: KPIs and SMART Objectives</w:t>
      </w:r>
    </w:p>
    <w:p w14:paraId="15556E14" w14:textId="77777777" w:rsidR="00D11504" w:rsidRDefault="00000000">
      <w:pPr>
        <w:spacing w:line="360" w:lineRule="auto" w:before="0" w:after="120"/>
        <w:jc w:val="both"/>
      </w:pPr>
      <w:r>
        <w:rPr>
          <w:rFonts w:ascii="Arial" w:hAnsi="Arial" w:eastAsia="Arial" w:cs="Arial"/>
          <w:sz w:val="24"/>
        </w:rPr>
        <w:t>Performance should be assessed through financial, customer and operational measures rather than sales growth alone (Parmenter, 2020). As a proposed benchmark, sales should recover to at least 90% of the 2019 level within 12 months, provided this remains profitable and compatible with sustainable production capacity. Contribution margin should be monitored monthly so platform or delivery charges do not create revenue without profit.</w:t>
      </w:r>
    </w:p>
    <w:p w14:paraId="096CB94E" w14:textId="77777777" w:rsidR="00D11504" w:rsidRDefault="00000000">
      <w:pPr>
        <w:spacing w:line="360" w:lineRule="auto" w:before="0" w:after="120"/>
        <w:jc w:val="both"/>
      </w:pPr>
      <w:r>
        <w:rPr>
          <w:rFonts w:ascii="Arial" w:hAnsi="Arial" w:eastAsia="Arial" w:cs="Arial"/>
          <w:sz w:val="24"/>
        </w:rPr>
        <w:t xml:space="preserve">New-channel performance should also track the share of sales from pre-orders and delivery, repeat orders/customer retention, and order volume against sustainable capacity. These measures show whether demand is recurring, profitable and operationally manageable. If demand consistently exceeds capacity, limited production support can be considered rather than automatic expansion. The measures </w:t>
      </w:r>
      <w:r>
        <w:rPr>
          <w:rFonts w:ascii="Arial" w:hAnsi="Arial" w:eastAsia="Arial" w:cs="Arial"/>
          <w:sz w:val="24"/>
        </w:rPr>
        <w:lastRenderedPageBreak/>
        <w:t>create specific, measurable and time-bound decision points consistent with SMART principles (Doran, 1981); Appendix D provides the detailed table.</w:t>
      </w:r>
    </w:p>
    <w:p w14:paraId="2B0D961E" w14:textId="77777777" w:rsidR="00D11504" w:rsidRDefault="00000000">
      <w:pPr>
        <w:pStyle w:val="Heading1"/>
        <w:keepNext/>
        <w:jc w:val="left"/>
      </w:pPr>
      <w:r>
        <w:rPr>
          <w:rFonts w:ascii="Arial" w:hAnsi="Arial" w:eastAsia="Arial" w:cs="Arial"/>
          <w:b/>
          <w:sz w:val="24"/>
        </w:rPr>
        <w:t>Task 7: Key Findings</w:t>
      </w:r>
    </w:p>
    <w:p w14:paraId="4344B9E4" w14:textId="77777777" w:rsidR="00D11504" w:rsidRDefault="00000000">
      <w:pPr>
        <w:spacing w:after="60" w:line="360" w:lineRule="auto" w:before="0"/>
        <w:ind w:left="357" w:hanging="181"/>
        <w:jc w:val="left"/>
      </w:pPr>
      <w:r>
        <w:rPr>
          <w:rFonts w:ascii="Arial" w:hAnsi="Arial" w:eastAsia="Arial" w:cs="Arial"/>
          <w:sz w:val="24"/>
        </w:rPr>
        <w:t>• Sales remain about 25% below 2019 because reduced footfall and changed working patterns combine with rising costs and limited customer access.</w:t>
      </w:r>
    </w:p>
    <w:p w14:paraId="3E9C341F" w14:textId="77777777" w:rsidR="00D11504" w:rsidRDefault="00000000">
      <w:pPr>
        <w:spacing w:after="60" w:line="360" w:lineRule="auto" w:before="0"/>
        <w:ind w:left="357" w:hanging="181"/>
        <w:jc w:val="left"/>
      </w:pPr>
      <w:r>
        <w:rPr>
          <w:rFonts w:ascii="Arial" w:hAnsi="Arial" w:eastAsia="Arial" w:cs="Arial"/>
          <w:sz w:val="24"/>
        </w:rPr>
        <w:t>• Basil’s Producer strength is central to product quality, but operational dependence on him constrains delivery, pre-ordering and growth.</w:t>
      </w:r>
    </w:p>
    <w:p w14:paraId="0988705E" w14:textId="77777777" w:rsidR="00D11504" w:rsidRDefault="00000000">
      <w:pPr>
        <w:spacing w:after="60" w:line="360" w:lineRule="auto" w:before="0"/>
        <w:ind w:left="357" w:hanging="181"/>
        <w:jc w:val="left"/>
      </w:pPr>
      <w:r>
        <w:rPr>
          <w:rFonts w:ascii="Arial" w:hAnsi="Arial" w:eastAsia="Arial" w:cs="Arial"/>
          <w:sz w:val="24"/>
        </w:rPr>
        <w:t>• Controlled Artisan Development is preferable to immediate expansion because it responds to demonstrated demand with lower financial and organisational risk.</w:t>
      </w:r>
    </w:p>
    <w:p w14:paraId="524B773A" w14:textId="77777777" w:rsidR="00D11504" w:rsidRDefault="00000000">
      <w:pPr>
        <w:spacing w:after="60" w:line="360" w:lineRule="auto" w:before="0"/>
        <w:ind w:left="357" w:hanging="181"/>
        <w:jc w:val="left"/>
      </w:pPr>
      <w:r>
        <w:rPr>
          <w:rFonts w:ascii="Arial" w:hAnsi="Arial" w:eastAsia="Arial" w:cs="Arial"/>
          <w:sz w:val="24"/>
        </w:rPr>
        <w:t>• Pre-ordering, delivery and selective outsourcing should be piloted and measured before staffing decisions.</w:t>
      </w:r>
    </w:p>
    <w:p w14:paraId="3429C4F0" w14:textId="77777777" w:rsidR="00D11504" w:rsidRDefault="00000000">
      <w:pPr>
        <w:spacing w:after="60" w:line="360" w:lineRule="auto" w:before="0"/>
        <w:ind w:left="357" w:hanging="181"/>
        <w:jc w:val="left"/>
      </w:pPr>
      <w:r>
        <w:rPr>
          <w:rFonts w:ascii="Arial" w:hAnsi="Arial" w:eastAsia="Arial" w:cs="Arial"/>
          <w:sz w:val="24"/>
        </w:rPr>
        <w:t>• Relocation should be considered only if evidence shows the current location remains the principal constraint.</w:t>
      </w:r>
    </w:p>
    <w:p w14:paraId="4174EEFF" w14:textId="77777777" w:rsidR="00D11504" w:rsidRDefault="00000000">
      <w:pPr>
        <w:pStyle w:val="Heading1"/>
        <w:keepNext/>
        <w:jc w:val="left"/>
      </w:pPr>
      <w:r>
        <w:rPr>
          <w:rFonts w:ascii="Arial" w:hAnsi="Arial" w:eastAsia="Arial" w:cs="Arial"/>
          <w:b/>
          <w:sz w:val="24"/>
        </w:rPr>
        <w:t>Conclusion</w:t>
      </w:r>
    </w:p>
    <w:p w14:paraId="3E01953D" w14:textId="77777777" w:rsidR="00D11504" w:rsidRDefault="00000000">
      <w:pPr>
        <w:spacing w:line="360" w:lineRule="auto" w:before="0" w:after="120"/>
        <w:jc w:val="both"/>
      </w:pPr>
      <w:r>
        <w:rPr>
          <w:rFonts w:ascii="Arial" w:hAnsi="Arial" w:eastAsia="Arial" w:cs="Arial"/>
          <w:sz w:val="24"/>
        </w:rPr>
        <w:t>Basil’s Bakery requires adaptation rather than immediate large-scale expansion. Its sales shortfall reflects declining retail-park footfall, changing customer behaviour, rising costs and operational dependence on Basil. Adizes/PAEI analysis indicates that Basil’s strongest contribution is as Producer, supporting a strategy that protects his artisan role while reducing bottlenecks around him.</w:t>
      </w:r>
    </w:p>
    <w:p w14:paraId="5DC70E83" w14:textId="77777777" w:rsidR="00D11504" w:rsidRDefault="00000000">
      <w:pPr>
        <w:spacing w:line="360" w:lineRule="auto" w:before="0" w:after="120"/>
        <w:jc w:val="both"/>
      </w:pPr>
      <w:r>
        <w:rPr>
          <w:rFonts w:ascii="Arial" w:hAnsi="Arial" w:eastAsia="Arial" w:cs="Arial"/>
          <w:sz w:val="24"/>
        </w:rPr>
        <w:t>Controlled Artisan Development is therefore recommended: delegate selected non-production functions, pilot pre-ordering and delivery, measure demand, profitability and capacity, and expand only when evidence justifies it. The guiding logic is stabilise → delegate → pilot → measure → learn → only then expand. Limited production support should follow only if profitable demand exceeds sustainable capacity; relocation should be reassessed only if location remains the dominant constraint.</w:t>
      </w:r>
    </w:p>
    <w:p w14:paraId="3884B120" w14:textId="77777777" w:rsidR="00D11504" w:rsidRDefault="00000000">
      <w:pPr>
        <w:spacing w:line="360" w:lineRule="auto" w:before="0" w:after="120"/>
      </w:pPr>
      <w:r>
        <w:rPr>
          <w:rFonts w:ascii="Arial" w:hAnsi="Arial" w:eastAsia="Arial" w:cs="Arial"/>
          <w:sz w:val="24"/>
        </w:rPr>
      </w:r>
    </w:p>
    <w:p w14:paraId="558BE3ED" w14:textId="77777777" w:rsidR="00D11504" w:rsidRDefault="00000000">
      <w:pPr>
        <w:pStyle w:val="Heading1"/>
        <w:keepNext/>
        <w:pageBreakBefore/>
        <w:jc w:val="left"/>
      </w:pPr>
      <w:r>
        <w:rPr>
          <w:rFonts w:ascii="Arial" w:hAnsi="Arial" w:eastAsia="Arial" w:cs="Arial"/>
          <w:b/>
          <w:sz w:val="24"/>
        </w:rPr>
        <w:lastRenderedPageBreak/>
        <w:t>References</w:t>
      </w:r>
    </w:p>
    <w:p w14:paraId="72B3E9FD" w14:textId="77777777" w:rsidR="00D11504" w:rsidRDefault="00000000">
      <w:pPr>
        <w:spacing w:line="360" w:lineRule="auto" w:before="0" w:after="120"/>
        <w:ind w:left="720" w:hanging="720"/>
        <w:jc w:val="left"/>
      </w:pPr>
      <w:r>
        <w:rPr>
          <w:rFonts w:ascii="Arial" w:hAnsi="Arial" w:eastAsia="Arial" w:cs="Arial"/>
          <w:sz w:val="24"/>
        </w:rPr>
        <w:t>Adizes, I. (1988) Corporate Lifecycles: How and Why Corporations Grow and Die and What to Do About It. Englewood Cliffs, NJ: Prentice Hall.</w:t>
      </w:r>
    </w:p>
    <w:p w14:paraId="7B248884" w14:textId="77777777" w:rsidR="00D11504" w:rsidRDefault="00000000">
      <w:pPr>
        <w:spacing w:line="360" w:lineRule="auto" w:before="0" w:after="120"/>
        <w:ind w:left="720" w:hanging="720"/>
        <w:jc w:val="left"/>
      </w:pPr>
      <w:r>
        <w:rPr>
          <w:rFonts w:ascii="Arial" w:hAnsi="Arial" w:eastAsia="Arial" w:cs="Arial"/>
          <w:sz w:val="24"/>
        </w:rPr>
        <w:t>Adizes, I. (2004) Management/Mismanagement Styles: How to Identify a Style and What to Do About It. Santa Barbara, CA: The Adizes Institute Publishing.</w:t>
      </w:r>
    </w:p>
    <w:p w14:paraId="439628AA" w14:textId="77777777" w:rsidR="00D11504" w:rsidRDefault="00000000">
      <w:pPr>
        <w:spacing w:line="360" w:lineRule="auto" w:before="0" w:after="120"/>
        <w:ind w:left="720" w:hanging="720"/>
        <w:jc w:val="left"/>
      </w:pPr>
      <w:r>
        <w:rPr>
          <w:rFonts w:ascii="Arial" w:hAnsi="Arial" w:eastAsia="Arial" w:cs="Arial"/>
          <w:sz w:val="24"/>
        </w:rPr>
        <w:t>Andries, P., Debackere, K. and Van Looy, B. (2013) ‘Simultaneous experimentation as a learning strategy: Business model development under uncertainty’, Strategic Entrepreneurship Journal, 7(4), pp. 288–310.</w:t>
      </w:r>
    </w:p>
    <w:p w14:paraId="72A2CD35" w14:textId="77777777" w:rsidR="00D11504" w:rsidRDefault="00000000">
      <w:pPr>
        <w:spacing w:line="360" w:lineRule="auto" w:before="0" w:after="120"/>
        <w:ind w:left="720" w:hanging="720"/>
        <w:jc w:val="left"/>
      </w:pPr>
      <w:r>
        <w:rPr>
          <w:rFonts w:ascii="Arial" w:hAnsi="Arial" w:eastAsia="Arial" w:cs="Arial"/>
          <w:sz w:val="24"/>
        </w:rPr>
        <w:t>Cannas, R. (2023) ‘Exploring digital transformation and dynamic capabilities in agrifood SMEs’, Journal of Small Business Management, 61(4), pp. 1611–1637. doi: 10.1080/00472778.2020.1844494.</w:t>
      </w:r>
    </w:p>
    <w:p w14:paraId="6AA76715" w14:textId="77777777" w:rsidR="00D11504" w:rsidRDefault="00000000">
      <w:pPr>
        <w:spacing w:line="360" w:lineRule="auto" w:before="0" w:after="120"/>
        <w:ind w:left="720" w:hanging="720"/>
        <w:jc w:val="left"/>
      </w:pPr>
      <w:r>
        <w:rPr>
          <w:rFonts w:ascii="Arial" w:hAnsi="Arial" w:eastAsia="Arial" w:cs="Arial"/>
          <w:sz w:val="24"/>
        </w:rPr>
        <w:t>de Bono, E. (1988) De Bono’s Thinking Course. London: BBC Books.</w:t>
      </w:r>
    </w:p>
    <w:p w14:paraId="332A81FF" w14:textId="77777777" w:rsidR="00D11504" w:rsidRDefault="00000000">
      <w:pPr>
        <w:spacing w:line="360" w:lineRule="auto" w:before="0" w:after="120"/>
        <w:ind w:left="720" w:hanging="720"/>
        <w:jc w:val="left"/>
      </w:pPr>
      <w:r>
        <w:rPr>
          <w:rFonts w:ascii="Arial" w:hAnsi="Arial" w:eastAsia="Arial" w:cs="Arial"/>
          <w:sz w:val="24"/>
        </w:rPr>
        <w:t>Doran, G.T. (1981) ‘There’s a S.M.A.R.T. way to write management’s goals and objectives’, Management Review, 70(11), pp. 35–36.</w:t>
      </w:r>
    </w:p>
    <w:p w14:paraId="00C9E6A9" w14:textId="77777777" w:rsidR="00D11504" w:rsidRDefault="00000000">
      <w:pPr>
        <w:spacing w:line="360" w:lineRule="auto" w:before="0" w:after="120"/>
        <w:ind w:left="720" w:hanging="720"/>
        <w:jc w:val="left"/>
      </w:pPr>
      <w:r>
        <w:rPr>
          <w:rFonts w:ascii="Arial" w:hAnsi="Arial" w:eastAsia="Arial" w:cs="Arial"/>
          <w:sz w:val="24"/>
        </w:rPr>
        <w:t>International Organization for Standardization (ISO) (2018) ISO 31000:2018 Risk Management — Guidelines. Geneva: International Organization for Standardization.</w:t>
      </w:r>
    </w:p>
    <w:p w14:paraId="5CA29EC2" w14:textId="77777777" w:rsidR="00D11504" w:rsidRDefault="00000000">
      <w:pPr>
        <w:spacing w:line="360" w:lineRule="auto" w:before="0" w:after="120"/>
        <w:ind w:left="720" w:hanging="720"/>
        <w:jc w:val="left"/>
      </w:pPr>
      <w:r>
        <w:rPr>
          <w:rFonts w:ascii="Arial" w:hAnsi="Arial" w:eastAsia="Arial" w:cs="Arial"/>
          <w:sz w:val="24"/>
        </w:rPr>
        <w:t>Li, C., Mirosa, M. and Bremer, P. (2020) ‘Review of online food delivery platforms and their impacts on sustainability’, Sustainability, 12(14), 5528.</w:t>
      </w:r>
    </w:p>
    <w:p w14:paraId="65B16F9D" w14:textId="77777777" w:rsidR="00D11504" w:rsidRDefault="00000000">
      <w:pPr>
        <w:spacing w:line="360" w:lineRule="auto" w:before="0" w:after="120"/>
        <w:ind w:left="720" w:hanging="720"/>
        <w:jc w:val="left"/>
      </w:pPr>
      <w:r>
        <w:rPr>
          <w:rFonts w:ascii="Arial" w:hAnsi="Arial" w:eastAsia="Arial" w:cs="Arial"/>
          <w:sz w:val="24"/>
        </w:rPr>
        <w:t>Niu, B., Li, Q., Mu, Z., Chen, L. and Ji, P. (2021) ‘Platform logistics or self-logistics? Restaurants’ cooperation with online food-delivery platform considering profitability and sustainability’, International Journal of Production Economics, 234, 108064.</w:t>
      </w:r>
    </w:p>
    <w:p w14:paraId="6313B7FE" w14:textId="77777777" w:rsidR="00D11504" w:rsidRDefault="00000000">
      <w:pPr>
        <w:spacing w:line="360" w:lineRule="auto" w:before="0" w:after="120"/>
        <w:ind w:left="720" w:hanging="720"/>
        <w:jc w:val="left"/>
      </w:pPr>
      <w:r>
        <w:rPr>
          <w:rFonts w:ascii="Arial" w:hAnsi="Arial" w:eastAsia="Arial" w:cs="Arial"/>
          <w:sz w:val="24"/>
        </w:rPr>
        <w:t>Parmenter, D. (2020) Key Performance Indicators: Developing, Implementing, and Using Winning KPIs. 4th edn. Hoboken, NJ: Wiley.</w:t>
      </w:r>
    </w:p>
    <w:p w14:paraId="068682F0" w14:textId="77777777" w:rsidR="00D11504" w:rsidRDefault="00000000">
      <w:pPr>
        <w:spacing w:line="360" w:lineRule="auto" w:before="0" w:after="120"/>
        <w:ind w:left="720" w:hanging="720"/>
        <w:jc w:val="left"/>
      </w:pPr>
      <w:r>
        <w:rPr>
          <w:rFonts w:ascii="Arial" w:hAnsi="Arial" w:eastAsia="Arial" w:cs="Arial"/>
          <w:sz w:val="24"/>
        </w:rPr>
        <w:t>Porter, M.E. (1985) Competitive Advantage: Creating and Sustaining Superior Performance. New York: Free Press.</w:t>
      </w:r>
    </w:p>
    <w:p w14:paraId="7159E7BC" w14:textId="77777777" w:rsidR="00D11504" w:rsidRDefault="00000000">
      <w:pPr>
        <w:spacing w:line="360" w:lineRule="auto" w:before="0" w:after="120"/>
        <w:ind w:left="720" w:hanging="720"/>
        <w:jc w:val="left"/>
      </w:pPr>
      <w:r>
        <w:rPr>
          <w:rFonts w:ascii="Arial" w:hAnsi="Arial" w:eastAsia="Arial" w:cs="Arial"/>
          <w:sz w:val="24"/>
        </w:rPr>
        <w:t>Project Management Institute (2019) The Standard for Risk Management in Portfolios, Programs, and Projects. Newtown Square, PA: Project Management Institute.</w:t>
      </w:r>
    </w:p>
    <w:p w14:paraId="211BFA21" w14:textId="77777777" w:rsidR="00D11504" w:rsidRDefault="00000000">
      <w:pPr>
        <w:spacing w:line="360" w:lineRule="auto" w:before="0" w:after="120"/>
        <w:ind w:left="720" w:hanging="720"/>
        <w:jc w:val="left"/>
      </w:pPr>
      <w:r>
        <w:rPr>
          <w:rFonts w:ascii="Arial" w:hAnsi="Arial" w:eastAsia="Arial" w:cs="Arial"/>
          <w:sz w:val="24"/>
        </w:rPr>
        <w:lastRenderedPageBreak/>
        <w:t>Silva, N. and Nilsson, F. (2025) ‘Enabling competitiveness in home-delivery through sustainable packaging logistics’, International Journal of Retail &amp; Distribution Management, 53(13), pp. 75–89. doi: 10.1108/IJRDM-09-2024-0441.</w:t>
      </w:r>
    </w:p>
    <w:p w14:paraId="49578DF1" w14:textId="77777777" w:rsidR="00D11504" w:rsidRDefault="00000000">
      <w:pPr>
        <w:spacing w:line="360" w:lineRule="auto" w:before="0" w:after="120"/>
        <w:ind w:left="720" w:hanging="720"/>
        <w:jc w:val="left"/>
      </w:pPr>
      <w:r>
        <w:rPr>
          <w:rFonts w:ascii="Arial" w:hAnsi="Arial" w:eastAsia="Arial" w:cs="Arial"/>
          <w:sz w:val="24"/>
        </w:rPr>
        <w:t>Sinha, K.K., Raby, S. and Salari, T. (2025) ‘Exploring the scope and depth of digitalisation in times of crisis: Implications for SME resilience’, International Small Business Journal, 43(3), pp. 219–245. doi: 10.1177/02662426241293000.</w:t>
      </w:r>
    </w:p>
    <w:p w14:paraId="3EED3B1B" w14:textId="77777777" w:rsidR="00D11504" w:rsidRDefault="00000000">
      <w:pPr>
        <w:pStyle w:val="Heading1"/>
        <w:keepNext/>
        <w:pageBreakBefore/>
        <w:jc w:val="left"/>
      </w:pPr>
      <w:r>
        <w:rPr>
          <w:rFonts w:ascii="Arial" w:eastAsia="Arial" w:hAnsi="Arial" w:cs="Arial"/>
          <w:b/>
          <w:sz w:val="24"/>
        </w:rPr>
        <w:t>Appendix A — PMI Analysis</w:t>
      </w:r>
    </w:p>
    <w:p w14:paraId="2E014B82" w14:textId="77777777" w:rsidR="00D11504" w:rsidRDefault="00000000">
      <w:pPr>
        <w:pStyle w:val="Heading2"/>
        <w:keepNext/>
        <w:jc w:val="left"/>
      </w:pPr>
      <w:r>
        <w:rPr>
          <w:rFonts w:ascii="Arial" w:hAnsi="Arial" w:eastAsia="Arial" w:cs="Arial"/>
          <w:b/>
          <w:sz w:val="24"/>
        </w:rPr>
        <w:t>Solution A — Controlled Artisan Development of a Small Owner-Operated Business</w:t>
      </w:r>
    </w:p>
    <w:tbl>
      <w:tblPr>
        <w:tblStyle w:val="TableGrid"/>
        <w:tblW w:w="0" w:type="auto"/>
        <w:jc w:val="center"/>
        <w:tblLayout w:type="autofit"/>
        <w:tblLook w:val="04A0" w:firstRow="1" w:lastRow="0" w:firstColumn="1" w:lastColumn="0" w:noHBand="0" w:noVBand="1"/>
      </w:tblPr>
      <w:tblGrid>
        <w:gridCol w:w="2976"/>
        <w:gridCol w:w="2976"/>
        <w:gridCol w:w="2976"/>
      </w:tblGrid>
      <w:tr w:rsidR="00D11504" w14:paraId="0792A836" w14:textId="77777777">
        <w:trPr>
          <w:cantSplit/>
          <w:tblHeader w:val="true"/>
        </w:trPr>
        <w:tc>
          <w:tcPr>
            <w:tcW w:w="2976" w:type="dxa"/>
            <w:tcMar>
              <w:top w:w="100" w:type="dxa"/>
              <w:left w:w="90" w:type="dxa"/>
              <w:bottom w:w="100" w:type="dxa"/>
              <w:right w:w="90" w:type="dxa"/>
              <w:start w:w="120" w:type="dxa"/>
              <w:end w:w="120" w:type="dxa"/>
            </w:tcMar>
            <w:vAlign w:val="center"/>
          </w:tcPr>
          <w:p w14:paraId="02BA85C2" w14:textId="77777777" w:rsidR="00D11504" w:rsidRDefault="00000000">
            <w:pPr>
              <w:spacing w:after="0" w:line="360" w:lineRule="auto" w:before="0"/>
              <w:jc w:val="center"/>
            </w:pPr>
            <w:r>
              <w:rPr>
                <w:rFonts w:ascii="Arial" w:hAnsi="Arial" w:eastAsia="Arial" w:cs="Arial"/>
                <w:b/>
                <w:sz w:val="24"/>
              </w:rPr>
              <w:t>Plus</w:t>
            </w:r>
          </w:p>
        </w:tc>
        <w:tc>
          <w:tcPr>
            <w:tcW w:w="2976" w:type="dxa"/>
            <w:tcMar>
              <w:top w:w="100" w:type="dxa"/>
              <w:left w:w="90" w:type="dxa"/>
              <w:bottom w:w="100" w:type="dxa"/>
              <w:right w:w="90" w:type="dxa"/>
              <w:start w:w="120" w:type="dxa"/>
              <w:end w:w="120" w:type="dxa"/>
            </w:tcMar>
            <w:vAlign w:val="center"/>
          </w:tcPr>
          <w:p w14:paraId="48AA1A8C" w14:textId="77777777" w:rsidR="00D11504" w:rsidRDefault="00000000">
            <w:pPr>
              <w:spacing w:after="0" w:line="360" w:lineRule="auto" w:before="0"/>
              <w:jc w:val="center"/>
            </w:pPr>
            <w:r>
              <w:rPr>
                <w:rFonts w:ascii="Arial" w:hAnsi="Arial" w:eastAsia="Arial" w:cs="Arial"/>
                <w:b/>
                <w:sz w:val="24"/>
              </w:rPr>
              <w:t>Minus</w:t>
            </w:r>
          </w:p>
        </w:tc>
        <w:tc>
          <w:tcPr>
            <w:tcW w:w="2976" w:type="dxa"/>
            <w:tcMar>
              <w:top w:w="100" w:type="dxa"/>
              <w:left w:w="90" w:type="dxa"/>
              <w:bottom w:w="100" w:type="dxa"/>
              <w:right w:w="90" w:type="dxa"/>
              <w:start w:w="120" w:type="dxa"/>
              <w:end w:w="120" w:type="dxa"/>
            </w:tcMar>
            <w:vAlign w:val="center"/>
          </w:tcPr>
          <w:p w14:paraId="40C95A1C" w14:textId="77777777" w:rsidR="00D11504" w:rsidRDefault="00000000">
            <w:pPr>
              <w:spacing w:after="0" w:line="360" w:lineRule="auto" w:before="0"/>
              <w:jc w:val="center"/>
            </w:pPr>
            <w:r>
              <w:rPr>
                <w:rFonts w:ascii="Arial" w:hAnsi="Arial" w:eastAsia="Arial" w:cs="Arial"/>
                <w:b/>
                <w:sz w:val="24"/>
              </w:rPr>
              <w:t>Interesting</w:t>
            </w:r>
          </w:p>
        </w:tc>
      </w:tr>
      <w:tr w:rsidR="00D11504" w14:paraId="5A9FD3C5" w14:textId="77777777">
        <w:trPr>
          <w:cantSplit/>
        </w:trPr>
        <w:tc>
          <w:tcPr>
            <w:tcW w:w="2976" w:type="dxa"/>
            <w:tcMar>
              <w:top w:w="100" w:type="dxa"/>
              <w:left w:w="90" w:type="dxa"/>
              <w:bottom w:w="100" w:type="dxa"/>
              <w:right w:w="90" w:type="dxa"/>
              <w:start w:w="120" w:type="dxa"/>
              <w:end w:w="120" w:type="dxa"/>
            </w:tcMar>
            <w:vAlign w:val="center"/>
          </w:tcPr>
          <w:p w14:paraId="204BD066" w14:textId="77777777" w:rsidR="00D11504" w:rsidRDefault="00000000">
            <w:pPr>
              <w:spacing w:after="0" w:line="360" w:lineRule="auto" w:before="0"/>
            </w:pPr>
            <w:r>
              <w:rPr>
                <w:rFonts w:ascii="Arial" w:hAnsi="Arial" w:eastAsia="Arial" w:cs="Arial"/>
                <w:sz w:val="24"/>
              </w:rPr>
              <w:t>Basil retains his main role as an artisan baker, consistent with his strong Producer role (Adizes, 2004).</w:t>
            </w:r>
          </w:p>
        </w:tc>
        <w:tc>
          <w:tcPr>
            <w:tcW w:w="2976" w:type="dxa"/>
            <w:tcMar>
              <w:top w:w="100" w:type="dxa"/>
              <w:left w:w="90" w:type="dxa"/>
              <w:bottom w:w="100" w:type="dxa"/>
              <w:right w:w="90" w:type="dxa"/>
              <w:start w:w="120" w:type="dxa"/>
              <w:end w:w="120" w:type="dxa"/>
            </w:tcMar>
            <w:vAlign w:val="center"/>
          </w:tcPr>
          <w:p w14:paraId="1786960D" w14:textId="77777777" w:rsidR="00D11504" w:rsidRDefault="00000000">
            <w:pPr>
              <w:spacing w:after="0" w:line="360" w:lineRule="auto" w:before="0"/>
            </w:pPr>
            <w:r>
              <w:rPr>
                <w:rFonts w:ascii="Arial" w:hAnsi="Arial" w:eastAsia="Arial" w:cs="Arial"/>
                <w:sz w:val="24"/>
              </w:rPr>
              <w:t>Opportunities for rapid sales growth remain limited by Basil’s personal production capacity.</w:t>
            </w:r>
          </w:p>
        </w:tc>
        <w:tc>
          <w:tcPr>
            <w:tcW w:w="2976" w:type="dxa"/>
            <w:tcMar>
              <w:top w:w="100" w:type="dxa"/>
              <w:left w:w="90" w:type="dxa"/>
              <w:bottom w:w="100" w:type="dxa"/>
              <w:right w:w="90" w:type="dxa"/>
              <w:start w:w="120" w:type="dxa"/>
              <w:end w:w="120" w:type="dxa"/>
            </w:tcMar>
            <w:vAlign w:val="center"/>
          </w:tcPr>
          <w:p w14:paraId="21371EA8" w14:textId="77777777" w:rsidR="00D11504" w:rsidRDefault="00000000">
            <w:pPr>
              <w:spacing w:after="0" w:line="360" w:lineRule="auto" w:before="0"/>
            </w:pPr>
            <w:r>
              <w:rPr>
                <w:rFonts w:ascii="Arial" w:hAnsi="Arial" w:eastAsia="Arial" w:cs="Arial"/>
                <w:sz w:val="24"/>
              </w:rPr>
              <w:t>New sales channels can be tested without immediately creating a larger team.</w:t>
            </w:r>
          </w:p>
        </w:tc>
      </w:tr>
      <w:tr w:rsidR="00D11504" w14:paraId="3C189525" w14:textId="77777777">
        <w:trPr>
          <w:cantSplit/>
        </w:trPr>
        <w:tc>
          <w:tcPr>
            <w:tcW w:w="2976" w:type="dxa"/>
            <w:tcMar>
              <w:top w:w="100" w:type="dxa"/>
              <w:left w:w="90" w:type="dxa"/>
              <w:bottom w:w="100" w:type="dxa"/>
              <w:right w:w="90" w:type="dxa"/>
              <w:start w:w="120" w:type="dxa"/>
              <w:end w:w="120" w:type="dxa"/>
            </w:tcMar>
            <w:vAlign w:val="center"/>
          </w:tcPr>
          <w:p w14:paraId="408C0402" w14:textId="77777777" w:rsidR="00D11504" w:rsidRDefault="00000000">
            <w:pPr>
              <w:spacing w:after="0" w:line="360" w:lineRule="auto" w:before="0"/>
            </w:pPr>
            <w:r>
              <w:rPr>
                <w:rFonts w:ascii="Arial" w:hAnsi="Arial" w:eastAsia="Arial" w:cs="Arial"/>
                <w:sz w:val="24"/>
              </w:rPr>
              <w:t>Online pre-ordering and external delivery respond directly to existing customer requests.</w:t>
            </w:r>
          </w:p>
        </w:tc>
        <w:tc>
          <w:tcPr>
            <w:tcW w:w="2976" w:type="dxa"/>
            <w:tcMar>
              <w:top w:w="100" w:type="dxa"/>
              <w:left w:w="90" w:type="dxa"/>
              <w:bottom w:w="100" w:type="dxa"/>
              <w:right w:w="90" w:type="dxa"/>
              <w:start w:w="120" w:type="dxa"/>
              <w:end w:w="120" w:type="dxa"/>
            </w:tcMar>
            <w:vAlign w:val="center"/>
          </w:tcPr>
          <w:p w14:paraId="56829997" w14:textId="77777777" w:rsidR="00D11504" w:rsidRDefault="00000000">
            <w:pPr>
              <w:spacing w:after="0" w:line="360" w:lineRule="auto" w:before="0"/>
            </w:pPr>
            <w:r>
              <w:rPr>
                <w:rFonts w:ascii="Arial" w:hAnsi="Arial" w:eastAsia="Arial" w:cs="Arial"/>
                <w:sz w:val="24"/>
              </w:rPr>
              <w:t>External delivery and digital services create additional costs and may reduce margins.</w:t>
            </w:r>
          </w:p>
        </w:tc>
        <w:tc>
          <w:tcPr>
            <w:tcW w:w="2976" w:type="dxa"/>
            <w:tcMar>
              <w:top w:w="100" w:type="dxa"/>
              <w:left w:w="90" w:type="dxa"/>
              <w:bottom w:w="100" w:type="dxa"/>
              <w:right w:w="90" w:type="dxa"/>
              <w:start w:w="120" w:type="dxa"/>
              <w:end w:w="120" w:type="dxa"/>
            </w:tcMar>
            <w:vAlign w:val="center"/>
          </w:tcPr>
          <w:p w14:paraId="6B4B2007" w14:textId="77777777" w:rsidR="00D11504" w:rsidRDefault="00000000">
            <w:pPr>
              <w:spacing w:after="0" w:line="360" w:lineRule="auto" w:before="0"/>
            </w:pPr>
            <w:r>
              <w:rPr>
                <w:rFonts w:ascii="Arial" w:hAnsi="Arial" w:eastAsia="Arial" w:cs="Arial"/>
                <w:sz w:val="24"/>
              </w:rPr>
              <w:t>If demand exceeds Basil’s production capacity, this provides evidence to justify considering limited additional production support, initially potentially one production assistant.</w:t>
            </w:r>
          </w:p>
        </w:tc>
      </w:tr>
      <w:tr w:rsidR="00D11504" w14:paraId="55712E66" w14:textId="77777777">
        <w:trPr>
          <w:cantSplit/>
        </w:trPr>
        <w:tc>
          <w:tcPr>
            <w:tcW w:w="2976" w:type="dxa"/>
            <w:tcMar>
              <w:top w:w="100" w:type="dxa"/>
              <w:left w:w="90" w:type="dxa"/>
              <w:bottom w:w="100" w:type="dxa"/>
              <w:right w:w="90" w:type="dxa"/>
              <w:start w:w="120" w:type="dxa"/>
              <w:end w:w="120" w:type="dxa"/>
            </w:tcMar>
            <w:vAlign w:val="center"/>
          </w:tcPr>
          <w:p w14:paraId="161E75CD" w14:textId="77777777" w:rsidR="00D11504" w:rsidRDefault="00000000">
            <w:pPr>
              <w:spacing w:after="0" w:line="360" w:lineRule="auto" w:before="0"/>
            </w:pPr>
            <w:r>
              <w:rPr>
                <w:rFonts w:ascii="Arial" w:hAnsi="Arial" w:eastAsia="Arial" w:cs="Arial"/>
                <w:sz w:val="24"/>
              </w:rPr>
              <w:t>Selected functions can be outsourced without requiring Basil immediately to manage several employees.</w:t>
            </w:r>
          </w:p>
        </w:tc>
        <w:tc>
          <w:tcPr>
            <w:tcW w:w="2976" w:type="dxa"/>
            <w:tcMar>
              <w:top w:w="100" w:type="dxa"/>
              <w:left w:w="90" w:type="dxa"/>
              <w:bottom w:w="100" w:type="dxa"/>
              <w:right w:w="90" w:type="dxa"/>
              <w:start w:w="120" w:type="dxa"/>
              <w:end w:w="120" w:type="dxa"/>
            </w:tcMar>
            <w:vAlign w:val="center"/>
          </w:tcPr>
          <w:p w14:paraId="2999E648" w14:textId="77777777" w:rsidR="00D11504" w:rsidRDefault="00000000">
            <w:pPr>
              <w:spacing w:after="0" w:line="360" w:lineRule="auto" w:before="0"/>
            </w:pPr>
            <w:r>
              <w:rPr>
                <w:rFonts w:ascii="Arial" w:hAnsi="Arial" w:eastAsia="Arial" w:cs="Arial"/>
                <w:sz w:val="24"/>
              </w:rPr>
              <w:t>Basil remains a key dependency within production.</w:t>
            </w:r>
          </w:p>
        </w:tc>
        <w:tc>
          <w:tcPr>
            <w:tcW w:w="2976" w:type="dxa"/>
            <w:tcMar>
              <w:top w:w="100" w:type="dxa"/>
              <w:left w:w="90" w:type="dxa"/>
              <w:bottom w:w="100" w:type="dxa"/>
              <w:right w:w="90" w:type="dxa"/>
              <w:start w:w="120" w:type="dxa"/>
              <w:end w:w="120" w:type="dxa"/>
            </w:tcMar>
            <w:vAlign w:val="center"/>
          </w:tcPr>
          <w:p w14:paraId="10242376" w14:textId="77777777" w:rsidR="00D11504" w:rsidRDefault="00000000">
            <w:pPr>
              <w:spacing w:after="0" w:line="360" w:lineRule="auto" w:before="0"/>
            </w:pPr>
            <w:r>
              <w:rPr>
                <w:rFonts w:ascii="Arial" w:hAnsi="Arial" w:eastAsia="Arial" w:cs="Arial"/>
                <w:sz w:val="24"/>
              </w:rPr>
              <w:t>The pilot provides an opportunity to test Basil’s ability and willingness to delegate before further organisational development.</w:t>
            </w:r>
          </w:p>
        </w:tc>
      </w:tr>
      <w:tr w:rsidR="00D11504" w14:paraId="4068CE3B" w14:textId="77777777">
        <w:trPr>
          <w:cantSplit/>
        </w:trPr>
        <w:tc>
          <w:tcPr>
            <w:tcW w:w="2976" w:type="dxa"/>
            <w:tcMar>
              <w:top w:w="100" w:type="dxa"/>
              <w:left w:w="90" w:type="dxa"/>
              <w:bottom w:w="100" w:type="dxa"/>
              <w:right w:w="90" w:type="dxa"/>
              <w:start w:w="120" w:type="dxa"/>
              <w:end w:w="120" w:type="dxa"/>
            </w:tcMar>
            <w:vAlign w:val="center"/>
          </w:tcPr>
          <w:p w14:paraId="720DD24C" w14:textId="77777777" w:rsidR="00D11504" w:rsidRDefault="00000000">
            <w:pPr>
              <w:spacing w:after="0" w:line="360" w:lineRule="auto" w:before="0"/>
            </w:pPr>
            <w:r>
              <w:rPr>
                <w:rFonts w:ascii="Arial" w:hAnsi="Arial" w:eastAsia="Arial" w:cs="Arial"/>
                <w:sz w:val="24"/>
              </w:rPr>
              <w:lastRenderedPageBreak/>
              <w:t>Financial and organisational exposure is lower than with immediate relocation or substantial expansion.</w:t>
            </w:r>
          </w:p>
        </w:tc>
        <w:tc>
          <w:tcPr>
            <w:tcW w:w="2976" w:type="dxa"/>
            <w:tcMar>
              <w:top w:w="100" w:type="dxa"/>
              <w:left w:w="90" w:type="dxa"/>
              <w:bottom w:w="100" w:type="dxa"/>
              <w:right w:w="90" w:type="dxa"/>
              <w:start w:w="120" w:type="dxa"/>
              <w:end w:w="120" w:type="dxa"/>
            </w:tcMar>
            <w:vAlign w:val="center"/>
          </w:tcPr>
          <w:p w14:paraId="1749A63F" w14:textId="77777777" w:rsidR="00D11504" w:rsidRDefault="00000000">
            <w:pPr>
              <w:spacing w:after="0" w:line="360" w:lineRule="auto" w:before="0"/>
            </w:pPr>
            <w:r>
              <w:rPr>
                <w:rFonts w:ascii="Arial" w:hAnsi="Arial" w:eastAsia="Arial" w:cs="Arial"/>
                <w:sz w:val="24"/>
              </w:rPr>
              <w:t>The solution does not directly remove the underlying problem of declining footfall at the current retail park.</w:t>
            </w:r>
          </w:p>
        </w:tc>
        <w:tc>
          <w:tcPr>
            <w:tcW w:w="2976" w:type="dxa"/>
            <w:tcMar>
              <w:top w:w="100" w:type="dxa"/>
              <w:left w:w="90" w:type="dxa"/>
              <w:bottom w:w="100" w:type="dxa"/>
              <w:right w:w="90" w:type="dxa"/>
              <w:start w:w="120" w:type="dxa"/>
              <w:end w:w="120" w:type="dxa"/>
            </w:tcMar>
            <w:vAlign w:val="center"/>
          </w:tcPr>
          <w:p w14:paraId="7F7B834B" w14:textId="77777777" w:rsidR="00D11504" w:rsidRDefault="00000000">
            <w:pPr>
              <w:spacing w:after="0" w:line="360" w:lineRule="auto" w:before="0"/>
            </w:pPr>
            <w:r>
              <w:rPr>
                <w:rFonts w:ascii="Arial" w:hAnsi="Arial" w:eastAsia="Arial" w:cs="Arial"/>
                <w:sz w:val="24"/>
              </w:rPr>
              <w:t>Pilot results can provide evidence about whether the existing location remains viable or whether higher-footfall relocation should subsequently be considered.</w:t>
            </w:r>
          </w:p>
        </w:tc>
      </w:tr>
    </w:tbl>
    <w:p w14:paraId="0FBC7C30" w14:textId="77777777" w:rsidR="00D11504" w:rsidRDefault="00000000">
      <w:pPr>
        <w:pStyle w:val="Heading2"/>
        <w:keepNext/>
        <w:jc w:val="left"/>
      </w:pPr>
      <w:r>
        <w:rPr>
          <w:rFonts w:ascii="Arial" w:eastAsia="Arial" w:hAnsi="Arial" w:cs="Arial"/>
          <w:b/>
          <w:sz w:val="24"/>
        </w:rPr>
        <w:t>Solution B — Relocation to a Higher-Footfall Location with Differentiated Artisan Positioning</w:t>
      </w:r>
    </w:p>
    <w:tbl>
      <w:tblPr>
        <w:tblStyle w:val="TableGrid"/>
        <w:tblW w:w="0" w:type="auto"/>
        <w:jc w:val="center"/>
        <w:tblLayout w:type="autofit"/>
        <w:tblLook w:val="04A0" w:firstRow="1" w:lastRow="0" w:firstColumn="1" w:lastColumn="0" w:noHBand="0" w:noVBand="1"/>
      </w:tblPr>
      <w:tblGrid>
        <w:gridCol w:w="2976"/>
        <w:gridCol w:w="2976"/>
        <w:gridCol w:w="2976"/>
      </w:tblGrid>
      <w:tr w:rsidR="00D11504" w14:paraId="1A6F663D" w14:textId="77777777">
        <w:trPr>
          <w:cantSplit/>
          <w:tblHeader w:val="true"/>
        </w:trPr>
        <w:tc>
          <w:tcPr>
            <w:tcW w:w="2976" w:type="dxa"/>
            <w:tcMar>
              <w:top w:w="100" w:type="dxa"/>
              <w:left w:w="90" w:type="dxa"/>
              <w:bottom w:w="100" w:type="dxa"/>
              <w:right w:w="90" w:type="dxa"/>
              <w:start w:w="120" w:type="dxa"/>
              <w:end w:w="120" w:type="dxa"/>
            </w:tcMar>
            <w:vAlign w:val="center"/>
          </w:tcPr>
          <w:p w14:paraId="4CF4ED3E" w14:textId="77777777" w:rsidR="00D11504" w:rsidRDefault="00000000">
            <w:pPr>
              <w:spacing w:after="0" w:line="360" w:lineRule="auto" w:before="0"/>
              <w:jc w:val="center"/>
            </w:pPr>
            <w:r>
              <w:rPr>
                <w:rFonts w:ascii="Arial" w:hAnsi="Arial" w:eastAsia="Arial" w:cs="Arial"/>
                <w:b/>
                <w:sz w:val="24"/>
              </w:rPr>
              <w:t>Plus</w:t>
            </w:r>
          </w:p>
        </w:tc>
        <w:tc>
          <w:tcPr>
            <w:tcW w:w="2976" w:type="dxa"/>
            <w:tcMar>
              <w:top w:w="100" w:type="dxa"/>
              <w:left w:w="90" w:type="dxa"/>
              <w:bottom w:w="100" w:type="dxa"/>
              <w:right w:w="90" w:type="dxa"/>
              <w:start w:w="120" w:type="dxa"/>
              <w:end w:w="120" w:type="dxa"/>
            </w:tcMar>
            <w:vAlign w:val="center"/>
          </w:tcPr>
          <w:p w14:paraId="6B3E3904" w14:textId="77777777" w:rsidR="00D11504" w:rsidRDefault="00000000">
            <w:pPr>
              <w:spacing w:after="0" w:line="360" w:lineRule="auto" w:before="0"/>
              <w:jc w:val="center"/>
            </w:pPr>
            <w:r>
              <w:rPr>
                <w:rFonts w:ascii="Arial" w:hAnsi="Arial" w:eastAsia="Arial" w:cs="Arial"/>
                <w:b/>
                <w:sz w:val="24"/>
              </w:rPr>
              <w:t>Minus</w:t>
            </w:r>
          </w:p>
        </w:tc>
        <w:tc>
          <w:tcPr>
            <w:tcW w:w="2976" w:type="dxa"/>
            <w:tcMar>
              <w:top w:w="100" w:type="dxa"/>
              <w:left w:w="90" w:type="dxa"/>
              <w:bottom w:w="100" w:type="dxa"/>
              <w:right w:w="90" w:type="dxa"/>
              <w:start w:w="120" w:type="dxa"/>
              <w:end w:w="120" w:type="dxa"/>
            </w:tcMar>
            <w:vAlign w:val="center"/>
          </w:tcPr>
          <w:p w14:paraId="4D1E31F5" w14:textId="77777777" w:rsidR="00D11504" w:rsidRDefault="00000000">
            <w:pPr>
              <w:spacing w:after="0" w:line="360" w:lineRule="auto" w:before="0"/>
              <w:jc w:val="center"/>
            </w:pPr>
            <w:r>
              <w:rPr>
                <w:rFonts w:ascii="Arial" w:hAnsi="Arial" w:eastAsia="Arial" w:cs="Arial"/>
                <w:b/>
                <w:sz w:val="24"/>
              </w:rPr>
              <w:t>Interesting</w:t>
            </w:r>
          </w:p>
        </w:tc>
      </w:tr>
      <w:tr w:rsidR="00D11504" w14:paraId="51600D5E" w14:textId="77777777">
        <w:trPr>
          <w:cantSplit/>
        </w:trPr>
        <w:tc>
          <w:tcPr>
            <w:tcW w:w="2976" w:type="dxa"/>
            <w:tcMar>
              <w:top w:w="100" w:type="dxa"/>
              <w:left w:w="90" w:type="dxa"/>
              <w:bottom w:w="100" w:type="dxa"/>
              <w:right w:w="90" w:type="dxa"/>
              <w:start w:w="120" w:type="dxa"/>
              <w:end w:w="120" w:type="dxa"/>
            </w:tcMar>
            <w:vAlign w:val="center"/>
          </w:tcPr>
          <w:p w14:paraId="3EB1EAA8" w14:textId="77777777" w:rsidR="00D11504" w:rsidRDefault="00000000">
            <w:pPr>
              <w:spacing w:after="0" w:line="360" w:lineRule="auto" w:before="0"/>
            </w:pPr>
            <w:r>
              <w:rPr>
                <w:rFonts w:ascii="Arial" w:hAnsi="Arial" w:eastAsia="Arial" w:cs="Arial"/>
                <w:sz w:val="24"/>
              </w:rPr>
              <w:t>Makes stronger use of Basil’s competitive advantage in artisan products and high-quality organic ingredients.</w:t>
            </w:r>
          </w:p>
        </w:tc>
        <w:tc>
          <w:tcPr>
            <w:tcW w:w="2976" w:type="dxa"/>
            <w:tcMar>
              <w:top w:w="100" w:type="dxa"/>
              <w:left w:w="90" w:type="dxa"/>
              <w:bottom w:w="100" w:type="dxa"/>
              <w:right w:w="90" w:type="dxa"/>
              <w:start w:w="120" w:type="dxa"/>
              <w:end w:w="120" w:type="dxa"/>
            </w:tcMar>
            <w:vAlign w:val="center"/>
          </w:tcPr>
          <w:p w14:paraId="4A840739" w14:textId="77777777" w:rsidR="00D11504" w:rsidRDefault="00000000">
            <w:pPr>
              <w:spacing w:after="0" w:line="360" w:lineRule="auto" w:before="0"/>
            </w:pPr>
            <w:r>
              <w:rPr>
                <w:rFonts w:ascii="Arial" w:hAnsi="Arial" w:eastAsia="Arial" w:cs="Arial"/>
                <w:sz w:val="24"/>
              </w:rPr>
              <w:t>Relocation requires substantial initial investment.</w:t>
            </w:r>
          </w:p>
        </w:tc>
        <w:tc>
          <w:tcPr>
            <w:tcW w:w="2976" w:type="dxa"/>
            <w:tcMar>
              <w:top w:w="100" w:type="dxa"/>
              <w:left w:w="90" w:type="dxa"/>
              <w:bottom w:w="100" w:type="dxa"/>
              <w:right w:w="90" w:type="dxa"/>
              <w:start w:w="120" w:type="dxa"/>
              <w:end w:w="120" w:type="dxa"/>
            </w:tcMar>
            <w:vAlign w:val="center"/>
          </w:tcPr>
          <w:p w14:paraId="4615E787" w14:textId="77777777" w:rsidR="00D11504" w:rsidRDefault="00000000">
            <w:pPr>
              <w:spacing w:after="0" w:line="360" w:lineRule="auto" w:before="0"/>
            </w:pPr>
            <w:r>
              <w:rPr>
                <w:rFonts w:ascii="Arial" w:hAnsi="Arial" w:eastAsia="Arial" w:cs="Arial"/>
                <w:sz w:val="24"/>
              </w:rPr>
              <w:t>The business model could test whether a stronger location and differentiated artisan positioning improve demand without requiring large-scale organisational growth.</w:t>
            </w:r>
          </w:p>
        </w:tc>
      </w:tr>
      <w:tr w:rsidR="00D11504" w14:paraId="76027291" w14:textId="77777777">
        <w:trPr>
          <w:cantSplit/>
        </w:trPr>
        <w:tc>
          <w:tcPr>
            <w:tcW w:w="2976" w:type="dxa"/>
            <w:tcMar>
              <w:top w:w="100" w:type="dxa"/>
              <w:left w:w="90" w:type="dxa"/>
              <w:bottom w:w="100" w:type="dxa"/>
              <w:right w:w="90" w:type="dxa"/>
              <w:start w:w="120" w:type="dxa"/>
              <w:end w:w="120" w:type="dxa"/>
            </w:tcMar>
            <w:vAlign w:val="center"/>
          </w:tcPr>
          <w:p w14:paraId="6CEDBB7E" w14:textId="77777777" w:rsidR="00D11504" w:rsidRDefault="00000000">
            <w:pPr>
              <w:spacing w:after="0" w:line="360" w:lineRule="auto" w:before="0"/>
            </w:pPr>
            <w:r>
              <w:rPr>
                <w:rFonts w:ascii="Arial" w:hAnsi="Arial" w:eastAsia="Arial" w:cs="Arial"/>
                <w:sz w:val="24"/>
              </w:rPr>
              <w:t>A more suitable location could provide access to a larger pool of potential customers.</w:t>
            </w:r>
          </w:p>
        </w:tc>
        <w:tc>
          <w:tcPr>
            <w:tcW w:w="2976" w:type="dxa"/>
            <w:tcMar>
              <w:top w:w="100" w:type="dxa"/>
              <w:left w:w="90" w:type="dxa"/>
              <w:bottom w:w="100" w:type="dxa"/>
              <w:right w:w="90" w:type="dxa"/>
              <w:start w:w="120" w:type="dxa"/>
              <w:end w:w="120" w:type="dxa"/>
            </w:tcMar>
            <w:vAlign w:val="center"/>
          </w:tcPr>
          <w:p w14:paraId="773EC3A3" w14:textId="77777777" w:rsidR="00D11504" w:rsidRDefault="00000000">
            <w:pPr>
              <w:spacing w:after="0" w:line="360" w:lineRule="auto" w:before="0"/>
            </w:pPr>
            <w:r>
              <w:rPr>
                <w:rFonts w:ascii="Arial" w:hAnsi="Arial" w:eastAsia="Arial" w:cs="Arial"/>
                <w:sz w:val="24"/>
              </w:rPr>
              <w:t>There is no guarantee that a new location would generate sufficient demand.</w:t>
            </w:r>
          </w:p>
        </w:tc>
        <w:tc>
          <w:tcPr>
            <w:tcW w:w="2976" w:type="dxa"/>
            <w:tcMar>
              <w:top w:w="100" w:type="dxa"/>
              <w:left w:w="90" w:type="dxa"/>
              <w:bottom w:w="100" w:type="dxa"/>
              <w:right w:w="90" w:type="dxa"/>
              <w:start w:w="120" w:type="dxa"/>
              <w:end w:w="120" w:type="dxa"/>
            </w:tcMar>
            <w:vAlign w:val="center"/>
          </w:tcPr>
          <w:p w14:paraId="3DE42F96" w14:textId="77777777" w:rsidR="00D11504" w:rsidRDefault="00000000">
            <w:pPr>
              <w:spacing w:after="0" w:line="360" w:lineRule="auto" w:before="0"/>
            </w:pPr>
            <w:r>
              <w:rPr>
                <w:rFonts w:ascii="Arial" w:hAnsi="Arial" w:eastAsia="Arial" w:cs="Arial"/>
                <w:sz w:val="24"/>
              </w:rPr>
              <w:t>Basil could remain primarily an artisan producer rather than becoming the manager of a large organisation.</w:t>
            </w:r>
          </w:p>
        </w:tc>
      </w:tr>
      <w:tr w:rsidR="00D11504" w14:paraId="5F3C0F71" w14:textId="77777777">
        <w:trPr>
          <w:cantSplit/>
        </w:trPr>
        <w:tc>
          <w:tcPr>
            <w:tcW w:w="2976" w:type="dxa"/>
            <w:tcMar>
              <w:top w:w="100" w:type="dxa"/>
              <w:left w:w="90" w:type="dxa"/>
              <w:bottom w:w="100" w:type="dxa"/>
              <w:right w:w="90" w:type="dxa"/>
              <w:start w:w="120" w:type="dxa"/>
              <w:end w:w="120" w:type="dxa"/>
            </w:tcMar>
            <w:vAlign w:val="center"/>
          </w:tcPr>
          <w:p w14:paraId="56F22627" w14:textId="77777777" w:rsidR="00D11504" w:rsidRDefault="00000000">
            <w:pPr>
              <w:spacing w:after="0" w:line="360" w:lineRule="auto" w:before="0"/>
            </w:pPr>
            <w:r>
              <w:rPr>
                <w:rFonts w:ascii="Arial" w:hAnsi="Arial" w:eastAsia="Arial" w:cs="Arial"/>
                <w:sz w:val="24"/>
              </w:rPr>
              <w:t>Reduces dependence on declining footfall at the current retail park.</w:t>
            </w:r>
          </w:p>
        </w:tc>
        <w:tc>
          <w:tcPr>
            <w:tcW w:w="2976" w:type="dxa"/>
            <w:tcMar>
              <w:top w:w="100" w:type="dxa"/>
              <w:left w:w="90" w:type="dxa"/>
              <w:bottom w:w="100" w:type="dxa"/>
              <w:right w:w="90" w:type="dxa"/>
              <w:start w:w="120" w:type="dxa"/>
              <w:end w:w="120" w:type="dxa"/>
            </w:tcMar>
            <w:vAlign w:val="center"/>
          </w:tcPr>
          <w:p w14:paraId="22AE7B37" w14:textId="77777777" w:rsidR="00D11504" w:rsidRDefault="00000000">
            <w:pPr>
              <w:spacing w:after="0" w:line="360" w:lineRule="auto" w:before="0"/>
            </w:pPr>
            <w:r>
              <w:rPr>
                <w:rFonts w:ascii="Arial" w:hAnsi="Arial" w:eastAsia="Arial" w:cs="Arial"/>
                <w:sz w:val="24"/>
              </w:rPr>
              <w:t>Existing increases in rent, utilities, business rates and insurance make additional financial commitments more risky.</w:t>
            </w:r>
          </w:p>
        </w:tc>
        <w:tc>
          <w:tcPr>
            <w:tcW w:w="2976" w:type="dxa"/>
            <w:tcMar>
              <w:top w:w="100" w:type="dxa"/>
              <w:left w:w="90" w:type="dxa"/>
              <w:bottom w:w="100" w:type="dxa"/>
              <w:right w:w="90" w:type="dxa"/>
              <w:start w:w="120" w:type="dxa"/>
              <w:end w:w="120" w:type="dxa"/>
            </w:tcMar>
            <w:vAlign w:val="center"/>
          </w:tcPr>
          <w:p w14:paraId="1AB9A6AE" w14:textId="77777777" w:rsidR="00D11504" w:rsidRDefault="00000000">
            <w:pPr>
              <w:spacing w:after="0" w:line="360" w:lineRule="auto" w:before="0"/>
            </w:pPr>
            <w:r>
              <w:rPr>
                <w:rFonts w:ascii="Arial" w:hAnsi="Arial" w:eastAsia="Arial" w:cs="Arial"/>
                <w:sz w:val="24"/>
              </w:rPr>
              <w:t>If market evidence supports it, differentiated positioning could support higher prices without requiring a proportional increase in production volume.</w:t>
            </w:r>
          </w:p>
        </w:tc>
      </w:tr>
      <w:tr w:rsidR="00D11504" w14:paraId="2AB91E8F" w14:textId="77777777">
        <w:trPr>
          <w:cantSplit/>
        </w:trPr>
        <w:tc>
          <w:tcPr>
            <w:tcW w:w="2976" w:type="dxa"/>
            <w:tcMar>
              <w:top w:w="100" w:type="dxa"/>
              <w:left w:w="90" w:type="dxa"/>
              <w:bottom w:w="100" w:type="dxa"/>
              <w:right w:w="90" w:type="dxa"/>
              <w:start w:w="120" w:type="dxa"/>
              <w:end w:w="120" w:type="dxa"/>
            </w:tcMar>
            <w:vAlign w:val="center"/>
          </w:tcPr>
          <w:p w14:paraId="1E293EAA" w14:textId="77777777" w:rsidR="00D11504" w:rsidRDefault="00000000">
            <w:pPr>
              <w:spacing w:after="0" w:line="360" w:lineRule="auto" w:before="0"/>
            </w:pPr>
            <w:r>
              <w:rPr>
                <w:rFonts w:ascii="Arial" w:hAnsi="Arial" w:eastAsia="Arial" w:cs="Arial"/>
                <w:sz w:val="24"/>
              </w:rPr>
              <w:lastRenderedPageBreak/>
              <w:t>Differentiated artisan positioning is consistent with the quality and character of Basil’s products.</w:t>
            </w:r>
          </w:p>
        </w:tc>
        <w:tc>
          <w:tcPr>
            <w:tcW w:w="2976" w:type="dxa"/>
            <w:tcMar>
              <w:top w:w="100" w:type="dxa"/>
              <w:left w:w="90" w:type="dxa"/>
              <w:bottom w:w="100" w:type="dxa"/>
              <w:right w:w="90" w:type="dxa"/>
              <w:start w:w="120" w:type="dxa"/>
              <w:end w:w="120" w:type="dxa"/>
            </w:tcMar>
            <w:vAlign w:val="center"/>
          </w:tcPr>
          <w:p w14:paraId="2F55C6B7" w14:textId="77777777" w:rsidR="00D11504" w:rsidRDefault="00000000">
            <w:pPr>
              <w:spacing w:after="0" w:line="360" w:lineRule="auto" w:before="0"/>
            </w:pPr>
            <w:r>
              <w:rPr>
                <w:rFonts w:ascii="Arial" w:hAnsi="Arial" w:eastAsia="Arial" w:cs="Arial"/>
                <w:sz w:val="24"/>
              </w:rPr>
              <w:t>Relocation could result in the loss of part of the existing loyal customer base.</w:t>
            </w:r>
          </w:p>
        </w:tc>
        <w:tc>
          <w:tcPr>
            <w:tcW w:w="2976" w:type="dxa"/>
            <w:tcMar>
              <w:top w:w="100" w:type="dxa"/>
              <w:left w:w="90" w:type="dxa"/>
              <w:bottom w:w="100" w:type="dxa"/>
              <w:right w:w="90" w:type="dxa"/>
              <w:start w:w="120" w:type="dxa"/>
              <w:end w:w="120" w:type="dxa"/>
            </w:tcMar>
            <w:vAlign w:val="center"/>
          </w:tcPr>
          <w:p w14:paraId="08B534D9" w14:textId="77777777" w:rsidR="00D11504" w:rsidRDefault="00000000">
            <w:pPr>
              <w:spacing w:after="0" w:line="360" w:lineRule="auto" w:before="0"/>
            </w:pPr>
            <w:r>
              <w:rPr>
                <w:rFonts w:ascii="Arial" w:hAnsi="Arial" w:eastAsia="Arial" w:cs="Arial"/>
                <w:sz w:val="24"/>
              </w:rPr>
              <w:t>A distinctive bakery environment could strengthen customer experience; any premium positioning would need validation through market evidence.</w:t>
            </w:r>
          </w:p>
        </w:tc>
      </w:tr>
    </w:tbl>
    <w:p w14:paraId="1AD6107E" w14:textId="77777777" w:rsidR="00D11504" w:rsidRDefault="00000000">
      <w:pPr>
        <w:spacing w:before="0" w:line="360" w:lineRule="auto" w:after="120"/>
      </w:pPr>
      <w:r>
        <w:rPr>
          <w:rFonts w:ascii="Arial" w:hAnsi="Arial" w:eastAsia="Arial" w:cs="Arial"/>
          <w:sz w:val="24"/>
        </w:rPr>
        <w:t>Note: PMI analysis adapted from de Bono (1988). PAEI interpretation based on Adizes (2004).</w:t>
      </w:r>
    </w:p>
    <w:p w14:paraId="214382A0" w14:textId="77777777" w:rsidR="00D11504" w:rsidRDefault="00D11504">
      <w:pPr>
        <w:spacing w:line="360" w:lineRule="auto" w:before="0" w:after="120"/>
        <w:sectPr w:rsidR="00D11504">
          <w:footerReference w:type="default" r:id="rId8"/>
          <w:footerReference w:type="first" r:id="rId9"/>
          <w:pgSz w:w="11906" w:h="16838"/>
          <w:pgMar w:top="1440" w:right="1440" w:bottom="1440" w:left="1440" w:header="709" w:footer="709" w:gutter="0"/>
          <w:cols w:space="720"/>
          <w:titlePg/>
          <w:docGrid w:linePitch="360"/>
        </w:sectPr>
      </w:pPr>
    </w:p>
    <w:p w14:paraId="35F6E73A" w14:textId="77777777" w:rsidR="00D11504" w:rsidRDefault="00000000">
      <w:pPr>
        <w:pStyle w:val="Heading1"/>
        <w:keepNext/>
        <w:jc w:val="left"/>
      </w:pPr>
      <w:r>
        <w:rPr>
          <w:rFonts w:ascii="Arial" w:eastAsia="Arial" w:hAnsi="Arial" w:cs="Arial"/>
          <w:b/>
          <w:sz w:val="24"/>
        </w:rPr>
        <w:lastRenderedPageBreak/>
        <w:t>Appendix B — Risk Analysis Matrix</w:t>
      </w:r>
    </w:p>
    <w:p w14:paraId="5C117143" w14:textId="77777777" w:rsidR="00D11504" w:rsidRDefault="00000000">
      <w:pPr>
        <w:spacing w:line="360" w:lineRule="auto" w:before="0" w:after="120"/>
        <w:jc w:val="both"/>
      </w:pPr>
      <w:r>
        <w:rPr>
          <w:rFonts w:ascii="Arial" w:hAnsi="Arial" w:eastAsia="Arial" w:cs="Arial"/>
          <w:sz w:val="24"/>
        </w:rPr>
        <w:t>The selected Controlled Artisan Development strategy was assessed using a 5 × 5 Likelihood × Impact matrix. Each identified risk was rated from 1 (low) to 5 (high) for likelihood and impact, with the overall score calculated by multiplying the two ratings. This enables the principal risks to be prioritised and appropriate mitigation actions identified (ISO, 2018; Project Management Institute, 2019).</w:t>
      </w:r>
    </w:p>
    <w:tbl>
      <w:tblPr>
        <w:tblStyle w:val="TableGrid"/>
        <w:tblW w:w="0" w:type="auto"/>
        <w:jc w:val="center"/>
        <w:tblLayout w:type="autofit"/>
        <w:tblLook w:val="04A0" w:firstRow="1" w:lastRow="0" w:firstColumn="1" w:lastColumn="0" w:noHBand="0" w:noVBand="1"/>
      </w:tblPr>
      <w:tblGrid>
        <w:gridCol w:w="3118"/>
        <w:gridCol w:w="1587"/>
        <w:gridCol w:w="1587"/>
        <w:gridCol w:w="1701"/>
        <w:gridCol w:w="1814"/>
        <w:gridCol w:w="4139"/>
      </w:tblGrid>
      <w:tr w:rsidR="00D11504" w14:paraId="6275DF49" w14:textId="77777777">
        <w:trPr>
          <w:cantSplit/>
          <w:tblHeader w:val="true"/>
        </w:trPr>
        <w:tc>
          <w:tcPr>
            <w:tcW w:w="3118" w:type="dxa"/>
            <w:tcMar>
              <w:top w:w="100" w:type="dxa"/>
              <w:left w:w="90" w:type="dxa"/>
              <w:bottom w:w="100" w:type="dxa"/>
              <w:right w:w="90" w:type="dxa"/>
              <w:start w:w="120" w:type="dxa"/>
              <w:end w:w="120" w:type="dxa"/>
            </w:tcMar>
            <w:vAlign w:val="center"/>
          </w:tcPr>
          <w:p w14:paraId="24330556" w14:textId="77777777" w:rsidR="00D11504" w:rsidRDefault="00000000">
            <w:pPr>
              <w:spacing w:after="0" w:line="360" w:lineRule="auto" w:before="0"/>
              <w:jc w:val="center"/>
            </w:pPr>
            <w:r>
              <w:rPr>
                <w:rFonts w:ascii="Arial" w:hAnsi="Arial" w:eastAsia="Arial" w:cs="Arial"/>
                <w:b/>
                <w:sz w:val="24"/>
              </w:rPr>
              <w:t>Identified Risk</w:t>
            </w:r>
          </w:p>
        </w:tc>
        <w:tc>
          <w:tcPr>
            <w:tcW w:w="1587" w:type="dxa"/>
            <w:tcMar>
              <w:top w:w="100" w:type="dxa"/>
              <w:left w:w="90" w:type="dxa"/>
              <w:bottom w:w="100" w:type="dxa"/>
              <w:right w:w="90" w:type="dxa"/>
              <w:start w:w="120" w:type="dxa"/>
              <w:end w:w="120" w:type="dxa"/>
            </w:tcMar>
            <w:vAlign w:val="center"/>
          </w:tcPr>
          <w:p w14:paraId="54608098" w14:textId="77777777" w:rsidR="00D11504" w:rsidRDefault="00000000">
            <w:pPr>
              <w:spacing w:after="0" w:line="360" w:lineRule="auto" w:before="0"/>
              <w:jc w:val="center"/>
            </w:pPr>
            <w:r>
              <w:rPr>
                <w:rFonts w:ascii="Arial" w:hAnsi="Arial" w:eastAsia="Arial" w:cs="Arial"/>
                <w:b/>
                <w:sz w:val="24"/>
              </w:rPr>
              <w:t>Likelihood (1–5)</w:t>
            </w:r>
          </w:p>
        </w:tc>
        <w:tc>
          <w:tcPr>
            <w:tcW w:w="1587" w:type="dxa"/>
            <w:tcMar>
              <w:top w:w="100" w:type="dxa"/>
              <w:left w:w="90" w:type="dxa"/>
              <w:bottom w:w="100" w:type="dxa"/>
              <w:right w:w="90" w:type="dxa"/>
              <w:start w:w="120" w:type="dxa"/>
              <w:end w:w="120" w:type="dxa"/>
            </w:tcMar>
            <w:vAlign w:val="center"/>
          </w:tcPr>
          <w:p w14:paraId="15322495" w14:textId="77777777" w:rsidR="00D11504" w:rsidRDefault="00000000">
            <w:pPr>
              <w:spacing w:after="0" w:line="360" w:lineRule="auto" w:before="0"/>
              <w:jc w:val="center"/>
            </w:pPr>
            <w:r>
              <w:rPr>
                <w:rFonts w:ascii="Arial" w:hAnsi="Arial" w:eastAsia="Arial" w:cs="Arial"/>
                <w:b/>
                <w:sz w:val="24"/>
              </w:rPr>
              <w:t>Impact (1–5)</w:t>
            </w:r>
          </w:p>
        </w:tc>
        <w:tc>
          <w:tcPr>
            <w:tcW w:w="1701" w:type="dxa"/>
            <w:tcMar>
              <w:top w:w="100" w:type="dxa"/>
              <w:left w:w="90" w:type="dxa"/>
              <w:bottom w:w="100" w:type="dxa"/>
              <w:right w:w="90" w:type="dxa"/>
              <w:start w:w="120" w:type="dxa"/>
              <w:end w:w="120" w:type="dxa"/>
            </w:tcMar>
            <w:vAlign w:val="center"/>
          </w:tcPr>
          <w:p w14:paraId="3FB2280B" w14:textId="77777777" w:rsidR="00D11504" w:rsidRDefault="00000000">
            <w:pPr>
              <w:spacing w:after="0" w:line="360" w:lineRule="auto" w:before="0"/>
              <w:jc w:val="center"/>
            </w:pPr>
            <w:r>
              <w:rPr>
                <w:rFonts w:ascii="Arial" w:hAnsi="Arial" w:eastAsia="Arial" w:cs="Arial"/>
                <w:b/>
                <w:sz w:val="24"/>
              </w:rPr>
              <w:t>Risk Score</w:t>
            </w:r>
          </w:p>
        </w:tc>
        <w:tc>
          <w:tcPr>
            <w:tcW w:w="1814" w:type="dxa"/>
            <w:tcMar>
              <w:top w:w="100" w:type="dxa"/>
              <w:left w:w="90" w:type="dxa"/>
              <w:bottom w:w="100" w:type="dxa"/>
              <w:right w:w="90" w:type="dxa"/>
              <w:start w:w="120" w:type="dxa"/>
              <w:end w:w="120" w:type="dxa"/>
            </w:tcMar>
            <w:vAlign w:val="center"/>
          </w:tcPr>
          <w:p w14:paraId="30B70583" w14:textId="77777777" w:rsidR="00D11504" w:rsidRDefault="00000000">
            <w:pPr>
              <w:spacing w:after="0" w:line="360" w:lineRule="auto" w:before="0"/>
              <w:jc w:val="center"/>
            </w:pPr>
            <w:r>
              <w:rPr>
                <w:rFonts w:ascii="Arial" w:hAnsi="Arial" w:eastAsia="Arial" w:cs="Arial"/>
                <w:b/>
                <w:sz w:val="24"/>
              </w:rPr>
              <w:t>Risk Level</w:t>
            </w:r>
          </w:p>
        </w:tc>
        <w:tc>
          <w:tcPr>
            <w:tcW w:w="4139" w:type="dxa"/>
            <w:tcMar>
              <w:top w:w="100" w:type="dxa"/>
              <w:left w:w="90" w:type="dxa"/>
              <w:bottom w:w="100" w:type="dxa"/>
              <w:right w:w="90" w:type="dxa"/>
              <w:start w:w="120" w:type="dxa"/>
              <w:end w:w="120" w:type="dxa"/>
            </w:tcMar>
            <w:vAlign w:val="center"/>
          </w:tcPr>
          <w:p w14:paraId="785B526C" w14:textId="77777777" w:rsidR="00D11504" w:rsidRDefault="00000000">
            <w:pPr>
              <w:spacing w:after="0" w:line="360" w:lineRule="auto" w:before="0"/>
              <w:jc w:val="center"/>
            </w:pPr>
            <w:r>
              <w:rPr>
                <w:rFonts w:ascii="Arial" w:hAnsi="Arial" w:eastAsia="Arial" w:cs="Arial"/>
                <w:b/>
                <w:sz w:val="24"/>
              </w:rPr>
              <w:t>Mitigation Action</w:t>
            </w:r>
          </w:p>
        </w:tc>
      </w:tr>
      <w:tr w:rsidR="00D11504" w14:paraId="2938756F" w14:textId="77777777">
        <w:trPr>
          <w:cantSplit/>
        </w:trPr>
        <w:tc>
          <w:tcPr>
            <w:tcW w:w="3118" w:type="dxa"/>
            <w:tcMar>
              <w:top w:w="100" w:type="dxa"/>
              <w:left w:w="90" w:type="dxa"/>
              <w:bottom w:w="100" w:type="dxa"/>
              <w:right w:w="90" w:type="dxa"/>
              <w:start w:w="120" w:type="dxa"/>
              <w:end w:w="120" w:type="dxa"/>
            </w:tcMar>
            <w:vAlign w:val="center"/>
          </w:tcPr>
          <w:p w14:paraId="5F03DC7E" w14:textId="77777777" w:rsidR="00D11504" w:rsidRDefault="00000000">
            <w:pPr>
              <w:spacing w:after="0" w:line="360" w:lineRule="auto" w:before="0"/>
            </w:pPr>
            <w:r>
              <w:rPr>
                <w:rFonts w:ascii="Arial" w:hAnsi="Arial" w:eastAsia="Arial" w:cs="Arial"/>
                <w:sz w:val="24"/>
              </w:rPr>
              <w:t>Delivery and online-platform commissions reduce profitability</w:t>
            </w:r>
          </w:p>
        </w:tc>
        <w:tc>
          <w:tcPr>
            <w:tcW w:w="1587" w:type="dxa"/>
            <w:tcMar>
              <w:top w:w="100" w:type="dxa"/>
              <w:left w:w="90" w:type="dxa"/>
              <w:bottom w:w="100" w:type="dxa"/>
              <w:right w:w="90" w:type="dxa"/>
              <w:start w:w="120" w:type="dxa"/>
              <w:end w:w="120" w:type="dxa"/>
            </w:tcMar>
            <w:vAlign w:val="center"/>
          </w:tcPr>
          <w:p w14:paraId="322EB9F9" w14:textId="77777777" w:rsidR="00D11504" w:rsidRDefault="00000000">
            <w:pPr>
              <w:spacing w:after="0" w:line="360" w:lineRule="auto" w:before="0"/>
            </w:pPr>
            <w:r>
              <w:rPr>
                <w:rFonts w:ascii="Arial" w:hAnsi="Arial" w:eastAsia="Arial" w:cs="Arial"/>
                <w:sz w:val="24"/>
              </w:rPr>
              <w:t>4</w:t>
            </w:r>
          </w:p>
        </w:tc>
        <w:tc>
          <w:tcPr>
            <w:tcW w:w="1587" w:type="dxa"/>
            <w:tcMar>
              <w:top w:w="100" w:type="dxa"/>
              <w:left w:w="90" w:type="dxa"/>
              <w:bottom w:w="100" w:type="dxa"/>
              <w:right w:w="90" w:type="dxa"/>
              <w:start w:w="120" w:type="dxa"/>
              <w:end w:w="120" w:type="dxa"/>
            </w:tcMar>
            <w:vAlign w:val="center"/>
          </w:tcPr>
          <w:p w14:paraId="45A14406" w14:textId="77777777" w:rsidR="00D11504" w:rsidRDefault="00000000">
            <w:pPr>
              <w:spacing w:after="0" w:line="360" w:lineRule="auto" w:before="0"/>
            </w:pPr>
            <w:r>
              <w:rPr>
                <w:rFonts w:ascii="Arial" w:hAnsi="Arial" w:eastAsia="Arial" w:cs="Arial"/>
                <w:sz w:val="24"/>
              </w:rPr>
              <w:t>4</w:t>
            </w:r>
          </w:p>
        </w:tc>
        <w:tc>
          <w:tcPr>
            <w:tcW w:w="1701" w:type="dxa"/>
            <w:tcMar>
              <w:top w:w="100" w:type="dxa"/>
              <w:left w:w="90" w:type="dxa"/>
              <w:bottom w:w="100" w:type="dxa"/>
              <w:right w:w="90" w:type="dxa"/>
              <w:start w:w="120" w:type="dxa"/>
              <w:end w:w="120" w:type="dxa"/>
            </w:tcMar>
            <w:vAlign w:val="center"/>
          </w:tcPr>
          <w:p w14:paraId="56BB675B" w14:textId="77777777" w:rsidR="00D11504" w:rsidRDefault="00000000">
            <w:pPr>
              <w:spacing w:after="0" w:line="360" w:lineRule="auto" w:before="0"/>
            </w:pPr>
            <w:r>
              <w:rPr>
                <w:rFonts w:ascii="Arial" w:hAnsi="Arial" w:eastAsia="Arial" w:cs="Arial"/>
                <w:sz w:val="24"/>
              </w:rPr>
              <w:t>16</w:t>
            </w:r>
          </w:p>
        </w:tc>
        <w:tc>
          <w:tcPr>
            <w:tcW w:w="1814" w:type="dxa"/>
            <w:tcMar>
              <w:top w:w="100" w:type="dxa"/>
              <w:left w:w="90" w:type="dxa"/>
              <w:bottom w:w="100" w:type="dxa"/>
              <w:right w:w="90" w:type="dxa"/>
              <w:start w:w="120" w:type="dxa"/>
              <w:end w:w="120" w:type="dxa"/>
            </w:tcMar>
            <w:vAlign w:val="center"/>
          </w:tcPr>
          <w:p w14:paraId="6E78EB58" w14:textId="77777777" w:rsidR="00D11504" w:rsidRDefault="00000000">
            <w:pPr>
              <w:spacing w:after="0" w:line="360" w:lineRule="auto" w:before="0"/>
            </w:pPr>
            <w:r>
              <w:rPr>
                <w:rFonts w:ascii="Arial" w:hAnsi="Arial" w:eastAsia="Arial" w:cs="Arial"/>
                <w:sz w:val="24"/>
              </w:rPr>
              <w:t>High</w:t>
            </w:r>
          </w:p>
        </w:tc>
        <w:tc>
          <w:tcPr>
            <w:tcW w:w="4139" w:type="dxa"/>
            <w:tcMar>
              <w:top w:w="100" w:type="dxa"/>
              <w:left w:w="90" w:type="dxa"/>
              <w:bottom w:w="100" w:type="dxa"/>
              <w:right w:w="90" w:type="dxa"/>
              <w:start w:w="120" w:type="dxa"/>
              <w:end w:w="120" w:type="dxa"/>
            </w:tcMar>
            <w:vAlign w:val="center"/>
          </w:tcPr>
          <w:p w14:paraId="2FE96E47" w14:textId="77777777" w:rsidR="00D11504" w:rsidRDefault="00000000">
            <w:pPr>
              <w:spacing w:after="0" w:line="360" w:lineRule="auto" w:before="0"/>
            </w:pPr>
            <w:r>
              <w:rPr>
                <w:rFonts w:ascii="Arial" w:hAnsi="Arial" w:eastAsia="Arial" w:cs="Arial"/>
                <w:sz w:val="24"/>
              </w:rPr>
              <w:t>Compare providers and calculate contribution margin before launch</w:t>
            </w:r>
          </w:p>
        </w:tc>
      </w:tr>
      <w:tr w:rsidR="00D11504" w14:paraId="7A59B537" w14:textId="77777777">
        <w:trPr>
          <w:cantSplit/>
        </w:trPr>
        <w:tc>
          <w:tcPr>
            <w:tcW w:w="3118" w:type="dxa"/>
            <w:tcMar>
              <w:top w:w="100" w:type="dxa"/>
              <w:left w:w="90" w:type="dxa"/>
              <w:bottom w:w="100" w:type="dxa"/>
              <w:right w:w="90" w:type="dxa"/>
              <w:start w:w="120" w:type="dxa"/>
              <w:end w:w="120" w:type="dxa"/>
            </w:tcMar>
            <w:vAlign w:val="center"/>
          </w:tcPr>
          <w:p w14:paraId="75FDDC6B" w14:textId="77777777" w:rsidR="00D11504" w:rsidRDefault="00000000">
            <w:pPr>
              <w:spacing w:after="0" w:line="360" w:lineRule="auto" w:before="0"/>
            </w:pPr>
            <w:r>
              <w:rPr>
                <w:rFonts w:ascii="Arial" w:hAnsi="Arial" w:eastAsia="Arial" w:cs="Arial"/>
                <w:sz w:val="24"/>
              </w:rPr>
              <w:t>New sales channels fail to generate sufficient additional demand</w:t>
            </w:r>
          </w:p>
        </w:tc>
        <w:tc>
          <w:tcPr>
            <w:tcW w:w="1587" w:type="dxa"/>
            <w:tcMar>
              <w:top w:w="100" w:type="dxa"/>
              <w:left w:w="90" w:type="dxa"/>
              <w:bottom w:w="100" w:type="dxa"/>
              <w:right w:w="90" w:type="dxa"/>
              <w:start w:w="120" w:type="dxa"/>
              <w:end w:w="120" w:type="dxa"/>
            </w:tcMar>
            <w:vAlign w:val="center"/>
          </w:tcPr>
          <w:p w14:paraId="26FDDE72" w14:textId="77777777" w:rsidR="00D11504" w:rsidRDefault="00000000">
            <w:pPr>
              <w:spacing w:after="0" w:line="360" w:lineRule="auto" w:before="0"/>
            </w:pPr>
            <w:r>
              <w:rPr>
                <w:rFonts w:ascii="Arial" w:hAnsi="Arial" w:eastAsia="Arial" w:cs="Arial"/>
                <w:sz w:val="24"/>
              </w:rPr>
              <w:t>3</w:t>
            </w:r>
          </w:p>
        </w:tc>
        <w:tc>
          <w:tcPr>
            <w:tcW w:w="1587" w:type="dxa"/>
            <w:tcMar>
              <w:top w:w="100" w:type="dxa"/>
              <w:left w:w="90" w:type="dxa"/>
              <w:bottom w:w="100" w:type="dxa"/>
              <w:right w:w="90" w:type="dxa"/>
              <w:start w:w="120" w:type="dxa"/>
              <w:end w:w="120" w:type="dxa"/>
            </w:tcMar>
            <w:vAlign w:val="center"/>
          </w:tcPr>
          <w:p w14:paraId="744B92B4" w14:textId="77777777" w:rsidR="00D11504" w:rsidRDefault="00000000">
            <w:pPr>
              <w:spacing w:after="0" w:line="360" w:lineRule="auto" w:before="0"/>
            </w:pPr>
            <w:r>
              <w:rPr>
                <w:rFonts w:ascii="Arial" w:hAnsi="Arial" w:eastAsia="Arial" w:cs="Arial"/>
                <w:sz w:val="24"/>
              </w:rPr>
              <w:t>4</w:t>
            </w:r>
          </w:p>
        </w:tc>
        <w:tc>
          <w:tcPr>
            <w:tcW w:w="1701" w:type="dxa"/>
            <w:tcMar>
              <w:top w:w="100" w:type="dxa"/>
              <w:left w:w="90" w:type="dxa"/>
              <w:bottom w:w="100" w:type="dxa"/>
              <w:right w:w="90" w:type="dxa"/>
              <w:start w:w="120" w:type="dxa"/>
              <w:end w:w="120" w:type="dxa"/>
            </w:tcMar>
            <w:vAlign w:val="center"/>
          </w:tcPr>
          <w:p w14:paraId="1247F4AF" w14:textId="77777777" w:rsidR="00D11504" w:rsidRDefault="00000000">
            <w:pPr>
              <w:spacing w:after="0" w:line="360" w:lineRule="auto" w:before="0"/>
            </w:pPr>
            <w:r>
              <w:rPr>
                <w:rFonts w:ascii="Arial" w:hAnsi="Arial" w:eastAsia="Arial" w:cs="Arial"/>
                <w:sz w:val="24"/>
              </w:rPr>
              <w:t>12</w:t>
            </w:r>
          </w:p>
        </w:tc>
        <w:tc>
          <w:tcPr>
            <w:tcW w:w="1814" w:type="dxa"/>
            <w:tcMar>
              <w:top w:w="100" w:type="dxa"/>
              <w:left w:w="90" w:type="dxa"/>
              <w:bottom w:w="100" w:type="dxa"/>
              <w:right w:w="90" w:type="dxa"/>
              <w:start w:w="120" w:type="dxa"/>
              <w:end w:w="120" w:type="dxa"/>
            </w:tcMar>
            <w:vAlign w:val="center"/>
          </w:tcPr>
          <w:p w14:paraId="6D82A9A0" w14:textId="77777777" w:rsidR="00D11504" w:rsidRDefault="00000000">
            <w:pPr>
              <w:spacing w:after="0" w:line="360" w:lineRule="auto" w:before="0"/>
            </w:pPr>
            <w:r>
              <w:rPr>
                <w:rFonts w:ascii="Arial" w:hAnsi="Arial" w:eastAsia="Arial" w:cs="Arial"/>
                <w:sz w:val="24"/>
              </w:rPr>
              <w:t>High</w:t>
            </w:r>
          </w:p>
        </w:tc>
        <w:tc>
          <w:tcPr>
            <w:tcW w:w="4139" w:type="dxa"/>
            <w:tcMar>
              <w:top w:w="100" w:type="dxa"/>
              <w:left w:w="90" w:type="dxa"/>
              <w:bottom w:w="100" w:type="dxa"/>
              <w:right w:w="90" w:type="dxa"/>
              <w:start w:w="120" w:type="dxa"/>
              <w:end w:w="120" w:type="dxa"/>
            </w:tcMar>
            <w:vAlign w:val="center"/>
          </w:tcPr>
          <w:p w14:paraId="48B246FA" w14:textId="77777777" w:rsidR="00D11504" w:rsidRDefault="00000000">
            <w:pPr>
              <w:spacing w:after="0" w:line="360" w:lineRule="auto" w:before="0"/>
            </w:pPr>
            <w:r>
              <w:rPr>
                <w:rFonts w:ascii="Arial" w:hAnsi="Arial" w:eastAsia="Arial" w:cs="Arial"/>
                <w:sz w:val="24"/>
              </w:rPr>
              <w:t>Conduct a low-cost pilot before making significant investment</w:t>
            </w:r>
          </w:p>
        </w:tc>
      </w:tr>
      <w:tr w:rsidR="00D11504" w14:paraId="08EBDBF6" w14:textId="77777777">
        <w:trPr>
          <w:cantSplit/>
        </w:trPr>
        <w:tc>
          <w:tcPr>
            <w:tcW w:w="3118" w:type="dxa"/>
            <w:tcMar>
              <w:top w:w="100" w:type="dxa"/>
              <w:left w:w="90" w:type="dxa"/>
              <w:bottom w:w="100" w:type="dxa"/>
              <w:right w:w="90" w:type="dxa"/>
              <w:start w:w="120" w:type="dxa"/>
              <w:end w:w="120" w:type="dxa"/>
            </w:tcMar>
            <w:vAlign w:val="center"/>
          </w:tcPr>
          <w:p w14:paraId="5E89FB5C" w14:textId="77777777" w:rsidR="00D11504" w:rsidRDefault="00000000">
            <w:pPr>
              <w:spacing w:after="0" w:line="360" w:lineRule="auto" w:before="0"/>
            </w:pPr>
            <w:r>
              <w:rPr>
                <w:rFonts w:ascii="Arial" w:hAnsi="Arial" w:eastAsia="Arial" w:cs="Arial"/>
                <w:sz w:val="24"/>
              </w:rPr>
              <w:t>Demand exceeds Basil’s personal production capacity</w:t>
            </w:r>
          </w:p>
        </w:tc>
        <w:tc>
          <w:tcPr>
            <w:tcW w:w="1587" w:type="dxa"/>
            <w:tcMar>
              <w:top w:w="100" w:type="dxa"/>
              <w:left w:w="90" w:type="dxa"/>
              <w:bottom w:w="100" w:type="dxa"/>
              <w:right w:w="90" w:type="dxa"/>
              <w:start w:w="120" w:type="dxa"/>
              <w:end w:w="120" w:type="dxa"/>
            </w:tcMar>
            <w:vAlign w:val="center"/>
          </w:tcPr>
          <w:p w14:paraId="6E7CE657" w14:textId="77777777" w:rsidR="00D11504" w:rsidRDefault="00000000">
            <w:pPr>
              <w:spacing w:after="0" w:line="360" w:lineRule="auto" w:before="0"/>
            </w:pPr>
            <w:r>
              <w:rPr>
                <w:rFonts w:ascii="Arial" w:hAnsi="Arial" w:eastAsia="Arial" w:cs="Arial"/>
                <w:sz w:val="24"/>
              </w:rPr>
              <w:t>3</w:t>
            </w:r>
          </w:p>
        </w:tc>
        <w:tc>
          <w:tcPr>
            <w:tcW w:w="1587" w:type="dxa"/>
            <w:tcMar>
              <w:top w:w="100" w:type="dxa"/>
              <w:left w:w="90" w:type="dxa"/>
              <w:bottom w:w="100" w:type="dxa"/>
              <w:right w:w="90" w:type="dxa"/>
              <w:start w:w="120" w:type="dxa"/>
              <w:end w:w="120" w:type="dxa"/>
            </w:tcMar>
            <w:vAlign w:val="center"/>
          </w:tcPr>
          <w:p w14:paraId="489D835A" w14:textId="77777777" w:rsidR="00D11504" w:rsidRDefault="00000000">
            <w:pPr>
              <w:spacing w:after="0" w:line="360" w:lineRule="auto" w:before="0"/>
            </w:pPr>
            <w:r>
              <w:rPr>
                <w:rFonts w:ascii="Arial" w:hAnsi="Arial" w:eastAsia="Arial" w:cs="Arial"/>
                <w:sz w:val="24"/>
              </w:rPr>
              <w:t>4</w:t>
            </w:r>
          </w:p>
        </w:tc>
        <w:tc>
          <w:tcPr>
            <w:tcW w:w="1701" w:type="dxa"/>
            <w:tcMar>
              <w:top w:w="100" w:type="dxa"/>
              <w:left w:w="90" w:type="dxa"/>
              <w:bottom w:w="100" w:type="dxa"/>
              <w:right w:w="90" w:type="dxa"/>
              <w:start w:w="120" w:type="dxa"/>
              <w:end w:w="120" w:type="dxa"/>
            </w:tcMar>
            <w:vAlign w:val="center"/>
          </w:tcPr>
          <w:p w14:paraId="5DC4F52D" w14:textId="77777777" w:rsidR="00D11504" w:rsidRDefault="00000000">
            <w:pPr>
              <w:spacing w:after="0" w:line="360" w:lineRule="auto" w:before="0"/>
            </w:pPr>
            <w:r>
              <w:rPr>
                <w:rFonts w:ascii="Arial" w:hAnsi="Arial" w:eastAsia="Arial" w:cs="Arial"/>
                <w:sz w:val="24"/>
              </w:rPr>
              <w:t>12</w:t>
            </w:r>
          </w:p>
        </w:tc>
        <w:tc>
          <w:tcPr>
            <w:tcW w:w="1814" w:type="dxa"/>
            <w:tcMar>
              <w:top w:w="100" w:type="dxa"/>
              <w:left w:w="90" w:type="dxa"/>
              <w:bottom w:w="100" w:type="dxa"/>
              <w:right w:w="90" w:type="dxa"/>
              <w:start w:w="120" w:type="dxa"/>
              <w:end w:w="120" w:type="dxa"/>
            </w:tcMar>
            <w:vAlign w:val="center"/>
          </w:tcPr>
          <w:p w14:paraId="67FEA53F" w14:textId="77777777" w:rsidR="00D11504" w:rsidRDefault="00000000">
            <w:pPr>
              <w:spacing w:after="0" w:line="360" w:lineRule="auto" w:before="0"/>
            </w:pPr>
            <w:r>
              <w:rPr>
                <w:rFonts w:ascii="Arial" w:hAnsi="Arial" w:eastAsia="Arial" w:cs="Arial"/>
                <w:sz w:val="24"/>
              </w:rPr>
              <w:t>High</w:t>
            </w:r>
          </w:p>
        </w:tc>
        <w:tc>
          <w:tcPr>
            <w:tcW w:w="4139" w:type="dxa"/>
            <w:tcMar>
              <w:top w:w="100" w:type="dxa"/>
              <w:left w:w="90" w:type="dxa"/>
              <w:bottom w:w="100" w:type="dxa"/>
              <w:right w:w="90" w:type="dxa"/>
              <w:start w:w="120" w:type="dxa"/>
              <w:end w:w="120" w:type="dxa"/>
            </w:tcMar>
            <w:vAlign w:val="center"/>
          </w:tcPr>
          <w:p w14:paraId="2F16634A" w14:textId="77777777" w:rsidR="00D11504" w:rsidRDefault="00000000">
            <w:pPr>
              <w:spacing w:after="0" w:line="360" w:lineRule="auto" w:before="0"/>
            </w:pPr>
            <w:r>
              <w:rPr>
                <w:rFonts w:ascii="Arial" w:hAnsi="Arial" w:eastAsia="Arial" w:cs="Arial"/>
                <w:sz w:val="24"/>
              </w:rPr>
              <w:t>Establish sustainable production capacity and introduce a daily order limit</w:t>
            </w:r>
          </w:p>
        </w:tc>
      </w:tr>
      <w:tr w:rsidR="00D11504" w14:paraId="56B21999" w14:textId="77777777">
        <w:trPr>
          <w:cantSplit/>
        </w:trPr>
        <w:tc>
          <w:tcPr>
            <w:tcW w:w="3118" w:type="dxa"/>
            <w:tcMar>
              <w:top w:w="100" w:type="dxa"/>
              <w:left w:w="90" w:type="dxa"/>
              <w:bottom w:w="100" w:type="dxa"/>
              <w:right w:w="90" w:type="dxa"/>
              <w:start w:w="120" w:type="dxa"/>
              <w:end w:w="120" w:type="dxa"/>
            </w:tcMar>
            <w:vAlign w:val="center"/>
          </w:tcPr>
          <w:p w14:paraId="5B622A2F" w14:textId="77777777" w:rsidR="00D11504" w:rsidRDefault="00000000">
            <w:pPr>
              <w:spacing w:after="0" w:line="360" w:lineRule="auto" w:before="0"/>
            </w:pPr>
            <w:r>
              <w:rPr>
                <w:rFonts w:ascii="Arial" w:hAnsi="Arial" w:eastAsia="Arial" w:cs="Arial"/>
                <w:sz w:val="24"/>
              </w:rPr>
              <w:lastRenderedPageBreak/>
              <w:t>Product quality deteriorates during delivery</w:t>
            </w:r>
          </w:p>
        </w:tc>
        <w:tc>
          <w:tcPr>
            <w:tcW w:w="1587" w:type="dxa"/>
            <w:tcMar>
              <w:top w:w="100" w:type="dxa"/>
              <w:left w:w="90" w:type="dxa"/>
              <w:bottom w:w="100" w:type="dxa"/>
              <w:right w:w="90" w:type="dxa"/>
              <w:start w:w="120" w:type="dxa"/>
              <w:end w:w="120" w:type="dxa"/>
            </w:tcMar>
            <w:vAlign w:val="center"/>
          </w:tcPr>
          <w:p w14:paraId="5FF9214B" w14:textId="77777777" w:rsidR="00D11504" w:rsidRDefault="00000000">
            <w:pPr>
              <w:spacing w:after="0" w:line="360" w:lineRule="auto" w:before="0"/>
            </w:pPr>
            <w:r>
              <w:rPr>
                <w:rFonts w:ascii="Arial" w:hAnsi="Arial" w:eastAsia="Arial" w:cs="Arial"/>
                <w:sz w:val="24"/>
              </w:rPr>
              <w:t>2</w:t>
            </w:r>
          </w:p>
        </w:tc>
        <w:tc>
          <w:tcPr>
            <w:tcW w:w="1587" w:type="dxa"/>
            <w:tcMar>
              <w:top w:w="100" w:type="dxa"/>
              <w:left w:w="90" w:type="dxa"/>
              <w:bottom w:w="100" w:type="dxa"/>
              <w:right w:w="90" w:type="dxa"/>
              <w:start w:w="120" w:type="dxa"/>
              <w:end w:w="120" w:type="dxa"/>
            </w:tcMar>
            <w:vAlign w:val="center"/>
          </w:tcPr>
          <w:p w14:paraId="737F1A60" w14:textId="77777777" w:rsidR="00D11504" w:rsidRDefault="00000000">
            <w:pPr>
              <w:spacing w:after="0" w:line="360" w:lineRule="auto" w:before="0"/>
            </w:pPr>
            <w:r>
              <w:rPr>
                <w:rFonts w:ascii="Arial" w:hAnsi="Arial" w:eastAsia="Arial" w:cs="Arial"/>
                <w:sz w:val="24"/>
              </w:rPr>
              <w:t>4</w:t>
            </w:r>
          </w:p>
        </w:tc>
        <w:tc>
          <w:tcPr>
            <w:tcW w:w="1701" w:type="dxa"/>
            <w:tcMar>
              <w:top w:w="100" w:type="dxa"/>
              <w:left w:w="90" w:type="dxa"/>
              <w:bottom w:w="100" w:type="dxa"/>
              <w:right w:w="90" w:type="dxa"/>
              <w:start w:w="120" w:type="dxa"/>
              <w:end w:w="120" w:type="dxa"/>
            </w:tcMar>
            <w:vAlign w:val="center"/>
          </w:tcPr>
          <w:p w14:paraId="6E23D6CC" w14:textId="77777777" w:rsidR="00D11504" w:rsidRDefault="00000000">
            <w:pPr>
              <w:spacing w:after="0" w:line="360" w:lineRule="auto" w:before="0"/>
            </w:pPr>
            <w:r>
              <w:rPr>
                <w:rFonts w:ascii="Arial" w:hAnsi="Arial" w:eastAsia="Arial" w:cs="Arial"/>
                <w:sz w:val="24"/>
              </w:rPr>
              <w:t>8</w:t>
            </w:r>
          </w:p>
        </w:tc>
        <w:tc>
          <w:tcPr>
            <w:tcW w:w="1814" w:type="dxa"/>
            <w:tcMar>
              <w:top w:w="100" w:type="dxa"/>
              <w:left w:w="90" w:type="dxa"/>
              <w:bottom w:w="100" w:type="dxa"/>
              <w:right w:w="90" w:type="dxa"/>
              <w:start w:w="120" w:type="dxa"/>
              <w:end w:w="120" w:type="dxa"/>
            </w:tcMar>
            <w:vAlign w:val="center"/>
          </w:tcPr>
          <w:p w14:paraId="6FF44EF6" w14:textId="77777777" w:rsidR="00D11504" w:rsidRDefault="00000000">
            <w:pPr>
              <w:spacing w:after="0" w:line="360" w:lineRule="auto" w:before="0"/>
            </w:pPr>
            <w:r>
              <w:rPr>
                <w:rFonts w:ascii="Arial" w:hAnsi="Arial" w:eastAsia="Arial" w:cs="Arial"/>
                <w:sz w:val="24"/>
              </w:rPr>
              <w:t>Medium</w:t>
            </w:r>
          </w:p>
        </w:tc>
        <w:tc>
          <w:tcPr>
            <w:tcW w:w="4139" w:type="dxa"/>
            <w:tcMar>
              <w:top w:w="100" w:type="dxa"/>
              <w:left w:w="90" w:type="dxa"/>
              <w:bottom w:w="100" w:type="dxa"/>
              <w:right w:w="90" w:type="dxa"/>
              <w:start w:w="120" w:type="dxa"/>
              <w:end w:w="120" w:type="dxa"/>
            </w:tcMar>
            <w:vAlign w:val="center"/>
          </w:tcPr>
          <w:p w14:paraId="0A862124" w14:textId="77777777" w:rsidR="00D11504" w:rsidRDefault="00000000">
            <w:pPr>
              <w:spacing w:after="0" w:line="360" w:lineRule="auto" w:before="0"/>
            </w:pPr>
            <w:r>
              <w:rPr>
                <w:rFonts w:ascii="Arial" w:hAnsi="Arial" w:eastAsia="Arial" w:cs="Arial"/>
                <w:sz w:val="24"/>
              </w:rPr>
              <w:t>Limit the delivery radius, select products suitable for delivery and test packaging</w:t>
            </w:r>
          </w:p>
        </w:tc>
      </w:tr>
      <w:tr w:rsidR="00D11504" w14:paraId="45813DE7" w14:textId="77777777">
        <w:trPr>
          <w:cantSplit/>
        </w:trPr>
        <w:tc>
          <w:tcPr>
            <w:tcW w:w="3118" w:type="dxa"/>
            <w:tcMar>
              <w:top w:w="100" w:type="dxa"/>
              <w:left w:w="90" w:type="dxa"/>
              <w:bottom w:w="100" w:type="dxa"/>
              <w:right w:w="90" w:type="dxa"/>
              <w:start w:w="120" w:type="dxa"/>
              <w:end w:w="120" w:type="dxa"/>
            </w:tcMar>
            <w:vAlign w:val="center"/>
          </w:tcPr>
          <w:p w14:paraId="098CF347" w14:textId="77777777" w:rsidR="00D11504" w:rsidRDefault="00000000">
            <w:pPr>
              <w:spacing w:after="0" w:line="360" w:lineRule="auto" w:before="0"/>
            </w:pPr>
            <w:r>
              <w:rPr>
                <w:rFonts w:ascii="Arial" w:hAnsi="Arial" w:eastAsia="Arial" w:cs="Arial"/>
                <w:sz w:val="24"/>
              </w:rPr>
              <w:t>Dependence on a third-party digital/delivery platform</w:t>
            </w:r>
          </w:p>
        </w:tc>
        <w:tc>
          <w:tcPr>
            <w:tcW w:w="1587" w:type="dxa"/>
            <w:tcMar>
              <w:top w:w="100" w:type="dxa"/>
              <w:left w:w="90" w:type="dxa"/>
              <w:bottom w:w="100" w:type="dxa"/>
              <w:right w:w="90" w:type="dxa"/>
              <w:start w:w="120" w:type="dxa"/>
              <w:end w:w="120" w:type="dxa"/>
            </w:tcMar>
            <w:vAlign w:val="center"/>
          </w:tcPr>
          <w:p w14:paraId="7F5DA575" w14:textId="77777777" w:rsidR="00D11504" w:rsidRDefault="00000000">
            <w:pPr>
              <w:spacing w:after="0" w:line="360" w:lineRule="auto" w:before="0"/>
            </w:pPr>
            <w:r>
              <w:rPr>
                <w:rFonts w:ascii="Arial" w:hAnsi="Arial" w:eastAsia="Arial" w:cs="Arial"/>
                <w:sz w:val="24"/>
              </w:rPr>
              <w:t>2</w:t>
            </w:r>
          </w:p>
        </w:tc>
        <w:tc>
          <w:tcPr>
            <w:tcW w:w="1587" w:type="dxa"/>
            <w:tcMar>
              <w:top w:w="100" w:type="dxa"/>
              <w:left w:w="90" w:type="dxa"/>
              <w:bottom w:w="100" w:type="dxa"/>
              <w:right w:w="90" w:type="dxa"/>
              <w:start w:w="120" w:type="dxa"/>
              <w:end w:w="120" w:type="dxa"/>
            </w:tcMar>
            <w:vAlign w:val="center"/>
          </w:tcPr>
          <w:p w14:paraId="46A18253" w14:textId="77777777" w:rsidR="00D11504" w:rsidRDefault="00000000">
            <w:pPr>
              <w:spacing w:after="0" w:line="360" w:lineRule="auto" w:before="0"/>
            </w:pPr>
            <w:r>
              <w:rPr>
                <w:rFonts w:ascii="Arial" w:hAnsi="Arial" w:eastAsia="Arial" w:cs="Arial"/>
                <w:sz w:val="24"/>
              </w:rPr>
              <w:t>3</w:t>
            </w:r>
          </w:p>
        </w:tc>
        <w:tc>
          <w:tcPr>
            <w:tcW w:w="1701" w:type="dxa"/>
            <w:tcMar>
              <w:top w:w="100" w:type="dxa"/>
              <w:left w:w="90" w:type="dxa"/>
              <w:bottom w:w="100" w:type="dxa"/>
              <w:right w:w="90" w:type="dxa"/>
              <w:start w:w="120" w:type="dxa"/>
              <w:end w:w="120" w:type="dxa"/>
            </w:tcMar>
            <w:vAlign w:val="center"/>
          </w:tcPr>
          <w:p w14:paraId="3D11778E" w14:textId="77777777" w:rsidR="00D11504" w:rsidRDefault="00000000">
            <w:pPr>
              <w:spacing w:after="0" w:line="360" w:lineRule="auto" w:before="0"/>
            </w:pPr>
            <w:r>
              <w:rPr>
                <w:rFonts w:ascii="Arial" w:hAnsi="Arial" w:eastAsia="Arial" w:cs="Arial"/>
                <w:sz w:val="24"/>
              </w:rPr>
              <w:t>6</w:t>
            </w:r>
          </w:p>
        </w:tc>
        <w:tc>
          <w:tcPr>
            <w:tcW w:w="1814" w:type="dxa"/>
            <w:tcMar>
              <w:top w:w="100" w:type="dxa"/>
              <w:left w:w="90" w:type="dxa"/>
              <w:bottom w:w="100" w:type="dxa"/>
              <w:right w:w="90" w:type="dxa"/>
              <w:start w:w="120" w:type="dxa"/>
              <w:end w:w="120" w:type="dxa"/>
            </w:tcMar>
            <w:vAlign w:val="center"/>
          </w:tcPr>
          <w:p w14:paraId="62244E69" w14:textId="77777777" w:rsidR="00D11504" w:rsidRDefault="00000000">
            <w:pPr>
              <w:spacing w:after="0" w:line="360" w:lineRule="auto" w:before="0"/>
            </w:pPr>
            <w:r>
              <w:rPr>
                <w:rFonts w:ascii="Arial" w:hAnsi="Arial" w:eastAsia="Arial" w:cs="Arial"/>
                <w:sz w:val="24"/>
              </w:rPr>
              <w:t>Medium</w:t>
            </w:r>
          </w:p>
        </w:tc>
        <w:tc>
          <w:tcPr>
            <w:tcW w:w="4139" w:type="dxa"/>
            <w:tcMar>
              <w:top w:w="100" w:type="dxa"/>
              <w:left w:w="90" w:type="dxa"/>
              <w:bottom w:w="100" w:type="dxa"/>
              <w:right w:w="90" w:type="dxa"/>
              <w:start w:w="120" w:type="dxa"/>
              <w:end w:w="120" w:type="dxa"/>
            </w:tcMar>
            <w:vAlign w:val="center"/>
          </w:tcPr>
          <w:p w14:paraId="25E10B75" w14:textId="77777777" w:rsidR="00D11504" w:rsidRDefault="00000000">
            <w:pPr>
              <w:spacing w:after="0" w:line="360" w:lineRule="auto" w:before="0"/>
            </w:pPr>
            <w:r>
              <w:rPr>
                <w:rFonts w:ascii="Arial" w:hAnsi="Arial" w:eastAsia="Arial" w:cs="Arial"/>
                <w:sz w:val="24"/>
              </w:rPr>
              <w:t>Maintain direct pre-ordering and customer communication alongside external platforms</w:t>
            </w:r>
          </w:p>
        </w:tc>
      </w:tr>
    </w:tbl>
    <w:p w14:paraId="0A309BD1" w14:textId="77777777" w:rsidR="00D11504" w:rsidRDefault="00000000">
      <w:pPr>
        <w:pStyle w:val="Heading2"/>
        <w:keepNext/>
        <w:jc w:val="left"/>
      </w:pPr>
      <w:r>
        <w:rPr>
          <w:rFonts w:ascii="Arial" w:eastAsia="Arial" w:hAnsi="Arial" w:cs="Arial"/>
          <w:b/>
          <w:sz w:val="24"/>
        </w:rPr>
        <w:t>Risk Rating Scale</w:t>
      </w:r>
    </w:p>
    <w:tbl>
      <w:tblPr>
        <w:tblStyle w:val="TableGrid"/>
        <w:tblW w:w="0" w:type="auto"/>
        <w:jc w:val="center"/>
        <w:tblLayout w:type="autofit"/>
        <w:tblLook w:val="04A0" w:firstRow="1" w:lastRow="0" w:firstColumn="1" w:lastColumn="0" w:noHBand="0" w:noVBand="1"/>
      </w:tblPr>
      <w:tblGrid>
        <w:gridCol w:w="2835"/>
        <w:gridCol w:w="2835"/>
        <w:gridCol w:w="8277"/>
      </w:tblGrid>
      <w:tr w:rsidR="00D11504" w14:paraId="767E14B9" w14:textId="77777777">
        <w:trPr>
          <w:cantSplit/>
          <w:tblHeader w:val="true"/>
        </w:trPr>
        <w:tc>
          <w:tcPr>
            <w:tcW w:w="2835" w:type="dxa"/>
            <w:tcMar>
              <w:top w:w="100" w:type="dxa"/>
              <w:left w:w="90" w:type="dxa"/>
              <w:bottom w:w="100" w:type="dxa"/>
              <w:right w:w="90" w:type="dxa"/>
              <w:start w:w="120" w:type="dxa"/>
              <w:end w:w="120" w:type="dxa"/>
            </w:tcMar>
            <w:vAlign w:val="center"/>
          </w:tcPr>
          <w:p w14:paraId="05D64CB0" w14:textId="77777777" w:rsidR="00D11504" w:rsidRDefault="00000000">
            <w:pPr>
              <w:spacing w:after="0" w:line="360" w:lineRule="auto" w:before="0"/>
              <w:jc w:val="center"/>
            </w:pPr>
            <w:r>
              <w:rPr>
                <w:rFonts w:ascii="Arial" w:hAnsi="Arial" w:eastAsia="Arial" w:cs="Arial"/>
                <w:b/>
                <w:sz w:val="24"/>
              </w:rPr>
              <w:t>Risk Score</w:t>
            </w:r>
          </w:p>
        </w:tc>
        <w:tc>
          <w:tcPr>
            <w:tcW w:w="2835" w:type="dxa"/>
            <w:tcMar>
              <w:top w:w="100" w:type="dxa"/>
              <w:left w:w="90" w:type="dxa"/>
              <w:bottom w:w="100" w:type="dxa"/>
              <w:right w:w="90" w:type="dxa"/>
              <w:start w:w="120" w:type="dxa"/>
              <w:end w:w="120" w:type="dxa"/>
            </w:tcMar>
            <w:vAlign w:val="center"/>
          </w:tcPr>
          <w:p w14:paraId="0948B26A" w14:textId="77777777" w:rsidR="00D11504" w:rsidRDefault="00000000">
            <w:pPr>
              <w:spacing w:after="0" w:line="360" w:lineRule="auto" w:before="0"/>
              <w:jc w:val="center"/>
            </w:pPr>
            <w:r>
              <w:rPr>
                <w:rFonts w:ascii="Arial" w:hAnsi="Arial" w:eastAsia="Arial" w:cs="Arial"/>
                <w:b/>
                <w:sz w:val="24"/>
              </w:rPr>
              <w:t>Risk Level</w:t>
            </w:r>
          </w:p>
        </w:tc>
        <w:tc>
          <w:tcPr>
            <w:tcW w:w="8277" w:type="dxa"/>
            <w:tcMar>
              <w:top w:w="100" w:type="dxa"/>
              <w:left w:w="90" w:type="dxa"/>
              <w:bottom w:w="100" w:type="dxa"/>
              <w:right w:w="90" w:type="dxa"/>
              <w:start w:w="120" w:type="dxa"/>
              <w:end w:w="120" w:type="dxa"/>
            </w:tcMar>
            <w:vAlign w:val="center"/>
          </w:tcPr>
          <w:p w14:paraId="44F14202" w14:textId="77777777" w:rsidR="00D11504" w:rsidRDefault="00000000">
            <w:pPr>
              <w:spacing w:after="0" w:line="360" w:lineRule="auto" w:before="0"/>
              <w:jc w:val="center"/>
            </w:pPr>
            <w:r>
              <w:rPr>
                <w:rFonts w:ascii="Arial" w:hAnsi="Arial" w:eastAsia="Arial" w:cs="Arial"/>
                <w:b/>
                <w:sz w:val="24"/>
              </w:rPr>
              <w:t>Required Response</w:t>
            </w:r>
          </w:p>
        </w:tc>
      </w:tr>
      <w:tr w:rsidR="00D11504" w14:paraId="77C24FC6" w14:textId="77777777">
        <w:trPr>
          <w:cantSplit/>
        </w:trPr>
        <w:tc>
          <w:tcPr>
            <w:tcW w:w="2835" w:type="dxa"/>
            <w:tcMar>
              <w:top w:w="100" w:type="dxa"/>
              <w:left w:w="90" w:type="dxa"/>
              <w:bottom w:w="100" w:type="dxa"/>
              <w:right w:w="90" w:type="dxa"/>
              <w:start w:w="120" w:type="dxa"/>
              <w:end w:w="120" w:type="dxa"/>
            </w:tcMar>
            <w:vAlign w:val="center"/>
          </w:tcPr>
          <w:p w14:paraId="5DEE00C8" w14:textId="77777777" w:rsidR="00D11504" w:rsidRDefault="00000000">
            <w:pPr>
              <w:spacing w:after="0" w:line="360" w:lineRule="auto" w:before="0"/>
            </w:pPr>
            <w:r>
              <w:rPr>
                <w:rFonts w:ascii="Arial" w:hAnsi="Arial" w:eastAsia="Arial" w:cs="Arial"/>
                <w:sz w:val="24"/>
              </w:rPr>
              <w:t>1–4</w:t>
            </w:r>
          </w:p>
        </w:tc>
        <w:tc>
          <w:tcPr>
            <w:tcW w:w="2835" w:type="dxa"/>
            <w:tcMar>
              <w:top w:w="100" w:type="dxa"/>
              <w:left w:w="90" w:type="dxa"/>
              <w:bottom w:w="100" w:type="dxa"/>
              <w:right w:w="90" w:type="dxa"/>
              <w:start w:w="120" w:type="dxa"/>
              <w:end w:w="120" w:type="dxa"/>
            </w:tcMar>
            <w:vAlign w:val="center"/>
          </w:tcPr>
          <w:p w14:paraId="0EA0D100" w14:textId="77777777" w:rsidR="00D11504" w:rsidRDefault="00000000">
            <w:pPr>
              <w:spacing w:after="0" w:line="360" w:lineRule="auto" w:before="0"/>
            </w:pPr>
            <w:r>
              <w:rPr>
                <w:rFonts w:ascii="Arial" w:hAnsi="Arial" w:eastAsia="Arial" w:cs="Arial"/>
                <w:sz w:val="24"/>
              </w:rPr>
              <w:t>Low</w:t>
            </w:r>
          </w:p>
        </w:tc>
        <w:tc>
          <w:tcPr>
            <w:tcW w:w="8277" w:type="dxa"/>
            <w:tcMar>
              <w:top w:w="100" w:type="dxa"/>
              <w:left w:w="90" w:type="dxa"/>
              <w:bottom w:w="100" w:type="dxa"/>
              <w:right w:w="90" w:type="dxa"/>
              <w:start w:w="120" w:type="dxa"/>
              <w:end w:w="120" w:type="dxa"/>
            </w:tcMar>
            <w:vAlign w:val="center"/>
          </w:tcPr>
          <w:p w14:paraId="4A7EA665" w14:textId="77777777" w:rsidR="00D11504" w:rsidRDefault="00000000">
            <w:pPr>
              <w:spacing w:after="0" w:line="360" w:lineRule="auto" w:before="0"/>
            </w:pPr>
            <w:r>
              <w:rPr>
                <w:rFonts w:ascii="Arial" w:hAnsi="Arial" w:eastAsia="Arial" w:cs="Arial"/>
                <w:sz w:val="24"/>
              </w:rPr>
              <w:t>Monitor</w:t>
            </w:r>
          </w:p>
        </w:tc>
      </w:tr>
      <w:tr w:rsidR="00D11504" w14:paraId="36EDA36E" w14:textId="77777777">
        <w:trPr>
          <w:cantSplit/>
        </w:trPr>
        <w:tc>
          <w:tcPr>
            <w:tcW w:w="2835" w:type="dxa"/>
            <w:tcMar>
              <w:top w:w="100" w:type="dxa"/>
              <w:left w:w="90" w:type="dxa"/>
              <w:bottom w:w="100" w:type="dxa"/>
              <w:right w:w="90" w:type="dxa"/>
              <w:start w:w="120" w:type="dxa"/>
              <w:end w:w="120" w:type="dxa"/>
            </w:tcMar>
            <w:vAlign w:val="center"/>
          </w:tcPr>
          <w:p w14:paraId="747B4C06" w14:textId="77777777" w:rsidR="00D11504" w:rsidRDefault="00000000">
            <w:pPr>
              <w:spacing w:after="0" w:line="360" w:lineRule="auto" w:before="0"/>
            </w:pPr>
            <w:r>
              <w:rPr>
                <w:rFonts w:ascii="Arial" w:hAnsi="Arial" w:eastAsia="Arial" w:cs="Arial"/>
                <w:sz w:val="24"/>
              </w:rPr>
              <w:t>5–9</w:t>
            </w:r>
          </w:p>
        </w:tc>
        <w:tc>
          <w:tcPr>
            <w:tcW w:w="2835" w:type="dxa"/>
            <w:tcMar>
              <w:top w:w="100" w:type="dxa"/>
              <w:left w:w="90" w:type="dxa"/>
              <w:bottom w:w="100" w:type="dxa"/>
              <w:right w:w="90" w:type="dxa"/>
              <w:start w:w="120" w:type="dxa"/>
              <w:end w:w="120" w:type="dxa"/>
            </w:tcMar>
            <w:vAlign w:val="center"/>
          </w:tcPr>
          <w:p w14:paraId="39206E01" w14:textId="77777777" w:rsidR="00D11504" w:rsidRDefault="00000000">
            <w:pPr>
              <w:spacing w:after="0" w:line="360" w:lineRule="auto" w:before="0"/>
            </w:pPr>
            <w:r>
              <w:rPr>
                <w:rFonts w:ascii="Arial" w:hAnsi="Arial" w:eastAsia="Arial" w:cs="Arial"/>
                <w:sz w:val="24"/>
              </w:rPr>
              <w:t>Medium</w:t>
            </w:r>
          </w:p>
        </w:tc>
        <w:tc>
          <w:tcPr>
            <w:tcW w:w="8277" w:type="dxa"/>
            <w:tcMar>
              <w:top w:w="100" w:type="dxa"/>
              <w:left w:w="90" w:type="dxa"/>
              <w:bottom w:w="100" w:type="dxa"/>
              <w:right w:w="90" w:type="dxa"/>
              <w:start w:w="120" w:type="dxa"/>
              <w:end w:w="120" w:type="dxa"/>
            </w:tcMar>
            <w:vAlign w:val="center"/>
          </w:tcPr>
          <w:p w14:paraId="2C28DE87" w14:textId="77777777" w:rsidR="00D11504" w:rsidRDefault="00000000">
            <w:pPr>
              <w:spacing w:after="0" w:line="360" w:lineRule="auto" w:before="0"/>
            </w:pPr>
            <w:r>
              <w:rPr>
                <w:rFonts w:ascii="Arial" w:hAnsi="Arial" w:eastAsia="Arial" w:cs="Arial"/>
                <w:sz w:val="24"/>
              </w:rPr>
              <w:t>Monitor and mitigate</w:t>
            </w:r>
          </w:p>
        </w:tc>
      </w:tr>
      <w:tr w:rsidR="00D11504" w14:paraId="01337CCA" w14:textId="77777777">
        <w:trPr>
          <w:cantSplit/>
        </w:trPr>
        <w:tc>
          <w:tcPr>
            <w:tcW w:w="2835" w:type="dxa"/>
            <w:tcMar>
              <w:top w:w="100" w:type="dxa"/>
              <w:left w:w="90" w:type="dxa"/>
              <w:bottom w:w="100" w:type="dxa"/>
              <w:right w:w="90" w:type="dxa"/>
              <w:start w:w="120" w:type="dxa"/>
              <w:end w:w="120" w:type="dxa"/>
            </w:tcMar>
            <w:vAlign w:val="center"/>
          </w:tcPr>
          <w:p w14:paraId="55A38A40" w14:textId="77777777" w:rsidR="00D11504" w:rsidRDefault="00000000">
            <w:pPr>
              <w:spacing w:after="0" w:line="360" w:lineRule="auto" w:before="0"/>
            </w:pPr>
            <w:r>
              <w:rPr>
                <w:rFonts w:ascii="Arial" w:hAnsi="Arial" w:eastAsia="Arial" w:cs="Arial"/>
                <w:sz w:val="24"/>
              </w:rPr>
              <w:t>10–16</w:t>
            </w:r>
          </w:p>
        </w:tc>
        <w:tc>
          <w:tcPr>
            <w:tcW w:w="2835" w:type="dxa"/>
            <w:tcMar>
              <w:top w:w="100" w:type="dxa"/>
              <w:left w:w="90" w:type="dxa"/>
              <w:bottom w:w="100" w:type="dxa"/>
              <w:right w:w="90" w:type="dxa"/>
              <w:start w:w="120" w:type="dxa"/>
              <w:end w:w="120" w:type="dxa"/>
            </w:tcMar>
            <w:vAlign w:val="center"/>
          </w:tcPr>
          <w:p w14:paraId="7DFBAA8A" w14:textId="77777777" w:rsidR="00D11504" w:rsidRDefault="00000000">
            <w:pPr>
              <w:spacing w:after="0" w:line="360" w:lineRule="auto" w:before="0"/>
            </w:pPr>
            <w:r>
              <w:rPr>
                <w:rFonts w:ascii="Arial" w:hAnsi="Arial" w:eastAsia="Arial" w:cs="Arial"/>
                <w:sz w:val="24"/>
              </w:rPr>
              <w:t>High</w:t>
            </w:r>
          </w:p>
        </w:tc>
        <w:tc>
          <w:tcPr>
            <w:tcW w:w="8277" w:type="dxa"/>
            <w:tcMar>
              <w:top w:w="100" w:type="dxa"/>
              <w:left w:w="90" w:type="dxa"/>
              <w:bottom w:w="100" w:type="dxa"/>
              <w:right w:w="90" w:type="dxa"/>
              <w:start w:w="120" w:type="dxa"/>
              <w:end w:w="120" w:type="dxa"/>
            </w:tcMar>
            <w:vAlign w:val="center"/>
          </w:tcPr>
          <w:p w14:paraId="3ACA628D" w14:textId="77777777" w:rsidR="00D11504" w:rsidRDefault="00000000">
            <w:pPr>
              <w:spacing w:after="0" w:line="360" w:lineRule="auto" w:before="0"/>
            </w:pPr>
            <w:r>
              <w:rPr>
                <w:rFonts w:ascii="Arial" w:hAnsi="Arial" w:eastAsia="Arial" w:cs="Arial"/>
                <w:sz w:val="24"/>
              </w:rPr>
              <w:t>Active mitigation required</w:t>
            </w:r>
          </w:p>
        </w:tc>
      </w:tr>
      <w:tr w:rsidR="00D11504" w14:paraId="24931965" w14:textId="77777777">
        <w:trPr>
          <w:cantSplit/>
        </w:trPr>
        <w:tc>
          <w:tcPr>
            <w:tcW w:w="2835" w:type="dxa"/>
            <w:tcMar>
              <w:top w:w="100" w:type="dxa"/>
              <w:left w:w="90" w:type="dxa"/>
              <w:bottom w:w="100" w:type="dxa"/>
              <w:right w:w="90" w:type="dxa"/>
              <w:start w:w="120" w:type="dxa"/>
              <w:end w:w="120" w:type="dxa"/>
            </w:tcMar>
            <w:vAlign w:val="center"/>
          </w:tcPr>
          <w:p w14:paraId="2F470263" w14:textId="77777777" w:rsidR="00D11504" w:rsidRDefault="00000000">
            <w:pPr>
              <w:spacing w:after="0" w:line="360" w:lineRule="auto" w:before="0"/>
            </w:pPr>
            <w:r>
              <w:rPr>
                <w:rFonts w:ascii="Arial" w:hAnsi="Arial" w:eastAsia="Arial" w:cs="Arial"/>
                <w:sz w:val="24"/>
              </w:rPr>
              <w:t>17–25</w:t>
            </w:r>
          </w:p>
        </w:tc>
        <w:tc>
          <w:tcPr>
            <w:tcW w:w="2835" w:type="dxa"/>
            <w:tcMar>
              <w:top w:w="100" w:type="dxa"/>
              <w:left w:w="90" w:type="dxa"/>
              <w:bottom w:w="100" w:type="dxa"/>
              <w:right w:w="90" w:type="dxa"/>
              <w:start w:w="120" w:type="dxa"/>
              <w:end w:w="120" w:type="dxa"/>
            </w:tcMar>
            <w:vAlign w:val="center"/>
          </w:tcPr>
          <w:p w14:paraId="523361DD" w14:textId="77777777" w:rsidR="00D11504" w:rsidRDefault="00000000">
            <w:pPr>
              <w:spacing w:after="0" w:line="360" w:lineRule="auto" w:before="0"/>
            </w:pPr>
            <w:r>
              <w:rPr>
                <w:rFonts w:ascii="Arial" w:hAnsi="Arial" w:eastAsia="Arial" w:cs="Arial"/>
                <w:sz w:val="24"/>
              </w:rPr>
              <w:t>Very High</w:t>
            </w:r>
          </w:p>
        </w:tc>
        <w:tc>
          <w:tcPr>
            <w:tcW w:w="8277" w:type="dxa"/>
            <w:tcMar>
              <w:top w:w="100" w:type="dxa"/>
              <w:left w:w="90" w:type="dxa"/>
              <w:bottom w:w="100" w:type="dxa"/>
              <w:right w:w="90" w:type="dxa"/>
              <w:start w:w="120" w:type="dxa"/>
              <w:end w:w="120" w:type="dxa"/>
            </w:tcMar>
            <w:vAlign w:val="center"/>
          </w:tcPr>
          <w:p w14:paraId="183E2EB8" w14:textId="77777777" w:rsidR="00D11504" w:rsidRDefault="00000000">
            <w:pPr>
              <w:spacing w:after="0" w:line="360" w:lineRule="auto" w:before="0"/>
            </w:pPr>
            <w:r>
              <w:rPr>
                <w:rFonts w:ascii="Arial" w:hAnsi="Arial" w:eastAsia="Arial" w:cs="Arial"/>
                <w:sz w:val="24"/>
              </w:rPr>
              <w:t>Immediate action required</w:t>
            </w:r>
          </w:p>
        </w:tc>
      </w:tr>
    </w:tbl>
    <w:p w14:paraId="3A41F548" w14:textId="77777777" w:rsidR="00D11504" w:rsidRDefault="00000000">
      <w:pPr>
        <w:spacing w:line="360" w:lineRule="auto" w:before="0" w:after="120"/>
      </w:pPr>
      <w:r>
        <w:rPr>
          <w:rFonts w:ascii="Arial" w:hAnsi="Arial" w:eastAsia="Arial" w:cs="Arial"/>
          <w:sz w:val="24"/>
        </w:rPr>
        <w:t>Note: Risk scores and rating thresholds were developed for this case using a 5 × 5 Likelihood × Impact matrix. The overall risk-management approach was informed by ISO 31000 (ISO, 2018) and the Project Management Institute (2019).</w:t>
      </w:r>
    </w:p>
    <w:p w14:paraId="0F6BB0D6" w14:textId="77777777" w:rsidR="00D11504" w:rsidRDefault="00D11504">
      <w:pPr>
        <w:spacing w:line="360" w:lineRule="auto" w:before="0" w:after="120"/>
        <w:sectPr w:rsidR="00D11504">
          <w:pgSz w:w="16838" w:h="11906" w:orient="landscape"/>
          <w:pgMar w:top="1440" w:right="1440" w:bottom="1440" w:left="1440" w:header="709" w:footer="709" w:gutter="0"/>
          <w:cols w:space="720"/>
          <w:docGrid w:linePitch="360"/>
        </w:sectPr>
      </w:pPr>
    </w:p>
    <w:p w14:paraId="316BC7E0" w14:textId="77777777" w:rsidR="00D11504" w:rsidRDefault="00000000">
      <w:pPr>
        <w:pStyle w:val="Heading1"/>
        <w:keepNext/>
        <w:pageBreakBefore/>
        <w:jc w:val="left"/>
      </w:pPr>
      <w:r>
        <w:rPr>
          <w:rFonts w:ascii="Arial" w:eastAsia="Arial" w:hAnsi="Arial" w:cs="Arial"/>
          <w:b/>
          <w:sz w:val="24"/>
        </w:rPr>
        <w:lastRenderedPageBreak/>
        <w:t>Appendix C — Implementation Action Plan</w:t>
      </w:r>
    </w:p>
    <w:p w14:paraId="0EDFB6D1" w14:textId="77777777" w:rsidR="00D11504" w:rsidRDefault="00000000">
      <w:pPr>
        <w:spacing w:line="360" w:lineRule="auto" w:before="0" w:after="120"/>
        <w:jc w:val="both"/>
      </w:pPr>
      <w:r>
        <w:rPr>
          <w:rFonts w:ascii="Arial" w:hAnsi="Arial" w:eastAsia="Arial" w:cs="Arial"/>
          <w:sz w:val="24"/>
        </w:rPr>
        <w:t>The implementation plan translates Controlled Artisan Development into phased actions that test customer demand and financial viability before Basil commits additional permanent resources. The sequence follows controlled experimentation under uncertainty (Andries, Debackere and Van Looy, 2013).</w:t>
      </w:r>
    </w:p>
    <w:tbl>
      <w:tblPr>
        <w:tblStyle w:val="TableGrid"/>
        <w:tblW w:w="0" w:type="auto"/>
        <w:jc w:val="center"/>
        <w:tblLayout w:type="autofit"/>
        <w:tblLook w:val="04A0" w:firstRow="1" w:lastRow="0" w:firstColumn="1" w:lastColumn="0" w:noHBand="0" w:noVBand="1"/>
      </w:tblPr>
      <w:tblGrid>
        <w:gridCol w:w="2268"/>
        <w:gridCol w:w="6236"/>
        <w:gridCol w:w="1928"/>
        <w:gridCol w:w="3515"/>
      </w:tblGrid>
      <w:tr w:rsidR="00D11504" w14:paraId="7FDC212C" w14:textId="77777777">
        <w:trPr>
          <w:cantSplit/>
          <w:tblHeader w:val="true"/>
        </w:trPr>
        <w:tc>
          <w:tcPr>
            <w:tcW w:w="2268" w:type="dxa"/>
            <w:tcMar>
              <w:top w:w="100" w:type="dxa"/>
              <w:left w:w="90" w:type="dxa"/>
              <w:bottom w:w="100" w:type="dxa"/>
              <w:right w:w="90" w:type="dxa"/>
              <w:start w:w="120" w:type="dxa"/>
              <w:end w:w="120" w:type="dxa"/>
            </w:tcMar>
            <w:vAlign w:val="center"/>
          </w:tcPr>
          <w:p w14:paraId="37752C9E" w14:textId="77777777" w:rsidR="00D11504" w:rsidRDefault="00000000">
            <w:pPr>
              <w:spacing w:after="0" w:line="360" w:lineRule="auto" w:before="0"/>
              <w:jc w:val="center"/>
            </w:pPr>
            <w:r>
              <w:rPr>
                <w:rFonts w:ascii="Arial" w:hAnsi="Arial" w:eastAsia="Arial" w:cs="Arial"/>
                <w:b/>
                <w:sz w:val="24"/>
              </w:rPr>
              <w:t>What</w:t>
            </w:r>
          </w:p>
        </w:tc>
        <w:tc>
          <w:tcPr>
            <w:tcW w:w="6236" w:type="dxa"/>
            <w:tcMar>
              <w:top w:w="100" w:type="dxa"/>
              <w:left w:w="90" w:type="dxa"/>
              <w:bottom w:w="100" w:type="dxa"/>
              <w:right w:w="90" w:type="dxa"/>
              <w:start w:w="120" w:type="dxa"/>
              <w:end w:w="120" w:type="dxa"/>
            </w:tcMar>
            <w:vAlign w:val="center"/>
          </w:tcPr>
          <w:p w14:paraId="253D882F" w14:textId="77777777" w:rsidR="00D11504" w:rsidRDefault="00000000">
            <w:pPr>
              <w:spacing w:after="0" w:line="360" w:lineRule="auto" w:before="0"/>
              <w:jc w:val="center"/>
            </w:pPr>
            <w:r>
              <w:rPr>
                <w:rFonts w:ascii="Arial" w:hAnsi="Arial" w:eastAsia="Arial" w:cs="Arial"/>
                <w:b/>
                <w:sz w:val="24"/>
              </w:rPr>
              <w:t>How</w:t>
            </w:r>
          </w:p>
        </w:tc>
        <w:tc>
          <w:tcPr>
            <w:tcW w:w="1928" w:type="dxa"/>
            <w:tcMar>
              <w:top w:w="100" w:type="dxa"/>
              <w:left w:w="90" w:type="dxa"/>
              <w:bottom w:w="100" w:type="dxa"/>
              <w:right w:w="90" w:type="dxa"/>
              <w:start w:w="120" w:type="dxa"/>
              <w:end w:w="120" w:type="dxa"/>
            </w:tcMar>
            <w:vAlign w:val="center"/>
          </w:tcPr>
          <w:p w14:paraId="449E444C" w14:textId="77777777" w:rsidR="00D11504" w:rsidRDefault="00000000">
            <w:pPr>
              <w:spacing w:after="0" w:line="360" w:lineRule="auto" w:before="0"/>
              <w:jc w:val="center"/>
            </w:pPr>
            <w:r>
              <w:rPr>
                <w:rFonts w:ascii="Arial" w:hAnsi="Arial" w:eastAsia="Arial" w:cs="Arial"/>
                <w:b/>
                <w:sz w:val="24"/>
              </w:rPr>
              <w:t>When</w:t>
            </w:r>
          </w:p>
        </w:tc>
        <w:tc>
          <w:tcPr>
            <w:tcW w:w="3515" w:type="dxa"/>
            <w:tcMar>
              <w:top w:w="100" w:type="dxa"/>
              <w:left w:w="90" w:type="dxa"/>
              <w:bottom w:w="100" w:type="dxa"/>
              <w:right w:w="90" w:type="dxa"/>
              <w:start w:w="120" w:type="dxa"/>
              <w:end w:w="120" w:type="dxa"/>
            </w:tcMar>
            <w:vAlign w:val="center"/>
          </w:tcPr>
          <w:p w14:paraId="06AEED8E" w14:textId="77777777" w:rsidR="00D11504" w:rsidRDefault="00000000">
            <w:pPr>
              <w:spacing w:after="0" w:line="360" w:lineRule="auto" w:before="0"/>
              <w:jc w:val="center"/>
            </w:pPr>
            <w:r>
              <w:rPr>
                <w:rFonts w:ascii="Arial" w:hAnsi="Arial" w:eastAsia="Arial" w:cs="Arial"/>
                <w:b/>
                <w:sz w:val="24"/>
              </w:rPr>
              <w:t>Who</w:t>
            </w:r>
          </w:p>
        </w:tc>
      </w:tr>
      <w:tr w:rsidR="00D11504" w14:paraId="0EEA54A6" w14:textId="77777777">
        <w:trPr>
          <w:cantSplit/>
        </w:trPr>
        <w:tc>
          <w:tcPr>
            <w:tcW w:w="2268" w:type="dxa"/>
            <w:tcMar>
              <w:top w:w="100" w:type="dxa"/>
              <w:left w:w="90" w:type="dxa"/>
              <w:bottom w:w="100" w:type="dxa"/>
              <w:right w:w="90" w:type="dxa"/>
              <w:start w:w="120" w:type="dxa"/>
              <w:end w:w="120" w:type="dxa"/>
            </w:tcMar>
            <w:vAlign w:val="center"/>
          </w:tcPr>
          <w:p w14:paraId="3AF184DA" w14:textId="77777777" w:rsidR="00D11504" w:rsidRDefault="00000000">
            <w:pPr>
              <w:spacing w:after="0" w:line="360" w:lineRule="auto" w:before="0"/>
            </w:pPr>
            <w:r>
              <w:rPr>
                <w:rFonts w:ascii="Arial" w:hAnsi="Arial" w:eastAsia="Arial" w:cs="Arial"/>
                <w:sz w:val="24"/>
              </w:rPr>
              <w:t>1. Clarify business objectives and capacity</w:t>
            </w:r>
          </w:p>
        </w:tc>
        <w:tc>
          <w:tcPr>
            <w:tcW w:w="6236" w:type="dxa"/>
            <w:tcMar>
              <w:top w:w="100" w:type="dxa"/>
              <w:left w:w="90" w:type="dxa"/>
              <w:bottom w:w="100" w:type="dxa"/>
              <w:right w:w="90" w:type="dxa"/>
              <w:start w:w="120" w:type="dxa"/>
              <w:end w:w="120" w:type="dxa"/>
            </w:tcMar>
            <w:vAlign w:val="center"/>
          </w:tcPr>
          <w:p w14:paraId="5E828060" w14:textId="77777777" w:rsidR="00D11504" w:rsidRDefault="00000000">
            <w:pPr>
              <w:spacing w:after="0" w:line="360" w:lineRule="auto" w:before="0"/>
            </w:pPr>
            <w:r>
              <w:rPr>
                <w:rFonts w:ascii="Arial" w:hAnsi="Arial" w:eastAsia="Arial" w:cs="Arial"/>
                <w:sz w:val="24"/>
              </w:rPr>
              <w:t>Define Basil’s preferred future role; establish current production capacity, operating costs and baseline sales</w:t>
            </w:r>
          </w:p>
        </w:tc>
        <w:tc>
          <w:tcPr>
            <w:tcW w:w="1928" w:type="dxa"/>
            <w:tcMar>
              <w:top w:w="100" w:type="dxa"/>
              <w:left w:w="90" w:type="dxa"/>
              <w:bottom w:w="100" w:type="dxa"/>
              <w:right w:w="90" w:type="dxa"/>
              <w:start w:w="120" w:type="dxa"/>
              <w:end w:w="120" w:type="dxa"/>
            </w:tcMar>
            <w:vAlign w:val="center"/>
          </w:tcPr>
          <w:p w14:paraId="4F83D344" w14:textId="77777777" w:rsidR="00D11504" w:rsidRDefault="00000000">
            <w:pPr>
              <w:spacing w:after="0" w:line="360" w:lineRule="auto" w:before="0"/>
            </w:pPr>
            <w:r>
              <w:rPr>
                <w:rFonts w:ascii="Arial" w:hAnsi="Arial" w:eastAsia="Arial" w:cs="Arial"/>
                <w:sz w:val="24"/>
              </w:rPr>
              <w:t>Weeks 1–2</w:t>
            </w:r>
          </w:p>
        </w:tc>
        <w:tc>
          <w:tcPr>
            <w:tcW w:w="3515" w:type="dxa"/>
            <w:tcMar>
              <w:top w:w="100" w:type="dxa"/>
              <w:left w:w="90" w:type="dxa"/>
              <w:bottom w:w="100" w:type="dxa"/>
              <w:right w:w="90" w:type="dxa"/>
              <w:start w:w="120" w:type="dxa"/>
              <w:end w:w="120" w:type="dxa"/>
            </w:tcMar>
            <w:vAlign w:val="center"/>
          </w:tcPr>
          <w:p w14:paraId="0F4CC33B" w14:textId="77777777" w:rsidR="00D11504" w:rsidRDefault="00000000">
            <w:pPr>
              <w:spacing w:after="0" w:line="360" w:lineRule="auto" w:before="0"/>
            </w:pPr>
            <w:r>
              <w:rPr>
                <w:rFonts w:ascii="Arial" w:hAnsi="Arial" w:eastAsia="Arial" w:cs="Arial"/>
                <w:sz w:val="24"/>
              </w:rPr>
              <w:t>Basil + Business Consultant</w:t>
            </w:r>
          </w:p>
        </w:tc>
      </w:tr>
      <w:tr w:rsidR="00D11504" w14:paraId="72EC5324" w14:textId="77777777">
        <w:trPr>
          <w:cantSplit/>
        </w:trPr>
        <w:tc>
          <w:tcPr>
            <w:tcW w:w="2268" w:type="dxa"/>
            <w:tcMar>
              <w:top w:w="100" w:type="dxa"/>
              <w:left w:w="90" w:type="dxa"/>
              <w:bottom w:w="100" w:type="dxa"/>
              <w:right w:w="90" w:type="dxa"/>
              <w:start w:w="120" w:type="dxa"/>
              <w:end w:w="120" w:type="dxa"/>
            </w:tcMar>
            <w:vAlign w:val="center"/>
          </w:tcPr>
          <w:p w14:paraId="4EBE3035" w14:textId="77777777" w:rsidR="00D11504" w:rsidRDefault="00000000">
            <w:pPr>
              <w:spacing w:after="0" w:line="360" w:lineRule="auto" w:before="0"/>
            </w:pPr>
            <w:r>
              <w:rPr>
                <w:rFonts w:ascii="Arial" w:hAnsi="Arial" w:eastAsia="Arial" w:cs="Arial"/>
                <w:sz w:val="24"/>
              </w:rPr>
              <w:t>2. Select low-risk sales channels</w:t>
            </w:r>
          </w:p>
        </w:tc>
        <w:tc>
          <w:tcPr>
            <w:tcW w:w="6236" w:type="dxa"/>
            <w:tcMar>
              <w:top w:w="100" w:type="dxa"/>
              <w:left w:w="90" w:type="dxa"/>
              <w:bottom w:w="100" w:type="dxa"/>
              <w:right w:w="90" w:type="dxa"/>
              <w:start w:w="120" w:type="dxa"/>
              <w:end w:w="120" w:type="dxa"/>
            </w:tcMar>
            <w:vAlign w:val="center"/>
          </w:tcPr>
          <w:p w14:paraId="714C3B2A" w14:textId="77777777" w:rsidR="00D11504" w:rsidRDefault="00000000">
            <w:pPr>
              <w:spacing w:after="0" w:line="360" w:lineRule="auto" w:before="0"/>
            </w:pPr>
            <w:r>
              <w:rPr>
                <w:rFonts w:ascii="Arial" w:hAnsi="Arial" w:eastAsia="Arial" w:cs="Arial"/>
                <w:sz w:val="24"/>
              </w:rPr>
              <w:t>Compare direct pre-ordering and third-party delivery platforms. Assess cost, suitability, platform dependency and operational requirements. If the pilot identifies consistent end-of-day surplus, evaluate a surplus-food platform only as an optional secondary channel; the case does not establish that such surplus currently exists.</w:t>
            </w:r>
          </w:p>
        </w:tc>
        <w:tc>
          <w:tcPr>
            <w:tcW w:w="1928" w:type="dxa"/>
            <w:tcMar>
              <w:top w:w="100" w:type="dxa"/>
              <w:left w:w="90" w:type="dxa"/>
              <w:bottom w:w="100" w:type="dxa"/>
              <w:right w:w="90" w:type="dxa"/>
              <w:start w:w="120" w:type="dxa"/>
              <w:end w:w="120" w:type="dxa"/>
            </w:tcMar>
            <w:vAlign w:val="center"/>
          </w:tcPr>
          <w:p w14:paraId="1486B944" w14:textId="77777777" w:rsidR="00D11504" w:rsidRDefault="00000000">
            <w:pPr>
              <w:spacing w:after="0" w:line="360" w:lineRule="auto" w:before="0"/>
            </w:pPr>
            <w:r>
              <w:rPr>
                <w:rFonts w:ascii="Arial" w:hAnsi="Arial" w:eastAsia="Arial" w:cs="Arial"/>
                <w:sz w:val="24"/>
              </w:rPr>
              <w:t>Weeks 3–4</w:t>
            </w:r>
          </w:p>
        </w:tc>
        <w:tc>
          <w:tcPr>
            <w:tcW w:w="3515" w:type="dxa"/>
            <w:tcMar>
              <w:top w:w="100" w:type="dxa"/>
              <w:left w:w="90" w:type="dxa"/>
              <w:bottom w:w="100" w:type="dxa"/>
              <w:right w:w="90" w:type="dxa"/>
              <w:start w:w="120" w:type="dxa"/>
              <w:end w:w="120" w:type="dxa"/>
            </w:tcMar>
            <w:vAlign w:val="center"/>
          </w:tcPr>
          <w:p w14:paraId="0F7E14B0" w14:textId="77777777" w:rsidR="00D11504" w:rsidRDefault="00000000">
            <w:pPr>
              <w:spacing w:after="0" w:line="360" w:lineRule="auto" w:before="0"/>
            </w:pPr>
            <w:r>
              <w:rPr>
                <w:rFonts w:ascii="Arial" w:hAnsi="Arial" w:eastAsia="Arial" w:cs="Arial"/>
                <w:sz w:val="24"/>
              </w:rPr>
              <w:t>Basil + Business Consultant / Digital Freelancer</w:t>
            </w:r>
          </w:p>
        </w:tc>
      </w:tr>
      <w:tr w:rsidR="00D11504" w14:paraId="79348E90" w14:textId="77777777">
        <w:trPr>
          <w:cantSplit/>
        </w:trPr>
        <w:tc>
          <w:tcPr>
            <w:tcW w:w="2268" w:type="dxa"/>
            <w:tcMar>
              <w:top w:w="100" w:type="dxa"/>
              <w:left w:w="90" w:type="dxa"/>
              <w:bottom w:w="100" w:type="dxa"/>
              <w:right w:w="90" w:type="dxa"/>
              <w:start w:w="120" w:type="dxa"/>
              <w:end w:w="120" w:type="dxa"/>
            </w:tcMar>
            <w:vAlign w:val="center"/>
          </w:tcPr>
          <w:p w14:paraId="6F3E768C" w14:textId="77777777" w:rsidR="00D11504" w:rsidRDefault="00000000">
            <w:pPr>
              <w:spacing w:after="0" w:line="360" w:lineRule="auto" w:before="0"/>
            </w:pPr>
            <w:r>
              <w:rPr>
                <w:rFonts w:ascii="Arial" w:hAnsi="Arial" w:eastAsia="Arial" w:cs="Arial"/>
                <w:sz w:val="24"/>
              </w:rPr>
              <w:t>3. Run a controlled pilot</w:t>
            </w:r>
          </w:p>
        </w:tc>
        <w:tc>
          <w:tcPr>
            <w:tcW w:w="6236" w:type="dxa"/>
            <w:tcMar>
              <w:top w:w="100" w:type="dxa"/>
              <w:left w:w="90" w:type="dxa"/>
              <w:bottom w:w="100" w:type="dxa"/>
              <w:right w:w="90" w:type="dxa"/>
              <w:start w:w="120" w:type="dxa"/>
              <w:end w:w="120" w:type="dxa"/>
            </w:tcMar>
            <w:vAlign w:val="center"/>
          </w:tcPr>
          <w:p w14:paraId="4A56DD68" w14:textId="77777777" w:rsidR="00D11504" w:rsidRDefault="00000000">
            <w:pPr>
              <w:spacing w:after="0" w:line="360" w:lineRule="auto" w:before="0"/>
            </w:pPr>
            <w:r>
              <w:rPr>
                <w:rFonts w:ascii="Arial" w:hAnsi="Arial" w:eastAsia="Arial" w:cs="Arial"/>
                <w:sz w:val="24"/>
              </w:rPr>
              <w:t>Introduce pre-ordering and external delivery without immediate permanent recruitment; establish order limits and monitor demand, costs and workload</w:t>
            </w:r>
          </w:p>
        </w:tc>
        <w:tc>
          <w:tcPr>
            <w:tcW w:w="1928" w:type="dxa"/>
            <w:tcMar>
              <w:top w:w="100" w:type="dxa"/>
              <w:left w:w="90" w:type="dxa"/>
              <w:bottom w:w="100" w:type="dxa"/>
              <w:right w:w="90" w:type="dxa"/>
              <w:start w:w="120" w:type="dxa"/>
              <w:end w:w="120" w:type="dxa"/>
            </w:tcMar>
            <w:vAlign w:val="center"/>
          </w:tcPr>
          <w:p w14:paraId="0178C510" w14:textId="77777777" w:rsidR="00D11504" w:rsidRDefault="00000000">
            <w:pPr>
              <w:spacing w:after="0" w:line="360" w:lineRule="auto" w:before="0"/>
            </w:pPr>
            <w:r>
              <w:rPr>
                <w:rFonts w:ascii="Arial" w:hAnsi="Arial" w:eastAsia="Arial" w:cs="Arial"/>
                <w:sz w:val="24"/>
              </w:rPr>
              <w:t>Months 2–3</w:t>
            </w:r>
          </w:p>
        </w:tc>
        <w:tc>
          <w:tcPr>
            <w:tcW w:w="3515" w:type="dxa"/>
            <w:tcMar>
              <w:top w:w="100" w:type="dxa"/>
              <w:left w:w="90" w:type="dxa"/>
              <w:bottom w:w="100" w:type="dxa"/>
              <w:right w:w="90" w:type="dxa"/>
              <w:start w:w="120" w:type="dxa"/>
              <w:end w:w="120" w:type="dxa"/>
            </w:tcMar>
            <w:vAlign w:val="center"/>
          </w:tcPr>
          <w:p w14:paraId="112CA7F8" w14:textId="77777777" w:rsidR="00D11504" w:rsidRDefault="00000000">
            <w:pPr>
              <w:spacing w:after="0" w:line="360" w:lineRule="auto" w:before="0"/>
            </w:pPr>
            <w:r>
              <w:rPr>
                <w:rFonts w:ascii="Arial" w:hAnsi="Arial" w:eastAsia="Arial" w:cs="Arial"/>
                <w:sz w:val="24"/>
              </w:rPr>
              <w:t>Basil + External Service Providers</w:t>
            </w:r>
          </w:p>
        </w:tc>
      </w:tr>
      <w:tr w:rsidR="00D11504" w14:paraId="55DB19B0" w14:textId="77777777">
        <w:trPr>
          <w:cantSplit/>
        </w:trPr>
        <w:tc>
          <w:tcPr>
            <w:tcW w:w="2268" w:type="dxa"/>
            <w:tcMar>
              <w:top w:w="100" w:type="dxa"/>
              <w:left w:w="90" w:type="dxa"/>
              <w:bottom w:w="100" w:type="dxa"/>
              <w:right w:w="90" w:type="dxa"/>
              <w:start w:w="120" w:type="dxa"/>
              <w:end w:w="120" w:type="dxa"/>
            </w:tcMar>
            <w:vAlign w:val="center"/>
          </w:tcPr>
          <w:p w14:paraId="704E1BDD" w14:textId="77777777" w:rsidR="00D11504" w:rsidRDefault="00000000">
            <w:pPr>
              <w:spacing w:after="0" w:line="360" w:lineRule="auto" w:before="0"/>
            </w:pPr>
            <w:r>
              <w:rPr>
                <w:rFonts w:ascii="Arial" w:hAnsi="Arial" w:eastAsia="Arial" w:cs="Arial"/>
                <w:sz w:val="24"/>
              </w:rPr>
              <w:lastRenderedPageBreak/>
              <w:t>4. Evaluate pilot results</w:t>
            </w:r>
          </w:p>
        </w:tc>
        <w:tc>
          <w:tcPr>
            <w:tcW w:w="6236" w:type="dxa"/>
            <w:tcMar>
              <w:top w:w="100" w:type="dxa"/>
              <w:left w:w="90" w:type="dxa"/>
              <w:bottom w:w="100" w:type="dxa"/>
              <w:right w:w="90" w:type="dxa"/>
              <w:start w:w="120" w:type="dxa"/>
              <w:end w:w="120" w:type="dxa"/>
            </w:tcMar>
            <w:vAlign w:val="center"/>
          </w:tcPr>
          <w:p w14:paraId="7F8FE4F1" w14:textId="77777777" w:rsidR="00D11504" w:rsidRDefault="00000000">
            <w:pPr>
              <w:spacing w:after="0" w:line="360" w:lineRule="auto" w:before="0"/>
            </w:pPr>
            <w:r>
              <w:rPr>
                <w:rFonts w:ascii="Arial" w:hAnsi="Arial" w:eastAsia="Arial" w:cs="Arial"/>
                <w:sz w:val="24"/>
              </w:rPr>
              <w:t>Compare sales, contribution margin, customer demand, workload and actual production capacity against the established baseline</w:t>
            </w:r>
          </w:p>
        </w:tc>
        <w:tc>
          <w:tcPr>
            <w:tcW w:w="1928" w:type="dxa"/>
            <w:tcMar>
              <w:top w:w="100" w:type="dxa"/>
              <w:left w:w="90" w:type="dxa"/>
              <w:bottom w:w="100" w:type="dxa"/>
              <w:right w:w="90" w:type="dxa"/>
              <w:start w:w="120" w:type="dxa"/>
              <w:end w:w="120" w:type="dxa"/>
            </w:tcMar>
            <w:vAlign w:val="center"/>
          </w:tcPr>
          <w:p w14:paraId="4E4EF4E6" w14:textId="77777777" w:rsidR="00D11504" w:rsidRDefault="00000000">
            <w:pPr>
              <w:spacing w:after="0" w:line="360" w:lineRule="auto" w:before="0"/>
            </w:pPr>
            <w:r>
              <w:rPr>
                <w:rFonts w:ascii="Arial" w:hAnsi="Arial" w:eastAsia="Arial" w:cs="Arial"/>
                <w:sz w:val="24"/>
              </w:rPr>
              <w:t>Months 4–6</w:t>
            </w:r>
          </w:p>
        </w:tc>
        <w:tc>
          <w:tcPr>
            <w:tcW w:w="3515" w:type="dxa"/>
            <w:tcMar>
              <w:top w:w="100" w:type="dxa"/>
              <w:left w:w="90" w:type="dxa"/>
              <w:bottom w:w="100" w:type="dxa"/>
              <w:right w:w="90" w:type="dxa"/>
              <w:start w:w="120" w:type="dxa"/>
              <w:end w:w="120" w:type="dxa"/>
            </w:tcMar>
            <w:vAlign w:val="center"/>
          </w:tcPr>
          <w:p w14:paraId="4616056E" w14:textId="77777777" w:rsidR="00D11504" w:rsidRDefault="00000000">
            <w:pPr>
              <w:spacing w:after="0" w:line="360" w:lineRule="auto" w:before="0"/>
            </w:pPr>
            <w:r>
              <w:rPr>
                <w:rFonts w:ascii="Arial" w:hAnsi="Arial" w:eastAsia="Arial" w:cs="Arial"/>
                <w:sz w:val="24"/>
              </w:rPr>
              <w:t>Basil + Business Consultant</w:t>
            </w:r>
          </w:p>
        </w:tc>
      </w:tr>
      <w:tr w:rsidR="00D11504" w14:paraId="382BB02A" w14:textId="77777777">
        <w:trPr>
          <w:cantSplit/>
        </w:trPr>
        <w:tc>
          <w:tcPr>
            <w:tcW w:w="2268" w:type="dxa"/>
            <w:tcMar>
              <w:top w:w="100" w:type="dxa"/>
              <w:left w:w="90" w:type="dxa"/>
              <w:bottom w:w="100" w:type="dxa"/>
              <w:right w:w="90" w:type="dxa"/>
              <w:start w:w="120" w:type="dxa"/>
              <w:end w:w="120" w:type="dxa"/>
            </w:tcMar>
            <w:vAlign w:val="center"/>
          </w:tcPr>
          <w:p w14:paraId="51754EC7" w14:textId="77777777" w:rsidR="00D11504" w:rsidRDefault="00000000">
            <w:pPr>
              <w:spacing w:after="0" w:line="360" w:lineRule="auto" w:before="0"/>
            </w:pPr>
            <w:r>
              <w:rPr>
                <w:rFonts w:ascii="Arial" w:hAnsi="Arial" w:eastAsia="Arial" w:cs="Arial"/>
                <w:sz w:val="24"/>
              </w:rPr>
              <w:t>5. Determine the next development stage</w:t>
            </w:r>
          </w:p>
        </w:tc>
        <w:tc>
          <w:tcPr>
            <w:tcW w:w="6236" w:type="dxa"/>
            <w:tcMar>
              <w:top w:w="100" w:type="dxa"/>
              <w:left w:w="90" w:type="dxa"/>
              <w:bottom w:w="100" w:type="dxa"/>
              <w:right w:w="90" w:type="dxa"/>
              <w:start w:w="120" w:type="dxa"/>
              <w:end w:w="120" w:type="dxa"/>
            </w:tcMar>
            <w:vAlign w:val="center"/>
          </w:tcPr>
          <w:p w14:paraId="1C5BF9F8" w14:textId="77777777" w:rsidR="00D11504" w:rsidRDefault="00000000">
            <w:pPr>
              <w:spacing w:after="0" w:line="360" w:lineRule="auto" w:before="0"/>
            </w:pPr>
            <w:r>
              <w:rPr>
                <w:rFonts w:ascii="Arial" w:hAnsi="Arial" w:eastAsia="Arial" w:cs="Arial"/>
                <w:sz w:val="24"/>
              </w:rPr>
              <w:t>If sustainable demand exceeds Basil’s production capacity while remaining profitable, consider limited additional production support, initially potentially one production/kitchen assistant. If the current location remains the principal constraint, reconsider relocation to a higher-footfall location.</w:t>
            </w:r>
          </w:p>
        </w:tc>
        <w:tc>
          <w:tcPr>
            <w:tcW w:w="1928" w:type="dxa"/>
            <w:tcMar>
              <w:top w:w="100" w:type="dxa"/>
              <w:left w:w="90" w:type="dxa"/>
              <w:bottom w:w="100" w:type="dxa"/>
              <w:right w:w="90" w:type="dxa"/>
              <w:start w:w="120" w:type="dxa"/>
              <w:end w:w="120" w:type="dxa"/>
            </w:tcMar>
            <w:vAlign w:val="center"/>
          </w:tcPr>
          <w:p w14:paraId="0F915220" w14:textId="77777777" w:rsidR="00D11504" w:rsidRDefault="00000000">
            <w:pPr>
              <w:spacing w:after="0" w:line="360" w:lineRule="auto" w:before="0"/>
            </w:pPr>
            <w:r>
              <w:rPr>
                <w:rFonts w:ascii="Arial" w:hAnsi="Arial" w:eastAsia="Arial" w:cs="Arial"/>
                <w:sz w:val="24"/>
              </w:rPr>
              <w:t>End of Month 6</w:t>
            </w:r>
          </w:p>
        </w:tc>
        <w:tc>
          <w:tcPr>
            <w:tcW w:w="3515" w:type="dxa"/>
            <w:tcMar>
              <w:top w:w="100" w:type="dxa"/>
              <w:left w:w="90" w:type="dxa"/>
              <w:bottom w:w="100" w:type="dxa"/>
              <w:right w:w="90" w:type="dxa"/>
              <w:start w:w="120" w:type="dxa"/>
              <w:end w:w="120" w:type="dxa"/>
            </w:tcMar>
            <w:vAlign w:val="center"/>
          </w:tcPr>
          <w:p w14:paraId="55083D7C" w14:textId="77777777" w:rsidR="00D11504" w:rsidRDefault="00000000">
            <w:pPr>
              <w:spacing w:after="0" w:line="360" w:lineRule="auto" w:before="0"/>
            </w:pPr>
            <w:r>
              <w:rPr>
                <w:rFonts w:ascii="Arial" w:hAnsi="Arial" w:eastAsia="Arial" w:cs="Arial"/>
                <w:sz w:val="24"/>
              </w:rPr>
              <w:t>Basil + Business Consultant</w:t>
            </w:r>
          </w:p>
        </w:tc>
      </w:tr>
    </w:tbl>
    <w:p w14:paraId="7F12073B" w14:textId="77777777" w:rsidR="00D11504" w:rsidRDefault="00000000">
      <w:pPr>
        <w:spacing w:line="360" w:lineRule="auto" w:before="0" w:after="120"/>
      </w:pPr>
      <w:r>
        <w:rPr>
          <w:rFonts w:ascii="Arial" w:hAnsi="Arial" w:eastAsia="Arial" w:cs="Arial"/>
          <w:sz w:val="24"/>
        </w:rPr>
      </w:r>
    </w:p>
    <w:p w14:paraId="71AC69AD" w14:textId="77777777" w:rsidR="00D11504" w:rsidRDefault="00000000">
      <w:pPr>
        <w:pStyle w:val="Heading1"/>
        <w:keepNext/>
        <w:pageBreakBefore/>
        <w:jc w:val="left"/>
      </w:pPr>
      <w:r>
        <w:rPr>
          <w:rFonts w:ascii="Arial" w:eastAsia="Arial" w:hAnsi="Arial" w:cs="Arial"/>
          <w:b/>
          <w:sz w:val="24"/>
        </w:rPr>
        <w:lastRenderedPageBreak/>
        <w:t>Appendix D — KPI and SMART Objectives</w:t>
      </w:r>
    </w:p>
    <w:p w14:paraId="7E5F0CCD" w14:textId="77777777" w:rsidR="00D11504" w:rsidRDefault="00000000">
      <w:pPr>
        <w:spacing w:line="360" w:lineRule="auto" w:before="0" w:after="120"/>
        <w:jc w:val="both"/>
      </w:pPr>
      <w:r>
        <w:rPr>
          <w:rFonts w:ascii="Arial" w:hAnsi="Arial" w:eastAsia="Arial" w:cs="Arial"/>
          <w:sz w:val="24"/>
        </w:rPr>
        <w:t>The KPIs and SMART objectives assess whether Controlled Artisan Development produces sustainable financial, customer and operational improvement. They support evidence-based decisions on maintaining the current scale, introducing limited production support or reconsidering relocation. The objectives follow SMART principles (Doran, 1981), while KPIs provide measurable indicators of performance (Parmenter, 2020).</w:t>
      </w:r>
    </w:p>
    <w:tbl>
      <w:tblPr>
        <w:tblStyle w:val="TableGrid"/>
        <w:tblW w:w="0" w:type="auto"/>
        <w:jc w:val="center"/>
        <w:tblLayout w:type="autofit"/>
        <w:tblLook w:val="04A0" w:firstRow="1" w:lastRow="0" w:firstColumn="1" w:lastColumn="0" w:noHBand="0" w:noVBand="1"/>
      </w:tblPr>
      <w:tblGrid>
        <w:gridCol w:w="2381"/>
        <w:gridCol w:w="2835"/>
        <w:gridCol w:w="5669"/>
        <w:gridCol w:w="3061"/>
      </w:tblGrid>
      <w:tr w:rsidR="00D11504" w14:paraId="7C6E1328" w14:textId="77777777">
        <w:trPr>
          <w:cantSplit/>
          <w:tblHeader w:val="true"/>
        </w:trPr>
        <w:tc>
          <w:tcPr>
            <w:tcW w:w="2381" w:type="dxa"/>
            <w:tcMar>
              <w:top w:w="100" w:type="dxa"/>
              <w:left w:w="90" w:type="dxa"/>
              <w:bottom w:w="100" w:type="dxa"/>
              <w:right w:w="90" w:type="dxa"/>
              <w:start w:w="120" w:type="dxa"/>
              <w:end w:w="120" w:type="dxa"/>
            </w:tcMar>
            <w:vAlign w:val="center"/>
          </w:tcPr>
          <w:p w14:paraId="1F7B1786" w14:textId="77777777" w:rsidR="00D11504" w:rsidRDefault="00000000">
            <w:pPr>
              <w:spacing w:after="0" w:line="360" w:lineRule="auto" w:before="0"/>
              <w:jc w:val="center"/>
            </w:pPr>
            <w:r>
              <w:rPr>
                <w:rFonts w:ascii="Arial" w:hAnsi="Arial" w:eastAsia="Arial" w:cs="Arial"/>
                <w:b/>
                <w:sz w:val="24"/>
              </w:rPr>
              <w:t>SMART Objective</w:t>
            </w:r>
          </w:p>
        </w:tc>
        <w:tc>
          <w:tcPr>
            <w:tcW w:w="2835" w:type="dxa"/>
            <w:tcMar>
              <w:top w:w="100" w:type="dxa"/>
              <w:left w:w="90" w:type="dxa"/>
              <w:bottom w:w="100" w:type="dxa"/>
              <w:right w:w="90" w:type="dxa"/>
              <w:start w:w="120" w:type="dxa"/>
              <w:end w:w="120" w:type="dxa"/>
            </w:tcMar>
            <w:vAlign w:val="center"/>
          </w:tcPr>
          <w:p w14:paraId="50423DAE" w14:textId="77777777" w:rsidR="00D11504" w:rsidRDefault="00000000">
            <w:pPr>
              <w:spacing w:after="0" w:line="360" w:lineRule="auto" w:before="0"/>
              <w:jc w:val="center"/>
            </w:pPr>
            <w:r>
              <w:rPr>
                <w:rFonts w:ascii="Arial" w:hAnsi="Arial" w:eastAsia="Arial" w:cs="Arial"/>
                <w:b/>
                <w:sz w:val="24"/>
              </w:rPr>
              <w:t>KPI</w:t>
            </w:r>
          </w:p>
        </w:tc>
        <w:tc>
          <w:tcPr>
            <w:tcW w:w="5669" w:type="dxa"/>
            <w:tcMar>
              <w:top w:w="100" w:type="dxa"/>
              <w:left w:w="90" w:type="dxa"/>
              <w:bottom w:w="100" w:type="dxa"/>
              <w:right w:w="90" w:type="dxa"/>
              <w:start w:w="120" w:type="dxa"/>
              <w:end w:w="120" w:type="dxa"/>
            </w:tcMar>
            <w:vAlign w:val="center"/>
          </w:tcPr>
          <w:p w14:paraId="1845196D" w14:textId="77777777" w:rsidR="00D11504" w:rsidRDefault="00000000">
            <w:pPr>
              <w:spacing w:after="0" w:line="360" w:lineRule="auto" w:before="0"/>
              <w:jc w:val="center"/>
            </w:pPr>
            <w:r>
              <w:rPr>
                <w:rFonts w:ascii="Arial" w:hAnsi="Arial" w:eastAsia="Arial" w:cs="Arial"/>
                <w:b/>
                <w:sz w:val="24"/>
              </w:rPr>
              <w:t>Target</w:t>
            </w:r>
          </w:p>
        </w:tc>
        <w:tc>
          <w:tcPr>
            <w:tcW w:w="3061" w:type="dxa"/>
            <w:tcMar>
              <w:top w:w="100" w:type="dxa"/>
              <w:left w:w="90" w:type="dxa"/>
              <w:bottom w:w="100" w:type="dxa"/>
              <w:right w:w="90" w:type="dxa"/>
              <w:start w:w="120" w:type="dxa"/>
              <w:end w:w="120" w:type="dxa"/>
            </w:tcMar>
            <w:vAlign w:val="center"/>
          </w:tcPr>
          <w:p w14:paraId="2DED1C94" w14:textId="77777777" w:rsidR="00D11504" w:rsidRDefault="00000000">
            <w:pPr>
              <w:spacing w:after="0" w:line="360" w:lineRule="auto" w:before="0"/>
              <w:jc w:val="center"/>
            </w:pPr>
            <w:r>
              <w:rPr>
                <w:rFonts w:ascii="Arial" w:hAnsi="Arial" w:eastAsia="Arial" w:cs="Arial"/>
                <w:b/>
                <w:sz w:val="24"/>
              </w:rPr>
              <w:t>Timeframe</w:t>
            </w:r>
          </w:p>
        </w:tc>
      </w:tr>
      <w:tr w:rsidR="00D11504" w14:paraId="79F6B536" w14:textId="77777777">
        <w:trPr>
          <w:cantSplit/>
        </w:trPr>
        <w:tc>
          <w:tcPr>
            <w:tcW w:w="2381" w:type="dxa"/>
            <w:tcMar>
              <w:top w:w="100" w:type="dxa"/>
              <w:left w:w="90" w:type="dxa"/>
              <w:bottom w:w="100" w:type="dxa"/>
              <w:right w:w="90" w:type="dxa"/>
              <w:start w:w="120" w:type="dxa"/>
              <w:end w:w="120" w:type="dxa"/>
            </w:tcMar>
            <w:vAlign w:val="center"/>
          </w:tcPr>
          <w:p w14:paraId="25E1EAFB" w14:textId="77777777" w:rsidR="00D11504" w:rsidRDefault="00000000">
            <w:pPr>
              <w:spacing w:after="0" w:line="360" w:lineRule="auto" w:before="0"/>
            </w:pPr>
            <w:r>
              <w:rPr>
                <w:rFonts w:ascii="Arial" w:hAnsi="Arial" w:eastAsia="Arial" w:cs="Arial"/>
                <w:sz w:val="24"/>
              </w:rPr>
              <w:t>Restore sales performance</w:t>
            </w:r>
          </w:p>
        </w:tc>
        <w:tc>
          <w:tcPr>
            <w:tcW w:w="2835" w:type="dxa"/>
            <w:tcMar>
              <w:top w:w="100" w:type="dxa"/>
              <w:left w:w="90" w:type="dxa"/>
              <w:bottom w:w="100" w:type="dxa"/>
              <w:right w:w="90" w:type="dxa"/>
              <w:start w:w="120" w:type="dxa"/>
              <w:end w:w="120" w:type="dxa"/>
            </w:tcMar>
            <w:vAlign w:val="center"/>
          </w:tcPr>
          <w:p w14:paraId="670065FD" w14:textId="77777777" w:rsidR="00D11504" w:rsidRDefault="00000000">
            <w:pPr>
              <w:spacing w:after="0" w:line="360" w:lineRule="auto" w:before="0"/>
            </w:pPr>
            <w:r>
              <w:rPr>
                <w:rFonts w:ascii="Arial" w:hAnsi="Arial" w:eastAsia="Arial" w:cs="Arial"/>
                <w:sz w:val="24"/>
              </w:rPr>
              <w:t>Sales compared with the 2019 baseline</w:t>
            </w:r>
          </w:p>
        </w:tc>
        <w:tc>
          <w:tcPr>
            <w:tcW w:w="5669" w:type="dxa"/>
            <w:tcMar>
              <w:top w:w="100" w:type="dxa"/>
              <w:left w:w="90" w:type="dxa"/>
              <w:bottom w:w="100" w:type="dxa"/>
              <w:right w:w="90" w:type="dxa"/>
              <w:start w:w="120" w:type="dxa"/>
              <w:end w:w="120" w:type="dxa"/>
            </w:tcMar>
            <w:vAlign w:val="center"/>
          </w:tcPr>
          <w:p w14:paraId="15558DB4" w14:textId="77777777" w:rsidR="00D11504" w:rsidRDefault="00000000">
            <w:pPr>
              <w:spacing w:after="0" w:line="360" w:lineRule="auto" w:before="0"/>
            </w:pPr>
            <w:r>
              <w:rPr>
                <w:rFonts w:ascii="Arial" w:hAnsi="Arial" w:eastAsia="Arial" w:cs="Arial"/>
                <w:sz w:val="24"/>
              </w:rPr>
              <w:t>Proposed benchmark: restore sales to ≥90% of the 2019 level, subject to profitability and sustainable production capacity.</w:t>
            </w:r>
          </w:p>
        </w:tc>
        <w:tc>
          <w:tcPr>
            <w:tcW w:w="3061" w:type="dxa"/>
            <w:tcMar>
              <w:top w:w="100" w:type="dxa"/>
              <w:left w:w="90" w:type="dxa"/>
              <w:bottom w:w="100" w:type="dxa"/>
              <w:right w:w="90" w:type="dxa"/>
              <w:start w:w="120" w:type="dxa"/>
              <w:end w:w="120" w:type="dxa"/>
            </w:tcMar>
            <w:vAlign w:val="center"/>
          </w:tcPr>
          <w:p w14:paraId="0E29F05C" w14:textId="77777777" w:rsidR="00D11504" w:rsidRDefault="00000000">
            <w:pPr>
              <w:spacing w:after="0" w:line="360" w:lineRule="auto" w:before="0"/>
            </w:pPr>
            <w:r>
              <w:rPr>
                <w:rFonts w:ascii="Arial" w:hAnsi="Arial" w:eastAsia="Arial" w:cs="Arial"/>
                <w:sz w:val="24"/>
              </w:rPr>
              <w:t>Within 12 months</w:t>
            </w:r>
          </w:p>
        </w:tc>
      </w:tr>
      <w:tr w:rsidR="00D11504" w14:paraId="3FAA40C1" w14:textId="77777777">
        <w:trPr>
          <w:cantSplit/>
        </w:trPr>
        <w:tc>
          <w:tcPr>
            <w:tcW w:w="2381" w:type="dxa"/>
            <w:tcMar>
              <w:top w:w="100" w:type="dxa"/>
              <w:left w:w="90" w:type="dxa"/>
              <w:bottom w:w="100" w:type="dxa"/>
              <w:right w:w="90" w:type="dxa"/>
              <w:start w:w="120" w:type="dxa"/>
              <w:end w:w="120" w:type="dxa"/>
            </w:tcMar>
            <w:vAlign w:val="center"/>
          </w:tcPr>
          <w:p w14:paraId="0892D6E0" w14:textId="77777777" w:rsidR="00D11504" w:rsidRDefault="00000000">
            <w:pPr>
              <w:spacing w:after="0" w:line="360" w:lineRule="auto" w:before="0"/>
            </w:pPr>
            <w:r>
              <w:rPr>
                <w:rFonts w:ascii="Arial" w:hAnsi="Arial" w:eastAsia="Arial" w:cs="Arial"/>
                <w:sz w:val="24"/>
              </w:rPr>
              <w:t>Evaluate new sales channels</w:t>
            </w:r>
          </w:p>
        </w:tc>
        <w:tc>
          <w:tcPr>
            <w:tcW w:w="2835" w:type="dxa"/>
            <w:tcMar>
              <w:top w:w="100" w:type="dxa"/>
              <w:left w:w="90" w:type="dxa"/>
              <w:bottom w:w="100" w:type="dxa"/>
              <w:right w:w="90" w:type="dxa"/>
              <w:start w:w="120" w:type="dxa"/>
              <w:end w:w="120" w:type="dxa"/>
            </w:tcMar>
            <w:vAlign w:val="center"/>
          </w:tcPr>
          <w:p w14:paraId="044A0567" w14:textId="77777777" w:rsidR="00D11504" w:rsidRDefault="00000000">
            <w:pPr>
              <w:spacing w:after="0" w:line="360" w:lineRule="auto" w:before="0"/>
            </w:pPr>
            <w:r>
              <w:rPr>
                <w:rFonts w:ascii="Arial" w:hAnsi="Arial" w:eastAsia="Arial" w:cs="Arial"/>
                <w:sz w:val="24"/>
              </w:rPr>
              <w:t>Percentage of total sales generated through pre-orders and delivery</w:t>
            </w:r>
          </w:p>
        </w:tc>
        <w:tc>
          <w:tcPr>
            <w:tcW w:w="5669" w:type="dxa"/>
            <w:tcMar>
              <w:top w:w="100" w:type="dxa"/>
              <w:left w:w="90" w:type="dxa"/>
              <w:bottom w:w="100" w:type="dxa"/>
              <w:right w:w="90" w:type="dxa"/>
              <w:start w:w="120" w:type="dxa"/>
              <w:end w:w="120" w:type="dxa"/>
            </w:tcMar>
            <w:vAlign w:val="center"/>
          </w:tcPr>
          <w:p w14:paraId="26BDF279" w14:textId="77777777" w:rsidR="00D11504" w:rsidRDefault="00000000">
            <w:pPr>
              <w:spacing w:after="0" w:line="360" w:lineRule="auto" w:before="0"/>
            </w:pPr>
            <w:r>
              <w:rPr>
                <w:rFonts w:ascii="Arial" w:hAnsi="Arial" w:eastAsia="Arial" w:cs="Arial"/>
                <w:sz w:val="24"/>
              </w:rPr>
              <w:t>Establish and monitor a sustainable contribution from the new channels</w:t>
            </w:r>
          </w:p>
        </w:tc>
        <w:tc>
          <w:tcPr>
            <w:tcW w:w="3061" w:type="dxa"/>
            <w:tcMar>
              <w:top w:w="100" w:type="dxa"/>
              <w:left w:w="90" w:type="dxa"/>
              <w:bottom w:w="100" w:type="dxa"/>
              <w:right w:w="90" w:type="dxa"/>
              <w:start w:w="120" w:type="dxa"/>
              <w:end w:w="120" w:type="dxa"/>
            </w:tcMar>
            <w:vAlign w:val="center"/>
          </w:tcPr>
          <w:p w14:paraId="600BCC52" w14:textId="77777777" w:rsidR="00D11504" w:rsidRDefault="00000000">
            <w:pPr>
              <w:spacing w:after="0" w:line="360" w:lineRule="auto" w:before="0"/>
            </w:pPr>
            <w:r>
              <w:rPr>
                <w:rFonts w:ascii="Arial" w:hAnsi="Arial" w:eastAsia="Arial" w:cs="Arial"/>
                <w:sz w:val="24"/>
              </w:rPr>
              <w:t>3–6 months</w:t>
            </w:r>
          </w:p>
        </w:tc>
      </w:tr>
      <w:tr w:rsidR="00D11504" w14:paraId="34D840D7" w14:textId="77777777">
        <w:trPr>
          <w:cantSplit/>
        </w:trPr>
        <w:tc>
          <w:tcPr>
            <w:tcW w:w="2381" w:type="dxa"/>
            <w:tcMar>
              <w:top w:w="100" w:type="dxa"/>
              <w:left w:w="90" w:type="dxa"/>
              <w:bottom w:w="100" w:type="dxa"/>
              <w:right w:w="90" w:type="dxa"/>
              <w:start w:w="120" w:type="dxa"/>
              <w:end w:w="120" w:type="dxa"/>
            </w:tcMar>
            <w:vAlign w:val="center"/>
          </w:tcPr>
          <w:p w14:paraId="0182F339" w14:textId="77777777" w:rsidR="00D11504" w:rsidRDefault="00000000">
            <w:pPr>
              <w:spacing w:after="0" w:line="360" w:lineRule="auto" w:before="0"/>
            </w:pPr>
            <w:r>
              <w:rPr>
                <w:rFonts w:ascii="Arial" w:hAnsi="Arial" w:eastAsia="Arial" w:cs="Arial"/>
                <w:sz w:val="24"/>
              </w:rPr>
              <w:t>Protect profitability</w:t>
            </w:r>
          </w:p>
        </w:tc>
        <w:tc>
          <w:tcPr>
            <w:tcW w:w="2835" w:type="dxa"/>
            <w:tcMar>
              <w:top w:w="100" w:type="dxa"/>
              <w:left w:w="90" w:type="dxa"/>
              <w:bottom w:w="100" w:type="dxa"/>
              <w:right w:w="90" w:type="dxa"/>
              <w:start w:w="120" w:type="dxa"/>
              <w:end w:w="120" w:type="dxa"/>
            </w:tcMar>
            <w:vAlign w:val="center"/>
          </w:tcPr>
          <w:p w14:paraId="17B993A6" w14:textId="77777777" w:rsidR="00D11504" w:rsidRDefault="00000000">
            <w:pPr>
              <w:spacing w:after="0" w:line="360" w:lineRule="auto" w:before="0"/>
            </w:pPr>
            <w:r>
              <w:rPr>
                <w:rFonts w:ascii="Arial" w:hAnsi="Arial" w:eastAsia="Arial" w:cs="Arial"/>
                <w:sz w:val="24"/>
              </w:rPr>
              <w:t>Contribution margin after delivery and platform costs</w:t>
            </w:r>
          </w:p>
        </w:tc>
        <w:tc>
          <w:tcPr>
            <w:tcW w:w="5669" w:type="dxa"/>
            <w:tcMar>
              <w:top w:w="100" w:type="dxa"/>
              <w:left w:w="90" w:type="dxa"/>
              <w:bottom w:w="100" w:type="dxa"/>
              <w:right w:w="90" w:type="dxa"/>
              <w:start w:w="120" w:type="dxa"/>
              <w:end w:w="120" w:type="dxa"/>
            </w:tcMar>
            <w:vAlign w:val="center"/>
          </w:tcPr>
          <w:p w14:paraId="4561F4CA" w14:textId="77777777" w:rsidR="00D11504" w:rsidRDefault="00000000">
            <w:pPr>
              <w:spacing w:after="0" w:line="360" w:lineRule="auto" w:before="0"/>
            </w:pPr>
            <w:r>
              <w:rPr>
                <w:rFonts w:ascii="Arial" w:hAnsi="Arial" w:eastAsia="Arial" w:cs="Arial"/>
                <w:sz w:val="24"/>
              </w:rPr>
              <w:t>Maintain a positive contribution margin from new sales channels</w:t>
            </w:r>
          </w:p>
        </w:tc>
        <w:tc>
          <w:tcPr>
            <w:tcW w:w="3061" w:type="dxa"/>
            <w:tcMar>
              <w:top w:w="100" w:type="dxa"/>
              <w:left w:w="90" w:type="dxa"/>
              <w:bottom w:w="100" w:type="dxa"/>
              <w:right w:w="90" w:type="dxa"/>
              <w:start w:w="120" w:type="dxa"/>
              <w:end w:w="120" w:type="dxa"/>
            </w:tcMar>
            <w:vAlign w:val="center"/>
          </w:tcPr>
          <w:p w14:paraId="59F8B22D" w14:textId="77777777" w:rsidR="00D11504" w:rsidRDefault="00000000">
            <w:pPr>
              <w:spacing w:after="0" w:line="360" w:lineRule="auto" w:before="0"/>
            </w:pPr>
            <w:r>
              <w:rPr>
                <w:rFonts w:ascii="Arial" w:hAnsi="Arial" w:eastAsia="Arial" w:cs="Arial"/>
                <w:sz w:val="24"/>
              </w:rPr>
              <w:t>Monthly</w:t>
            </w:r>
          </w:p>
        </w:tc>
      </w:tr>
      <w:tr w:rsidR="00D11504" w14:paraId="2F9BC721" w14:textId="77777777">
        <w:trPr>
          <w:cantSplit/>
        </w:trPr>
        <w:tc>
          <w:tcPr>
            <w:tcW w:w="2381" w:type="dxa"/>
            <w:tcMar>
              <w:top w:w="100" w:type="dxa"/>
              <w:left w:w="90" w:type="dxa"/>
              <w:bottom w:w="100" w:type="dxa"/>
              <w:right w:w="90" w:type="dxa"/>
              <w:start w:w="120" w:type="dxa"/>
              <w:end w:w="120" w:type="dxa"/>
            </w:tcMar>
            <w:vAlign w:val="center"/>
          </w:tcPr>
          <w:p w14:paraId="673C3F6F" w14:textId="77777777" w:rsidR="00D11504" w:rsidRDefault="00000000">
            <w:pPr>
              <w:spacing w:after="0" w:line="360" w:lineRule="auto" w:before="0"/>
            </w:pPr>
            <w:r>
              <w:rPr>
                <w:rFonts w:ascii="Arial" w:hAnsi="Arial" w:eastAsia="Arial" w:cs="Arial"/>
                <w:sz w:val="24"/>
              </w:rPr>
              <w:lastRenderedPageBreak/>
              <w:t>Control production capacity</w:t>
            </w:r>
          </w:p>
        </w:tc>
        <w:tc>
          <w:tcPr>
            <w:tcW w:w="2835" w:type="dxa"/>
            <w:tcMar>
              <w:top w:w="100" w:type="dxa"/>
              <w:left w:w="90" w:type="dxa"/>
              <w:bottom w:w="100" w:type="dxa"/>
              <w:right w:w="90" w:type="dxa"/>
              <w:start w:w="120" w:type="dxa"/>
              <w:end w:w="120" w:type="dxa"/>
            </w:tcMar>
            <w:vAlign w:val="center"/>
          </w:tcPr>
          <w:p w14:paraId="0D5A8288" w14:textId="77777777" w:rsidR="00D11504" w:rsidRDefault="00000000">
            <w:pPr>
              <w:spacing w:after="0" w:line="360" w:lineRule="auto" w:before="0"/>
            </w:pPr>
            <w:r>
              <w:rPr>
                <w:rFonts w:ascii="Arial" w:hAnsi="Arial" w:eastAsia="Arial" w:cs="Arial"/>
                <w:sz w:val="24"/>
              </w:rPr>
              <w:t>Order volume compared with Basil’s sustainable production capacity</w:t>
            </w:r>
          </w:p>
        </w:tc>
        <w:tc>
          <w:tcPr>
            <w:tcW w:w="5669" w:type="dxa"/>
            <w:tcMar>
              <w:top w:w="100" w:type="dxa"/>
              <w:left w:w="90" w:type="dxa"/>
              <w:bottom w:w="100" w:type="dxa"/>
              <w:right w:w="90" w:type="dxa"/>
              <w:start w:w="120" w:type="dxa"/>
              <w:end w:w="120" w:type="dxa"/>
            </w:tcMar>
            <w:vAlign w:val="center"/>
          </w:tcPr>
          <w:p w14:paraId="644E62E3" w14:textId="77777777" w:rsidR="00D11504" w:rsidRDefault="00000000">
            <w:pPr>
              <w:spacing w:after="0" w:line="360" w:lineRule="auto" w:before="0"/>
            </w:pPr>
            <w:r>
              <w:rPr>
                <w:rFonts w:ascii="Arial" w:hAnsi="Arial" w:eastAsia="Arial" w:cs="Arial"/>
                <w:sz w:val="24"/>
              </w:rPr>
              <w:t>Operate within sustainable capacity; consider limited additional production support, initially potentially one production/kitchen assistant, if demand consistently exceeds capacity and remains profitable.</w:t>
            </w:r>
          </w:p>
        </w:tc>
        <w:tc>
          <w:tcPr>
            <w:tcW w:w="3061" w:type="dxa"/>
            <w:tcMar>
              <w:top w:w="100" w:type="dxa"/>
              <w:left w:w="90" w:type="dxa"/>
              <w:bottom w:w="100" w:type="dxa"/>
              <w:right w:w="90" w:type="dxa"/>
              <w:start w:w="120" w:type="dxa"/>
              <w:end w:w="120" w:type="dxa"/>
            </w:tcMar>
            <w:vAlign w:val="center"/>
          </w:tcPr>
          <w:p w14:paraId="2E34833F" w14:textId="77777777" w:rsidR="00D11504" w:rsidRDefault="00000000">
            <w:pPr>
              <w:spacing w:after="0" w:line="360" w:lineRule="auto" w:before="0"/>
            </w:pPr>
            <w:r>
              <w:rPr>
                <w:rFonts w:ascii="Arial" w:hAnsi="Arial" w:eastAsia="Arial" w:cs="Arial"/>
                <w:sz w:val="24"/>
              </w:rPr>
              <w:t>3–6 months</w:t>
            </w:r>
          </w:p>
        </w:tc>
      </w:tr>
      <w:tr w:rsidR="00D11504" w14:paraId="2B109E49" w14:textId="77777777">
        <w:trPr>
          <w:cantSplit/>
        </w:trPr>
        <w:tc>
          <w:tcPr>
            <w:tcW w:w="2381" w:type="dxa"/>
            <w:tcMar>
              <w:top w:w="100" w:type="dxa"/>
              <w:left w:w="90" w:type="dxa"/>
              <w:bottom w:w="100" w:type="dxa"/>
              <w:right w:w="90" w:type="dxa"/>
              <w:start w:w="120" w:type="dxa"/>
              <w:end w:w="120" w:type="dxa"/>
            </w:tcMar>
            <w:vAlign w:val="center"/>
          </w:tcPr>
          <w:p w14:paraId="0632FC28" w14:textId="77777777" w:rsidR="00D11504" w:rsidRDefault="00000000">
            <w:pPr>
              <w:spacing w:after="0" w:line="360" w:lineRule="auto" w:before="0"/>
            </w:pPr>
            <w:r>
              <w:rPr>
                <w:rFonts w:ascii="Arial" w:hAnsi="Arial" w:eastAsia="Arial" w:cs="Arial"/>
                <w:sz w:val="24"/>
              </w:rPr>
              <w:t>Retain customers</w:t>
            </w:r>
          </w:p>
        </w:tc>
        <w:tc>
          <w:tcPr>
            <w:tcW w:w="2835" w:type="dxa"/>
            <w:tcMar>
              <w:top w:w="100" w:type="dxa"/>
              <w:left w:w="90" w:type="dxa"/>
              <w:bottom w:w="100" w:type="dxa"/>
              <w:right w:w="90" w:type="dxa"/>
              <w:start w:w="120" w:type="dxa"/>
              <w:end w:w="120" w:type="dxa"/>
            </w:tcMar>
            <w:vAlign w:val="center"/>
          </w:tcPr>
          <w:p w14:paraId="6D0042BA" w14:textId="77777777" w:rsidR="00D11504" w:rsidRDefault="00000000">
            <w:pPr>
              <w:spacing w:after="0" w:line="360" w:lineRule="auto" w:before="0"/>
            </w:pPr>
            <w:r>
              <w:rPr>
                <w:rFonts w:ascii="Arial" w:hAnsi="Arial" w:eastAsia="Arial" w:cs="Arial"/>
                <w:sz w:val="24"/>
              </w:rPr>
              <w:t>Repeat orders and customer retention</w:t>
            </w:r>
          </w:p>
        </w:tc>
        <w:tc>
          <w:tcPr>
            <w:tcW w:w="5669" w:type="dxa"/>
            <w:tcMar>
              <w:top w:w="100" w:type="dxa"/>
              <w:left w:w="90" w:type="dxa"/>
              <w:bottom w:w="100" w:type="dxa"/>
              <w:right w:w="90" w:type="dxa"/>
              <w:start w:w="120" w:type="dxa"/>
              <w:end w:w="120" w:type="dxa"/>
            </w:tcMar>
            <w:vAlign w:val="center"/>
          </w:tcPr>
          <w:p w14:paraId="3E0CBC40" w14:textId="77777777" w:rsidR="00D11504" w:rsidRDefault="00000000">
            <w:pPr>
              <w:spacing w:after="0" w:line="360" w:lineRule="auto" w:before="0"/>
            </w:pPr>
            <w:r>
              <w:rPr>
                <w:rFonts w:ascii="Arial" w:hAnsi="Arial" w:eastAsia="Arial" w:cs="Arial"/>
                <w:sz w:val="24"/>
              </w:rPr>
              <w:t>Monitor retention and repeat purchasing to establish whether new channels support continued customer demand</w:t>
            </w:r>
          </w:p>
        </w:tc>
        <w:tc>
          <w:tcPr>
            <w:tcW w:w="3061" w:type="dxa"/>
            <w:tcMar>
              <w:top w:w="100" w:type="dxa"/>
              <w:left w:w="90" w:type="dxa"/>
              <w:bottom w:w="100" w:type="dxa"/>
              <w:right w:w="90" w:type="dxa"/>
              <w:start w:w="120" w:type="dxa"/>
              <w:end w:w="120" w:type="dxa"/>
            </w:tcMar>
            <w:vAlign w:val="center"/>
          </w:tcPr>
          <w:p w14:paraId="099EC5A2" w14:textId="77777777" w:rsidR="00D11504" w:rsidRDefault="00000000">
            <w:pPr>
              <w:spacing w:after="0" w:line="360" w:lineRule="auto" w:before="0"/>
            </w:pPr>
            <w:r>
              <w:rPr>
                <w:rFonts w:ascii="Arial" w:hAnsi="Arial" w:eastAsia="Arial" w:cs="Arial"/>
                <w:sz w:val="24"/>
              </w:rPr>
              <w:t>6–12 months</w:t>
            </w:r>
          </w:p>
        </w:tc>
      </w:tr>
    </w:tbl>
    <w:p w14:paraId="37952678" w14:textId="77777777" w:rsidR="002F3BEE" w:rsidRDefault="002F3BEE">
      <w:pPr>
        <w:spacing w:line="360" w:lineRule="auto" w:before="0" w:after="120"/>
      </w:pPr>
    </w:p>
    <w:sectPr w:rsidR="002F3BEE" w:rsidSect="00034616">
      <w:pgSz w:w="16838" w:h="11906" w:orient="landscape"/>
      <w:pgMar w:top="1440" w:right="1440" w:bottom="1440" w:left="144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EF5BCBD" w14:textId="77777777" w:rsidR="0000109C" w:rsidRDefault="0000109C">
      <w:pPr>
        <w:spacing w:after="0" w:line="240" w:lineRule="auto"/>
      </w:pPr>
      <w:r>
        <w:separator/>
      </w:r>
    </w:p>
  </w:endnote>
  <w:endnote w:type="continuationSeparator" w:id="0">
    <w:p w14:paraId="12C16A8A" w14:textId="77777777" w:rsidR="0000109C" w:rsidRDefault="00001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B92140D" w14:textId="77777777" w:rsidR="00D11504" w:rsidRDefault="00000000">
    <w:pPr>
      <w:pStyle w:val="Footer"/>
      <w:jc w:val="center"/>
    </w:pPr>
    <w:r>
      <w:rPr>
        <w:rFonts w:ascii="Arial" w:hAnsi="Arial" w:eastAsia="Arial" w:cs="Arial"/>
        <w:sz w:val="24"/>
      </w:rPr>
      <w:fldChar w:fldCharType="begin"/>
    </w:r>
    <w:r>
      <w:rPr>
        <w:rFonts w:ascii="Arial" w:hAnsi="Arial" w:eastAsia="Arial" w:cs="Arial"/>
        <w:sz w:val="24"/>
      </w:rPr>
      <w:instrText xml:space="preserve"> PAGE </w:instrText>
    </w:r>
    <w:r>
      <w:rPr>
        <w:rFonts w:ascii="Arial" w:hAnsi="Arial" w:eastAsia="Arial" w:cs="Arial"/>
        <w:sz w:val="24"/>
      </w:rPr>
      <w:fldChar w:fldCharType="separate"/>
    </w:r>
    <w:r w:rsidR="0078140E">
      <w:rPr>
        <w:rFonts w:ascii="Arial" w:hAnsi="Arial" w:eastAsia="Arial" w:cs="Arial"/>
        <w:noProof/>
        <w:sz w:val="24"/>
      </w:rPr>
      <w:t>2</w:t>
    </w:r>
    <w:r>
      <w:rPr>
        <w:rFonts w:ascii="Arial" w:hAnsi="Arial" w:eastAsia="Arial" w:cs="Arial"/>
        <w:sz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E7C3C3F" w14:textId="77777777" w:rsidR="00D11504" w:rsidRDefault="00D115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E6B013B" w14:textId="77777777" w:rsidR="0000109C" w:rsidRDefault="0000109C">
      <w:pPr>
        <w:spacing w:after="0" w:line="240" w:lineRule="auto"/>
      </w:pPr>
      <w:r>
        <w:separator/>
      </w:r>
    </w:p>
  </w:footnote>
  <w:footnote w:type="continuationSeparator" w:id="0">
    <w:p w14:paraId="0D4F8A77" w14:textId="77777777" w:rsidR="0000109C" w:rsidRDefault="000010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67999718">
    <w:abstractNumId w:val="8"/>
  </w:num>
  <w:num w:numId="2" w16cid:durableId="1605649885">
    <w:abstractNumId w:val="6"/>
  </w:num>
  <w:num w:numId="3" w16cid:durableId="1238592452">
    <w:abstractNumId w:val="5"/>
  </w:num>
  <w:num w:numId="4" w16cid:durableId="287904677">
    <w:abstractNumId w:val="4"/>
  </w:num>
  <w:num w:numId="5" w16cid:durableId="1088965922">
    <w:abstractNumId w:val="7"/>
  </w:num>
  <w:num w:numId="6" w16cid:durableId="845630340">
    <w:abstractNumId w:val="3"/>
  </w:num>
  <w:num w:numId="7" w16cid:durableId="1521159410">
    <w:abstractNumId w:val="2"/>
  </w:num>
  <w:num w:numId="8" w16cid:durableId="873158227">
    <w:abstractNumId w:val="1"/>
  </w:num>
  <w:num w:numId="9" w16cid:durableId="52621191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09C"/>
    <w:rsid w:val="00034616"/>
    <w:rsid w:val="0006063C"/>
    <w:rsid w:val="0015074B"/>
    <w:rsid w:val="00217FD7"/>
    <w:rsid w:val="0029639D"/>
    <w:rsid w:val="002F3BEE"/>
    <w:rsid w:val="00326F90"/>
    <w:rsid w:val="0078140E"/>
    <w:rsid w:val="00AA1D8D"/>
    <w:rsid w:val="00B47730"/>
    <w:rsid w:val="00C039C7"/>
    <w:rsid w:val="00CB0664"/>
    <w:rsid w:val="00D1150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3564EB"/>
  <w14:defaultImageDpi w14:val="300"/>
  <w15:docId w15:val="{64A16C7E-F341-9548-96F9-29C1B9D82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before="0"/>
    </w:pPr>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240" w:line="360" w:lineRule="auto" w:after="120"/>
      <w:outlineLvl w:val="0"/>
    </w:pPr>
    <w:rPr>
      <w:rFonts w:asciiTheme="majorHAnsi" w:eastAsiaTheme="majorEastAsia" w:hAnsiTheme="majorHAnsi" w:cstheme="majorBidi" w:ascii="Arial" w:hAnsi="Arial"/>
      <w:b/>
      <w:bCs/>
      <w:sz w:val="24"/>
      <w:szCs w:val="28"/>
    </w:rPr>
  </w:style>
  <w:style w:type="paragraph" w:styleId="Heading2">
    <w:name w:val="heading 2"/>
    <w:basedOn w:val="Normal"/>
    <w:next w:val="Normal"/>
    <w:link w:val="Heading2Char"/>
    <w:uiPriority w:val="9"/>
    <w:unhideWhenUsed/>
    <w:qFormat/>
    <w:rsid w:val="00FC693F"/>
    <w:pPr>
      <w:keepNext/>
      <w:keepLines/>
      <w:spacing w:before="120" w:line="360" w:lineRule="auto" w:after="120"/>
      <w:outlineLvl w:val="1"/>
    </w:pPr>
    <w:rPr>
      <w:rFonts w:asciiTheme="majorHAnsi" w:eastAsiaTheme="majorEastAsia" w:hAnsiTheme="majorHAnsi" w:cstheme="majorBidi" w:ascii="Arial" w:hAnsi="Arial"/>
      <w:b/>
      <w:bCs/>
      <w:sz w:val="24"/>
      <w:szCs w:val="26"/>
    </w:rPr>
  </w:style>
  <w:style w:type="paragraph" w:styleId="Heading3">
    <w:name w:val="heading 3"/>
    <w:basedOn w:val="Normal"/>
    <w:next w:val="Normal"/>
    <w:link w:val="Heading3Char"/>
    <w:uiPriority w:val="9"/>
    <w:unhideWhenUsed/>
    <w:qFormat/>
    <w:rsid w:val="00FC693F"/>
    <w:pPr>
      <w:keepNext/>
      <w:keepLines/>
      <w:spacing w:before="120" w:after="120" w:line="360" w:lineRule="auto"/>
      <w:outlineLvl w:val="2"/>
    </w:pPr>
    <w:rPr>
      <w:rFonts w:asciiTheme="majorHAnsi" w:eastAsiaTheme="majorEastAsia" w:hAnsiTheme="majorHAnsi" w:cstheme="majorBidi" w:ascii="Arial" w:hAnsi="Arial"/>
      <w:b/>
      <w:bCs/>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spacing w:line="360" w:lineRule="auto" w:before="0" w:after="60"/>
      <w:ind w:left="720"/>
      <w:contextualSpacing/>
    </w:pPr>
    <w:rPr>
      <w:rFonts w:ascii="Arial" w:hAnsi="Arial"/>
      <w:sz w:val="24"/>
    </w:r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360" w:lineRule="auto" w:before="0" w:after="60"/>
      <w:contextualSpacing/>
    </w:pPr>
    <w:rPr>
      <w:rFonts w:ascii="Arial" w:hAnsi="Arial"/>
      <w:sz w:val="24"/>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217FD7"/>
    <w:pPr>
      <w:spacing w:before="0" w:beforeAutospacing="1" w:after="120" w:afterAutospacing="1" w:line="360" w:lineRule="auto"/>
    </w:pPr>
    <w:rPr>
      <w:rFonts w:ascii="Arial" w:eastAsia="Times New Roman" w:hAnsi="Arial"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3717</Words>
  <Characters>21189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24857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Basil's Bakery — Component 2 Individual Report</dc:title>
  <dc:subject>LCLM4004 Problem Solving and Decision Making</dc:subject>
  <dc:creator>Oksana Bielova</dc:creator>
  <cp:keywords/>
  <dc:description>generated by python-docx</dc:description>
  <cp:lastModifiedBy>Oksana Bielova (2526746)</cp:lastModifiedBy>
  <cp:revision>2</cp:revision>
  <dcterms:created xsi:type="dcterms:W3CDTF">2026-08-16T10:37:00Z</dcterms:created>
  <dcterms:modified xsi:type="dcterms:W3CDTF">2026-08-16T10:37:00Z</dcterms:modified>
  <cp:category/>
</cp:coreProperties>
</file>