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CCC5B" w14:textId="21B25EE9" w:rsidR="0051414A" w:rsidRDefault="0051414A">
      <w:pPr>
        <w:rPr>
          <w:rFonts w:ascii="Calibri Light" w:hAnsi="Calibri Light" w:cs="Calibri Light"/>
          <w:sz w:val="28"/>
          <w:szCs w:val="28"/>
        </w:rPr>
      </w:pPr>
      <w:r>
        <w:rPr>
          <w:rFonts w:ascii="Calibri Light" w:hAnsi="Calibri Light" w:cs="Calibri Light"/>
          <w:sz w:val="28"/>
          <w:szCs w:val="28"/>
        </w:rPr>
        <w:t xml:space="preserve">Personal injury small claims are legal mechanisms through which individuals can seek compensation for injuries or damages in a simplified and expedited manner. This process is typically applicable to cases where the amount of money being claimed is relatively small. The underlying principle of personal injury small claims is to provide an accessible and efficient avenue for individuals to resolve their disputes without the need for lengthy and complex litigation. One of the key advantages of personal injury small claims is that they are designed to be user-friendly and less formal compared to traditional proceedings. This means that individuals can represent themselves without the need for legal representation, although they can still choose to seek legal advice if they wish. This process in generally more streamlined with simplified forms, shorter frame times and less stringent evidentiary requirements. </w:t>
      </w:r>
      <w:r w:rsidR="00CE0AF3">
        <w:rPr>
          <w:rFonts w:ascii="Calibri Light" w:hAnsi="Calibri Light" w:cs="Calibri Light"/>
          <w:sz w:val="28"/>
          <w:szCs w:val="28"/>
        </w:rPr>
        <w:t xml:space="preserve">Changes </w:t>
      </w:r>
      <w:r w:rsidR="009454CE">
        <w:rPr>
          <w:rFonts w:ascii="Calibri Light" w:hAnsi="Calibri Light" w:cs="Calibri Light"/>
          <w:sz w:val="28"/>
          <w:szCs w:val="28"/>
        </w:rPr>
        <w:t xml:space="preserve">were made to the Personal Injury Small Claims Procedure </w:t>
      </w:r>
      <w:r w:rsidR="002C02FF">
        <w:rPr>
          <w:rFonts w:ascii="Calibri Light" w:hAnsi="Calibri Light" w:cs="Calibri Light"/>
          <w:sz w:val="28"/>
          <w:szCs w:val="28"/>
        </w:rPr>
        <w:t>on the 31</w:t>
      </w:r>
      <w:r w:rsidR="002C02FF" w:rsidRPr="002C02FF">
        <w:rPr>
          <w:rFonts w:ascii="Calibri Light" w:hAnsi="Calibri Light" w:cs="Calibri Light"/>
          <w:sz w:val="28"/>
          <w:szCs w:val="28"/>
          <w:vertAlign w:val="superscript"/>
        </w:rPr>
        <w:t>st</w:t>
      </w:r>
      <w:r w:rsidR="002C02FF">
        <w:rPr>
          <w:rFonts w:ascii="Calibri Light" w:hAnsi="Calibri Light" w:cs="Calibri Light"/>
          <w:sz w:val="28"/>
          <w:szCs w:val="28"/>
        </w:rPr>
        <w:t xml:space="preserve"> of May 2021 and these changes resulted in </w:t>
      </w:r>
      <w:r w:rsidR="003064D4">
        <w:rPr>
          <w:rFonts w:ascii="Calibri Light" w:hAnsi="Calibri Light" w:cs="Calibri Light"/>
          <w:sz w:val="28"/>
          <w:szCs w:val="28"/>
        </w:rPr>
        <w:t xml:space="preserve">in more cases in court being brought by litigants in person. </w:t>
      </w:r>
      <w:r w:rsidR="00AC1A84">
        <w:rPr>
          <w:rFonts w:ascii="Calibri Light" w:hAnsi="Calibri Light" w:cs="Calibri Light"/>
          <w:sz w:val="28"/>
          <w:szCs w:val="28"/>
        </w:rPr>
        <w:t xml:space="preserve">These changes have the potential </w:t>
      </w:r>
      <w:r w:rsidR="00CD784A">
        <w:rPr>
          <w:rFonts w:ascii="Calibri Light" w:hAnsi="Calibri Light" w:cs="Calibri Light"/>
          <w:sz w:val="28"/>
          <w:szCs w:val="28"/>
        </w:rPr>
        <w:t>to impact individuals who chose to represent themselves in court</w:t>
      </w:r>
      <w:r w:rsidR="003D42E4">
        <w:rPr>
          <w:rFonts w:ascii="Calibri Light" w:hAnsi="Calibri Light" w:cs="Calibri Light"/>
          <w:sz w:val="28"/>
          <w:szCs w:val="28"/>
        </w:rPr>
        <w:t xml:space="preserve">, </w:t>
      </w:r>
      <w:r w:rsidR="00134518">
        <w:rPr>
          <w:rFonts w:ascii="Calibri Light" w:hAnsi="Calibri Light" w:cs="Calibri Light"/>
          <w:sz w:val="28"/>
          <w:szCs w:val="28"/>
        </w:rPr>
        <w:t>possibly affecting ac</w:t>
      </w:r>
      <w:r w:rsidR="003D5352">
        <w:rPr>
          <w:rFonts w:ascii="Calibri Light" w:hAnsi="Calibri Light" w:cs="Calibri Light"/>
          <w:sz w:val="28"/>
          <w:szCs w:val="28"/>
        </w:rPr>
        <w:t>cess to justice and the dynamics of personal injury claims.</w:t>
      </w:r>
      <w:r w:rsidR="0065698C">
        <w:rPr>
          <w:rFonts w:ascii="Calibri Light" w:hAnsi="Calibri Light" w:cs="Calibri Light"/>
          <w:sz w:val="28"/>
          <w:szCs w:val="28"/>
        </w:rPr>
        <w:t xml:space="preserve"> </w:t>
      </w:r>
    </w:p>
    <w:p w14:paraId="738D3EE2" w14:textId="1BA30A20" w:rsidR="0002718A" w:rsidRDefault="005D57AB">
      <w:pPr>
        <w:rPr>
          <w:rFonts w:ascii="Calibri Light" w:hAnsi="Calibri Light" w:cs="Calibri Light"/>
          <w:sz w:val="28"/>
          <w:szCs w:val="28"/>
        </w:rPr>
      </w:pPr>
      <w:r>
        <w:rPr>
          <w:rFonts w:ascii="Calibri Light" w:hAnsi="Calibri Light" w:cs="Calibri Light"/>
          <w:sz w:val="28"/>
          <w:szCs w:val="28"/>
        </w:rPr>
        <w:t xml:space="preserve">The Civil Procedure Rules 1998 (CPR 1998) </w:t>
      </w:r>
      <w:r w:rsidR="00B11814">
        <w:rPr>
          <w:rFonts w:ascii="Calibri Light" w:hAnsi="Calibri Light" w:cs="Calibri Light"/>
          <w:sz w:val="28"/>
          <w:szCs w:val="28"/>
        </w:rPr>
        <w:t xml:space="preserve">are a set of regulations </w:t>
      </w:r>
      <w:r w:rsidR="00A75A89">
        <w:rPr>
          <w:rFonts w:ascii="Calibri Light" w:hAnsi="Calibri Light" w:cs="Calibri Light"/>
          <w:sz w:val="28"/>
          <w:szCs w:val="28"/>
        </w:rPr>
        <w:t xml:space="preserve">that govern the procedural aspects of civil litigation </w:t>
      </w:r>
      <w:r w:rsidR="00627B82">
        <w:rPr>
          <w:rFonts w:ascii="Calibri Light" w:hAnsi="Calibri Light" w:cs="Calibri Light"/>
          <w:sz w:val="28"/>
          <w:szCs w:val="28"/>
        </w:rPr>
        <w:t xml:space="preserve">cases in England and Wales. These rules </w:t>
      </w:r>
      <w:r w:rsidR="000C00C8">
        <w:rPr>
          <w:rFonts w:ascii="Calibri Light" w:hAnsi="Calibri Light" w:cs="Calibri Light"/>
          <w:sz w:val="28"/>
          <w:szCs w:val="28"/>
        </w:rPr>
        <w:t xml:space="preserve">were implemented with the aim of ensuring fairness, efficiency and access to justice within the civil justice </w:t>
      </w:r>
      <w:r w:rsidR="00C72A3E">
        <w:rPr>
          <w:rFonts w:ascii="Calibri Light" w:hAnsi="Calibri Light" w:cs="Calibri Light"/>
          <w:sz w:val="28"/>
          <w:szCs w:val="28"/>
        </w:rPr>
        <w:t>system</w:t>
      </w:r>
      <w:r w:rsidR="00585CF0">
        <w:rPr>
          <w:rFonts w:ascii="Calibri Light" w:hAnsi="Calibri Light" w:cs="Calibri Light"/>
          <w:sz w:val="28"/>
          <w:szCs w:val="28"/>
        </w:rPr>
        <w:t xml:space="preserve"> </w:t>
      </w:r>
      <w:sdt>
        <w:sdtPr>
          <w:rPr>
            <w:rFonts w:ascii="Calibri Light" w:hAnsi="Calibri Light" w:cs="Calibri Light"/>
            <w:sz w:val="28"/>
            <w:szCs w:val="28"/>
          </w:rPr>
          <w:id w:val="1302724084"/>
          <w:citation/>
        </w:sdtPr>
        <w:sdtContent>
          <w:r w:rsidR="00585CF0">
            <w:rPr>
              <w:rFonts w:ascii="Calibri Light" w:hAnsi="Calibri Light" w:cs="Calibri Light"/>
              <w:sz w:val="28"/>
              <w:szCs w:val="28"/>
            </w:rPr>
            <w:fldChar w:fldCharType="begin"/>
          </w:r>
          <w:r w:rsidR="00585CF0">
            <w:rPr>
              <w:rFonts w:ascii="Calibri Light" w:hAnsi="Calibri Light" w:cs="Calibri Light"/>
              <w:sz w:val="28"/>
              <w:szCs w:val="28"/>
            </w:rPr>
            <w:instrText xml:space="preserve"> CITATION Leg243 \l 2057 </w:instrText>
          </w:r>
          <w:r w:rsidR="00585CF0">
            <w:rPr>
              <w:rFonts w:ascii="Calibri Light" w:hAnsi="Calibri Light" w:cs="Calibri Light"/>
              <w:sz w:val="28"/>
              <w:szCs w:val="28"/>
            </w:rPr>
            <w:fldChar w:fldCharType="separate"/>
          </w:r>
          <w:r w:rsidR="00585CF0" w:rsidRPr="00585CF0">
            <w:rPr>
              <w:rFonts w:ascii="Calibri Light" w:hAnsi="Calibri Light" w:cs="Calibri Light"/>
              <w:noProof/>
              <w:sz w:val="28"/>
              <w:szCs w:val="28"/>
            </w:rPr>
            <w:t>(Legislation, 2024)</w:t>
          </w:r>
          <w:r w:rsidR="00585CF0">
            <w:rPr>
              <w:rFonts w:ascii="Calibri Light" w:hAnsi="Calibri Light" w:cs="Calibri Light"/>
              <w:sz w:val="28"/>
              <w:szCs w:val="28"/>
            </w:rPr>
            <w:fldChar w:fldCharType="end"/>
          </w:r>
        </w:sdtContent>
      </w:sdt>
      <w:r w:rsidR="00585CF0">
        <w:rPr>
          <w:rFonts w:ascii="Calibri Light" w:hAnsi="Calibri Light" w:cs="Calibri Light"/>
          <w:sz w:val="28"/>
          <w:szCs w:val="28"/>
        </w:rPr>
        <w:t>.</w:t>
      </w:r>
      <w:r w:rsidR="00C72A3E">
        <w:rPr>
          <w:rFonts w:ascii="Calibri Light" w:hAnsi="Calibri Light" w:cs="Calibri Light"/>
          <w:sz w:val="28"/>
          <w:szCs w:val="28"/>
        </w:rPr>
        <w:t xml:space="preserve"> The CPR 1998 encompass various facets of civil </w:t>
      </w:r>
      <w:r w:rsidR="008B16F5">
        <w:rPr>
          <w:rFonts w:ascii="Calibri Light" w:hAnsi="Calibri Light" w:cs="Calibri Light"/>
          <w:sz w:val="28"/>
          <w:szCs w:val="28"/>
        </w:rPr>
        <w:t>litigation, including the initiation of legal proceedings</w:t>
      </w:r>
      <w:r w:rsidR="00864664">
        <w:rPr>
          <w:rFonts w:ascii="Calibri Light" w:hAnsi="Calibri Light" w:cs="Calibri Light"/>
          <w:sz w:val="28"/>
          <w:szCs w:val="28"/>
        </w:rPr>
        <w:t xml:space="preserve">, case management, the disclosure of relevant documents, the preparation of witness statements, </w:t>
      </w:r>
      <w:r w:rsidR="00642F2A">
        <w:rPr>
          <w:rFonts w:ascii="Calibri Light" w:hAnsi="Calibri Light" w:cs="Calibri Light"/>
          <w:sz w:val="28"/>
          <w:szCs w:val="28"/>
        </w:rPr>
        <w:t>the introduction of expert evidence, the conduct of hearings and the process of appealing decisions</w:t>
      </w:r>
      <w:r w:rsidR="00F9740D">
        <w:rPr>
          <w:rFonts w:ascii="Calibri Light" w:hAnsi="Calibri Light" w:cs="Calibri Light"/>
          <w:sz w:val="28"/>
          <w:szCs w:val="28"/>
        </w:rPr>
        <w:t xml:space="preserve">. </w:t>
      </w:r>
      <w:r w:rsidR="0032330A">
        <w:rPr>
          <w:rFonts w:ascii="Calibri Light" w:hAnsi="Calibri Light" w:cs="Calibri Light"/>
          <w:sz w:val="28"/>
          <w:szCs w:val="28"/>
        </w:rPr>
        <w:t xml:space="preserve">These rules provide a comprehensive framework for the conduct of civil cases, with the </w:t>
      </w:r>
      <w:r w:rsidR="005B7875">
        <w:rPr>
          <w:rFonts w:ascii="Calibri Light" w:hAnsi="Calibri Light" w:cs="Calibri Light"/>
          <w:sz w:val="28"/>
          <w:szCs w:val="28"/>
        </w:rPr>
        <w:t>overarching</w:t>
      </w:r>
      <w:r w:rsidR="0032330A">
        <w:rPr>
          <w:rFonts w:ascii="Calibri Light" w:hAnsi="Calibri Light" w:cs="Calibri Light"/>
          <w:sz w:val="28"/>
          <w:szCs w:val="28"/>
        </w:rPr>
        <w:t xml:space="preserve"> </w:t>
      </w:r>
      <w:r w:rsidR="005B7875">
        <w:rPr>
          <w:rFonts w:ascii="Calibri Light" w:hAnsi="Calibri Light" w:cs="Calibri Light"/>
          <w:sz w:val="28"/>
          <w:szCs w:val="28"/>
        </w:rPr>
        <w:t xml:space="preserve">goal of ensuring that parties are treated </w:t>
      </w:r>
      <w:r w:rsidR="007A391F">
        <w:rPr>
          <w:rFonts w:ascii="Calibri Light" w:hAnsi="Calibri Light" w:cs="Calibri Light"/>
          <w:sz w:val="28"/>
          <w:szCs w:val="28"/>
        </w:rPr>
        <w:t>fairly,</w:t>
      </w:r>
      <w:r w:rsidR="005B7875">
        <w:rPr>
          <w:rFonts w:ascii="Calibri Light" w:hAnsi="Calibri Light" w:cs="Calibri Light"/>
          <w:sz w:val="28"/>
          <w:szCs w:val="28"/>
        </w:rPr>
        <w:t xml:space="preserve"> and the cases are resolved in a timely and efficient way</w:t>
      </w:r>
      <w:r w:rsidR="008D137C">
        <w:rPr>
          <w:rFonts w:ascii="Calibri Light" w:hAnsi="Calibri Light" w:cs="Calibri Light"/>
          <w:sz w:val="28"/>
          <w:szCs w:val="28"/>
        </w:rPr>
        <w:t xml:space="preserve"> </w:t>
      </w:r>
      <w:sdt>
        <w:sdtPr>
          <w:rPr>
            <w:rFonts w:ascii="Calibri Light" w:hAnsi="Calibri Light" w:cs="Calibri Light"/>
            <w:sz w:val="28"/>
            <w:szCs w:val="28"/>
          </w:rPr>
          <w:id w:val="1162818988"/>
          <w:citation/>
        </w:sdtPr>
        <w:sdtContent>
          <w:r w:rsidR="008D137C">
            <w:rPr>
              <w:rFonts w:ascii="Calibri Light" w:hAnsi="Calibri Light" w:cs="Calibri Light"/>
              <w:sz w:val="28"/>
              <w:szCs w:val="28"/>
            </w:rPr>
            <w:fldChar w:fldCharType="begin"/>
          </w:r>
          <w:r w:rsidR="008D137C">
            <w:rPr>
              <w:rFonts w:ascii="Calibri Light" w:hAnsi="Calibri Light" w:cs="Calibri Light"/>
              <w:sz w:val="28"/>
              <w:szCs w:val="28"/>
            </w:rPr>
            <w:instrText xml:space="preserve"> CITATION Wil17 \l 2057 </w:instrText>
          </w:r>
          <w:r w:rsidR="008D137C">
            <w:rPr>
              <w:rFonts w:ascii="Calibri Light" w:hAnsi="Calibri Light" w:cs="Calibri Light"/>
              <w:sz w:val="28"/>
              <w:szCs w:val="28"/>
            </w:rPr>
            <w:fldChar w:fldCharType="separate"/>
          </w:r>
          <w:r w:rsidR="008D137C" w:rsidRPr="008D137C">
            <w:rPr>
              <w:rFonts w:ascii="Calibri Light" w:hAnsi="Calibri Light" w:cs="Calibri Light"/>
              <w:noProof/>
              <w:sz w:val="28"/>
              <w:szCs w:val="28"/>
            </w:rPr>
            <w:t>(Wilsons LLP, 2017)</w:t>
          </w:r>
          <w:r w:rsidR="008D137C">
            <w:rPr>
              <w:rFonts w:ascii="Calibri Light" w:hAnsi="Calibri Light" w:cs="Calibri Light"/>
              <w:sz w:val="28"/>
              <w:szCs w:val="28"/>
            </w:rPr>
            <w:fldChar w:fldCharType="end"/>
          </w:r>
        </w:sdtContent>
      </w:sdt>
      <w:r w:rsidR="008D137C">
        <w:rPr>
          <w:rFonts w:ascii="Calibri Light" w:hAnsi="Calibri Light" w:cs="Calibri Light"/>
          <w:sz w:val="28"/>
          <w:szCs w:val="28"/>
        </w:rPr>
        <w:t>.</w:t>
      </w:r>
      <w:r w:rsidR="005B7875">
        <w:rPr>
          <w:rFonts w:ascii="Calibri Light" w:hAnsi="Calibri Light" w:cs="Calibri Light"/>
          <w:sz w:val="28"/>
          <w:szCs w:val="28"/>
        </w:rPr>
        <w:t xml:space="preserve"> </w:t>
      </w:r>
      <w:r w:rsidR="007A391F">
        <w:rPr>
          <w:rFonts w:ascii="Calibri Light" w:hAnsi="Calibri Light" w:cs="Calibri Light"/>
          <w:sz w:val="28"/>
          <w:szCs w:val="28"/>
        </w:rPr>
        <w:t xml:space="preserve">An important objective of the CPR 1998 is to encourage open and early </w:t>
      </w:r>
      <w:r w:rsidR="00A778E2">
        <w:rPr>
          <w:rFonts w:ascii="Calibri Light" w:hAnsi="Calibri Light" w:cs="Calibri Light"/>
          <w:sz w:val="28"/>
          <w:szCs w:val="28"/>
        </w:rPr>
        <w:t>communication</w:t>
      </w:r>
      <w:r w:rsidR="007A391F">
        <w:rPr>
          <w:rFonts w:ascii="Calibri Light" w:hAnsi="Calibri Light" w:cs="Calibri Light"/>
          <w:sz w:val="28"/>
          <w:szCs w:val="28"/>
        </w:rPr>
        <w:t xml:space="preserve"> </w:t>
      </w:r>
      <w:r w:rsidR="00A778E2">
        <w:rPr>
          <w:rFonts w:ascii="Calibri Light" w:hAnsi="Calibri Light" w:cs="Calibri Light"/>
          <w:sz w:val="28"/>
          <w:szCs w:val="28"/>
        </w:rPr>
        <w:t xml:space="preserve">between parties, thereby promoting the possibility of settlement and reducing </w:t>
      </w:r>
      <w:r w:rsidR="00E90D3E">
        <w:rPr>
          <w:rFonts w:ascii="Calibri Light" w:hAnsi="Calibri Light" w:cs="Calibri Light"/>
          <w:sz w:val="28"/>
          <w:szCs w:val="28"/>
        </w:rPr>
        <w:t xml:space="preserve">the need for protracted litigation. The rules also emphasise the principle of </w:t>
      </w:r>
      <w:r w:rsidR="007C49F7">
        <w:rPr>
          <w:rFonts w:ascii="Calibri Light" w:hAnsi="Calibri Light" w:cs="Calibri Light"/>
          <w:sz w:val="28"/>
          <w:szCs w:val="28"/>
        </w:rPr>
        <w:t xml:space="preserve">proportionality, requiring parties to consider the costs and resources involved in pursing or defending claims. Over the years, the CPR 1998 have undergone various amendments and updates </w:t>
      </w:r>
      <w:r w:rsidR="00516326">
        <w:rPr>
          <w:rFonts w:ascii="Calibri Light" w:hAnsi="Calibri Light" w:cs="Calibri Light"/>
          <w:sz w:val="28"/>
          <w:szCs w:val="28"/>
        </w:rPr>
        <w:t xml:space="preserve">to adapt to changes in legal practice and advancements in technology. </w:t>
      </w:r>
      <w:r w:rsidR="004A29ED">
        <w:rPr>
          <w:rFonts w:ascii="Calibri Light" w:hAnsi="Calibri Light" w:cs="Calibri Light"/>
          <w:sz w:val="28"/>
          <w:szCs w:val="28"/>
        </w:rPr>
        <w:lastRenderedPageBreak/>
        <w:t xml:space="preserve">It is crucial for legal professionals and </w:t>
      </w:r>
      <w:r w:rsidR="00816914">
        <w:rPr>
          <w:rFonts w:ascii="Calibri Light" w:hAnsi="Calibri Light" w:cs="Calibri Light"/>
          <w:sz w:val="28"/>
          <w:szCs w:val="28"/>
        </w:rPr>
        <w:t>individuals</w:t>
      </w:r>
      <w:r w:rsidR="004A29ED">
        <w:rPr>
          <w:rFonts w:ascii="Calibri Light" w:hAnsi="Calibri Light" w:cs="Calibri Light"/>
          <w:sz w:val="28"/>
          <w:szCs w:val="28"/>
        </w:rPr>
        <w:t xml:space="preserve"> involved in civil litigation to remain </w:t>
      </w:r>
      <w:r w:rsidR="00B31EC9">
        <w:rPr>
          <w:rFonts w:ascii="Calibri Light" w:hAnsi="Calibri Light" w:cs="Calibri Light"/>
          <w:sz w:val="28"/>
          <w:szCs w:val="28"/>
        </w:rPr>
        <w:t>up to date</w:t>
      </w:r>
      <w:r w:rsidR="004A29ED">
        <w:rPr>
          <w:rFonts w:ascii="Calibri Light" w:hAnsi="Calibri Light" w:cs="Calibri Light"/>
          <w:sz w:val="28"/>
          <w:szCs w:val="28"/>
        </w:rPr>
        <w:t xml:space="preserve"> with latest versions of these rules</w:t>
      </w:r>
      <w:r w:rsidR="00816914">
        <w:rPr>
          <w:rFonts w:ascii="Calibri Light" w:hAnsi="Calibri Light" w:cs="Calibri Light"/>
          <w:sz w:val="28"/>
          <w:szCs w:val="28"/>
        </w:rPr>
        <w:t xml:space="preserve"> to ensure compliance and effective case management</w:t>
      </w:r>
      <w:r w:rsidR="00121A86">
        <w:rPr>
          <w:rFonts w:ascii="Calibri Light" w:hAnsi="Calibri Light" w:cs="Calibri Light"/>
          <w:sz w:val="28"/>
          <w:szCs w:val="28"/>
        </w:rPr>
        <w:t xml:space="preserve"> </w:t>
      </w:r>
      <w:sdt>
        <w:sdtPr>
          <w:rPr>
            <w:rFonts w:ascii="Calibri Light" w:hAnsi="Calibri Light" w:cs="Calibri Light"/>
            <w:sz w:val="28"/>
            <w:szCs w:val="28"/>
          </w:rPr>
          <w:id w:val="561829896"/>
          <w:citation/>
        </w:sdtPr>
        <w:sdtContent>
          <w:r w:rsidR="00121A86">
            <w:rPr>
              <w:rFonts w:ascii="Calibri Light" w:hAnsi="Calibri Light" w:cs="Calibri Light"/>
              <w:sz w:val="28"/>
              <w:szCs w:val="28"/>
            </w:rPr>
            <w:fldChar w:fldCharType="begin"/>
          </w:r>
          <w:r w:rsidR="00121A86">
            <w:rPr>
              <w:rFonts w:ascii="Calibri Light" w:hAnsi="Calibri Light" w:cs="Calibri Light"/>
              <w:sz w:val="28"/>
              <w:szCs w:val="28"/>
            </w:rPr>
            <w:instrText xml:space="preserve"> CITATION Jus24 \l 2057 </w:instrText>
          </w:r>
          <w:r w:rsidR="00121A86">
            <w:rPr>
              <w:rFonts w:ascii="Calibri Light" w:hAnsi="Calibri Light" w:cs="Calibri Light"/>
              <w:sz w:val="28"/>
              <w:szCs w:val="28"/>
            </w:rPr>
            <w:fldChar w:fldCharType="separate"/>
          </w:r>
          <w:r w:rsidR="00121A86" w:rsidRPr="00121A86">
            <w:rPr>
              <w:rFonts w:ascii="Calibri Light" w:hAnsi="Calibri Light" w:cs="Calibri Light"/>
              <w:noProof/>
              <w:sz w:val="28"/>
              <w:szCs w:val="28"/>
            </w:rPr>
            <w:t>(Justice, 2024)</w:t>
          </w:r>
          <w:r w:rsidR="00121A86">
            <w:rPr>
              <w:rFonts w:ascii="Calibri Light" w:hAnsi="Calibri Light" w:cs="Calibri Light"/>
              <w:sz w:val="28"/>
              <w:szCs w:val="28"/>
            </w:rPr>
            <w:fldChar w:fldCharType="end"/>
          </w:r>
        </w:sdtContent>
      </w:sdt>
      <w:r w:rsidR="00121A86">
        <w:rPr>
          <w:rFonts w:ascii="Calibri Light" w:hAnsi="Calibri Light" w:cs="Calibri Light"/>
          <w:sz w:val="28"/>
          <w:szCs w:val="28"/>
        </w:rPr>
        <w:t>.</w:t>
      </w:r>
      <w:r w:rsidR="00816914">
        <w:rPr>
          <w:rFonts w:ascii="Calibri Light" w:hAnsi="Calibri Light" w:cs="Calibri Light"/>
          <w:sz w:val="28"/>
          <w:szCs w:val="28"/>
        </w:rPr>
        <w:t xml:space="preserve"> </w:t>
      </w:r>
    </w:p>
    <w:p w14:paraId="389E0DEB" w14:textId="421230AA" w:rsidR="00353786" w:rsidRDefault="00353786">
      <w:pPr>
        <w:rPr>
          <w:rFonts w:ascii="Calibri Light" w:hAnsi="Calibri Light" w:cs="Calibri Light"/>
          <w:sz w:val="28"/>
          <w:szCs w:val="28"/>
        </w:rPr>
      </w:pPr>
      <w:r>
        <w:rPr>
          <w:rFonts w:ascii="Calibri Light" w:hAnsi="Calibri Light" w:cs="Calibri Light"/>
          <w:sz w:val="28"/>
          <w:szCs w:val="28"/>
        </w:rPr>
        <w:t>In the United Kingdom, personal injury claims are subject to a pre-action protocol, which serves as a framework for the steps that should be taken before initiating formal legal proceedings. The pre-action protocol aims to promote early communication, exchange of relevant information and settle discussions between the parties involved, with the ultimate goal of resolving the claim without resorting to court proceedings. The pre-action protocol for personal injuries claims in the UK encompasses a series of guidelines that outline the specific actions and procedures to be followed by both claimants and defendants</w:t>
      </w:r>
      <w:r w:rsidR="006D4DE7">
        <w:rPr>
          <w:rFonts w:ascii="Calibri Light" w:hAnsi="Calibri Light" w:cs="Calibri Light"/>
          <w:sz w:val="28"/>
          <w:szCs w:val="28"/>
        </w:rPr>
        <w:t xml:space="preserve"> </w:t>
      </w:r>
      <w:sdt>
        <w:sdtPr>
          <w:rPr>
            <w:rFonts w:ascii="Calibri Light" w:hAnsi="Calibri Light" w:cs="Calibri Light"/>
            <w:sz w:val="28"/>
            <w:szCs w:val="28"/>
          </w:rPr>
          <w:id w:val="1777203894"/>
          <w:citation/>
        </w:sdtPr>
        <w:sdtContent>
          <w:r w:rsidR="006D4DE7">
            <w:rPr>
              <w:rFonts w:ascii="Calibri Light" w:hAnsi="Calibri Light" w:cs="Calibri Light"/>
              <w:sz w:val="28"/>
              <w:szCs w:val="28"/>
            </w:rPr>
            <w:fldChar w:fldCharType="begin"/>
          </w:r>
          <w:r w:rsidR="006D4DE7">
            <w:rPr>
              <w:rFonts w:ascii="Calibri Light" w:hAnsi="Calibri Light" w:cs="Calibri Light"/>
              <w:sz w:val="28"/>
              <w:szCs w:val="28"/>
            </w:rPr>
            <w:instrText xml:space="preserve"> CITATION Law224 \l 2057 </w:instrText>
          </w:r>
          <w:r w:rsidR="006D4DE7">
            <w:rPr>
              <w:rFonts w:ascii="Calibri Light" w:hAnsi="Calibri Light" w:cs="Calibri Light"/>
              <w:sz w:val="28"/>
              <w:szCs w:val="28"/>
            </w:rPr>
            <w:fldChar w:fldCharType="separate"/>
          </w:r>
          <w:r w:rsidR="006D4DE7" w:rsidRPr="006D4DE7">
            <w:rPr>
              <w:rFonts w:ascii="Calibri Light" w:hAnsi="Calibri Light" w:cs="Calibri Light"/>
              <w:noProof/>
              <w:sz w:val="28"/>
              <w:szCs w:val="28"/>
            </w:rPr>
            <w:t>(Lawplus, 2022)</w:t>
          </w:r>
          <w:r w:rsidR="006D4DE7">
            <w:rPr>
              <w:rFonts w:ascii="Calibri Light" w:hAnsi="Calibri Light" w:cs="Calibri Light"/>
              <w:sz w:val="28"/>
              <w:szCs w:val="28"/>
            </w:rPr>
            <w:fldChar w:fldCharType="end"/>
          </w:r>
        </w:sdtContent>
      </w:sdt>
      <w:r w:rsidR="006D4DE7">
        <w:rPr>
          <w:rFonts w:ascii="Calibri Light" w:hAnsi="Calibri Light" w:cs="Calibri Light"/>
          <w:sz w:val="28"/>
          <w:szCs w:val="28"/>
        </w:rPr>
        <w:t>.</w:t>
      </w:r>
      <w:r>
        <w:rPr>
          <w:rFonts w:ascii="Calibri Light" w:hAnsi="Calibri Light" w:cs="Calibri Light"/>
          <w:sz w:val="28"/>
          <w:szCs w:val="28"/>
        </w:rPr>
        <w:t xml:space="preserve"> These guidelines may vary depending on the nature and complexity of the claim. The protocol places particular emphasis on encouraging to engage in open and constructive dialogue from the outset of the claim. One of the fundamental aspects of the pre-action protocol is the requirement for the claimant to send a formal letter of claim to the potential defendant. The letter should provide a clear and concise summary of the claim including details of the alleged injury </w:t>
      </w:r>
      <w:r w:rsidR="00291F05">
        <w:rPr>
          <w:rFonts w:ascii="Calibri Light" w:hAnsi="Calibri Light" w:cs="Calibri Light"/>
          <w:sz w:val="28"/>
          <w:szCs w:val="28"/>
        </w:rPr>
        <w:t>or damage, the circumstances surrounding the incident and the basis for the claimant assertion of liability on the part of the defendant. The letter of claim should also specify the amount of compensation sought and any supporting documentation or evidence available at that stage</w:t>
      </w:r>
      <w:r w:rsidR="00754C8A">
        <w:rPr>
          <w:rFonts w:ascii="Calibri Light" w:hAnsi="Calibri Light" w:cs="Calibri Light"/>
          <w:sz w:val="28"/>
          <w:szCs w:val="28"/>
        </w:rPr>
        <w:t>.</w:t>
      </w:r>
      <w:r w:rsidR="00291F05">
        <w:rPr>
          <w:rFonts w:ascii="Calibri Light" w:hAnsi="Calibri Light" w:cs="Calibri Light"/>
          <w:sz w:val="28"/>
          <w:szCs w:val="28"/>
        </w:rPr>
        <w:t xml:space="preserve"> Upon receipt of the claim the potential defendant is expected to acknowledge the letter within a specified timeframe. This acknowledgement should confirm receipt of the letter and outline the defendants’ intentions regarding the claim. The defendant may also request additional information or documentation from the claimant to better understand the basis of the claim </w:t>
      </w:r>
      <w:sdt>
        <w:sdtPr>
          <w:rPr>
            <w:rFonts w:ascii="Calibri Light" w:hAnsi="Calibri Light" w:cs="Calibri Light"/>
            <w:sz w:val="28"/>
            <w:szCs w:val="28"/>
          </w:rPr>
          <w:id w:val="47122652"/>
          <w:citation/>
        </w:sdtPr>
        <w:sdtContent>
          <w:r w:rsidR="00754C8A">
            <w:rPr>
              <w:rFonts w:ascii="Calibri Light" w:hAnsi="Calibri Light" w:cs="Calibri Light"/>
              <w:sz w:val="28"/>
              <w:szCs w:val="28"/>
            </w:rPr>
            <w:fldChar w:fldCharType="begin"/>
          </w:r>
          <w:r w:rsidR="00754C8A">
            <w:rPr>
              <w:rFonts w:ascii="Calibri Light" w:hAnsi="Calibri Light" w:cs="Calibri Light"/>
              <w:sz w:val="28"/>
              <w:szCs w:val="28"/>
            </w:rPr>
            <w:instrText xml:space="preserve"> CITATION Civ08 \l 2057 </w:instrText>
          </w:r>
          <w:r w:rsidR="00754C8A">
            <w:rPr>
              <w:rFonts w:ascii="Calibri Light" w:hAnsi="Calibri Light" w:cs="Calibri Light"/>
              <w:sz w:val="28"/>
              <w:szCs w:val="28"/>
            </w:rPr>
            <w:fldChar w:fldCharType="separate"/>
          </w:r>
          <w:r w:rsidR="00754C8A" w:rsidRPr="003828D3">
            <w:rPr>
              <w:rFonts w:ascii="Calibri Light" w:hAnsi="Calibri Light" w:cs="Calibri Light"/>
              <w:noProof/>
              <w:sz w:val="28"/>
              <w:szCs w:val="28"/>
            </w:rPr>
            <w:t>(Civil Justice Council, 2008)</w:t>
          </w:r>
          <w:r w:rsidR="00754C8A">
            <w:rPr>
              <w:rFonts w:ascii="Calibri Light" w:hAnsi="Calibri Light" w:cs="Calibri Light"/>
              <w:sz w:val="28"/>
              <w:szCs w:val="28"/>
            </w:rPr>
            <w:fldChar w:fldCharType="end"/>
          </w:r>
        </w:sdtContent>
      </w:sdt>
      <w:r w:rsidR="00754C8A">
        <w:rPr>
          <w:rFonts w:ascii="Calibri Light" w:hAnsi="Calibri Light" w:cs="Calibri Light"/>
          <w:sz w:val="28"/>
          <w:szCs w:val="28"/>
        </w:rPr>
        <w:t>.</w:t>
      </w:r>
    </w:p>
    <w:p w14:paraId="13197F37" w14:textId="36F74466" w:rsidR="00291F05" w:rsidRDefault="00291F05">
      <w:pPr>
        <w:rPr>
          <w:rFonts w:ascii="Calibri Light" w:hAnsi="Calibri Light" w:cs="Calibri Light"/>
          <w:sz w:val="28"/>
          <w:szCs w:val="28"/>
        </w:rPr>
      </w:pPr>
      <w:r>
        <w:rPr>
          <w:rFonts w:ascii="Calibri Light" w:hAnsi="Calibri Light" w:cs="Calibri Light"/>
          <w:sz w:val="28"/>
          <w:szCs w:val="28"/>
        </w:rPr>
        <w:t>Following the initial exchange of correspondence, the pre-action protocol encourages both parties to engage in settlement discussions. This may involve exploring alternative dispute resolution mechanisms such as negotiation, mediation or arbitration as a means of reaching a mutually acceptable resolution. The protocol encourages parties to consider settlement at an early stage thereby avoiding the need for protracted litigation</w:t>
      </w:r>
      <w:r w:rsidR="00561EAF">
        <w:rPr>
          <w:rFonts w:ascii="Calibri Light" w:hAnsi="Calibri Light" w:cs="Calibri Light"/>
          <w:sz w:val="28"/>
          <w:szCs w:val="28"/>
        </w:rPr>
        <w:t xml:space="preserve"> </w:t>
      </w:r>
      <w:sdt>
        <w:sdtPr>
          <w:rPr>
            <w:rFonts w:ascii="Calibri Light" w:hAnsi="Calibri Light" w:cs="Calibri Light"/>
            <w:sz w:val="28"/>
            <w:szCs w:val="28"/>
          </w:rPr>
          <w:id w:val="1307975749"/>
          <w:citation/>
        </w:sdtPr>
        <w:sdtContent>
          <w:r w:rsidR="00561EAF">
            <w:rPr>
              <w:rFonts w:ascii="Calibri Light" w:hAnsi="Calibri Light" w:cs="Calibri Light"/>
              <w:sz w:val="28"/>
              <w:szCs w:val="28"/>
            </w:rPr>
            <w:fldChar w:fldCharType="begin"/>
          </w:r>
          <w:r w:rsidR="00561EAF">
            <w:rPr>
              <w:rFonts w:ascii="Calibri Light" w:hAnsi="Calibri Light" w:cs="Calibri Light"/>
              <w:sz w:val="28"/>
              <w:szCs w:val="28"/>
            </w:rPr>
            <w:instrText xml:space="preserve"> CITATION Mul24 \l 2057 </w:instrText>
          </w:r>
          <w:r w:rsidR="00561EAF">
            <w:rPr>
              <w:rFonts w:ascii="Calibri Light" w:hAnsi="Calibri Light" w:cs="Calibri Light"/>
              <w:sz w:val="28"/>
              <w:szCs w:val="28"/>
            </w:rPr>
            <w:fldChar w:fldCharType="separate"/>
          </w:r>
          <w:r w:rsidR="00561EAF" w:rsidRPr="00561EAF">
            <w:rPr>
              <w:rFonts w:ascii="Calibri Light" w:hAnsi="Calibri Light" w:cs="Calibri Light"/>
              <w:noProof/>
              <w:sz w:val="28"/>
              <w:szCs w:val="28"/>
            </w:rPr>
            <w:t>(Mulderrigs, 2024)</w:t>
          </w:r>
          <w:r w:rsidR="00561EAF">
            <w:rPr>
              <w:rFonts w:ascii="Calibri Light" w:hAnsi="Calibri Light" w:cs="Calibri Light"/>
              <w:sz w:val="28"/>
              <w:szCs w:val="28"/>
            </w:rPr>
            <w:fldChar w:fldCharType="end"/>
          </w:r>
        </w:sdtContent>
      </w:sdt>
      <w:r w:rsidR="00561EAF">
        <w:rPr>
          <w:rFonts w:ascii="Calibri Light" w:hAnsi="Calibri Light" w:cs="Calibri Light"/>
          <w:sz w:val="28"/>
          <w:szCs w:val="28"/>
        </w:rPr>
        <w:t>.</w:t>
      </w:r>
      <w:r>
        <w:rPr>
          <w:rFonts w:ascii="Calibri Light" w:hAnsi="Calibri Light" w:cs="Calibri Light"/>
          <w:sz w:val="28"/>
          <w:szCs w:val="28"/>
        </w:rPr>
        <w:t xml:space="preserve"> </w:t>
      </w:r>
      <w:r w:rsidR="00F237C9">
        <w:rPr>
          <w:rFonts w:ascii="Calibri Light" w:hAnsi="Calibri Light" w:cs="Calibri Light"/>
          <w:sz w:val="28"/>
          <w:szCs w:val="28"/>
        </w:rPr>
        <w:t>Throughout the pre-action protocol process there is an expectation o</w:t>
      </w:r>
      <w:r w:rsidR="00561EAF">
        <w:rPr>
          <w:rFonts w:ascii="Calibri Light" w:hAnsi="Calibri Light" w:cs="Calibri Light"/>
          <w:sz w:val="28"/>
          <w:szCs w:val="28"/>
        </w:rPr>
        <w:t>f</w:t>
      </w:r>
      <w:r w:rsidR="00F237C9">
        <w:rPr>
          <w:rFonts w:ascii="Calibri Light" w:hAnsi="Calibri Light" w:cs="Calibri Light"/>
          <w:sz w:val="28"/>
          <w:szCs w:val="28"/>
        </w:rPr>
        <w:t xml:space="preserve"> </w:t>
      </w:r>
      <w:r w:rsidR="00F237C9">
        <w:rPr>
          <w:rFonts w:ascii="Calibri Light" w:hAnsi="Calibri Light" w:cs="Calibri Light"/>
          <w:sz w:val="28"/>
          <w:szCs w:val="28"/>
        </w:rPr>
        <w:lastRenderedPageBreak/>
        <w:t>cooperation and transparency between the parties. This includes the timely exchange of relevant information and documentation such as medical reports, witness statements and any other evidence that may support or challenge the claim. The protocol also sets out specific timeframes for each stage of the process to ensure that the claim progresses in a timely manner. It is important to note that while the pre-action protocol is not mandatory for all personal injury claims, it is strongly encouraged by the courts</w:t>
      </w:r>
      <w:r w:rsidR="00E72A26">
        <w:rPr>
          <w:rFonts w:ascii="Calibri Light" w:hAnsi="Calibri Light" w:cs="Calibri Light"/>
          <w:sz w:val="28"/>
          <w:szCs w:val="28"/>
        </w:rPr>
        <w:t xml:space="preserve"> </w:t>
      </w:r>
      <w:sdt>
        <w:sdtPr>
          <w:rPr>
            <w:rFonts w:ascii="Calibri Light" w:hAnsi="Calibri Light" w:cs="Calibri Light"/>
            <w:sz w:val="28"/>
            <w:szCs w:val="28"/>
          </w:rPr>
          <w:id w:val="-100880612"/>
          <w:citation/>
        </w:sdtPr>
        <w:sdtContent>
          <w:r w:rsidR="00E72A26">
            <w:rPr>
              <w:rFonts w:ascii="Calibri Light" w:hAnsi="Calibri Light" w:cs="Calibri Light"/>
              <w:sz w:val="28"/>
              <w:szCs w:val="28"/>
            </w:rPr>
            <w:fldChar w:fldCharType="begin"/>
          </w:r>
          <w:r w:rsidR="00E72A26">
            <w:rPr>
              <w:rFonts w:ascii="Calibri Light" w:hAnsi="Calibri Light" w:cs="Calibri Light"/>
              <w:sz w:val="28"/>
              <w:szCs w:val="28"/>
            </w:rPr>
            <w:instrText xml:space="preserve"> CITATION Ant21 \l 2057 </w:instrText>
          </w:r>
          <w:r w:rsidR="00E72A26">
            <w:rPr>
              <w:rFonts w:ascii="Calibri Light" w:hAnsi="Calibri Light" w:cs="Calibri Light"/>
              <w:sz w:val="28"/>
              <w:szCs w:val="28"/>
            </w:rPr>
            <w:fldChar w:fldCharType="separate"/>
          </w:r>
          <w:r w:rsidR="00E72A26" w:rsidRPr="00E72A26">
            <w:rPr>
              <w:rFonts w:ascii="Calibri Light" w:hAnsi="Calibri Light" w:cs="Calibri Light"/>
              <w:noProof/>
              <w:sz w:val="28"/>
              <w:szCs w:val="28"/>
            </w:rPr>
            <w:t>(Anthony Gold, 2021)</w:t>
          </w:r>
          <w:r w:rsidR="00E72A26">
            <w:rPr>
              <w:rFonts w:ascii="Calibri Light" w:hAnsi="Calibri Light" w:cs="Calibri Light"/>
              <w:sz w:val="28"/>
              <w:szCs w:val="28"/>
            </w:rPr>
            <w:fldChar w:fldCharType="end"/>
          </w:r>
        </w:sdtContent>
      </w:sdt>
      <w:r w:rsidR="00E72A26">
        <w:rPr>
          <w:rFonts w:ascii="Calibri Light" w:hAnsi="Calibri Light" w:cs="Calibri Light"/>
          <w:sz w:val="28"/>
          <w:szCs w:val="28"/>
        </w:rPr>
        <w:t>.</w:t>
      </w:r>
    </w:p>
    <w:p w14:paraId="2BF01BFC" w14:textId="3F53DA4A" w:rsidR="0017033F" w:rsidRDefault="000B3E74">
      <w:pPr>
        <w:rPr>
          <w:rFonts w:ascii="Calibri Light" w:hAnsi="Calibri Light" w:cs="Calibri Light"/>
          <w:sz w:val="28"/>
          <w:szCs w:val="28"/>
        </w:rPr>
      </w:pPr>
      <w:r>
        <w:rPr>
          <w:rFonts w:ascii="Calibri Light" w:hAnsi="Calibri Light" w:cs="Calibri Light"/>
          <w:sz w:val="28"/>
          <w:szCs w:val="28"/>
        </w:rPr>
        <w:t xml:space="preserve">The Civil Procedure (Amendment no.1) rules </w:t>
      </w:r>
      <w:r w:rsidR="006A5739">
        <w:rPr>
          <w:rFonts w:ascii="Calibri Light" w:hAnsi="Calibri Light" w:cs="Calibri Light"/>
          <w:sz w:val="28"/>
          <w:szCs w:val="28"/>
        </w:rPr>
        <w:t xml:space="preserve">2021 brought some changes to how personal injury claims are handled. These rules specifically focus on making the process more efficient and addressing </w:t>
      </w:r>
      <w:r w:rsidR="002F3ECA">
        <w:rPr>
          <w:rFonts w:ascii="Calibri Light" w:hAnsi="Calibri Light" w:cs="Calibri Light"/>
          <w:sz w:val="28"/>
          <w:szCs w:val="28"/>
        </w:rPr>
        <w:t xml:space="preserve">issue like fraudulent claims. One aspect of the rules </w:t>
      </w:r>
      <w:r w:rsidR="005E4640">
        <w:rPr>
          <w:rFonts w:ascii="Calibri Light" w:hAnsi="Calibri Light" w:cs="Calibri Light"/>
          <w:sz w:val="28"/>
          <w:szCs w:val="28"/>
        </w:rPr>
        <w:t xml:space="preserve">is the increase in the small claims limit for personal injury claims related to </w:t>
      </w:r>
      <w:r w:rsidR="00026092">
        <w:rPr>
          <w:rFonts w:ascii="Calibri Light" w:hAnsi="Calibri Light" w:cs="Calibri Light"/>
          <w:sz w:val="28"/>
          <w:szCs w:val="28"/>
        </w:rPr>
        <w:t>road traffic accidents (RTAs). This means that for claims valued below</w:t>
      </w:r>
      <w:r w:rsidR="009328A3">
        <w:rPr>
          <w:rFonts w:ascii="Calibri Light" w:hAnsi="Calibri Light" w:cs="Calibri Light"/>
          <w:sz w:val="28"/>
          <w:szCs w:val="28"/>
        </w:rPr>
        <w:t xml:space="preserve"> a certain amount, you may need to handle the claim yourself </w:t>
      </w:r>
      <w:r w:rsidR="008A018B">
        <w:rPr>
          <w:rFonts w:ascii="Calibri Light" w:hAnsi="Calibri Light" w:cs="Calibri Light"/>
          <w:sz w:val="28"/>
          <w:szCs w:val="28"/>
        </w:rPr>
        <w:t xml:space="preserve">without legal representation or may have limitations on the amount of legal costs you can recover. </w:t>
      </w:r>
      <w:r w:rsidR="00BB6508">
        <w:rPr>
          <w:rFonts w:ascii="Calibri Light" w:hAnsi="Calibri Light" w:cs="Calibri Light"/>
          <w:sz w:val="28"/>
          <w:szCs w:val="28"/>
        </w:rPr>
        <w:t>One of the key changes to the Civil Procedure (Amendment no.1) Rules 2021 is the introduction of the whiplash reform</w:t>
      </w:r>
      <w:r w:rsidR="006C1E47">
        <w:rPr>
          <w:rFonts w:ascii="Calibri Light" w:hAnsi="Calibri Light" w:cs="Calibri Light"/>
          <w:sz w:val="28"/>
          <w:szCs w:val="28"/>
        </w:rPr>
        <w:t>s</w:t>
      </w:r>
      <w:r w:rsidR="0084270C">
        <w:rPr>
          <w:rFonts w:ascii="Calibri Light" w:hAnsi="Calibri Light" w:cs="Calibri Light"/>
          <w:sz w:val="28"/>
          <w:szCs w:val="28"/>
        </w:rPr>
        <w:t xml:space="preserve"> </w:t>
      </w:r>
      <w:sdt>
        <w:sdtPr>
          <w:rPr>
            <w:rFonts w:ascii="Calibri Light" w:hAnsi="Calibri Light" w:cs="Calibri Light"/>
            <w:sz w:val="28"/>
            <w:szCs w:val="28"/>
          </w:rPr>
          <w:id w:val="303050446"/>
          <w:citation/>
        </w:sdtPr>
        <w:sdtContent>
          <w:r w:rsidR="0084270C">
            <w:rPr>
              <w:rFonts w:ascii="Calibri Light" w:hAnsi="Calibri Light" w:cs="Calibri Light"/>
              <w:sz w:val="28"/>
              <w:szCs w:val="28"/>
            </w:rPr>
            <w:fldChar w:fldCharType="begin"/>
          </w:r>
          <w:r w:rsidR="0084270C">
            <w:rPr>
              <w:rFonts w:ascii="Calibri Light" w:hAnsi="Calibri Light" w:cs="Calibri Light"/>
              <w:sz w:val="28"/>
              <w:szCs w:val="28"/>
            </w:rPr>
            <w:instrText xml:space="preserve"> CITATION Leg244 \l 2057 </w:instrText>
          </w:r>
          <w:r w:rsidR="0084270C">
            <w:rPr>
              <w:rFonts w:ascii="Calibri Light" w:hAnsi="Calibri Light" w:cs="Calibri Light"/>
              <w:sz w:val="28"/>
              <w:szCs w:val="28"/>
            </w:rPr>
            <w:fldChar w:fldCharType="separate"/>
          </w:r>
          <w:r w:rsidR="0084270C" w:rsidRPr="0084270C">
            <w:rPr>
              <w:rFonts w:ascii="Calibri Light" w:hAnsi="Calibri Light" w:cs="Calibri Light"/>
              <w:noProof/>
              <w:sz w:val="28"/>
              <w:szCs w:val="28"/>
            </w:rPr>
            <w:t>(Legislation, 2024)</w:t>
          </w:r>
          <w:r w:rsidR="0084270C">
            <w:rPr>
              <w:rFonts w:ascii="Calibri Light" w:hAnsi="Calibri Light" w:cs="Calibri Light"/>
              <w:sz w:val="28"/>
              <w:szCs w:val="28"/>
            </w:rPr>
            <w:fldChar w:fldCharType="end"/>
          </w:r>
        </w:sdtContent>
      </w:sdt>
      <w:r w:rsidR="0084270C">
        <w:rPr>
          <w:rFonts w:ascii="Calibri Light" w:hAnsi="Calibri Light" w:cs="Calibri Light"/>
          <w:sz w:val="28"/>
          <w:szCs w:val="28"/>
        </w:rPr>
        <w:t>.</w:t>
      </w:r>
    </w:p>
    <w:p w14:paraId="18D6E692" w14:textId="7AD87025" w:rsidR="00F237C9" w:rsidRDefault="00876BAC">
      <w:pPr>
        <w:rPr>
          <w:rFonts w:ascii="Calibri Light" w:hAnsi="Calibri Light" w:cs="Calibri Light"/>
          <w:sz w:val="28"/>
          <w:szCs w:val="28"/>
        </w:rPr>
      </w:pPr>
      <w:r>
        <w:rPr>
          <w:rFonts w:ascii="Calibri Light" w:hAnsi="Calibri Light" w:cs="Calibri Light"/>
          <w:sz w:val="28"/>
          <w:szCs w:val="28"/>
        </w:rPr>
        <w:t xml:space="preserve">The Whiplash Regulations 2021 </w:t>
      </w:r>
      <w:r w:rsidR="00792FC0">
        <w:rPr>
          <w:rFonts w:ascii="Calibri Light" w:hAnsi="Calibri Light" w:cs="Calibri Light"/>
          <w:sz w:val="28"/>
          <w:szCs w:val="28"/>
        </w:rPr>
        <w:t xml:space="preserve">are a set of regulations with the objective of reforming the process of </w:t>
      </w:r>
      <w:r w:rsidR="00E456BB">
        <w:rPr>
          <w:rFonts w:ascii="Calibri Light" w:hAnsi="Calibri Light" w:cs="Calibri Light"/>
          <w:sz w:val="28"/>
          <w:szCs w:val="28"/>
        </w:rPr>
        <w:t xml:space="preserve">handling whiplash claims. These regulations aim to address concerns regarding </w:t>
      </w:r>
      <w:r w:rsidR="00041C17">
        <w:rPr>
          <w:rFonts w:ascii="Calibri Light" w:hAnsi="Calibri Light" w:cs="Calibri Light"/>
          <w:sz w:val="28"/>
          <w:szCs w:val="28"/>
        </w:rPr>
        <w:t xml:space="preserve">fraudulent and exaggerated claims while ensuring fair compensation for individuals who have genuinely suffered </w:t>
      </w:r>
      <w:r w:rsidR="003F4E10">
        <w:rPr>
          <w:rFonts w:ascii="Calibri Light" w:hAnsi="Calibri Light" w:cs="Calibri Light"/>
          <w:sz w:val="28"/>
          <w:szCs w:val="28"/>
        </w:rPr>
        <w:t>from whiplash injuries</w:t>
      </w:r>
      <w:r w:rsidR="000E68F2">
        <w:rPr>
          <w:rFonts w:ascii="Calibri Light" w:hAnsi="Calibri Light" w:cs="Calibri Light"/>
          <w:sz w:val="28"/>
          <w:szCs w:val="28"/>
        </w:rPr>
        <w:t xml:space="preserve"> </w:t>
      </w:r>
      <w:sdt>
        <w:sdtPr>
          <w:rPr>
            <w:rFonts w:ascii="Calibri Light" w:hAnsi="Calibri Light" w:cs="Calibri Light"/>
            <w:sz w:val="28"/>
            <w:szCs w:val="28"/>
          </w:rPr>
          <w:id w:val="536633308"/>
          <w:citation/>
        </w:sdtPr>
        <w:sdtContent>
          <w:r w:rsidR="000E68F2">
            <w:rPr>
              <w:rFonts w:ascii="Calibri Light" w:hAnsi="Calibri Light" w:cs="Calibri Light"/>
              <w:sz w:val="28"/>
              <w:szCs w:val="28"/>
            </w:rPr>
            <w:fldChar w:fldCharType="begin"/>
          </w:r>
          <w:r w:rsidR="000E68F2">
            <w:rPr>
              <w:rFonts w:ascii="Calibri Light" w:hAnsi="Calibri Light" w:cs="Calibri Light"/>
              <w:sz w:val="28"/>
              <w:szCs w:val="28"/>
            </w:rPr>
            <w:instrText xml:space="preserve"> CITATION Leg245 \l 2057 </w:instrText>
          </w:r>
          <w:r w:rsidR="000E68F2">
            <w:rPr>
              <w:rFonts w:ascii="Calibri Light" w:hAnsi="Calibri Light" w:cs="Calibri Light"/>
              <w:sz w:val="28"/>
              <w:szCs w:val="28"/>
            </w:rPr>
            <w:fldChar w:fldCharType="separate"/>
          </w:r>
          <w:r w:rsidR="000E68F2" w:rsidRPr="000E68F2">
            <w:rPr>
              <w:rFonts w:ascii="Calibri Light" w:hAnsi="Calibri Light" w:cs="Calibri Light"/>
              <w:noProof/>
              <w:sz w:val="28"/>
              <w:szCs w:val="28"/>
            </w:rPr>
            <w:t>(Legislation , 2024)</w:t>
          </w:r>
          <w:r w:rsidR="000E68F2">
            <w:rPr>
              <w:rFonts w:ascii="Calibri Light" w:hAnsi="Calibri Light" w:cs="Calibri Light"/>
              <w:sz w:val="28"/>
              <w:szCs w:val="28"/>
            </w:rPr>
            <w:fldChar w:fldCharType="end"/>
          </w:r>
        </w:sdtContent>
      </w:sdt>
      <w:r w:rsidR="000E68F2">
        <w:rPr>
          <w:rFonts w:ascii="Calibri Light" w:hAnsi="Calibri Light" w:cs="Calibri Light"/>
          <w:sz w:val="28"/>
          <w:szCs w:val="28"/>
        </w:rPr>
        <w:t>.</w:t>
      </w:r>
      <w:r w:rsidR="003F4E10">
        <w:rPr>
          <w:rFonts w:ascii="Calibri Light" w:hAnsi="Calibri Light" w:cs="Calibri Light"/>
          <w:sz w:val="28"/>
          <w:szCs w:val="28"/>
        </w:rPr>
        <w:t xml:space="preserve"> One of the key features of the </w:t>
      </w:r>
      <w:r w:rsidR="00E92DD5">
        <w:rPr>
          <w:rFonts w:ascii="Calibri Light" w:hAnsi="Calibri Light" w:cs="Calibri Light"/>
          <w:sz w:val="28"/>
          <w:szCs w:val="28"/>
        </w:rPr>
        <w:t>W</w:t>
      </w:r>
      <w:r w:rsidR="003F4E10">
        <w:rPr>
          <w:rFonts w:ascii="Calibri Light" w:hAnsi="Calibri Light" w:cs="Calibri Light"/>
          <w:sz w:val="28"/>
          <w:szCs w:val="28"/>
        </w:rPr>
        <w:t xml:space="preserve">hiplash </w:t>
      </w:r>
      <w:r w:rsidR="00E92DD5">
        <w:rPr>
          <w:rFonts w:ascii="Calibri Light" w:hAnsi="Calibri Light" w:cs="Calibri Light"/>
          <w:sz w:val="28"/>
          <w:szCs w:val="28"/>
        </w:rPr>
        <w:t xml:space="preserve">Regulations 2021 is the introduction of a tariff system for compensation </w:t>
      </w:r>
      <w:r w:rsidR="00632BFD">
        <w:rPr>
          <w:rFonts w:ascii="Calibri Light" w:hAnsi="Calibri Light" w:cs="Calibri Light"/>
          <w:sz w:val="28"/>
          <w:szCs w:val="28"/>
        </w:rPr>
        <w:t xml:space="preserve">related to whiplash injuries sustained </w:t>
      </w:r>
      <w:r w:rsidR="0054675B">
        <w:rPr>
          <w:rFonts w:ascii="Calibri Light" w:hAnsi="Calibri Light" w:cs="Calibri Light"/>
          <w:sz w:val="28"/>
          <w:szCs w:val="28"/>
        </w:rPr>
        <w:t>in road traffic accidents</w:t>
      </w:r>
      <w:r w:rsidR="00167027">
        <w:rPr>
          <w:rFonts w:ascii="Calibri Light" w:hAnsi="Calibri Light" w:cs="Calibri Light"/>
          <w:sz w:val="28"/>
          <w:szCs w:val="28"/>
        </w:rPr>
        <w:t xml:space="preserve"> (RTA)</w:t>
      </w:r>
      <w:r w:rsidR="0054675B">
        <w:rPr>
          <w:rFonts w:ascii="Calibri Light" w:hAnsi="Calibri Light" w:cs="Calibri Light"/>
          <w:sz w:val="28"/>
          <w:szCs w:val="28"/>
        </w:rPr>
        <w:t xml:space="preserve">. This system establishes fixed amounts of compensation based on the severity </w:t>
      </w:r>
      <w:r w:rsidR="004F332D">
        <w:rPr>
          <w:rFonts w:ascii="Calibri Light" w:hAnsi="Calibri Light" w:cs="Calibri Light"/>
          <w:sz w:val="28"/>
          <w:szCs w:val="28"/>
        </w:rPr>
        <w:t xml:space="preserve">of the injury and the duration of the </w:t>
      </w:r>
      <w:r w:rsidR="00680080">
        <w:rPr>
          <w:rFonts w:ascii="Calibri Light" w:hAnsi="Calibri Light" w:cs="Calibri Light"/>
          <w:sz w:val="28"/>
          <w:szCs w:val="28"/>
        </w:rPr>
        <w:t xml:space="preserve">associated symptoms. By implementing </w:t>
      </w:r>
      <w:r w:rsidR="000938D1">
        <w:rPr>
          <w:rFonts w:ascii="Calibri Light" w:hAnsi="Calibri Light" w:cs="Calibri Light"/>
          <w:sz w:val="28"/>
          <w:szCs w:val="28"/>
        </w:rPr>
        <w:t xml:space="preserve">a tariff </w:t>
      </w:r>
      <w:r w:rsidR="00EC6802">
        <w:rPr>
          <w:rFonts w:ascii="Calibri Light" w:hAnsi="Calibri Light" w:cs="Calibri Light"/>
          <w:sz w:val="28"/>
          <w:szCs w:val="28"/>
        </w:rPr>
        <w:t>system,</w:t>
      </w:r>
      <w:r w:rsidR="000938D1">
        <w:rPr>
          <w:rFonts w:ascii="Calibri Light" w:hAnsi="Calibri Light" w:cs="Calibri Light"/>
          <w:sz w:val="28"/>
          <w:szCs w:val="28"/>
        </w:rPr>
        <w:t xml:space="preserve"> the regulations intend t</w:t>
      </w:r>
      <w:r w:rsidR="007B4388">
        <w:rPr>
          <w:rFonts w:ascii="Calibri Light" w:hAnsi="Calibri Light" w:cs="Calibri Light"/>
          <w:sz w:val="28"/>
          <w:szCs w:val="28"/>
        </w:rPr>
        <w:t>o</w:t>
      </w:r>
      <w:r w:rsidR="000938D1">
        <w:rPr>
          <w:rFonts w:ascii="Calibri Light" w:hAnsi="Calibri Light" w:cs="Calibri Light"/>
          <w:sz w:val="28"/>
          <w:szCs w:val="28"/>
        </w:rPr>
        <w:t xml:space="preserve"> provide a more consistent and </w:t>
      </w:r>
      <w:r w:rsidR="007B4388">
        <w:rPr>
          <w:rFonts w:ascii="Calibri Light" w:hAnsi="Calibri Light" w:cs="Calibri Light"/>
          <w:sz w:val="28"/>
          <w:szCs w:val="28"/>
        </w:rPr>
        <w:t xml:space="preserve">standardised approach to compensation for whiplash injuries. </w:t>
      </w:r>
      <w:r w:rsidR="00EC6802">
        <w:rPr>
          <w:rFonts w:ascii="Calibri Light" w:hAnsi="Calibri Light" w:cs="Calibri Light"/>
          <w:sz w:val="28"/>
          <w:szCs w:val="28"/>
        </w:rPr>
        <w:t xml:space="preserve">Furthermore, the regulations raise the small claims </w:t>
      </w:r>
      <w:r w:rsidR="004A1256">
        <w:rPr>
          <w:rFonts w:ascii="Calibri Light" w:hAnsi="Calibri Light" w:cs="Calibri Light"/>
          <w:sz w:val="28"/>
          <w:szCs w:val="28"/>
        </w:rPr>
        <w:t xml:space="preserve">track limit for personal injury claims </w:t>
      </w:r>
      <w:r w:rsidR="00167027">
        <w:rPr>
          <w:rFonts w:ascii="Calibri Light" w:hAnsi="Calibri Light" w:cs="Calibri Light"/>
          <w:sz w:val="28"/>
          <w:szCs w:val="28"/>
        </w:rPr>
        <w:t>arising from RTA</w:t>
      </w:r>
      <w:r w:rsidR="006F77A6">
        <w:rPr>
          <w:rFonts w:ascii="Calibri Light" w:hAnsi="Calibri Light" w:cs="Calibri Light"/>
          <w:sz w:val="28"/>
          <w:szCs w:val="28"/>
        </w:rPr>
        <w:t xml:space="preserve"> from £1000 to £5000. This change means that a greater number of cases will be processed through the small claims track, where legal representation is typically not permitted. As a result, </w:t>
      </w:r>
      <w:r w:rsidR="00045EBA">
        <w:rPr>
          <w:rFonts w:ascii="Calibri Light" w:hAnsi="Calibri Light" w:cs="Calibri Light"/>
          <w:sz w:val="28"/>
          <w:szCs w:val="28"/>
        </w:rPr>
        <w:t xml:space="preserve">claimants </w:t>
      </w:r>
      <w:r w:rsidR="0094000B">
        <w:rPr>
          <w:rFonts w:ascii="Calibri Light" w:hAnsi="Calibri Light" w:cs="Calibri Light"/>
          <w:sz w:val="28"/>
          <w:szCs w:val="28"/>
        </w:rPr>
        <w:t xml:space="preserve">will </w:t>
      </w:r>
      <w:r w:rsidR="002B2B17">
        <w:rPr>
          <w:rFonts w:ascii="Calibri Light" w:hAnsi="Calibri Light" w:cs="Calibri Light"/>
          <w:sz w:val="28"/>
          <w:szCs w:val="28"/>
        </w:rPr>
        <w:t>be required to navigate the claims process on their own, without the assistance for legal professionals</w:t>
      </w:r>
      <w:r w:rsidR="00EB3355">
        <w:rPr>
          <w:rFonts w:ascii="Calibri Light" w:hAnsi="Calibri Light" w:cs="Calibri Light"/>
          <w:sz w:val="28"/>
          <w:szCs w:val="28"/>
        </w:rPr>
        <w:t xml:space="preserve"> </w:t>
      </w:r>
      <w:sdt>
        <w:sdtPr>
          <w:rPr>
            <w:rFonts w:ascii="Calibri Light" w:hAnsi="Calibri Light" w:cs="Calibri Light"/>
            <w:sz w:val="28"/>
            <w:szCs w:val="28"/>
          </w:rPr>
          <w:id w:val="-762299733"/>
          <w:citation/>
        </w:sdtPr>
        <w:sdtContent>
          <w:r w:rsidR="00EB3355">
            <w:rPr>
              <w:rFonts w:ascii="Calibri Light" w:hAnsi="Calibri Light" w:cs="Calibri Light"/>
              <w:sz w:val="28"/>
              <w:szCs w:val="28"/>
            </w:rPr>
            <w:fldChar w:fldCharType="begin"/>
          </w:r>
          <w:r w:rsidR="00EB3355">
            <w:rPr>
              <w:rFonts w:ascii="Calibri Light" w:hAnsi="Calibri Light" w:cs="Calibri Light"/>
              <w:sz w:val="28"/>
              <w:szCs w:val="28"/>
            </w:rPr>
            <w:instrText xml:space="preserve"> CITATION Gov241 \l 2057 </w:instrText>
          </w:r>
          <w:r w:rsidR="00EB3355">
            <w:rPr>
              <w:rFonts w:ascii="Calibri Light" w:hAnsi="Calibri Light" w:cs="Calibri Light"/>
              <w:sz w:val="28"/>
              <w:szCs w:val="28"/>
            </w:rPr>
            <w:fldChar w:fldCharType="separate"/>
          </w:r>
          <w:r w:rsidR="00EB3355" w:rsidRPr="00EB3355">
            <w:rPr>
              <w:rFonts w:ascii="Calibri Light" w:hAnsi="Calibri Light" w:cs="Calibri Light"/>
              <w:noProof/>
              <w:sz w:val="28"/>
              <w:szCs w:val="28"/>
            </w:rPr>
            <w:t>(Gov, 2024)</w:t>
          </w:r>
          <w:r w:rsidR="00EB3355">
            <w:rPr>
              <w:rFonts w:ascii="Calibri Light" w:hAnsi="Calibri Light" w:cs="Calibri Light"/>
              <w:sz w:val="28"/>
              <w:szCs w:val="28"/>
            </w:rPr>
            <w:fldChar w:fldCharType="end"/>
          </w:r>
        </w:sdtContent>
      </w:sdt>
      <w:r w:rsidR="00EB3355">
        <w:rPr>
          <w:rFonts w:ascii="Calibri Light" w:hAnsi="Calibri Light" w:cs="Calibri Light"/>
          <w:sz w:val="28"/>
          <w:szCs w:val="28"/>
        </w:rPr>
        <w:t>.</w:t>
      </w:r>
    </w:p>
    <w:p w14:paraId="4050F96C" w14:textId="27CA2E8D" w:rsidR="00861FFB" w:rsidRDefault="00861FFB">
      <w:pPr>
        <w:rPr>
          <w:rFonts w:ascii="Calibri Light" w:hAnsi="Calibri Light" w:cs="Calibri Light"/>
          <w:sz w:val="28"/>
          <w:szCs w:val="28"/>
        </w:rPr>
      </w:pPr>
      <w:r>
        <w:rPr>
          <w:rFonts w:ascii="Calibri Light" w:hAnsi="Calibri Light" w:cs="Calibri Light"/>
          <w:sz w:val="28"/>
          <w:szCs w:val="28"/>
        </w:rPr>
        <w:t>In addition to these measures, the Whiplash Regulations 2021</w:t>
      </w:r>
      <w:r w:rsidR="00303D8B">
        <w:rPr>
          <w:rFonts w:ascii="Calibri Light" w:hAnsi="Calibri Light" w:cs="Calibri Light"/>
          <w:sz w:val="28"/>
          <w:szCs w:val="28"/>
        </w:rPr>
        <w:t xml:space="preserve">introduce a ban on settling whiplash claims without appropriate medical evidence. </w:t>
      </w:r>
      <w:r w:rsidR="003A44DF">
        <w:rPr>
          <w:rFonts w:ascii="Calibri Light" w:hAnsi="Calibri Light" w:cs="Calibri Light"/>
          <w:sz w:val="28"/>
          <w:szCs w:val="28"/>
        </w:rPr>
        <w:t xml:space="preserve">The provision </w:t>
      </w:r>
      <w:r w:rsidR="003A44DF">
        <w:rPr>
          <w:rFonts w:ascii="Calibri Light" w:hAnsi="Calibri Light" w:cs="Calibri Light"/>
          <w:sz w:val="28"/>
          <w:szCs w:val="28"/>
        </w:rPr>
        <w:lastRenderedPageBreak/>
        <w:t xml:space="preserve">is designed to ensure that claims are supported by comprehensive </w:t>
      </w:r>
      <w:r w:rsidR="008D1B7E">
        <w:rPr>
          <w:rFonts w:ascii="Calibri Light" w:hAnsi="Calibri Light" w:cs="Calibri Light"/>
          <w:sz w:val="28"/>
          <w:szCs w:val="28"/>
        </w:rPr>
        <w:t xml:space="preserve">medical assessments, thereby reducing the likelihood of fraudulent or </w:t>
      </w:r>
      <w:r w:rsidR="00C21439">
        <w:rPr>
          <w:rFonts w:ascii="Calibri Light" w:hAnsi="Calibri Light" w:cs="Calibri Light"/>
          <w:sz w:val="28"/>
          <w:szCs w:val="28"/>
        </w:rPr>
        <w:t>exaggerated</w:t>
      </w:r>
      <w:r w:rsidR="008D1B7E">
        <w:rPr>
          <w:rFonts w:ascii="Calibri Light" w:hAnsi="Calibri Light" w:cs="Calibri Light"/>
          <w:sz w:val="28"/>
          <w:szCs w:val="28"/>
        </w:rPr>
        <w:t xml:space="preserve"> </w:t>
      </w:r>
      <w:r w:rsidR="00C21439">
        <w:rPr>
          <w:rFonts w:ascii="Calibri Light" w:hAnsi="Calibri Light" w:cs="Calibri Light"/>
          <w:sz w:val="28"/>
          <w:szCs w:val="28"/>
        </w:rPr>
        <w:t xml:space="preserve"> claims. By requiring proper medical evidence, the </w:t>
      </w:r>
      <w:r w:rsidR="00911F5E">
        <w:rPr>
          <w:rFonts w:ascii="Calibri Light" w:hAnsi="Calibri Light" w:cs="Calibri Light"/>
          <w:sz w:val="28"/>
          <w:szCs w:val="28"/>
        </w:rPr>
        <w:t xml:space="preserve">regulations seek to enhance the integrity and validity of whiplash claims. </w:t>
      </w:r>
      <w:r w:rsidR="007C5ABC">
        <w:rPr>
          <w:rFonts w:ascii="Calibri Light" w:hAnsi="Calibri Light" w:cs="Calibri Light"/>
          <w:sz w:val="28"/>
          <w:szCs w:val="28"/>
        </w:rPr>
        <w:t xml:space="preserve">The overarching goal of the Whiplash Regulations 2021 is to streamline the claims process, </w:t>
      </w:r>
      <w:r w:rsidR="000821D8">
        <w:rPr>
          <w:rFonts w:ascii="Calibri Light" w:hAnsi="Calibri Light" w:cs="Calibri Light"/>
          <w:sz w:val="28"/>
          <w:szCs w:val="28"/>
        </w:rPr>
        <w:t xml:space="preserve">combat fraudulent behaviour and </w:t>
      </w:r>
      <w:r w:rsidR="005E6238">
        <w:rPr>
          <w:rFonts w:ascii="Calibri Light" w:hAnsi="Calibri Light" w:cs="Calibri Light"/>
          <w:sz w:val="28"/>
          <w:szCs w:val="28"/>
        </w:rPr>
        <w:t>ultimately</w:t>
      </w:r>
      <w:r w:rsidR="000821D8">
        <w:rPr>
          <w:rFonts w:ascii="Calibri Light" w:hAnsi="Calibri Light" w:cs="Calibri Light"/>
          <w:sz w:val="28"/>
          <w:szCs w:val="28"/>
        </w:rPr>
        <w:t xml:space="preserve"> reduce the cost of motor </w:t>
      </w:r>
      <w:r w:rsidR="005E6238">
        <w:rPr>
          <w:rFonts w:ascii="Calibri Light" w:hAnsi="Calibri Light" w:cs="Calibri Light"/>
          <w:sz w:val="28"/>
          <w:szCs w:val="28"/>
        </w:rPr>
        <w:t xml:space="preserve">insurance premiums for drivers. By establishing a tariff system and raising the small claims </w:t>
      </w:r>
      <w:r w:rsidR="009E6EC9">
        <w:rPr>
          <w:rFonts w:ascii="Calibri Light" w:hAnsi="Calibri Light" w:cs="Calibri Light"/>
          <w:sz w:val="28"/>
          <w:szCs w:val="28"/>
        </w:rPr>
        <w:t xml:space="preserve">track limit, the regulations aim to create a more efficient and fair system for </w:t>
      </w:r>
      <w:r w:rsidR="00FF682A">
        <w:rPr>
          <w:rFonts w:ascii="Calibri Light" w:hAnsi="Calibri Light" w:cs="Calibri Light"/>
          <w:sz w:val="28"/>
          <w:szCs w:val="28"/>
        </w:rPr>
        <w:t>handling</w:t>
      </w:r>
      <w:r w:rsidR="009E6EC9">
        <w:rPr>
          <w:rFonts w:ascii="Calibri Light" w:hAnsi="Calibri Light" w:cs="Calibri Light"/>
          <w:sz w:val="28"/>
          <w:szCs w:val="28"/>
        </w:rPr>
        <w:t xml:space="preserve"> whiplash claims</w:t>
      </w:r>
      <w:r w:rsidR="00FF682A">
        <w:rPr>
          <w:rFonts w:ascii="Calibri Light" w:hAnsi="Calibri Light" w:cs="Calibri Light"/>
          <w:sz w:val="28"/>
          <w:szCs w:val="28"/>
        </w:rPr>
        <w:t xml:space="preserve">. Additionally, the requirement for appropriate medical evidence </w:t>
      </w:r>
      <w:r w:rsidR="001B4AEA">
        <w:rPr>
          <w:rFonts w:ascii="Calibri Light" w:hAnsi="Calibri Light" w:cs="Calibri Light"/>
          <w:sz w:val="28"/>
          <w:szCs w:val="28"/>
        </w:rPr>
        <w:t>serves to strengthen the credibility and accuracy of such claim</w:t>
      </w:r>
      <w:r w:rsidR="00EB3355">
        <w:rPr>
          <w:rFonts w:ascii="Calibri Light" w:hAnsi="Calibri Light" w:cs="Calibri Light"/>
          <w:sz w:val="28"/>
          <w:szCs w:val="28"/>
        </w:rPr>
        <w:t xml:space="preserve">s </w:t>
      </w:r>
      <w:sdt>
        <w:sdtPr>
          <w:rPr>
            <w:rFonts w:ascii="Calibri Light" w:hAnsi="Calibri Light" w:cs="Calibri Light"/>
            <w:sz w:val="28"/>
            <w:szCs w:val="28"/>
          </w:rPr>
          <w:id w:val="-1481532547"/>
          <w:citation/>
        </w:sdtPr>
        <w:sdtContent>
          <w:r w:rsidR="005F632F">
            <w:rPr>
              <w:rFonts w:ascii="Calibri Light" w:hAnsi="Calibri Light" w:cs="Calibri Light"/>
              <w:sz w:val="28"/>
              <w:szCs w:val="28"/>
            </w:rPr>
            <w:fldChar w:fldCharType="begin"/>
          </w:r>
          <w:r w:rsidR="005F632F">
            <w:rPr>
              <w:rFonts w:ascii="Calibri Light" w:hAnsi="Calibri Light" w:cs="Calibri Light"/>
              <w:sz w:val="28"/>
              <w:szCs w:val="28"/>
            </w:rPr>
            <w:instrText xml:space="preserve"> CITATION Par232 \l 2057 </w:instrText>
          </w:r>
          <w:r w:rsidR="005F632F">
            <w:rPr>
              <w:rFonts w:ascii="Calibri Light" w:hAnsi="Calibri Light" w:cs="Calibri Light"/>
              <w:sz w:val="28"/>
              <w:szCs w:val="28"/>
            </w:rPr>
            <w:fldChar w:fldCharType="separate"/>
          </w:r>
          <w:r w:rsidR="005F632F" w:rsidRPr="005F632F">
            <w:rPr>
              <w:rFonts w:ascii="Calibri Light" w:hAnsi="Calibri Light" w:cs="Calibri Light"/>
              <w:noProof/>
              <w:sz w:val="28"/>
              <w:szCs w:val="28"/>
            </w:rPr>
            <w:t>(Parliament, 2022-2023)</w:t>
          </w:r>
          <w:r w:rsidR="005F632F">
            <w:rPr>
              <w:rFonts w:ascii="Calibri Light" w:hAnsi="Calibri Light" w:cs="Calibri Light"/>
              <w:sz w:val="28"/>
              <w:szCs w:val="28"/>
            </w:rPr>
            <w:fldChar w:fldCharType="end"/>
          </w:r>
        </w:sdtContent>
      </w:sdt>
      <w:r w:rsidR="005F632F">
        <w:rPr>
          <w:rFonts w:ascii="Calibri Light" w:hAnsi="Calibri Light" w:cs="Calibri Light"/>
          <w:sz w:val="28"/>
          <w:szCs w:val="28"/>
        </w:rPr>
        <w:t>.</w:t>
      </w:r>
    </w:p>
    <w:p w14:paraId="79E78C74" w14:textId="09E583B7" w:rsidR="001B4AEA" w:rsidRDefault="00BA1ED2">
      <w:pPr>
        <w:rPr>
          <w:rFonts w:ascii="Calibri Light" w:hAnsi="Calibri Light" w:cs="Calibri Light"/>
          <w:sz w:val="28"/>
          <w:szCs w:val="28"/>
        </w:rPr>
      </w:pPr>
      <w:r>
        <w:rPr>
          <w:rFonts w:ascii="Calibri Light" w:hAnsi="Calibri Light" w:cs="Calibri Light"/>
          <w:sz w:val="28"/>
          <w:szCs w:val="28"/>
        </w:rPr>
        <w:t xml:space="preserve">When it comes to personal injury claims, the Human Rights Act 1998 can play </w:t>
      </w:r>
      <w:r w:rsidR="00E97BF1">
        <w:rPr>
          <w:rFonts w:ascii="Calibri Light" w:hAnsi="Calibri Light" w:cs="Calibri Light"/>
          <w:sz w:val="28"/>
          <w:szCs w:val="28"/>
        </w:rPr>
        <w:t xml:space="preserve">a role in protecting the rights of individuals. For example, if someone sustains a personal injury due to negligence </w:t>
      </w:r>
      <w:r w:rsidR="00D27C4E">
        <w:rPr>
          <w:rFonts w:ascii="Calibri Light" w:hAnsi="Calibri Light" w:cs="Calibri Light"/>
          <w:sz w:val="28"/>
          <w:szCs w:val="28"/>
        </w:rPr>
        <w:t xml:space="preserve">of a public authority, they may be able to bring a claim under the Human Rights Act 1998 </w:t>
      </w:r>
      <w:r w:rsidR="002F5291">
        <w:rPr>
          <w:rFonts w:ascii="Calibri Light" w:hAnsi="Calibri Light" w:cs="Calibri Light"/>
          <w:sz w:val="28"/>
          <w:szCs w:val="28"/>
        </w:rPr>
        <w:t xml:space="preserve">for a violation of their right to life, right to freedom from torture or inhumane or degrading </w:t>
      </w:r>
      <w:r w:rsidR="00654BEE">
        <w:rPr>
          <w:rFonts w:ascii="Calibri Light" w:hAnsi="Calibri Light" w:cs="Calibri Light"/>
          <w:sz w:val="28"/>
          <w:szCs w:val="28"/>
        </w:rPr>
        <w:t xml:space="preserve">treatment, or a right to a fair trial. The act can also be relevant in cases where there is a breach of privacy </w:t>
      </w:r>
      <w:r w:rsidR="0054224D">
        <w:rPr>
          <w:rFonts w:ascii="Calibri Light" w:hAnsi="Calibri Light" w:cs="Calibri Light"/>
          <w:sz w:val="28"/>
          <w:szCs w:val="28"/>
        </w:rPr>
        <w:t xml:space="preserve">or a violation of the right to respect for private or family life. For instance, if personal injury </w:t>
      </w:r>
      <w:r w:rsidR="000829A8">
        <w:rPr>
          <w:rFonts w:ascii="Calibri Light" w:hAnsi="Calibri Light" w:cs="Calibri Light"/>
          <w:sz w:val="28"/>
          <w:szCs w:val="28"/>
        </w:rPr>
        <w:t>claimants’</w:t>
      </w:r>
      <w:r w:rsidR="0054224D">
        <w:rPr>
          <w:rFonts w:ascii="Calibri Light" w:hAnsi="Calibri Light" w:cs="Calibri Light"/>
          <w:sz w:val="28"/>
          <w:szCs w:val="28"/>
        </w:rPr>
        <w:t xml:space="preserve"> medical records are </w:t>
      </w:r>
      <w:r w:rsidR="009E35BD">
        <w:rPr>
          <w:rFonts w:ascii="Calibri Light" w:hAnsi="Calibri Light" w:cs="Calibri Light"/>
          <w:sz w:val="28"/>
          <w:szCs w:val="28"/>
        </w:rPr>
        <w:t>improperly</w:t>
      </w:r>
      <w:r w:rsidR="0054224D">
        <w:rPr>
          <w:rFonts w:ascii="Calibri Light" w:hAnsi="Calibri Light" w:cs="Calibri Light"/>
          <w:sz w:val="28"/>
          <w:szCs w:val="28"/>
        </w:rPr>
        <w:t xml:space="preserve"> disclosed without their consent</w:t>
      </w:r>
      <w:r w:rsidR="009E35BD">
        <w:rPr>
          <w:rFonts w:ascii="Calibri Light" w:hAnsi="Calibri Light" w:cs="Calibri Light"/>
          <w:sz w:val="28"/>
          <w:szCs w:val="28"/>
        </w:rPr>
        <w:t>, they may have a claim under the Act for a breach of their right to privacy</w:t>
      </w:r>
      <w:r w:rsidR="00346060">
        <w:rPr>
          <w:rFonts w:ascii="Calibri Light" w:hAnsi="Calibri Light" w:cs="Calibri Light"/>
          <w:sz w:val="28"/>
          <w:szCs w:val="28"/>
        </w:rPr>
        <w:t xml:space="preserve"> </w:t>
      </w:r>
      <w:sdt>
        <w:sdtPr>
          <w:rPr>
            <w:rFonts w:ascii="Calibri Light" w:hAnsi="Calibri Light" w:cs="Calibri Light"/>
            <w:sz w:val="28"/>
            <w:szCs w:val="28"/>
          </w:rPr>
          <w:id w:val="-1316868577"/>
          <w:citation/>
        </w:sdtPr>
        <w:sdtContent>
          <w:r w:rsidR="00346060">
            <w:rPr>
              <w:rFonts w:ascii="Calibri Light" w:hAnsi="Calibri Light" w:cs="Calibri Light"/>
              <w:sz w:val="28"/>
              <w:szCs w:val="28"/>
            </w:rPr>
            <w:fldChar w:fldCharType="begin"/>
          </w:r>
          <w:r w:rsidR="00346060">
            <w:rPr>
              <w:rFonts w:ascii="Calibri Light" w:hAnsi="Calibri Light" w:cs="Calibri Light"/>
              <w:sz w:val="28"/>
              <w:szCs w:val="28"/>
            </w:rPr>
            <w:instrText xml:space="preserve"> CITATION Lex24 \l 2057 </w:instrText>
          </w:r>
          <w:r w:rsidR="00346060">
            <w:rPr>
              <w:rFonts w:ascii="Calibri Light" w:hAnsi="Calibri Light" w:cs="Calibri Light"/>
              <w:sz w:val="28"/>
              <w:szCs w:val="28"/>
            </w:rPr>
            <w:fldChar w:fldCharType="separate"/>
          </w:r>
          <w:r w:rsidR="00346060" w:rsidRPr="00346060">
            <w:rPr>
              <w:rFonts w:ascii="Calibri Light" w:hAnsi="Calibri Light" w:cs="Calibri Light"/>
              <w:noProof/>
              <w:sz w:val="28"/>
              <w:szCs w:val="28"/>
            </w:rPr>
            <w:t>(Lexis, 2024)</w:t>
          </w:r>
          <w:r w:rsidR="00346060">
            <w:rPr>
              <w:rFonts w:ascii="Calibri Light" w:hAnsi="Calibri Light" w:cs="Calibri Light"/>
              <w:sz w:val="28"/>
              <w:szCs w:val="28"/>
            </w:rPr>
            <w:fldChar w:fldCharType="end"/>
          </w:r>
        </w:sdtContent>
      </w:sdt>
      <w:r w:rsidR="00346060">
        <w:rPr>
          <w:rFonts w:ascii="Calibri Light" w:hAnsi="Calibri Light" w:cs="Calibri Light"/>
          <w:sz w:val="28"/>
          <w:szCs w:val="28"/>
        </w:rPr>
        <w:t>.</w:t>
      </w:r>
    </w:p>
    <w:p w14:paraId="6CA3AE1D" w14:textId="4B4E60EA" w:rsidR="000829A8" w:rsidRDefault="001979E2" w:rsidP="001979E2">
      <w:pPr>
        <w:rPr>
          <w:rFonts w:ascii="Calibri Light" w:hAnsi="Calibri Light" w:cs="Calibri Light"/>
          <w:sz w:val="28"/>
          <w:szCs w:val="28"/>
        </w:rPr>
      </w:pPr>
      <w:r>
        <w:rPr>
          <w:rFonts w:ascii="Calibri Light" w:hAnsi="Calibri Light" w:cs="Calibri Light"/>
          <w:sz w:val="28"/>
          <w:szCs w:val="28"/>
        </w:rPr>
        <w:t xml:space="preserve">Legal Aid, Sentencing and Punishment of Offenders Act 2012 (LASPO 2012) introduced significant </w:t>
      </w:r>
      <w:r w:rsidR="00E81C33">
        <w:rPr>
          <w:rFonts w:ascii="Calibri Light" w:hAnsi="Calibri Light" w:cs="Calibri Light"/>
          <w:sz w:val="28"/>
          <w:szCs w:val="28"/>
        </w:rPr>
        <w:t xml:space="preserve">changes to the landscape of personal injury claims in the UK. One of the key provisions of LASPO 2012 </w:t>
      </w:r>
      <w:r w:rsidR="00A15919">
        <w:rPr>
          <w:rFonts w:ascii="Calibri Light" w:hAnsi="Calibri Light" w:cs="Calibri Light"/>
          <w:sz w:val="28"/>
          <w:szCs w:val="28"/>
        </w:rPr>
        <w:t xml:space="preserve">was the implementation of the ‘Jackson reforms’ which aimed to address the legal </w:t>
      </w:r>
      <w:r w:rsidR="00274EC8">
        <w:rPr>
          <w:rFonts w:ascii="Calibri Light" w:hAnsi="Calibri Light" w:cs="Calibri Light"/>
          <w:sz w:val="28"/>
          <w:szCs w:val="28"/>
        </w:rPr>
        <w:t>costs and promote access to justice. Under LASPO 2012, the recoverability of success fees and after-the-event insurance premiums in personal injury cases was greatly limited. Previously, these costs were often borne by the losing party, but the reform</w:t>
      </w:r>
      <w:r w:rsidR="00DA37AF">
        <w:rPr>
          <w:rFonts w:ascii="Calibri Light" w:hAnsi="Calibri Light" w:cs="Calibri Light"/>
          <w:sz w:val="28"/>
          <w:szCs w:val="28"/>
        </w:rPr>
        <w:t>s shifted the responsibility of paying these fees to the claimants themselves in most cases</w:t>
      </w:r>
      <w:r w:rsidR="00600D61">
        <w:rPr>
          <w:rFonts w:ascii="Calibri Light" w:hAnsi="Calibri Light" w:cs="Calibri Light"/>
          <w:sz w:val="28"/>
          <w:szCs w:val="28"/>
        </w:rPr>
        <w:t xml:space="preserve"> </w:t>
      </w:r>
      <w:sdt>
        <w:sdtPr>
          <w:rPr>
            <w:rFonts w:ascii="Calibri Light" w:hAnsi="Calibri Light" w:cs="Calibri Light"/>
            <w:sz w:val="28"/>
            <w:szCs w:val="28"/>
          </w:rPr>
          <w:id w:val="21062038"/>
          <w:citation/>
        </w:sdtPr>
        <w:sdtContent>
          <w:r w:rsidR="00600D61">
            <w:rPr>
              <w:rFonts w:ascii="Calibri Light" w:hAnsi="Calibri Light" w:cs="Calibri Light"/>
              <w:sz w:val="28"/>
              <w:szCs w:val="28"/>
            </w:rPr>
            <w:fldChar w:fldCharType="begin"/>
          </w:r>
          <w:r w:rsidR="00600D61">
            <w:rPr>
              <w:rFonts w:ascii="Calibri Light" w:hAnsi="Calibri Light" w:cs="Calibri Light"/>
              <w:sz w:val="28"/>
              <w:szCs w:val="28"/>
            </w:rPr>
            <w:instrText xml:space="preserve"> CITATION Leg246 \l 2057 </w:instrText>
          </w:r>
          <w:r w:rsidR="00600D61">
            <w:rPr>
              <w:rFonts w:ascii="Calibri Light" w:hAnsi="Calibri Light" w:cs="Calibri Light"/>
              <w:sz w:val="28"/>
              <w:szCs w:val="28"/>
            </w:rPr>
            <w:fldChar w:fldCharType="separate"/>
          </w:r>
          <w:r w:rsidR="00600D61" w:rsidRPr="00600D61">
            <w:rPr>
              <w:rFonts w:ascii="Calibri Light" w:hAnsi="Calibri Light" w:cs="Calibri Light"/>
              <w:noProof/>
              <w:sz w:val="28"/>
              <w:szCs w:val="28"/>
            </w:rPr>
            <w:t>(Legislation , 2024)</w:t>
          </w:r>
          <w:r w:rsidR="00600D61">
            <w:rPr>
              <w:rFonts w:ascii="Calibri Light" w:hAnsi="Calibri Light" w:cs="Calibri Light"/>
              <w:sz w:val="28"/>
              <w:szCs w:val="28"/>
            </w:rPr>
            <w:fldChar w:fldCharType="end"/>
          </w:r>
        </w:sdtContent>
      </w:sdt>
      <w:r w:rsidR="00600D61">
        <w:rPr>
          <w:rFonts w:ascii="Calibri Light" w:hAnsi="Calibri Light" w:cs="Calibri Light"/>
          <w:sz w:val="28"/>
          <w:szCs w:val="28"/>
        </w:rPr>
        <w:t>.</w:t>
      </w:r>
      <w:r w:rsidR="00DA37AF">
        <w:rPr>
          <w:rFonts w:ascii="Calibri Light" w:hAnsi="Calibri Light" w:cs="Calibri Light"/>
          <w:sz w:val="28"/>
          <w:szCs w:val="28"/>
        </w:rPr>
        <w:t xml:space="preserve"> Furthermore, LASPO 2012 imposed stricter regulations on conditional fee agreements (CFAs) </w:t>
      </w:r>
      <w:r w:rsidR="006D384D">
        <w:rPr>
          <w:rFonts w:ascii="Calibri Light" w:hAnsi="Calibri Light" w:cs="Calibri Light"/>
          <w:sz w:val="28"/>
          <w:szCs w:val="28"/>
        </w:rPr>
        <w:t>in personal injury claims. Claimants are now required to contribute a portion of their solicitors success fee and insurance premium from their compensation if they are successful</w:t>
      </w:r>
      <w:r w:rsidR="00DA37AF">
        <w:rPr>
          <w:rFonts w:ascii="Calibri Light" w:hAnsi="Calibri Light" w:cs="Calibri Light"/>
          <w:sz w:val="28"/>
          <w:szCs w:val="28"/>
        </w:rPr>
        <w:t xml:space="preserve"> </w:t>
      </w:r>
      <w:r w:rsidR="006D384D">
        <w:rPr>
          <w:rFonts w:ascii="Calibri Light" w:hAnsi="Calibri Light" w:cs="Calibri Light"/>
          <w:sz w:val="28"/>
          <w:szCs w:val="28"/>
        </w:rPr>
        <w:t xml:space="preserve">in their case. </w:t>
      </w:r>
      <w:r w:rsidR="004A0615">
        <w:rPr>
          <w:rFonts w:ascii="Calibri Light" w:hAnsi="Calibri Light" w:cs="Calibri Light"/>
          <w:sz w:val="28"/>
          <w:szCs w:val="28"/>
        </w:rPr>
        <w:t xml:space="preserve">These changes were implemented with the intention of ensuring </w:t>
      </w:r>
      <w:r w:rsidR="004A0615">
        <w:rPr>
          <w:rFonts w:ascii="Calibri Light" w:hAnsi="Calibri Light" w:cs="Calibri Light"/>
          <w:sz w:val="28"/>
          <w:szCs w:val="28"/>
        </w:rPr>
        <w:lastRenderedPageBreak/>
        <w:t xml:space="preserve">proportionality in legal costs </w:t>
      </w:r>
      <w:r w:rsidR="00D66485">
        <w:rPr>
          <w:rFonts w:ascii="Calibri Light" w:hAnsi="Calibri Light" w:cs="Calibri Light"/>
          <w:sz w:val="28"/>
          <w:szCs w:val="28"/>
        </w:rPr>
        <w:t xml:space="preserve">and promoting a more sustainable legal aid system. However, it is important for claimants to carefully consider the potential financial implications </w:t>
      </w:r>
      <w:r w:rsidR="007E62CE">
        <w:rPr>
          <w:rFonts w:ascii="Calibri Light" w:hAnsi="Calibri Light" w:cs="Calibri Light"/>
          <w:sz w:val="28"/>
          <w:szCs w:val="28"/>
        </w:rPr>
        <w:t xml:space="preserve">of pursuing a personal injury claim under the provisions of LASPO </w:t>
      </w:r>
      <w:r w:rsidR="001E3811">
        <w:rPr>
          <w:rFonts w:ascii="Calibri Light" w:hAnsi="Calibri Light" w:cs="Calibri Light"/>
          <w:sz w:val="28"/>
          <w:szCs w:val="28"/>
        </w:rPr>
        <w:t>2012.</w:t>
      </w:r>
      <w:r w:rsidR="00FE714F">
        <w:rPr>
          <w:rFonts w:ascii="Calibri Light" w:hAnsi="Calibri Light" w:cs="Calibri Light"/>
          <w:sz w:val="28"/>
          <w:szCs w:val="28"/>
        </w:rPr>
        <w:t xml:space="preserve"> One of the effects of the LASPO 2012 was the reduction in </w:t>
      </w:r>
      <w:r w:rsidR="00965AAD">
        <w:rPr>
          <w:rFonts w:ascii="Calibri Light" w:hAnsi="Calibri Light" w:cs="Calibri Light"/>
          <w:sz w:val="28"/>
          <w:szCs w:val="28"/>
        </w:rPr>
        <w:t xml:space="preserve">the scope of legal aid, making it more challenging for individuals </w:t>
      </w:r>
      <w:r w:rsidR="00495B6F">
        <w:rPr>
          <w:rFonts w:ascii="Calibri Light" w:hAnsi="Calibri Light" w:cs="Calibri Light"/>
          <w:sz w:val="28"/>
          <w:szCs w:val="28"/>
        </w:rPr>
        <w:t>to access free legal representation. This could potentially lead to an increase in the number of litigants in person</w:t>
      </w:r>
      <w:r w:rsidR="00DD5E2E">
        <w:rPr>
          <w:rFonts w:ascii="Calibri Light" w:hAnsi="Calibri Light" w:cs="Calibri Light"/>
          <w:sz w:val="28"/>
          <w:szCs w:val="28"/>
        </w:rPr>
        <w:t xml:space="preserve"> </w:t>
      </w:r>
      <w:sdt>
        <w:sdtPr>
          <w:rPr>
            <w:rFonts w:ascii="Calibri Light" w:hAnsi="Calibri Light" w:cs="Calibri Light"/>
            <w:sz w:val="28"/>
            <w:szCs w:val="28"/>
          </w:rPr>
          <w:id w:val="448361469"/>
          <w:citation/>
        </w:sdtPr>
        <w:sdtContent>
          <w:r w:rsidR="00DD5E2E">
            <w:rPr>
              <w:rFonts w:ascii="Calibri Light" w:hAnsi="Calibri Light" w:cs="Calibri Light"/>
              <w:sz w:val="28"/>
              <w:szCs w:val="28"/>
            </w:rPr>
            <w:fldChar w:fldCharType="begin"/>
          </w:r>
          <w:r w:rsidR="00DD5E2E">
            <w:rPr>
              <w:rFonts w:ascii="Calibri Light" w:hAnsi="Calibri Light" w:cs="Calibri Light"/>
              <w:sz w:val="28"/>
              <w:szCs w:val="28"/>
            </w:rPr>
            <w:instrText xml:space="preserve"> CITATION Law24 \l 2057 </w:instrText>
          </w:r>
          <w:r w:rsidR="00DD5E2E">
            <w:rPr>
              <w:rFonts w:ascii="Calibri Light" w:hAnsi="Calibri Light" w:cs="Calibri Light"/>
              <w:sz w:val="28"/>
              <w:szCs w:val="28"/>
            </w:rPr>
            <w:fldChar w:fldCharType="separate"/>
          </w:r>
          <w:r w:rsidR="00DD5E2E" w:rsidRPr="00DD5E2E">
            <w:rPr>
              <w:rFonts w:ascii="Calibri Light" w:hAnsi="Calibri Light" w:cs="Calibri Light"/>
              <w:noProof/>
              <w:sz w:val="28"/>
              <w:szCs w:val="28"/>
            </w:rPr>
            <w:t>(LawSociety, 2024)</w:t>
          </w:r>
          <w:r w:rsidR="00DD5E2E">
            <w:rPr>
              <w:rFonts w:ascii="Calibri Light" w:hAnsi="Calibri Light" w:cs="Calibri Light"/>
              <w:sz w:val="28"/>
              <w:szCs w:val="28"/>
            </w:rPr>
            <w:fldChar w:fldCharType="end"/>
          </w:r>
        </w:sdtContent>
      </w:sdt>
      <w:r w:rsidR="00DD5E2E">
        <w:rPr>
          <w:rFonts w:ascii="Calibri Light" w:hAnsi="Calibri Light" w:cs="Calibri Light"/>
          <w:sz w:val="28"/>
          <w:szCs w:val="28"/>
        </w:rPr>
        <w:t>.</w:t>
      </w:r>
    </w:p>
    <w:p w14:paraId="5CEE4420" w14:textId="55D0C90D" w:rsidR="000C4307" w:rsidRDefault="000C4307" w:rsidP="001979E2">
      <w:pPr>
        <w:rPr>
          <w:rFonts w:ascii="Calibri Light" w:hAnsi="Calibri Light" w:cs="Calibri Light"/>
          <w:sz w:val="28"/>
          <w:szCs w:val="28"/>
        </w:rPr>
      </w:pPr>
      <w:r>
        <w:rPr>
          <w:rFonts w:ascii="Calibri Light" w:hAnsi="Calibri Light" w:cs="Calibri Light"/>
          <w:sz w:val="28"/>
          <w:szCs w:val="28"/>
        </w:rPr>
        <w:t xml:space="preserve">The Limitation Act 1980 </w:t>
      </w:r>
      <w:r w:rsidR="00526D62">
        <w:rPr>
          <w:rFonts w:ascii="Calibri Light" w:hAnsi="Calibri Light" w:cs="Calibri Light"/>
          <w:sz w:val="28"/>
          <w:szCs w:val="28"/>
        </w:rPr>
        <w:t xml:space="preserve">establishes the time frame within which a personal injury claim must be initiated. </w:t>
      </w:r>
      <w:r w:rsidR="00D100DB">
        <w:rPr>
          <w:rFonts w:ascii="Calibri Light" w:hAnsi="Calibri Light" w:cs="Calibri Light"/>
          <w:sz w:val="28"/>
          <w:szCs w:val="28"/>
        </w:rPr>
        <w:t xml:space="preserve">Generally, you have three years from the date of the injury to file a claim. The time limit is known as the ‘limitation period’. </w:t>
      </w:r>
      <w:r w:rsidR="00DF43E9">
        <w:rPr>
          <w:rFonts w:ascii="Calibri Light" w:hAnsi="Calibri Light" w:cs="Calibri Light"/>
          <w:sz w:val="28"/>
          <w:szCs w:val="28"/>
        </w:rPr>
        <w:t xml:space="preserve">The limitation period may vary depending on the circumstances of the case. There are some exceptions </w:t>
      </w:r>
      <w:r w:rsidR="00E505FA">
        <w:rPr>
          <w:rFonts w:ascii="Calibri Light" w:hAnsi="Calibri Light" w:cs="Calibri Light"/>
          <w:sz w:val="28"/>
          <w:szCs w:val="28"/>
        </w:rPr>
        <w:t>to the standard limitation period. For example, if the injured person was not immediately aware of the injury or its cause, the limitation period may start from the date they become aware or could reasonably have become a</w:t>
      </w:r>
      <w:r w:rsidR="00AA57CD">
        <w:rPr>
          <w:rFonts w:ascii="Calibri Light" w:hAnsi="Calibri Light" w:cs="Calibri Light"/>
          <w:sz w:val="28"/>
          <w:szCs w:val="28"/>
        </w:rPr>
        <w:t>ware of it. This is known as the ‘date of knowledge’</w:t>
      </w:r>
      <w:r w:rsidR="002E7E05">
        <w:rPr>
          <w:rFonts w:ascii="Calibri Light" w:hAnsi="Calibri Light" w:cs="Calibri Light"/>
          <w:sz w:val="28"/>
          <w:szCs w:val="28"/>
        </w:rPr>
        <w:t xml:space="preserve"> </w:t>
      </w:r>
      <w:sdt>
        <w:sdtPr>
          <w:rPr>
            <w:rFonts w:ascii="Calibri Light" w:hAnsi="Calibri Light" w:cs="Calibri Light"/>
            <w:sz w:val="28"/>
            <w:szCs w:val="28"/>
          </w:rPr>
          <w:id w:val="-1287184796"/>
          <w:citation/>
        </w:sdtPr>
        <w:sdtContent>
          <w:r w:rsidR="002E7E05">
            <w:rPr>
              <w:rFonts w:ascii="Calibri Light" w:hAnsi="Calibri Light" w:cs="Calibri Light"/>
              <w:sz w:val="28"/>
              <w:szCs w:val="28"/>
            </w:rPr>
            <w:fldChar w:fldCharType="begin"/>
          </w:r>
          <w:r w:rsidR="002E7E05">
            <w:rPr>
              <w:rFonts w:ascii="Calibri Light" w:hAnsi="Calibri Light" w:cs="Calibri Light"/>
              <w:sz w:val="28"/>
              <w:szCs w:val="28"/>
            </w:rPr>
            <w:instrText xml:space="preserve"> CITATION Rus17 \l 2057 </w:instrText>
          </w:r>
          <w:r w:rsidR="002E7E05">
            <w:rPr>
              <w:rFonts w:ascii="Calibri Light" w:hAnsi="Calibri Light" w:cs="Calibri Light"/>
              <w:sz w:val="28"/>
              <w:szCs w:val="28"/>
            </w:rPr>
            <w:fldChar w:fldCharType="separate"/>
          </w:r>
          <w:r w:rsidR="002E7E05" w:rsidRPr="002E7E05">
            <w:rPr>
              <w:rFonts w:ascii="Calibri Light" w:hAnsi="Calibri Light" w:cs="Calibri Light"/>
              <w:noProof/>
              <w:sz w:val="28"/>
              <w:szCs w:val="28"/>
            </w:rPr>
            <w:t>(Russell Worth, 2017)</w:t>
          </w:r>
          <w:r w:rsidR="002E7E05">
            <w:rPr>
              <w:rFonts w:ascii="Calibri Light" w:hAnsi="Calibri Light" w:cs="Calibri Light"/>
              <w:sz w:val="28"/>
              <w:szCs w:val="28"/>
            </w:rPr>
            <w:fldChar w:fldCharType="end"/>
          </w:r>
        </w:sdtContent>
      </w:sdt>
      <w:r w:rsidR="002E7E05">
        <w:rPr>
          <w:rFonts w:ascii="Calibri Light" w:hAnsi="Calibri Light" w:cs="Calibri Light"/>
          <w:sz w:val="28"/>
          <w:szCs w:val="28"/>
        </w:rPr>
        <w:t xml:space="preserve">. </w:t>
      </w:r>
      <w:r w:rsidR="00424880">
        <w:rPr>
          <w:rFonts w:ascii="Calibri Light" w:hAnsi="Calibri Light" w:cs="Calibri Light"/>
          <w:sz w:val="28"/>
          <w:szCs w:val="28"/>
        </w:rPr>
        <w:t>The act also considers cases involving minors</w:t>
      </w:r>
      <w:r w:rsidR="008A1EEE">
        <w:rPr>
          <w:rFonts w:ascii="Calibri Light" w:hAnsi="Calibri Light" w:cs="Calibri Light"/>
          <w:sz w:val="28"/>
          <w:szCs w:val="28"/>
        </w:rPr>
        <w:t xml:space="preserve"> (</w:t>
      </w:r>
      <w:r w:rsidR="00094CBB">
        <w:rPr>
          <w:rFonts w:ascii="Calibri Light" w:hAnsi="Calibri Light" w:cs="Calibri Light"/>
          <w:sz w:val="28"/>
          <w:szCs w:val="28"/>
        </w:rPr>
        <w:t>the date starts from their 18</w:t>
      </w:r>
      <w:r w:rsidR="00094CBB" w:rsidRPr="00094CBB">
        <w:rPr>
          <w:rFonts w:ascii="Calibri Light" w:hAnsi="Calibri Light" w:cs="Calibri Light"/>
          <w:sz w:val="28"/>
          <w:szCs w:val="28"/>
          <w:vertAlign w:val="superscript"/>
        </w:rPr>
        <w:t>th</w:t>
      </w:r>
      <w:r w:rsidR="00094CBB">
        <w:rPr>
          <w:rFonts w:ascii="Calibri Light" w:hAnsi="Calibri Light" w:cs="Calibri Light"/>
          <w:sz w:val="28"/>
          <w:szCs w:val="28"/>
        </w:rPr>
        <w:t xml:space="preserve"> birthday until they turn 21)</w:t>
      </w:r>
      <w:r w:rsidR="00424880">
        <w:rPr>
          <w:rFonts w:ascii="Calibri Light" w:hAnsi="Calibri Light" w:cs="Calibri Light"/>
          <w:sz w:val="28"/>
          <w:szCs w:val="28"/>
        </w:rPr>
        <w:t xml:space="preserve">, individuals with mental incapacity </w:t>
      </w:r>
      <w:r w:rsidR="008A1EEE">
        <w:rPr>
          <w:rFonts w:ascii="Calibri Light" w:hAnsi="Calibri Light" w:cs="Calibri Light"/>
          <w:sz w:val="28"/>
          <w:szCs w:val="28"/>
        </w:rPr>
        <w:t xml:space="preserve">and cases where the injury occurred over a period </w:t>
      </w:r>
      <w:r w:rsidR="00094CBB">
        <w:rPr>
          <w:rFonts w:ascii="Calibri Light" w:hAnsi="Calibri Light" w:cs="Calibri Light"/>
          <w:sz w:val="28"/>
          <w:szCs w:val="28"/>
        </w:rPr>
        <w:t>of time. In such situations, the limitation period may be extended or modified to ensure fairness and access to justice</w:t>
      </w:r>
      <w:r w:rsidR="0046022A">
        <w:rPr>
          <w:rFonts w:ascii="Calibri Light" w:hAnsi="Calibri Light" w:cs="Calibri Light"/>
          <w:sz w:val="28"/>
          <w:szCs w:val="28"/>
        </w:rPr>
        <w:t xml:space="preserve"> </w:t>
      </w:r>
      <w:sdt>
        <w:sdtPr>
          <w:rPr>
            <w:rFonts w:ascii="Calibri Light" w:hAnsi="Calibri Light" w:cs="Calibri Light"/>
            <w:sz w:val="28"/>
            <w:szCs w:val="28"/>
          </w:rPr>
          <w:id w:val="-1041355456"/>
          <w:citation/>
        </w:sdtPr>
        <w:sdtContent>
          <w:r w:rsidR="0046022A">
            <w:rPr>
              <w:rFonts w:ascii="Calibri Light" w:hAnsi="Calibri Light" w:cs="Calibri Light"/>
              <w:sz w:val="28"/>
              <w:szCs w:val="28"/>
            </w:rPr>
            <w:fldChar w:fldCharType="begin"/>
          </w:r>
          <w:r w:rsidR="0046022A">
            <w:rPr>
              <w:rFonts w:ascii="Calibri Light" w:hAnsi="Calibri Light" w:cs="Calibri Light"/>
              <w:sz w:val="28"/>
              <w:szCs w:val="28"/>
            </w:rPr>
            <w:instrText xml:space="preserve"> CITATION Car121 \l 2057 </w:instrText>
          </w:r>
          <w:r w:rsidR="0046022A">
            <w:rPr>
              <w:rFonts w:ascii="Calibri Light" w:hAnsi="Calibri Light" w:cs="Calibri Light"/>
              <w:sz w:val="28"/>
              <w:szCs w:val="28"/>
            </w:rPr>
            <w:fldChar w:fldCharType="separate"/>
          </w:r>
          <w:r w:rsidR="0046022A" w:rsidRPr="0046022A">
            <w:rPr>
              <w:rFonts w:ascii="Calibri Light" w:hAnsi="Calibri Light" w:cs="Calibri Light"/>
              <w:noProof/>
              <w:sz w:val="28"/>
              <w:szCs w:val="28"/>
            </w:rPr>
            <w:t>(Carruthers, 2012)</w:t>
          </w:r>
          <w:r w:rsidR="0046022A">
            <w:rPr>
              <w:rFonts w:ascii="Calibri Light" w:hAnsi="Calibri Light" w:cs="Calibri Light"/>
              <w:sz w:val="28"/>
              <w:szCs w:val="28"/>
            </w:rPr>
            <w:fldChar w:fldCharType="end"/>
          </w:r>
        </w:sdtContent>
      </w:sdt>
      <w:r w:rsidR="0046022A">
        <w:rPr>
          <w:rFonts w:ascii="Calibri Light" w:hAnsi="Calibri Light" w:cs="Calibri Light"/>
          <w:sz w:val="28"/>
          <w:szCs w:val="28"/>
        </w:rPr>
        <w:t>.</w:t>
      </w:r>
      <w:r w:rsidR="00D36F3B">
        <w:rPr>
          <w:rFonts w:ascii="Calibri Light" w:hAnsi="Calibri Light" w:cs="Calibri Light"/>
          <w:sz w:val="28"/>
          <w:szCs w:val="28"/>
        </w:rPr>
        <w:t xml:space="preserve"> </w:t>
      </w:r>
      <w:r w:rsidR="00646DFB">
        <w:rPr>
          <w:rFonts w:ascii="Calibri Light" w:hAnsi="Calibri Light" w:cs="Calibri Light"/>
          <w:sz w:val="28"/>
          <w:szCs w:val="28"/>
        </w:rPr>
        <w:t xml:space="preserve">If someone under 18 is involved in a personal injury claim </w:t>
      </w:r>
      <w:r w:rsidR="00991BF5">
        <w:rPr>
          <w:rFonts w:ascii="Calibri Light" w:hAnsi="Calibri Light" w:cs="Calibri Light"/>
          <w:sz w:val="28"/>
          <w:szCs w:val="28"/>
        </w:rPr>
        <w:t xml:space="preserve">they may need a litigation friend to assist them. </w:t>
      </w:r>
      <w:r w:rsidR="00B204C7">
        <w:rPr>
          <w:rFonts w:ascii="Calibri Light" w:hAnsi="Calibri Light" w:cs="Calibri Light"/>
          <w:sz w:val="28"/>
          <w:szCs w:val="28"/>
        </w:rPr>
        <w:t>The litigation friend can be a parent, guardian, or another responsible adult. Their role is to provide support and make decisions on behalf of the child</w:t>
      </w:r>
      <w:r w:rsidR="00A37DB2">
        <w:rPr>
          <w:rFonts w:ascii="Calibri Light" w:hAnsi="Calibri Light" w:cs="Calibri Light"/>
          <w:sz w:val="28"/>
          <w:szCs w:val="28"/>
        </w:rPr>
        <w:t>. This ensures that the child’s best interests are represented and protected throughout the claim process.</w:t>
      </w:r>
    </w:p>
    <w:p w14:paraId="5286D284" w14:textId="77777777" w:rsidR="00CB15C4" w:rsidRDefault="0047031C" w:rsidP="001979E2">
      <w:pPr>
        <w:rPr>
          <w:rFonts w:ascii="Calibri Light" w:hAnsi="Calibri Light" w:cs="Calibri Light"/>
          <w:sz w:val="28"/>
          <w:szCs w:val="28"/>
        </w:rPr>
      </w:pPr>
      <w:r>
        <w:rPr>
          <w:rFonts w:ascii="Calibri Light" w:hAnsi="Calibri Light" w:cs="Calibri Light"/>
          <w:sz w:val="28"/>
          <w:szCs w:val="28"/>
        </w:rPr>
        <w:t>The changes made to the personal injury small claim</w:t>
      </w:r>
      <w:r w:rsidR="002710B3">
        <w:rPr>
          <w:rFonts w:ascii="Calibri Light" w:hAnsi="Calibri Light" w:cs="Calibri Light"/>
          <w:sz w:val="28"/>
          <w:szCs w:val="28"/>
        </w:rPr>
        <w:t>s procedure on the 31</w:t>
      </w:r>
      <w:r w:rsidR="002710B3" w:rsidRPr="002710B3">
        <w:rPr>
          <w:rFonts w:ascii="Calibri Light" w:hAnsi="Calibri Light" w:cs="Calibri Light"/>
          <w:sz w:val="28"/>
          <w:szCs w:val="28"/>
          <w:vertAlign w:val="superscript"/>
        </w:rPr>
        <w:t>st</w:t>
      </w:r>
      <w:r w:rsidR="002710B3">
        <w:rPr>
          <w:rFonts w:ascii="Calibri Light" w:hAnsi="Calibri Light" w:cs="Calibri Light"/>
          <w:sz w:val="28"/>
          <w:szCs w:val="28"/>
        </w:rPr>
        <w:t xml:space="preserve"> of May 2021, has resulted in </w:t>
      </w:r>
      <w:r w:rsidR="009E6886">
        <w:rPr>
          <w:rFonts w:ascii="Calibri Light" w:hAnsi="Calibri Light" w:cs="Calibri Light"/>
          <w:sz w:val="28"/>
          <w:szCs w:val="28"/>
        </w:rPr>
        <w:t>an increase in the number of litigants in person bringing cases to court. These changes</w:t>
      </w:r>
      <w:r w:rsidR="00231102">
        <w:rPr>
          <w:rFonts w:ascii="Calibri Light" w:hAnsi="Calibri Light" w:cs="Calibri Light"/>
          <w:sz w:val="28"/>
          <w:szCs w:val="28"/>
        </w:rPr>
        <w:t xml:space="preserve">, such as the Civil Procedure Rules (Amendment No.1) </w:t>
      </w:r>
      <w:r w:rsidR="0073632A">
        <w:rPr>
          <w:rFonts w:ascii="Calibri Light" w:hAnsi="Calibri Light" w:cs="Calibri Light"/>
          <w:sz w:val="28"/>
          <w:szCs w:val="28"/>
        </w:rPr>
        <w:t xml:space="preserve">2021, have had a significant impact on various aspects of the legal process. The Civil Procedure Rules 1998, along with the pre-action protocols, provide essential guidelines for the conduct of civil litigation. </w:t>
      </w:r>
      <w:r w:rsidR="000A3097">
        <w:rPr>
          <w:rFonts w:ascii="Calibri Light" w:hAnsi="Calibri Light" w:cs="Calibri Light"/>
          <w:sz w:val="28"/>
          <w:szCs w:val="28"/>
        </w:rPr>
        <w:t xml:space="preserve">The Whiplash Regulations 2021 also play a role in personal injury claims. In addition, it is important to consider the </w:t>
      </w:r>
      <w:r w:rsidR="005234EC">
        <w:rPr>
          <w:rFonts w:ascii="Calibri Light" w:hAnsi="Calibri Light" w:cs="Calibri Light"/>
          <w:sz w:val="28"/>
          <w:szCs w:val="28"/>
        </w:rPr>
        <w:t xml:space="preserve">influence of the Legal Aid, Sentencing and Punishment of Offenders Act and the Human Rights Act 1998 in the context of </w:t>
      </w:r>
      <w:r w:rsidR="005234EC">
        <w:rPr>
          <w:rFonts w:ascii="Calibri Light" w:hAnsi="Calibri Light" w:cs="Calibri Light"/>
          <w:sz w:val="28"/>
          <w:szCs w:val="28"/>
        </w:rPr>
        <w:lastRenderedPageBreak/>
        <w:t xml:space="preserve">the personal injury claims. LASPO introduced substantial </w:t>
      </w:r>
      <w:r w:rsidR="00391B52">
        <w:rPr>
          <w:rFonts w:ascii="Calibri Light" w:hAnsi="Calibri Light" w:cs="Calibri Light"/>
          <w:sz w:val="28"/>
          <w:szCs w:val="28"/>
        </w:rPr>
        <w:t>changes to the availability of legal aid for certain types of cases, including personal injury claims.</w:t>
      </w:r>
      <w:r w:rsidR="000C1B3C">
        <w:rPr>
          <w:rFonts w:ascii="Calibri Light" w:hAnsi="Calibri Light" w:cs="Calibri Light"/>
          <w:sz w:val="28"/>
          <w:szCs w:val="28"/>
        </w:rPr>
        <w:t xml:space="preserve"> The amendments to the small claims procedure have made it more accessible for individuals without legal representation, leading to an increase in litigants in person. This means that more people are choosing to represent themselves in court without the </w:t>
      </w:r>
      <w:r w:rsidR="00F00C0E">
        <w:rPr>
          <w:rFonts w:ascii="Calibri Light" w:hAnsi="Calibri Light" w:cs="Calibri Light"/>
          <w:sz w:val="28"/>
          <w:szCs w:val="28"/>
        </w:rPr>
        <w:t xml:space="preserve">assistance of a solicitor. While this may result in more cases being brought to court, it also highlights the importance of understanding the legal process and seeking appropriate guidance to navigate the complexities of personal injury claims effectively. </w:t>
      </w:r>
      <w:r w:rsidR="0070214B">
        <w:rPr>
          <w:rFonts w:ascii="Calibri Light" w:hAnsi="Calibri Light" w:cs="Calibri Light"/>
          <w:sz w:val="28"/>
          <w:szCs w:val="28"/>
        </w:rPr>
        <w:t xml:space="preserve">In conclusion, the changes made to the personal injury small claims procedure have had an impact on </w:t>
      </w:r>
      <w:r w:rsidR="00CC3D88">
        <w:rPr>
          <w:rFonts w:ascii="Calibri Light" w:hAnsi="Calibri Light" w:cs="Calibri Light"/>
          <w:sz w:val="28"/>
          <w:szCs w:val="28"/>
        </w:rPr>
        <w:t xml:space="preserve">the number of cases brought by litigants in person. This emphasises the need for individuals to familiarise themselves with the relevant rules and regulations, seek appropriate support, and ensure </w:t>
      </w:r>
      <w:r w:rsidR="00CB15C4">
        <w:rPr>
          <w:rFonts w:ascii="Calibri Light" w:hAnsi="Calibri Light" w:cs="Calibri Light"/>
          <w:sz w:val="28"/>
          <w:szCs w:val="28"/>
        </w:rPr>
        <w:t xml:space="preserve">their rights are protected throughout the legal process. </w:t>
      </w:r>
    </w:p>
    <w:p w14:paraId="34720E59" w14:textId="77777777" w:rsidR="00CB15C4" w:rsidRDefault="00CB15C4" w:rsidP="001979E2">
      <w:pPr>
        <w:rPr>
          <w:rFonts w:ascii="Calibri Light" w:hAnsi="Calibri Light" w:cs="Calibri Light"/>
          <w:sz w:val="28"/>
          <w:szCs w:val="28"/>
        </w:rPr>
      </w:pPr>
    </w:p>
    <w:p w14:paraId="28974ECF" w14:textId="77777777" w:rsidR="00CB15C4" w:rsidRDefault="00CB15C4" w:rsidP="001979E2">
      <w:pPr>
        <w:rPr>
          <w:rFonts w:ascii="Calibri Light" w:hAnsi="Calibri Light" w:cs="Calibri Light"/>
          <w:sz w:val="28"/>
          <w:szCs w:val="28"/>
        </w:rPr>
      </w:pPr>
    </w:p>
    <w:p w14:paraId="3DF9E62A" w14:textId="77777777" w:rsidR="00CB15C4" w:rsidRDefault="00CB15C4" w:rsidP="001979E2">
      <w:pPr>
        <w:rPr>
          <w:rFonts w:ascii="Calibri Light" w:hAnsi="Calibri Light" w:cs="Calibri Light"/>
          <w:sz w:val="28"/>
          <w:szCs w:val="28"/>
        </w:rPr>
      </w:pPr>
    </w:p>
    <w:p w14:paraId="0AE5737D" w14:textId="77777777" w:rsidR="00CB15C4" w:rsidRDefault="00CB15C4" w:rsidP="001979E2">
      <w:pPr>
        <w:rPr>
          <w:rFonts w:ascii="Calibri Light" w:hAnsi="Calibri Light" w:cs="Calibri Light"/>
          <w:sz w:val="28"/>
          <w:szCs w:val="28"/>
        </w:rPr>
      </w:pPr>
    </w:p>
    <w:p w14:paraId="638899C7" w14:textId="77777777" w:rsidR="00CB15C4" w:rsidRDefault="00CB15C4" w:rsidP="001979E2">
      <w:pPr>
        <w:rPr>
          <w:rFonts w:ascii="Calibri Light" w:hAnsi="Calibri Light" w:cs="Calibri Light"/>
          <w:sz w:val="28"/>
          <w:szCs w:val="28"/>
        </w:rPr>
      </w:pPr>
    </w:p>
    <w:p w14:paraId="78C7BF0F" w14:textId="77777777" w:rsidR="00CB15C4" w:rsidRDefault="00CB15C4" w:rsidP="001979E2">
      <w:pPr>
        <w:rPr>
          <w:rFonts w:ascii="Calibri Light" w:hAnsi="Calibri Light" w:cs="Calibri Light"/>
          <w:sz w:val="28"/>
          <w:szCs w:val="28"/>
        </w:rPr>
      </w:pPr>
    </w:p>
    <w:p w14:paraId="7FB3E011" w14:textId="77777777" w:rsidR="00CB15C4" w:rsidRDefault="00CB15C4" w:rsidP="001979E2">
      <w:pPr>
        <w:rPr>
          <w:rFonts w:ascii="Calibri Light" w:hAnsi="Calibri Light" w:cs="Calibri Light"/>
          <w:sz w:val="28"/>
          <w:szCs w:val="28"/>
        </w:rPr>
      </w:pPr>
    </w:p>
    <w:p w14:paraId="6D04CF80" w14:textId="77777777" w:rsidR="00CB15C4" w:rsidRDefault="00CB15C4" w:rsidP="001979E2">
      <w:pPr>
        <w:rPr>
          <w:rFonts w:ascii="Calibri Light" w:hAnsi="Calibri Light" w:cs="Calibri Light"/>
          <w:sz w:val="28"/>
          <w:szCs w:val="28"/>
        </w:rPr>
      </w:pPr>
    </w:p>
    <w:p w14:paraId="51493F1A" w14:textId="77777777" w:rsidR="00CB15C4" w:rsidRDefault="00CB15C4" w:rsidP="001979E2">
      <w:pPr>
        <w:rPr>
          <w:rFonts w:ascii="Calibri Light" w:hAnsi="Calibri Light" w:cs="Calibri Light"/>
          <w:sz w:val="28"/>
          <w:szCs w:val="28"/>
        </w:rPr>
      </w:pPr>
    </w:p>
    <w:p w14:paraId="55A903E1" w14:textId="77777777" w:rsidR="00CB15C4" w:rsidRDefault="00CB15C4" w:rsidP="001979E2">
      <w:pPr>
        <w:rPr>
          <w:rFonts w:ascii="Calibri Light" w:hAnsi="Calibri Light" w:cs="Calibri Light"/>
          <w:sz w:val="28"/>
          <w:szCs w:val="28"/>
        </w:rPr>
      </w:pPr>
    </w:p>
    <w:p w14:paraId="294D6C27" w14:textId="77777777" w:rsidR="00CB15C4" w:rsidRDefault="00CB15C4" w:rsidP="001979E2">
      <w:pPr>
        <w:rPr>
          <w:rFonts w:ascii="Calibri Light" w:hAnsi="Calibri Light" w:cs="Calibri Light"/>
          <w:sz w:val="28"/>
          <w:szCs w:val="28"/>
        </w:rPr>
      </w:pPr>
    </w:p>
    <w:p w14:paraId="5CD5ED6E" w14:textId="77777777" w:rsidR="00CB15C4" w:rsidRDefault="00CB15C4" w:rsidP="001979E2">
      <w:pPr>
        <w:rPr>
          <w:rFonts w:ascii="Calibri Light" w:hAnsi="Calibri Light" w:cs="Calibri Light"/>
          <w:sz w:val="28"/>
          <w:szCs w:val="28"/>
        </w:rPr>
      </w:pPr>
    </w:p>
    <w:p w14:paraId="78754837" w14:textId="77777777" w:rsidR="00CB15C4" w:rsidRDefault="00CB15C4" w:rsidP="001979E2">
      <w:pPr>
        <w:rPr>
          <w:rFonts w:ascii="Calibri Light" w:hAnsi="Calibri Light" w:cs="Calibri Light"/>
          <w:sz w:val="28"/>
          <w:szCs w:val="28"/>
        </w:rPr>
      </w:pPr>
    </w:p>
    <w:p w14:paraId="7BE68343" w14:textId="77777777" w:rsidR="00CB15C4" w:rsidRDefault="00CB15C4" w:rsidP="001979E2">
      <w:pPr>
        <w:rPr>
          <w:rFonts w:ascii="Calibri Light" w:hAnsi="Calibri Light" w:cs="Calibri Light"/>
          <w:sz w:val="28"/>
          <w:szCs w:val="28"/>
        </w:rPr>
      </w:pPr>
    </w:p>
    <w:p w14:paraId="11C4426A" w14:textId="77777777" w:rsidR="00CB15C4" w:rsidRDefault="00CB15C4" w:rsidP="001979E2">
      <w:pPr>
        <w:rPr>
          <w:rFonts w:ascii="Calibri Light" w:hAnsi="Calibri Light" w:cs="Calibri Light"/>
          <w:sz w:val="28"/>
          <w:szCs w:val="28"/>
        </w:rPr>
      </w:pPr>
    </w:p>
    <w:sdt>
      <w:sdtPr>
        <w:id w:val="-868210063"/>
        <w:docPartObj>
          <w:docPartGallery w:val="Bibliographies"/>
          <w:docPartUnique/>
        </w:docPartObj>
      </w:sdtPr>
      <w:sdtEndPr>
        <w:rPr>
          <w:rFonts w:ascii="Calibri Light" w:eastAsiaTheme="minorHAnsi" w:hAnsi="Calibri Light" w:cs="Calibri Light"/>
          <w:color w:val="auto"/>
          <w:sz w:val="28"/>
          <w:szCs w:val="28"/>
        </w:rPr>
      </w:sdtEndPr>
      <w:sdtContent>
        <w:p w14:paraId="1946E44D" w14:textId="7E783F49" w:rsidR="00CB15C4" w:rsidRDefault="00CB15C4">
          <w:pPr>
            <w:pStyle w:val="Heading1"/>
            <w:rPr>
              <w:rFonts w:ascii="Calibri Light" w:hAnsi="Calibri Light" w:cs="Calibri Light"/>
              <w:sz w:val="28"/>
              <w:szCs w:val="28"/>
            </w:rPr>
          </w:pPr>
          <w:r w:rsidRPr="00CB15C4">
            <w:rPr>
              <w:rFonts w:ascii="Calibri Light" w:hAnsi="Calibri Light" w:cs="Calibri Light"/>
              <w:sz w:val="28"/>
              <w:szCs w:val="28"/>
            </w:rPr>
            <w:t>References</w:t>
          </w:r>
        </w:p>
        <w:p w14:paraId="4BF70084" w14:textId="77777777" w:rsidR="00CB15C4" w:rsidRPr="00CB15C4" w:rsidRDefault="00CB15C4" w:rsidP="00CB15C4"/>
        <w:sdt>
          <w:sdtPr>
            <w:rPr>
              <w:rFonts w:ascii="Calibri Light" w:hAnsi="Calibri Light" w:cs="Calibri Light"/>
              <w:sz w:val="28"/>
              <w:szCs w:val="28"/>
            </w:rPr>
            <w:id w:val="-573587230"/>
            <w:bibliography/>
          </w:sdtPr>
          <w:sdtContent>
            <w:p w14:paraId="1C255B88" w14:textId="77777777" w:rsidR="00CB15C4" w:rsidRPr="00CB15C4" w:rsidRDefault="00CB15C4" w:rsidP="00CB15C4">
              <w:pPr>
                <w:pStyle w:val="Bibliography"/>
                <w:rPr>
                  <w:rFonts w:ascii="Calibri Light" w:hAnsi="Calibri Light" w:cs="Calibri Light"/>
                  <w:noProof/>
                  <w:kern w:val="0"/>
                  <w:sz w:val="28"/>
                  <w:szCs w:val="28"/>
                  <w14:ligatures w14:val="none"/>
                </w:rPr>
              </w:pPr>
              <w:r w:rsidRPr="00CB15C4">
                <w:rPr>
                  <w:rFonts w:ascii="Calibri Light" w:hAnsi="Calibri Light" w:cs="Calibri Light"/>
                  <w:sz w:val="28"/>
                  <w:szCs w:val="28"/>
                </w:rPr>
                <w:fldChar w:fldCharType="begin"/>
              </w:r>
              <w:r w:rsidRPr="00CB15C4">
                <w:rPr>
                  <w:rFonts w:ascii="Calibri Light" w:hAnsi="Calibri Light" w:cs="Calibri Light"/>
                  <w:sz w:val="28"/>
                  <w:szCs w:val="28"/>
                </w:rPr>
                <w:instrText xml:space="preserve"> BIBLIOGRAPHY </w:instrText>
              </w:r>
              <w:r w:rsidRPr="00CB15C4">
                <w:rPr>
                  <w:rFonts w:ascii="Calibri Light" w:hAnsi="Calibri Light" w:cs="Calibri Light"/>
                  <w:sz w:val="28"/>
                  <w:szCs w:val="28"/>
                </w:rPr>
                <w:fldChar w:fldCharType="separate"/>
              </w:r>
              <w:r w:rsidRPr="00CB15C4">
                <w:rPr>
                  <w:rFonts w:ascii="Calibri Light" w:hAnsi="Calibri Light" w:cs="Calibri Light"/>
                  <w:noProof/>
                  <w:sz w:val="28"/>
                  <w:szCs w:val="28"/>
                </w:rPr>
                <w:t xml:space="preserve">Anthony Gold, 2021. </w:t>
              </w:r>
              <w:r w:rsidRPr="00CB15C4">
                <w:rPr>
                  <w:rFonts w:ascii="Calibri Light" w:hAnsi="Calibri Light" w:cs="Calibri Light"/>
                  <w:i/>
                  <w:iCs/>
                  <w:noProof/>
                  <w:sz w:val="28"/>
                  <w:szCs w:val="28"/>
                </w:rPr>
                <w:t xml:space="preserve">What is the pre-action protocol for personal injury claims?. </w:t>
              </w:r>
              <w:r w:rsidRPr="00CB15C4">
                <w:rPr>
                  <w:rFonts w:ascii="Calibri Light" w:hAnsi="Calibri Light" w:cs="Calibri Light"/>
                  <w:noProof/>
                  <w:sz w:val="28"/>
                  <w:szCs w:val="28"/>
                </w:rPr>
                <w:t xml:space="preserve">[Online] </w:t>
              </w:r>
              <w:r w:rsidRPr="00CB15C4">
                <w:rPr>
                  <w:rFonts w:ascii="Calibri Light" w:hAnsi="Calibri Light" w:cs="Calibri Light"/>
                  <w:noProof/>
                  <w:sz w:val="28"/>
                  <w:szCs w:val="28"/>
                </w:rPr>
                <w:br/>
                <w:t xml:space="preserve">Available at: </w:t>
              </w:r>
              <w:r w:rsidRPr="00CB15C4">
                <w:rPr>
                  <w:rFonts w:ascii="Calibri Light" w:hAnsi="Calibri Light" w:cs="Calibri Light"/>
                  <w:noProof/>
                  <w:sz w:val="28"/>
                  <w:szCs w:val="28"/>
                  <w:u w:val="single"/>
                </w:rPr>
                <w:t>https://anthonygold.co.uk/latest/blog/what-is-the-pre-action-protocol-for-personal-injury-claims/</w:t>
              </w:r>
              <w:r w:rsidRPr="00CB15C4">
                <w:rPr>
                  <w:rFonts w:ascii="Calibri Light" w:hAnsi="Calibri Light" w:cs="Calibri Light"/>
                  <w:noProof/>
                  <w:sz w:val="28"/>
                  <w:szCs w:val="28"/>
                </w:rPr>
                <w:br/>
                <w:t>[Accessed 13 03 2024].</w:t>
              </w:r>
            </w:p>
            <w:p w14:paraId="6035314B" w14:textId="77777777" w:rsidR="00CB15C4" w:rsidRPr="00CB15C4" w:rsidRDefault="00CB15C4" w:rsidP="00CB15C4">
              <w:pPr>
                <w:pStyle w:val="Bibliography"/>
                <w:rPr>
                  <w:rFonts w:ascii="Calibri Light" w:hAnsi="Calibri Light" w:cs="Calibri Light"/>
                  <w:noProof/>
                  <w:sz w:val="28"/>
                  <w:szCs w:val="28"/>
                </w:rPr>
              </w:pPr>
              <w:r w:rsidRPr="00CB15C4">
                <w:rPr>
                  <w:rFonts w:ascii="Calibri Light" w:hAnsi="Calibri Light" w:cs="Calibri Light"/>
                  <w:noProof/>
                  <w:sz w:val="28"/>
                  <w:szCs w:val="28"/>
                </w:rPr>
                <w:t xml:space="preserve">Carruthers, 2012. </w:t>
              </w:r>
              <w:r w:rsidRPr="00CB15C4">
                <w:rPr>
                  <w:rFonts w:ascii="Calibri Light" w:hAnsi="Calibri Light" w:cs="Calibri Light"/>
                  <w:i/>
                  <w:iCs/>
                  <w:noProof/>
                  <w:sz w:val="28"/>
                  <w:szCs w:val="28"/>
                </w:rPr>
                <w:t xml:space="preserve">Limation period and date of knowledge. </w:t>
              </w:r>
              <w:r w:rsidRPr="00CB15C4">
                <w:rPr>
                  <w:rFonts w:ascii="Calibri Light" w:hAnsi="Calibri Light" w:cs="Calibri Light"/>
                  <w:noProof/>
                  <w:sz w:val="28"/>
                  <w:szCs w:val="28"/>
                </w:rPr>
                <w:t xml:space="preserve">[Online] </w:t>
              </w:r>
              <w:r w:rsidRPr="00CB15C4">
                <w:rPr>
                  <w:rFonts w:ascii="Calibri Light" w:hAnsi="Calibri Light" w:cs="Calibri Light"/>
                  <w:noProof/>
                  <w:sz w:val="28"/>
                  <w:szCs w:val="28"/>
                </w:rPr>
                <w:br/>
                <w:t xml:space="preserve">Available at: </w:t>
              </w:r>
              <w:r w:rsidRPr="00CB15C4">
                <w:rPr>
                  <w:rFonts w:ascii="Calibri Light" w:hAnsi="Calibri Light" w:cs="Calibri Light"/>
                  <w:noProof/>
                  <w:sz w:val="28"/>
                  <w:szCs w:val="28"/>
                  <w:u w:val="single"/>
                </w:rPr>
                <w:t>https://www.carruthers-law.co.uk/articles/limitation-period-and-date-of-knowledge-solicitors-negligence/</w:t>
              </w:r>
              <w:r w:rsidRPr="00CB15C4">
                <w:rPr>
                  <w:rFonts w:ascii="Calibri Light" w:hAnsi="Calibri Light" w:cs="Calibri Light"/>
                  <w:noProof/>
                  <w:sz w:val="28"/>
                  <w:szCs w:val="28"/>
                </w:rPr>
                <w:br/>
                <w:t>[Accessed 14 03 2024].</w:t>
              </w:r>
            </w:p>
            <w:p w14:paraId="73B0EF9F" w14:textId="77777777" w:rsidR="00CB15C4" w:rsidRPr="00CB15C4" w:rsidRDefault="00CB15C4" w:rsidP="00CB15C4">
              <w:pPr>
                <w:pStyle w:val="Bibliography"/>
                <w:rPr>
                  <w:rFonts w:ascii="Calibri Light" w:hAnsi="Calibri Light" w:cs="Calibri Light"/>
                  <w:noProof/>
                  <w:sz w:val="28"/>
                  <w:szCs w:val="28"/>
                </w:rPr>
              </w:pPr>
              <w:r w:rsidRPr="00CB15C4">
                <w:rPr>
                  <w:rFonts w:ascii="Calibri Light" w:hAnsi="Calibri Light" w:cs="Calibri Light"/>
                  <w:noProof/>
                  <w:sz w:val="28"/>
                  <w:szCs w:val="28"/>
                </w:rPr>
                <w:t xml:space="preserve">Civil Justice Council, 2008. </w:t>
              </w:r>
              <w:r w:rsidRPr="00CB15C4">
                <w:rPr>
                  <w:rFonts w:ascii="Calibri Light" w:hAnsi="Calibri Light" w:cs="Calibri Light"/>
                  <w:i/>
                  <w:iCs/>
                  <w:noProof/>
                  <w:sz w:val="28"/>
                  <w:szCs w:val="28"/>
                </w:rPr>
                <w:t xml:space="preserve">General Pre-Action Protocol. </w:t>
              </w:r>
              <w:r w:rsidRPr="00CB15C4">
                <w:rPr>
                  <w:rFonts w:ascii="Calibri Light" w:hAnsi="Calibri Light" w:cs="Calibri Light"/>
                  <w:noProof/>
                  <w:sz w:val="28"/>
                  <w:szCs w:val="28"/>
                </w:rPr>
                <w:t xml:space="preserve">[Online] </w:t>
              </w:r>
              <w:r w:rsidRPr="00CB15C4">
                <w:rPr>
                  <w:rFonts w:ascii="Calibri Light" w:hAnsi="Calibri Light" w:cs="Calibri Light"/>
                  <w:noProof/>
                  <w:sz w:val="28"/>
                  <w:szCs w:val="28"/>
                </w:rPr>
                <w:br/>
                <w:t xml:space="preserve">Available at: </w:t>
              </w:r>
              <w:r w:rsidRPr="00CB15C4">
                <w:rPr>
                  <w:rFonts w:ascii="Calibri Light" w:hAnsi="Calibri Light" w:cs="Calibri Light"/>
                  <w:noProof/>
                  <w:sz w:val="28"/>
                  <w:szCs w:val="28"/>
                  <w:u w:val="single"/>
                </w:rPr>
                <w:t>https://www.judiciary.uk/wp-content/uploads/JCO/Documents/CJC/Publications/consultation+papers/CJC+Consultaion+C.pdf</w:t>
              </w:r>
              <w:r w:rsidRPr="00CB15C4">
                <w:rPr>
                  <w:rFonts w:ascii="Calibri Light" w:hAnsi="Calibri Light" w:cs="Calibri Light"/>
                  <w:noProof/>
                  <w:sz w:val="28"/>
                  <w:szCs w:val="28"/>
                </w:rPr>
                <w:br/>
                <w:t>[Accessed 08 03 2024].</w:t>
              </w:r>
            </w:p>
            <w:p w14:paraId="65E59DBF" w14:textId="77777777" w:rsidR="00CB15C4" w:rsidRPr="00CB15C4" w:rsidRDefault="00CB15C4" w:rsidP="00CB15C4">
              <w:pPr>
                <w:pStyle w:val="Bibliography"/>
                <w:rPr>
                  <w:rFonts w:ascii="Calibri Light" w:hAnsi="Calibri Light" w:cs="Calibri Light"/>
                  <w:noProof/>
                  <w:sz w:val="28"/>
                  <w:szCs w:val="28"/>
                </w:rPr>
              </w:pPr>
              <w:r w:rsidRPr="00CB15C4">
                <w:rPr>
                  <w:rFonts w:ascii="Calibri Light" w:hAnsi="Calibri Light" w:cs="Calibri Light"/>
                  <w:noProof/>
                  <w:sz w:val="28"/>
                  <w:szCs w:val="28"/>
                </w:rPr>
                <w:t xml:space="preserve">Gov, 2024. </w:t>
              </w:r>
              <w:r w:rsidRPr="00CB15C4">
                <w:rPr>
                  <w:rFonts w:ascii="Calibri Light" w:hAnsi="Calibri Light" w:cs="Calibri Light"/>
                  <w:i/>
                  <w:iCs/>
                  <w:noProof/>
                  <w:sz w:val="28"/>
                  <w:szCs w:val="28"/>
                </w:rPr>
                <w:t xml:space="preserve">Whiplash Reform Programme: Information and FAQ. </w:t>
              </w:r>
              <w:r w:rsidRPr="00CB15C4">
                <w:rPr>
                  <w:rFonts w:ascii="Calibri Light" w:hAnsi="Calibri Light" w:cs="Calibri Light"/>
                  <w:noProof/>
                  <w:sz w:val="28"/>
                  <w:szCs w:val="28"/>
                </w:rPr>
                <w:t xml:space="preserve">[Online] </w:t>
              </w:r>
              <w:r w:rsidRPr="00CB15C4">
                <w:rPr>
                  <w:rFonts w:ascii="Calibri Light" w:hAnsi="Calibri Light" w:cs="Calibri Light"/>
                  <w:noProof/>
                  <w:sz w:val="28"/>
                  <w:szCs w:val="28"/>
                </w:rPr>
                <w:br/>
                <w:t xml:space="preserve">Available at: </w:t>
              </w:r>
              <w:r w:rsidRPr="00CB15C4">
                <w:rPr>
                  <w:rFonts w:ascii="Calibri Light" w:hAnsi="Calibri Light" w:cs="Calibri Light"/>
                  <w:noProof/>
                  <w:sz w:val="28"/>
                  <w:szCs w:val="28"/>
                  <w:u w:val="single"/>
                </w:rPr>
                <w:t>https://www.gov.uk/government/publications/whiplash-reform-programme-information-and-faq</w:t>
              </w:r>
              <w:r w:rsidRPr="00CB15C4">
                <w:rPr>
                  <w:rFonts w:ascii="Calibri Light" w:hAnsi="Calibri Light" w:cs="Calibri Light"/>
                  <w:noProof/>
                  <w:sz w:val="28"/>
                  <w:szCs w:val="28"/>
                </w:rPr>
                <w:br/>
                <w:t>[Accessed 14 03 2024].</w:t>
              </w:r>
            </w:p>
            <w:p w14:paraId="34E1934F" w14:textId="77777777" w:rsidR="00CB15C4" w:rsidRPr="00CB15C4" w:rsidRDefault="00CB15C4" w:rsidP="00CB15C4">
              <w:pPr>
                <w:pStyle w:val="Bibliography"/>
                <w:rPr>
                  <w:rFonts w:ascii="Calibri Light" w:hAnsi="Calibri Light" w:cs="Calibri Light"/>
                  <w:noProof/>
                  <w:sz w:val="28"/>
                  <w:szCs w:val="28"/>
                </w:rPr>
              </w:pPr>
              <w:r w:rsidRPr="00CB15C4">
                <w:rPr>
                  <w:rFonts w:ascii="Calibri Light" w:hAnsi="Calibri Light" w:cs="Calibri Light"/>
                  <w:noProof/>
                  <w:sz w:val="28"/>
                  <w:szCs w:val="28"/>
                </w:rPr>
                <w:t xml:space="preserve">Justice, 2024. </w:t>
              </w:r>
              <w:r w:rsidRPr="00CB15C4">
                <w:rPr>
                  <w:rFonts w:ascii="Calibri Light" w:hAnsi="Calibri Light" w:cs="Calibri Light"/>
                  <w:i/>
                  <w:iCs/>
                  <w:noProof/>
                  <w:sz w:val="28"/>
                  <w:szCs w:val="28"/>
                </w:rPr>
                <w:t xml:space="preserve">Practice Direction - Pre-Action Conduct and Protocols. </w:t>
              </w:r>
              <w:r w:rsidRPr="00CB15C4">
                <w:rPr>
                  <w:rFonts w:ascii="Calibri Light" w:hAnsi="Calibri Light" w:cs="Calibri Light"/>
                  <w:noProof/>
                  <w:sz w:val="28"/>
                  <w:szCs w:val="28"/>
                </w:rPr>
                <w:t xml:space="preserve">[Online] </w:t>
              </w:r>
              <w:r w:rsidRPr="00CB15C4">
                <w:rPr>
                  <w:rFonts w:ascii="Calibri Light" w:hAnsi="Calibri Light" w:cs="Calibri Light"/>
                  <w:noProof/>
                  <w:sz w:val="28"/>
                  <w:szCs w:val="28"/>
                </w:rPr>
                <w:br/>
                <w:t xml:space="preserve">Available at: </w:t>
              </w:r>
              <w:r w:rsidRPr="00CB15C4">
                <w:rPr>
                  <w:rFonts w:ascii="Calibri Light" w:hAnsi="Calibri Light" w:cs="Calibri Light"/>
                  <w:noProof/>
                  <w:sz w:val="28"/>
                  <w:szCs w:val="28"/>
                  <w:u w:val="single"/>
                </w:rPr>
                <w:t>https://www.justice.gov.uk/courts/procedure-rules/civil/rules/pd_pre-action_conduct</w:t>
              </w:r>
              <w:r w:rsidRPr="00CB15C4">
                <w:rPr>
                  <w:rFonts w:ascii="Calibri Light" w:hAnsi="Calibri Light" w:cs="Calibri Light"/>
                  <w:noProof/>
                  <w:sz w:val="28"/>
                  <w:szCs w:val="28"/>
                </w:rPr>
                <w:br/>
                <w:t>[Accessed 14 03 2024].</w:t>
              </w:r>
            </w:p>
            <w:p w14:paraId="4CDD1F41" w14:textId="77777777" w:rsidR="00CB15C4" w:rsidRPr="00CB15C4" w:rsidRDefault="00CB15C4" w:rsidP="00CB15C4">
              <w:pPr>
                <w:pStyle w:val="Bibliography"/>
                <w:rPr>
                  <w:rFonts w:ascii="Calibri Light" w:hAnsi="Calibri Light" w:cs="Calibri Light"/>
                  <w:noProof/>
                  <w:sz w:val="28"/>
                  <w:szCs w:val="28"/>
                </w:rPr>
              </w:pPr>
              <w:r w:rsidRPr="00CB15C4">
                <w:rPr>
                  <w:rFonts w:ascii="Calibri Light" w:hAnsi="Calibri Light" w:cs="Calibri Light"/>
                  <w:noProof/>
                  <w:sz w:val="28"/>
                  <w:szCs w:val="28"/>
                </w:rPr>
                <w:t xml:space="preserve">Lawplus, 2022. </w:t>
              </w:r>
              <w:r w:rsidRPr="00CB15C4">
                <w:rPr>
                  <w:rFonts w:ascii="Calibri Light" w:hAnsi="Calibri Light" w:cs="Calibri Light"/>
                  <w:i/>
                  <w:iCs/>
                  <w:noProof/>
                  <w:sz w:val="28"/>
                  <w:szCs w:val="28"/>
                </w:rPr>
                <w:t xml:space="preserve">What is the pre-action protocol for personal injury claims. </w:t>
              </w:r>
              <w:r w:rsidRPr="00CB15C4">
                <w:rPr>
                  <w:rFonts w:ascii="Calibri Light" w:hAnsi="Calibri Light" w:cs="Calibri Light"/>
                  <w:noProof/>
                  <w:sz w:val="28"/>
                  <w:szCs w:val="28"/>
                </w:rPr>
                <w:t xml:space="preserve">[Online] </w:t>
              </w:r>
              <w:r w:rsidRPr="00CB15C4">
                <w:rPr>
                  <w:rFonts w:ascii="Calibri Light" w:hAnsi="Calibri Light" w:cs="Calibri Light"/>
                  <w:noProof/>
                  <w:sz w:val="28"/>
                  <w:szCs w:val="28"/>
                </w:rPr>
                <w:br/>
                <w:t xml:space="preserve">Available at: </w:t>
              </w:r>
              <w:r w:rsidRPr="00CB15C4">
                <w:rPr>
                  <w:rFonts w:ascii="Calibri Light" w:hAnsi="Calibri Light" w:cs="Calibri Light"/>
                  <w:noProof/>
                  <w:sz w:val="28"/>
                  <w:szCs w:val="28"/>
                  <w:u w:val="single"/>
                </w:rPr>
                <w:t>https://www.lawplus.co.uk/personal-injury/what-is-the-pre-action-protocol-for-personal-injury-claims/</w:t>
              </w:r>
              <w:r w:rsidRPr="00CB15C4">
                <w:rPr>
                  <w:rFonts w:ascii="Calibri Light" w:hAnsi="Calibri Light" w:cs="Calibri Light"/>
                  <w:noProof/>
                  <w:sz w:val="28"/>
                  <w:szCs w:val="28"/>
                </w:rPr>
                <w:br/>
                <w:t>[Accessed 13 03 2024].</w:t>
              </w:r>
            </w:p>
            <w:p w14:paraId="5A04ED7C" w14:textId="77777777" w:rsidR="00CB15C4" w:rsidRPr="00CB15C4" w:rsidRDefault="00CB15C4" w:rsidP="00CB15C4">
              <w:pPr>
                <w:pStyle w:val="Bibliography"/>
                <w:rPr>
                  <w:rFonts w:ascii="Calibri Light" w:hAnsi="Calibri Light" w:cs="Calibri Light"/>
                  <w:noProof/>
                  <w:sz w:val="28"/>
                  <w:szCs w:val="28"/>
                </w:rPr>
              </w:pPr>
              <w:r w:rsidRPr="00CB15C4">
                <w:rPr>
                  <w:rFonts w:ascii="Calibri Light" w:hAnsi="Calibri Light" w:cs="Calibri Light"/>
                  <w:noProof/>
                  <w:sz w:val="28"/>
                  <w:szCs w:val="28"/>
                </w:rPr>
                <w:t xml:space="preserve">LawSociety, 2024. </w:t>
              </w:r>
              <w:r w:rsidRPr="00CB15C4">
                <w:rPr>
                  <w:rFonts w:ascii="Calibri Light" w:hAnsi="Calibri Light" w:cs="Calibri Light"/>
                  <w:i/>
                  <w:iCs/>
                  <w:noProof/>
                  <w:sz w:val="28"/>
                  <w:szCs w:val="28"/>
                </w:rPr>
                <w:t xml:space="preserve">LASPO. </w:t>
              </w:r>
              <w:r w:rsidRPr="00CB15C4">
                <w:rPr>
                  <w:rFonts w:ascii="Calibri Light" w:hAnsi="Calibri Light" w:cs="Calibri Light"/>
                  <w:noProof/>
                  <w:sz w:val="28"/>
                  <w:szCs w:val="28"/>
                </w:rPr>
                <w:t xml:space="preserve">[Online] </w:t>
              </w:r>
              <w:r w:rsidRPr="00CB15C4">
                <w:rPr>
                  <w:rFonts w:ascii="Calibri Light" w:hAnsi="Calibri Light" w:cs="Calibri Light"/>
                  <w:noProof/>
                  <w:sz w:val="28"/>
                  <w:szCs w:val="28"/>
                </w:rPr>
                <w:br/>
                <w:t xml:space="preserve">Available at: </w:t>
              </w:r>
              <w:r w:rsidRPr="00CB15C4">
                <w:rPr>
                  <w:rFonts w:ascii="Calibri Light" w:hAnsi="Calibri Light" w:cs="Calibri Light"/>
                  <w:noProof/>
                  <w:sz w:val="28"/>
                  <w:szCs w:val="28"/>
                  <w:u w:val="single"/>
                </w:rPr>
                <w:t>https://www.lawsociety.org.uk/topics/legal-aid/laspo-act</w:t>
              </w:r>
              <w:r w:rsidRPr="00CB15C4">
                <w:rPr>
                  <w:rFonts w:ascii="Calibri Light" w:hAnsi="Calibri Light" w:cs="Calibri Light"/>
                  <w:noProof/>
                  <w:sz w:val="28"/>
                  <w:szCs w:val="28"/>
                </w:rPr>
                <w:br/>
                <w:t>[Accessed 10 03 2024].</w:t>
              </w:r>
            </w:p>
            <w:p w14:paraId="0A1784F8" w14:textId="77777777" w:rsidR="00CB15C4" w:rsidRPr="00CB15C4" w:rsidRDefault="00CB15C4" w:rsidP="00CB15C4">
              <w:pPr>
                <w:pStyle w:val="Bibliography"/>
                <w:rPr>
                  <w:rFonts w:ascii="Calibri Light" w:hAnsi="Calibri Light" w:cs="Calibri Light"/>
                  <w:noProof/>
                  <w:sz w:val="28"/>
                  <w:szCs w:val="28"/>
                </w:rPr>
              </w:pPr>
              <w:r w:rsidRPr="00CB15C4">
                <w:rPr>
                  <w:rFonts w:ascii="Calibri Light" w:hAnsi="Calibri Light" w:cs="Calibri Light"/>
                  <w:noProof/>
                  <w:sz w:val="28"/>
                  <w:szCs w:val="28"/>
                </w:rPr>
                <w:lastRenderedPageBreak/>
                <w:t xml:space="preserve">Legislation , 2024. </w:t>
              </w:r>
              <w:r w:rsidRPr="00CB15C4">
                <w:rPr>
                  <w:rFonts w:ascii="Calibri Light" w:hAnsi="Calibri Light" w:cs="Calibri Light"/>
                  <w:i/>
                  <w:iCs/>
                  <w:noProof/>
                  <w:sz w:val="28"/>
                  <w:szCs w:val="28"/>
                </w:rPr>
                <w:t xml:space="preserve">Legal Aid, Sentencing and Punishment of Offence Act 2012. </w:t>
              </w:r>
              <w:r w:rsidRPr="00CB15C4">
                <w:rPr>
                  <w:rFonts w:ascii="Calibri Light" w:hAnsi="Calibri Light" w:cs="Calibri Light"/>
                  <w:noProof/>
                  <w:sz w:val="28"/>
                  <w:szCs w:val="28"/>
                </w:rPr>
                <w:t xml:space="preserve">[Online] </w:t>
              </w:r>
              <w:r w:rsidRPr="00CB15C4">
                <w:rPr>
                  <w:rFonts w:ascii="Calibri Light" w:hAnsi="Calibri Light" w:cs="Calibri Light"/>
                  <w:noProof/>
                  <w:sz w:val="28"/>
                  <w:szCs w:val="28"/>
                </w:rPr>
                <w:br/>
                <w:t xml:space="preserve">Available at: </w:t>
              </w:r>
              <w:r w:rsidRPr="00CB15C4">
                <w:rPr>
                  <w:rFonts w:ascii="Calibri Light" w:hAnsi="Calibri Light" w:cs="Calibri Light"/>
                  <w:noProof/>
                  <w:sz w:val="28"/>
                  <w:szCs w:val="28"/>
                  <w:u w:val="single"/>
                </w:rPr>
                <w:t>https://www.legislation.gov.uk/ukpga/2012/10/contents</w:t>
              </w:r>
              <w:r w:rsidRPr="00CB15C4">
                <w:rPr>
                  <w:rFonts w:ascii="Calibri Light" w:hAnsi="Calibri Light" w:cs="Calibri Light"/>
                  <w:noProof/>
                  <w:sz w:val="28"/>
                  <w:szCs w:val="28"/>
                </w:rPr>
                <w:br/>
                <w:t>[Accessed 12 03 2024].</w:t>
              </w:r>
            </w:p>
            <w:p w14:paraId="4354C62E" w14:textId="77777777" w:rsidR="00CB15C4" w:rsidRPr="00CB15C4" w:rsidRDefault="00CB15C4" w:rsidP="00CB15C4">
              <w:pPr>
                <w:pStyle w:val="Bibliography"/>
                <w:rPr>
                  <w:rFonts w:ascii="Calibri Light" w:hAnsi="Calibri Light" w:cs="Calibri Light"/>
                  <w:noProof/>
                  <w:sz w:val="28"/>
                  <w:szCs w:val="28"/>
                </w:rPr>
              </w:pPr>
              <w:r w:rsidRPr="00CB15C4">
                <w:rPr>
                  <w:rFonts w:ascii="Calibri Light" w:hAnsi="Calibri Light" w:cs="Calibri Light"/>
                  <w:noProof/>
                  <w:sz w:val="28"/>
                  <w:szCs w:val="28"/>
                </w:rPr>
                <w:t xml:space="preserve">Legislation , 2024. </w:t>
              </w:r>
              <w:r w:rsidRPr="00CB15C4">
                <w:rPr>
                  <w:rFonts w:ascii="Calibri Light" w:hAnsi="Calibri Light" w:cs="Calibri Light"/>
                  <w:i/>
                  <w:iCs/>
                  <w:noProof/>
                  <w:sz w:val="28"/>
                  <w:szCs w:val="28"/>
                </w:rPr>
                <w:t xml:space="preserve">The Whiplash Injury Regulations 2021. </w:t>
              </w:r>
              <w:r w:rsidRPr="00CB15C4">
                <w:rPr>
                  <w:rFonts w:ascii="Calibri Light" w:hAnsi="Calibri Light" w:cs="Calibri Light"/>
                  <w:noProof/>
                  <w:sz w:val="28"/>
                  <w:szCs w:val="28"/>
                </w:rPr>
                <w:t xml:space="preserve">[Online] </w:t>
              </w:r>
              <w:r w:rsidRPr="00CB15C4">
                <w:rPr>
                  <w:rFonts w:ascii="Calibri Light" w:hAnsi="Calibri Light" w:cs="Calibri Light"/>
                  <w:noProof/>
                  <w:sz w:val="28"/>
                  <w:szCs w:val="28"/>
                </w:rPr>
                <w:br/>
                <w:t xml:space="preserve">Available at: </w:t>
              </w:r>
              <w:r w:rsidRPr="00CB15C4">
                <w:rPr>
                  <w:rFonts w:ascii="Calibri Light" w:hAnsi="Calibri Light" w:cs="Calibri Light"/>
                  <w:noProof/>
                  <w:sz w:val="28"/>
                  <w:szCs w:val="28"/>
                  <w:u w:val="single"/>
                </w:rPr>
                <w:t>https://www.legislation.gov.uk/ukdsi/2021/9780348220612</w:t>
              </w:r>
              <w:r w:rsidRPr="00CB15C4">
                <w:rPr>
                  <w:rFonts w:ascii="Calibri Light" w:hAnsi="Calibri Light" w:cs="Calibri Light"/>
                  <w:noProof/>
                  <w:sz w:val="28"/>
                  <w:szCs w:val="28"/>
                </w:rPr>
                <w:br/>
                <w:t>[Accessed 14 03 2024].</w:t>
              </w:r>
            </w:p>
            <w:p w14:paraId="2643B35F" w14:textId="77777777" w:rsidR="00CB15C4" w:rsidRPr="00CB15C4" w:rsidRDefault="00CB15C4" w:rsidP="00CB15C4">
              <w:pPr>
                <w:pStyle w:val="Bibliography"/>
                <w:rPr>
                  <w:rFonts w:ascii="Calibri Light" w:hAnsi="Calibri Light" w:cs="Calibri Light"/>
                  <w:noProof/>
                  <w:sz w:val="28"/>
                  <w:szCs w:val="28"/>
                </w:rPr>
              </w:pPr>
              <w:r w:rsidRPr="00CB15C4">
                <w:rPr>
                  <w:rFonts w:ascii="Calibri Light" w:hAnsi="Calibri Light" w:cs="Calibri Light"/>
                  <w:noProof/>
                  <w:sz w:val="28"/>
                  <w:szCs w:val="28"/>
                </w:rPr>
                <w:t xml:space="preserve">Legislation, 2024. </w:t>
              </w:r>
              <w:r w:rsidRPr="00CB15C4">
                <w:rPr>
                  <w:rFonts w:ascii="Calibri Light" w:hAnsi="Calibri Light" w:cs="Calibri Light"/>
                  <w:i/>
                  <w:iCs/>
                  <w:noProof/>
                  <w:sz w:val="28"/>
                  <w:szCs w:val="28"/>
                </w:rPr>
                <w:t xml:space="preserve">The Civil Procedure (Amendment) Rules 2021. </w:t>
              </w:r>
              <w:r w:rsidRPr="00CB15C4">
                <w:rPr>
                  <w:rFonts w:ascii="Calibri Light" w:hAnsi="Calibri Light" w:cs="Calibri Light"/>
                  <w:noProof/>
                  <w:sz w:val="28"/>
                  <w:szCs w:val="28"/>
                </w:rPr>
                <w:t xml:space="preserve">[Online] </w:t>
              </w:r>
              <w:r w:rsidRPr="00CB15C4">
                <w:rPr>
                  <w:rFonts w:ascii="Calibri Light" w:hAnsi="Calibri Light" w:cs="Calibri Light"/>
                  <w:noProof/>
                  <w:sz w:val="28"/>
                  <w:szCs w:val="28"/>
                </w:rPr>
                <w:br/>
                <w:t xml:space="preserve">Available at: </w:t>
              </w:r>
              <w:r w:rsidRPr="00CB15C4">
                <w:rPr>
                  <w:rFonts w:ascii="Calibri Light" w:hAnsi="Calibri Light" w:cs="Calibri Light"/>
                  <w:noProof/>
                  <w:sz w:val="28"/>
                  <w:szCs w:val="28"/>
                  <w:u w:val="single"/>
                </w:rPr>
                <w:t>https://www.legislation.gov.uk/uksi/2021/117/contents/made</w:t>
              </w:r>
              <w:r w:rsidRPr="00CB15C4">
                <w:rPr>
                  <w:rFonts w:ascii="Calibri Light" w:hAnsi="Calibri Light" w:cs="Calibri Light"/>
                  <w:noProof/>
                  <w:sz w:val="28"/>
                  <w:szCs w:val="28"/>
                </w:rPr>
                <w:br/>
                <w:t>[Accessed 11 03 2024].</w:t>
              </w:r>
            </w:p>
            <w:p w14:paraId="0E450321" w14:textId="77777777" w:rsidR="00CB15C4" w:rsidRPr="00CB15C4" w:rsidRDefault="00CB15C4" w:rsidP="00CB15C4">
              <w:pPr>
                <w:pStyle w:val="Bibliography"/>
                <w:rPr>
                  <w:rFonts w:ascii="Calibri Light" w:hAnsi="Calibri Light" w:cs="Calibri Light"/>
                  <w:noProof/>
                  <w:sz w:val="28"/>
                  <w:szCs w:val="28"/>
                </w:rPr>
              </w:pPr>
              <w:r w:rsidRPr="00CB15C4">
                <w:rPr>
                  <w:rFonts w:ascii="Calibri Light" w:hAnsi="Calibri Light" w:cs="Calibri Light"/>
                  <w:noProof/>
                  <w:sz w:val="28"/>
                  <w:szCs w:val="28"/>
                </w:rPr>
                <w:t xml:space="preserve">Legislation, 2024. </w:t>
              </w:r>
              <w:r w:rsidRPr="00CB15C4">
                <w:rPr>
                  <w:rFonts w:ascii="Calibri Light" w:hAnsi="Calibri Light" w:cs="Calibri Light"/>
                  <w:i/>
                  <w:iCs/>
                  <w:noProof/>
                  <w:sz w:val="28"/>
                  <w:szCs w:val="28"/>
                </w:rPr>
                <w:t xml:space="preserve">The Civil Procedure Rules 1998. </w:t>
              </w:r>
              <w:r w:rsidRPr="00CB15C4">
                <w:rPr>
                  <w:rFonts w:ascii="Calibri Light" w:hAnsi="Calibri Light" w:cs="Calibri Light"/>
                  <w:noProof/>
                  <w:sz w:val="28"/>
                  <w:szCs w:val="28"/>
                </w:rPr>
                <w:t xml:space="preserve">[Online] </w:t>
              </w:r>
              <w:r w:rsidRPr="00CB15C4">
                <w:rPr>
                  <w:rFonts w:ascii="Calibri Light" w:hAnsi="Calibri Light" w:cs="Calibri Light"/>
                  <w:noProof/>
                  <w:sz w:val="28"/>
                  <w:szCs w:val="28"/>
                </w:rPr>
                <w:br/>
                <w:t xml:space="preserve">Available at: </w:t>
              </w:r>
              <w:r w:rsidRPr="00CB15C4">
                <w:rPr>
                  <w:rFonts w:ascii="Calibri Light" w:hAnsi="Calibri Light" w:cs="Calibri Light"/>
                  <w:noProof/>
                  <w:sz w:val="28"/>
                  <w:szCs w:val="28"/>
                  <w:u w:val="single"/>
                </w:rPr>
                <w:t>https://www.legislation.gov.uk/uksi/1998/3132/contents/made</w:t>
              </w:r>
              <w:r w:rsidRPr="00CB15C4">
                <w:rPr>
                  <w:rFonts w:ascii="Calibri Light" w:hAnsi="Calibri Light" w:cs="Calibri Light"/>
                  <w:noProof/>
                  <w:sz w:val="28"/>
                  <w:szCs w:val="28"/>
                </w:rPr>
                <w:br/>
                <w:t>[Accessed 14 03 2024].</w:t>
              </w:r>
            </w:p>
            <w:p w14:paraId="0895C4A3" w14:textId="77777777" w:rsidR="00CB15C4" w:rsidRPr="00CB15C4" w:rsidRDefault="00CB15C4" w:rsidP="00CB15C4">
              <w:pPr>
                <w:pStyle w:val="Bibliography"/>
                <w:rPr>
                  <w:rFonts w:ascii="Calibri Light" w:hAnsi="Calibri Light" w:cs="Calibri Light"/>
                  <w:noProof/>
                  <w:sz w:val="28"/>
                  <w:szCs w:val="28"/>
                </w:rPr>
              </w:pPr>
              <w:r w:rsidRPr="00CB15C4">
                <w:rPr>
                  <w:rFonts w:ascii="Calibri Light" w:hAnsi="Calibri Light" w:cs="Calibri Light"/>
                  <w:noProof/>
                  <w:sz w:val="28"/>
                  <w:szCs w:val="28"/>
                </w:rPr>
                <w:t xml:space="preserve">Lexis, 2024. </w:t>
              </w:r>
              <w:r w:rsidRPr="00CB15C4">
                <w:rPr>
                  <w:rFonts w:ascii="Calibri Light" w:hAnsi="Calibri Light" w:cs="Calibri Light"/>
                  <w:i/>
                  <w:iCs/>
                  <w:noProof/>
                  <w:sz w:val="28"/>
                  <w:szCs w:val="28"/>
                </w:rPr>
                <w:t xml:space="preserve">The Human Rights Act 1998 in practice - personal injury claims under Article 2 and 3 of the ECHR. </w:t>
              </w:r>
              <w:r w:rsidRPr="00CB15C4">
                <w:rPr>
                  <w:rFonts w:ascii="Calibri Light" w:hAnsi="Calibri Light" w:cs="Calibri Light"/>
                  <w:noProof/>
                  <w:sz w:val="28"/>
                  <w:szCs w:val="28"/>
                </w:rPr>
                <w:t xml:space="preserve">[Online] </w:t>
              </w:r>
              <w:r w:rsidRPr="00CB15C4">
                <w:rPr>
                  <w:rFonts w:ascii="Calibri Light" w:hAnsi="Calibri Light" w:cs="Calibri Light"/>
                  <w:noProof/>
                  <w:sz w:val="28"/>
                  <w:szCs w:val="28"/>
                </w:rPr>
                <w:br/>
                <w:t xml:space="preserve">Available at: </w:t>
              </w:r>
              <w:r w:rsidRPr="00CB15C4">
                <w:rPr>
                  <w:rFonts w:ascii="Calibri Light" w:hAnsi="Calibri Light" w:cs="Calibri Light"/>
                  <w:noProof/>
                  <w:sz w:val="28"/>
                  <w:szCs w:val="28"/>
                  <w:u w:val="single"/>
                </w:rPr>
                <w:t>https://www.lexisnexis.co.uk/legal/guidance/the-human-rights-act-1998-in-practice-personal-injury-claims-under-articles-2-3-of-the-echr</w:t>
              </w:r>
              <w:r w:rsidRPr="00CB15C4">
                <w:rPr>
                  <w:rFonts w:ascii="Calibri Light" w:hAnsi="Calibri Light" w:cs="Calibri Light"/>
                  <w:noProof/>
                  <w:sz w:val="28"/>
                  <w:szCs w:val="28"/>
                </w:rPr>
                <w:br/>
                <w:t>[Accessed 14 03 2023].</w:t>
              </w:r>
            </w:p>
            <w:p w14:paraId="74A544CE" w14:textId="77777777" w:rsidR="00CB15C4" w:rsidRPr="00CB15C4" w:rsidRDefault="00CB15C4" w:rsidP="00CB15C4">
              <w:pPr>
                <w:pStyle w:val="Bibliography"/>
                <w:rPr>
                  <w:rFonts w:ascii="Calibri Light" w:hAnsi="Calibri Light" w:cs="Calibri Light"/>
                  <w:noProof/>
                  <w:sz w:val="28"/>
                  <w:szCs w:val="28"/>
                </w:rPr>
              </w:pPr>
              <w:r w:rsidRPr="00CB15C4">
                <w:rPr>
                  <w:rFonts w:ascii="Calibri Light" w:hAnsi="Calibri Light" w:cs="Calibri Light"/>
                  <w:noProof/>
                  <w:sz w:val="28"/>
                  <w:szCs w:val="28"/>
                </w:rPr>
                <w:t xml:space="preserve">Mulderrigs, 2024. </w:t>
              </w:r>
              <w:r w:rsidRPr="00CB15C4">
                <w:rPr>
                  <w:rFonts w:ascii="Calibri Light" w:hAnsi="Calibri Light" w:cs="Calibri Light"/>
                  <w:i/>
                  <w:iCs/>
                  <w:noProof/>
                  <w:sz w:val="28"/>
                  <w:szCs w:val="28"/>
                </w:rPr>
                <w:t xml:space="preserve">The Pre-Action Protocol for Personal Injury Claims. </w:t>
              </w:r>
              <w:r w:rsidRPr="00CB15C4">
                <w:rPr>
                  <w:rFonts w:ascii="Calibri Light" w:hAnsi="Calibri Light" w:cs="Calibri Light"/>
                  <w:noProof/>
                  <w:sz w:val="28"/>
                  <w:szCs w:val="28"/>
                </w:rPr>
                <w:t xml:space="preserve">[Online] </w:t>
              </w:r>
              <w:r w:rsidRPr="00CB15C4">
                <w:rPr>
                  <w:rFonts w:ascii="Calibri Light" w:hAnsi="Calibri Light" w:cs="Calibri Light"/>
                  <w:noProof/>
                  <w:sz w:val="28"/>
                  <w:szCs w:val="28"/>
                </w:rPr>
                <w:br/>
                <w:t xml:space="preserve">Available at: </w:t>
              </w:r>
              <w:r w:rsidRPr="00CB15C4">
                <w:rPr>
                  <w:rFonts w:ascii="Calibri Light" w:hAnsi="Calibri Light" w:cs="Calibri Light"/>
                  <w:noProof/>
                  <w:sz w:val="28"/>
                  <w:szCs w:val="28"/>
                  <w:u w:val="single"/>
                </w:rPr>
                <w:t>https://mulderrigs.co.uk/news/the-pre-action-protocol-for-personal-injury-claims/</w:t>
              </w:r>
              <w:r w:rsidRPr="00CB15C4">
                <w:rPr>
                  <w:rFonts w:ascii="Calibri Light" w:hAnsi="Calibri Light" w:cs="Calibri Light"/>
                  <w:noProof/>
                  <w:sz w:val="28"/>
                  <w:szCs w:val="28"/>
                </w:rPr>
                <w:br/>
                <w:t>[Accessed 12 03 2024].</w:t>
              </w:r>
            </w:p>
            <w:p w14:paraId="034D7765" w14:textId="77777777" w:rsidR="00CB15C4" w:rsidRPr="00CB15C4" w:rsidRDefault="00CB15C4" w:rsidP="00CB15C4">
              <w:pPr>
                <w:pStyle w:val="Bibliography"/>
                <w:rPr>
                  <w:rFonts w:ascii="Calibri Light" w:hAnsi="Calibri Light" w:cs="Calibri Light"/>
                  <w:noProof/>
                  <w:sz w:val="28"/>
                  <w:szCs w:val="28"/>
                </w:rPr>
              </w:pPr>
              <w:r w:rsidRPr="00CB15C4">
                <w:rPr>
                  <w:rFonts w:ascii="Calibri Light" w:hAnsi="Calibri Light" w:cs="Calibri Light"/>
                  <w:noProof/>
                  <w:sz w:val="28"/>
                  <w:szCs w:val="28"/>
                </w:rPr>
                <w:t xml:space="preserve">Parliament, 2022-2023. </w:t>
              </w:r>
              <w:r w:rsidRPr="00CB15C4">
                <w:rPr>
                  <w:rFonts w:ascii="Calibri Light" w:hAnsi="Calibri Light" w:cs="Calibri Light"/>
                  <w:i/>
                  <w:iCs/>
                  <w:noProof/>
                  <w:sz w:val="28"/>
                  <w:szCs w:val="28"/>
                </w:rPr>
                <w:t xml:space="preserve">Whiplash reform and the Offical injury claims service. </w:t>
              </w:r>
              <w:r w:rsidRPr="00CB15C4">
                <w:rPr>
                  <w:rFonts w:ascii="Calibri Light" w:hAnsi="Calibri Light" w:cs="Calibri Light"/>
                  <w:noProof/>
                  <w:sz w:val="28"/>
                  <w:szCs w:val="28"/>
                </w:rPr>
                <w:t xml:space="preserve">[Online] </w:t>
              </w:r>
              <w:r w:rsidRPr="00CB15C4">
                <w:rPr>
                  <w:rFonts w:ascii="Calibri Light" w:hAnsi="Calibri Light" w:cs="Calibri Light"/>
                  <w:noProof/>
                  <w:sz w:val="28"/>
                  <w:szCs w:val="28"/>
                </w:rPr>
                <w:br/>
                <w:t xml:space="preserve">Available at: </w:t>
              </w:r>
              <w:r w:rsidRPr="00CB15C4">
                <w:rPr>
                  <w:rFonts w:ascii="Calibri Light" w:hAnsi="Calibri Light" w:cs="Calibri Light"/>
                  <w:noProof/>
                  <w:sz w:val="28"/>
                  <w:szCs w:val="28"/>
                  <w:u w:val="single"/>
                </w:rPr>
                <w:t>https://publications.parliament.uk/pa/cm5803/cmselect/cmjust/1140/report.html</w:t>
              </w:r>
              <w:r w:rsidRPr="00CB15C4">
                <w:rPr>
                  <w:rFonts w:ascii="Calibri Light" w:hAnsi="Calibri Light" w:cs="Calibri Light"/>
                  <w:noProof/>
                  <w:sz w:val="28"/>
                  <w:szCs w:val="28"/>
                </w:rPr>
                <w:br/>
                <w:t>[Accessed 09 03 2024].</w:t>
              </w:r>
            </w:p>
            <w:p w14:paraId="4DEA082D" w14:textId="77777777" w:rsidR="00CB15C4" w:rsidRPr="00CB15C4" w:rsidRDefault="00CB15C4" w:rsidP="00CB15C4">
              <w:pPr>
                <w:pStyle w:val="Bibliography"/>
                <w:rPr>
                  <w:rFonts w:ascii="Calibri Light" w:hAnsi="Calibri Light" w:cs="Calibri Light"/>
                  <w:noProof/>
                  <w:sz w:val="28"/>
                  <w:szCs w:val="28"/>
                </w:rPr>
              </w:pPr>
              <w:r w:rsidRPr="00CB15C4">
                <w:rPr>
                  <w:rFonts w:ascii="Calibri Light" w:hAnsi="Calibri Light" w:cs="Calibri Light"/>
                  <w:noProof/>
                  <w:sz w:val="28"/>
                  <w:szCs w:val="28"/>
                </w:rPr>
                <w:t xml:space="preserve">Russell Worth, 2017. </w:t>
              </w:r>
              <w:r w:rsidRPr="00CB15C4">
                <w:rPr>
                  <w:rFonts w:ascii="Calibri Light" w:hAnsi="Calibri Light" w:cs="Calibri Light"/>
                  <w:i/>
                  <w:iCs/>
                  <w:noProof/>
                  <w:sz w:val="28"/>
                  <w:szCs w:val="28"/>
                </w:rPr>
                <w:t xml:space="preserve">When will the courts extend the limitation period for personal injury claims. </w:t>
              </w:r>
              <w:r w:rsidRPr="00CB15C4">
                <w:rPr>
                  <w:rFonts w:ascii="Calibri Light" w:hAnsi="Calibri Light" w:cs="Calibri Light"/>
                  <w:noProof/>
                  <w:sz w:val="28"/>
                  <w:szCs w:val="28"/>
                </w:rPr>
                <w:t xml:space="preserve">[Online] </w:t>
              </w:r>
              <w:r w:rsidRPr="00CB15C4">
                <w:rPr>
                  <w:rFonts w:ascii="Calibri Light" w:hAnsi="Calibri Light" w:cs="Calibri Light"/>
                  <w:noProof/>
                  <w:sz w:val="28"/>
                  <w:szCs w:val="28"/>
                </w:rPr>
                <w:br/>
                <w:t xml:space="preserve">Available at: </w:t>
              </w:r>
              <w:r w:rsidRPr="00CB15C4">
                <w:rPr>
                  <w:rFonts w:ascii="Calibri Light" w:hAnsi="Calibri Light" w:cs="Calibri Light"/>
                  <w:noProof/>
                  <w:sz w:val="28"/>
                  <w:szCs w:val="28"/>
                  <w:u w:val="single"/>
                </w:rPr>
                <w:t>https://www.russellworthsolicitors.co.uk/personal-injury-</w:t>
              </w:r>
              <w:r w:rsidRPr="00CB15C4">
                <w:rPr>
                  <w:rFonts w:ascii="Calibri Light" w:hAnsi="Calibri Light" w:cs="Calibri Light"/>
                  <w:noProof/>
                  <w:sz w:val="28"/>
                  <w:szCs w:val="28"/>
                  <w:u w:val="single"/>
                </w:rPr>
                <w:lastRenderedPageBreak/>
                <w:t>solicitors/8070-2/</w:t>
              </w:r>
              <w:r w:rsidRPr="00CB15C4">
                <w:rPr>
                  <w:rFonts w:ascii="Calibri Light" w:hAnsi="Calibri Light" w:cs="Calibri Light"/>
                  <w:noProof/>
                  <w:sz w:val="28"/>
                  <w:szCs w:val="28"/>
                </w:rPr>
                <w:br/>
                <w:t>[Accessed 12 03 2024].</w:t>
              </w:r>
            </w:p>
            <w:p w14:paraId="26487FD1" w14:textId="77777777" w:rsidR="00CB15C4" w:rsidRPr="00CB15C4" w:rsidRDefault="00CB15C4" w:rsidP="00CB15C4">
              <w:pPr>
                <w:pStyle w:val="Bibliography"/>
                <w:rPr>
                  <w:rFonts w:ascii="Calibri Light" w:hAnsi="Calibri Light" w:cs="Calibri Light"/>
                  <w:noProof/>
                  <w:sz w:val="28"/>
                  <w:szCs w:val="28"/>
                </w:rPr>
              </w:pPr>
              <w:r w:rsidRPr="00CB15C4">
                <w:rPr>
                  <w:rFonts w:ascii="Calibri Light" w:hAnsi="Calibri Light" w:cs="Calibri Light"/>
                  <w:noProof/>
                  <w:sz w:val="28"/>
                  <w:szCs w:val="28"/>
                </w:rPr>
                <w:t xml:space="preserve">Wilsons LLP, 2017. </w:t>
              </w:r>
              <w:r w:rsidRPr="00CB15C4">
                <w:rPr>
                  <w:rFonts w:ascii="Calibri Light" w:hAnsi="Calibri Light" w:cs="Calibri Light"/>
                  <w:i/>
                  <w:iCs/>
                  <w:noProof/>
                  <w:sz w:val="28"/>
                  <w:szCs w:val="28"/>
                </w:rPr>
                <w:t xml:space="preserve">A Guide to Litigation and the Civil Procedure Rule. </w:t>
              </w:r>
              <w:r w:rsidRPr="00CB15C4">
                <w:rPr>
                  <w:rFonts w:ascii="Calibri Light" w:hAnsi="Calibri Light" w:cs="Calibri Light"/>
                  <w:noProof/>
                  <w:sz w:val="28"/>
                  <w:szCs w:val="28"/>
                </w:rPr>
                <w:t xml:space="preserve">[Online] </w:t>
              </w:r>
              <w:r w:rsidRPr="00CB15C4">
                <w:rPr>
                  <w:rFonts w:ascii="Calibri Light" w:hAnsi="Calibri Light" w:cs="Calibri Light"/>
                  <w:noProof/>
                  <w:sz w:val="28"/>
                  <w:szCs w:val="28"/>
                </w:rPr>
                <w:br/>
                <w:t xml:space="preserve">Available at: </w:t>
              </w:r>
              <w:r w:rsidRPr="00CB15C4">
                <w:rPr>
                  <w:rFonts w:ascii="Calibri Light" w:hAnsi="Calibri Light" w:cs="Calibri Light"/>
                  <w:noProof/>
                  <w:sz w:val="28"/>
                  <w:szCs w:val="28"/>
                  <w:u w:val="single"/>
                </w:rPr>
                <w:t>https://legacymanagement.org.uk/wp-content/uploads/A-guide-to-litigation-and-the-civil-procedure-rule.pdf</w:t>
              </w:r>
              <w:r w:rsidRPr="00CB15C4">
                <w:rPr>
                  <w:rFonts w:ascii="Calibri Light" w:hAnsi="Calibri Light" w:cs="Calibri Light"/>
                  <w:noProof/>
                  <w:sz w:val="28"/>
                  <w:szCs w:val="28"/>
                </w:rPr>
                <w:br/>
                <w:t>[Accessed 09 03 2024].</w:t>
              </w:r>
            </w:p>
            <w:p w14:paraId="4FB1295A" w14:textId="4F40A7F5" w:rsidR="00CB15C4" w:rsidRPr="00CB15C4" w:rsidRDefault="00CB15C4" w:rsidP="00CB15C4">
              <w:pPr>
                <w:rPr>
                  <w:rFonts w:ascii="Calibri Light" w:hAnsi="Calibri Light" w:cs="Calibri Light"/>
                  <w:sz w:val="28"/>
                  <w:szCs w:val="28"/>
                </w:rPr>
              </w:pPr>
              <w:r w:rsidRPr="00CB15C4">
                <w:rPr>
                  <w:rFonts w:ascii="Calibri Light" w:hAnsi="Calibri Light" w:cs="Calibri Light"/>
                  <w:b/>
                  <w:bCs/>
                  <w:noProof/>
                  <w:sz w:val="28"/>
                  <w:szCs w:val="28"/>
                </w:rPr>
                <w:fldChar w:fldCharType="end"/>
              </w:r>
            </w:p>
          </w:sdtContent>
        </w:sdt>
      </w:sdtContent>
    </w:sdt>
    <w:p w14:paraId="21CF0870" w14:textId="42DDD024" w:rsidR="00A37DB2" w:rsidRDefault="00A37DB2" w:rsidP="001979E2">
      <w:pPr>
        <w:rPr>
          <w:rFonts w:ascii="Calibri Light" w:hAnsi="Calibri Light" w:cs="Calibri Light"/>
          <w:sz w:val="28"/>
          <w:szCs w:val="28"/>
        </w:rPr>
      </w:pPr>
    </w:p>
    <w:p w14:paraId="6B199F90" w14:textId="77777777" w:rsidR="00F9740D" w:rsidRPr="0051414A" w:rsidRDefault="00F9740D" w:rsidP="001979E2">
      <w:pPr>
        <w:rPr>
          <w:rFonts w:ascii="Calibri Light" w:hAnsi="Calibri Light" w:cs="Calibri Light"/>
          <w:sz w:val="28"/>
          <w:szCs w:val="28"/>
        </w:rPr>
      </w:pPr>
    </w:p>
    <w:sectPr w:rsidR="00F9740D" w:rsidRPr="0051414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414A"/>
    <w:rsid w:val="00026092"/>
    <w:rsid w:val="0002718A"/>
    <w:rsid w:val="00041C17"/>
    <w:rsid w:val="00045EBA"/>
    <w:rsid w:val="000821D8"/>
    <w:rsid w:val="000829A8"/>
    <w:rsid w:val="00090E7D"/>
    <w:rsid w:val="000938D1"/>
    <w:rsid w:val="00094CBB"/>
    <w:rsid w:val="000A3097"/>
    <w:rsid w:val="000B3E74"/>
    <w:rsid w:val="000C00C8"/>
    <w:rsid w:val="000C1B3C"/>
    <w:rsid w:val="000C4307"/>
    <w:rsid w:val="000D16A4"/>
    <w:rsid w:val="000E68F2"/>
    <w:rsid w:val="00121A86"/>
    <w:rsid w:val="00134518"/>
    <w:rsid w:val="00167027"/>
    <w:rsid w:val="0017033F"/>
    <w:rsid w:val="001979E2"/>
    <w:rsid w:val="001B4AEA"/>
    <w:rsid w:val="001E3811"/>
    <w:rsid w:val="002002BE"/>
    <w:rsid w:val="00231102"/>
    <w:rsid w:val="002710B3"/>
    <w:rsid w:val="00274EC8"/>
    <w:rsid w:val="00291F05"/>
    <w:rsid w:val="002B2B17"/>
    <w:rsid w:val="002C02FF"/>
    <w:rsid w:val="002E7E05"/>
    <w:rsid w:val="002F3ECA"/>
    <w:rsid w:val="002F4937"/>
    <w:rsid w:val="002F5291"/>
    <w:rsid w:val="00303D8B"/>
    <w:rsid w:val="003064D4"/>
    <w:rsid w:val="0032330A"/>
    <w:rsid w:val="00346060"/>
    <w:rsid w:val="00353786"/>
    <w:rsid w:val="003828D3"/>
    <w:rsid w:val="00391B52"/>
    <w:rsid w:val="003A15BB"/>
    <w:rsid w:val="003A44DF"/>
    <w:rsid w:val="003D42E4"/>
    <w:rsid w:val="003D5352"/>
    <w:rsid w:val="003F4E10"/>
    <w:rsid w:val="00424880"/>
    <w:rsid w:val="0046022A"/>
    <w:rsid w:val="0047031C"/>
    <w:rsid w:val="00495B6F"/>
    <w:rsid w:val="004A0615"/>
    <w:rsid w:val="004A1256"/>
    <w:rsid w:val="004A29ED"/>
    <w:rsid w:val="004C55A8"/>
    <w:rsid w:val="004F332D"/>
    <w:rsid w:val="0051414A"/>
    <w:rsid w:val="00516326"/>
    <w:rsid w:val="005234EC"/>
    <w:rsid w:val="00526D62"/>
    <w:rsid w:val="0054224D"/>
    <w:rsid w:val="0054675B"/>
    <w:rsid w:val="00561EAF"/>
    <w:rsid w:val="00585CF0"/>
    <w:rsid w:val="005B7875"/>
    <w:rsid w:val="005D57AB"/>
    <w:rsid w:val="005E4640"/>
    <w:rsid w:val="005E6238"/>
    <w:rsid w:val="005F632F"/>
    <w:rsid w:val="00600D61"/>
    <w:rsid w:val="00610E0D"/>
    <w:rsid w:val="00610E87"/>
    <w:rsid w:val="00627B82"/>
    <w:rsid w:val="00632BFD"/>
    <w:rsid w:val="00642F2A"/>
    <w:rsid w:val="00646DFB"/>
    <w:rsid w:val="00654BEE"/>
    <w:rsid w:val="0065698C"/>
    <w:rsid w:val="00680080"/>
    <w:rsid w:val="006A5739"/>
    <w:rsid w:val="006C1E47"/>
    <w:rsid w:val="006D384D"/>
    <w:rsid w:val="006D4DE7"/>
    <w:rsid w:val="006F77A6"/>
    <w:rsid w:val="0070214B"/>
    <w:rsid w:val="007134B7"/>
    <w:rsid w:val="0073632A"/>
    <w:rsid w:val="00754C8A"/>
    <w:rsid w:val="00792FC0"/>
    <w:rsid w:val="007A391F"/>
    <w:rsid w:val="007B4388"/>
    <w:rsid w:val="007C49F7"/>
    <w:rsid w:val="007C5ABC"/>
    <w:rsid w:val="007E62CE"/>
    <w:rsid w:val="00816914"/>
    <w:rsid w:val="0084270C"/>
    <w:rsid w:val="00861FFB"/>
    <w:rsid w:val="00864664"/>
    <w:rsid w:val="00876BAC"/>
    <w:rsid w:val="008A018B"/>
    <w:rsid w:val="008A1EEE"/>
    <w:rsid w:val="008B16F5"/>
    <w:rsid w:val="008D137C"/>
    <w:rsid w:val="008D1B7E"/>
    <w:rsid w:val="00904B30"/>
    <w:rsid w:val="00911F5E"/>
    <w:rsid w:val="009328A3"/>
    <w:rsid w:val="0094000B"/>
    <w:rsid w:val="009454CE"/>
    <w:rsid w:val="00965AAD"/>
    <w:rsid w:val="00991BF5"/>
    <w:rsid w:val="009B5EA9"/>
    <w:rsid w:val="009E35BD"/>
    <w:rsid w:val="009E6886"/>
    <w:rsid w:val="009E6EC9"/>
    <w:rsid w:val="00A15919"/>
    <w:rsid w:val="00A37DB2"/>
    <w:rsid w:val="00A75A89"/>
    <w:rsid w:val="00A778E2"/>
    <w:rsid w:val="00AA57CD"/>
    <w:rsid w:val="00AC1A84"/>
    <w:rsid w:val="00AE113C"/>
    <w:rsid w:val="00B11814"/>
    <w:rsid w:val="00B204C7"/>
    <w:rsid w:val="00B31EC9"/>
    <w:rsid w:val="00BA1ED2"/>
    <w:rsid w:val="00BB6508"/>
    <w:rsid w:val="00C21439"/>
    <w:rsid w:val="00C72A3E"/>
    <w:rsid w:val="00CB15C4"/>
    <w:rsid w:val="00CC3D88"/>
    <w:rsid w:val="00CD784A"/>
    <w:rsid w:val="00CE0AF3"/>
    <w:rsid w:val="00D100DB"/>
    <w:rsid w:val="00D27C4E"/>
    <w:rsid w:val="00D36F3B"/>
    <w:rsid w:val="00D66485"/>
    <w:rsid w:val="00DA37AF"/>
    <w:rsid w:val="00DD5E2E"/>
    <w:rsid w:val="00DF43E9"/>
    <w:rsid w:val="00E456BB"/>
    <w:rsid w:val="00E505FA"/>
    <w:rsid w:val="00E72A26"/>
    <w:rsid w:val="00E7426E"/>
    <w:rsid w:val="00E81C33"/>
    <w:rsid w:val="00E90D3E"/>
    <w:rsid w:val="00E92DD5"/>
    <w:rsid w:val="00E97BF1"/>
    <w:rsid w:val="00EA1937"/>
    <w:rsid w:val="00EB3355"/>
    <w:rsid w:val="00EC6802"/>
    <w:rsid w:val="00F00C0E"/>
    <w:rsid w:val="00F237C9"/>
    <w:rsid w:val="00F9740D"/>
    <w:rsid w:val="00FE714F"/>
    <w:rsid w:val="00FF68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C1C480"/>
  <w15:chartTrackingRefBased/>
  <w15:docId w15:val="{A4804874-FA0B-477A-9286-A6681BACC0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1414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1414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1414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1414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1414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1414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1414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1414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1414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1414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1414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1414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1414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1414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1414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1414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1414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1414A"/>
    <w:rPr>
      <w:rFonts w:eastAsiaTheme="majorEastAsia" w:cstheme="majorBidi"/>
      <w:color w:val="272727" w:themeColor="text1" w:themeTint="D8"/>
    </w:rPr>
  </w:style>
  <w:style w:type="paragraph" w:styleId="Title">
    <w:name w:val="Title"/>
    <w:basedOn w:val="Normal"/>
    <w:next w:val="Normal"/>
    <w:link w:val="TitleChar"/>
    <w:uiPriority w:val="10"/>
    <w:qFormat/>
    <w:rsid w:val="0051414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1414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1414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1414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1414A"/>
    <w:pPr>
      <w:spacing w:before="160"/>
      <w:jc w:val="center"/>
    </w:pPr>
    <w:rPr>
      <w:i/>
      <w:iCs/>
      <w:color w:val="404040" w:themeColor="text1" w:themeTint="BF"/>
    </w:rPr>
  </w:style>
  <w:style w:type="character" w:customStyle="1" w:styleId="QuoteChar">
    <w:name w:val="Quote Char"/>
    <w:basedOn w:val="DefaultParagraphFont"/>
    <w:link w:val="Quote"/>
    <w:uiPriority w:val="29"/>
    <w:rsid w:val="0051414A"/>
    <w:rPr>
      <w:i/>
      <w:iCs/>
      <w:color w:val="404040" w:themeColor="text1" w:themeTint="BF"/>
    </w:rPr>
  </w:style>
  <w:style w:type="paragraph" w:styleId="ListParagraph">
    <w:name w:val="List Paragraph"/>
    <w:basedOn w:val="Normal"/>
    <w:uiPriority w:val="34"/>
    <w:qFormat/>
    <w:rsid w:val="0051414A"/>
    <w:pPr>
      <w:ind w:left="720"/>
      <w:contextualSpacing/>
    </w:pPr>
  </w:style>
  <w:style w:type="character" w:styleId="IntenseEmphasis">
    <w:name w:val="Intense Emphasis"/>
    <w:basedOn w:val="DefaultParagraphFont"/>
    <w:uiPriority w:val="21"/>
    <w:qFormat/>
    <w:rsid w:val="0051414A"/>
    <w:rPr>
      <w:i/>
      <w:iCs/>
      <w:color w:val="0F4761" w:themeColor="accent1" w:themeShade="BF"/>
    </w:rPr>
  </w:style>
  <w:style w:type="paragraph" w:styleId="IntenseQuote">
    <w:name w:val="Intense Quote"/>
    <w:basedOn w:val="Normal"/>
    <w:next w:val="Normal"/>
    <w:link w:val="IntenseQuoteChar"/>
    <w:uiPriority w:val="30"/>
    <w:qFormat/>
    <w:rsid w:val="0051414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1414A"/>
    <w:rPr>
      <w:i/>
      <w:iCs/>
      <w:color w:val="0F4761" w:themeColor="accent1" w:themeShade="BF"/>
    </w:rPr>
  </w:style>
  <w:style w:type="character" w:styleId="IntenseReference">
    <w:name w:val="Intense Reference"/>
    <w:basedOn w:val="DefaultParagraphFont"/>
    <w:uiPriority w:val="32"/>
    <w:qFormat/>
    <w:rsid w:val="0051414A"/>
    <w:rPr>
      <w:b/>
      <w:bCs/>
      <w:smallCaps/>
      <w:color w:val="0F4761" w:themeColor="accent1" w:themeShade="BF"/>
      <w:spacing w:val="5"/>
    </w:rPr>
  </w:style>
  <w:style w:type="paragraph" w:customStyle="1" w:styleId="cpe2">
    <w:name w:val="cpe2"/>
    <w:basedOn w:val="Normal"/>
    <w:rsid w:val="0051414A"/>
    <w:pPr>
      <w:spacing w:after="0" w:line="240" w:lineRule="auto"/>
    </w:pPr>
    <w:rPr>
      <w:rFonts w:ascii="Times New Roman" w:eastAsia="Times New Roman" w:hAnsi="Times New Roman" w:cs="Times New Roman"/>
      <w:b/>
      <w:kern w:val="0"/>
      <w:sz w:val="28"/>
      <w:szCs w:val="20"/>
      <w:lang w:eastAsia="en-GB"/>
      <w14:ligatures w14:val="none"/>
    </w:rPr>
  </w:style>
  <w:style w:type="paragraph" w:styleId="Bibliography">
    <w:name w:val="Bibliography"/>
    <w:basedOn w:val="Normal"/>
    <w:next w:val="Normal"/>
    <w:uiPriority w:val="37"/>
    <w:unhideWhenUsed/>
    <w:rsid w:val="00CB15C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6086764">
      <w:bodyDiv w:val="1"/>
      <w:marLeft w:val="0"/>
      <w:marRight w:val="0"/>
      <w:marTop w:val="0"/>
      <w:marBottom w:val="0"/>
      <w:divBdr>
        <w:top w:val="none" w:sz="0" w:space="0" w:color="auto"/>
        <w:left w:val="none" w:sz="0" w:space="0" w:color="auto"/>
        <w:bottom w:val="none" w:sz="0" w:space="0" w:color="auto"/>
        <w:right w:val="none" w:sz="0" w:space="0" w:color="auto"/>
      </w:divBdr>
    </w:div>
    <w:div w:id="271519470">
      <w:bodyDiv w:val="1"/>
      <w:marLeft w:val="0"/>
      <w:marRight w:val="0"/>
      <w:marTop w:val="0"/>
      <w:marBottom w:val="0"/>
      <w:divBdr>
        <w:top w:val="none" w:sz="0" w:space="0" w:color="auto"/>
        <w:left w:val="none" w:sz="0" w:space="0" w:color="auto"/>
        <w:bottom w:val="none" w:sz="0" w:space="0" w:color="auto"/>
        <w:right w:val="none" w:sz="0" w:space="0" w:color="auto"/>
      </w:divBdr>
    </w:div>
    <w:div w:id="281542848">
      <w:bodyDiv w:val="1"/>
      <w:marLeft w:val="0"/>
      <w:marRight w:val="0"/>
      <w:marTop w:val="0"/>
      <w:marBottom w:val="0"/>
      <w:divBdr>
        <w:top w:val="none" w:sz="0" w:space="0" w:color="auto"/>
        <w:left w:val="none" w:sz="0" w:space="0" w:color="auto"/>
        <w:bottom w:val="none" w:sz="0" w:space="0" w:color="auto"/>
        <w:right w:val="none" w:sz="0" w:space="0" w:color="auto"/>
      </w:divBdr>
    </w:div>
    <w:div w:id="396824704">
      <w:bodyDiv w:val="1"/>
      <w:marLeft w:val="0"/>
      <w:marRight w:val="0"/>
      <w:marTop w:val="0"/>
      <w:marBottom w:val="0"/>
      <w:divBdr>
        <w:top w:val="none" w:sz="0" w:space="0" w:color="auto"/>
        <w:left w:val="none" w:sz="0" w:space="0" w:color="auto"/>
        <w:bottom w:val="none" w:sz="0" w:space="0" w:color="auto"/>
        <w:right w:val="none" w:sz="0" w:space="0" w:color="auto"/>
      </w:divBdr>
    </w:div>
    <w:div w:id="702053295">
      <w:bodyDiv w:val="1"/>
      <w:marLeft w:val="0"/>
      <w:marRight w:val="0"/>
      <w:marTop w:val="0"/>
      <w:marBottom w:val="0"/>
      <w:divBdr>
        <w:top w:val="none" w:sz="0" w:space="0" w:color="auto"/>
        <w:left w:val="none" w:sz="0" w:space="0" w:color="auto"/>
        <w:bottom w:val="none" w:sz="0" w:space="0" w:color="auto"/>
        <w:right w:val="none" w:sz="0" w:space="0" w:color="auto"/>
      </w:divBdr>
    </w:div>
    <w:div w:id="921723711">
      <w:bodyDiv w:val="1"/>
      <w:marLeft w:val="0"/>
      <w:marRight w:val="0"/>
      <w:marTop w:val="0"/>
      <w:marBottom w:val="0"/>
      <w:divBdr>
        <w:top w:val="none" w:sz="0" w:space="0" w:color="auto"/>
        <w:left w:val="none" w:sz="0" w:space="0" w:color="auto"/>
        <w:bottom w:val="none" w:sz="0" w:space="0" w:color="auto"/>
        <w:right w:val="none" w:sz="0" w:space="0" w:color="auto"/>
      </w:divBdr>
    </w:div>
    <w:div w:id="966155428">
      <w:bodyDiv w:val="1"/>
      <w:marLeft w:val="0"/>
      <w:marRight w:val="0"/>
      <w:marTop w:val="0"/>
      <w:marBottom w:val="0"/>
      <w:divBdr>
        <w:top w:val="none" w:sz="0" w:space="0" w:color="auto"/>
        <w:left w:val="none" w:sz="0" w:space="0" w:color="auto"/>
        <w:bottom w:val="none" w:sz="0" w:space="0" w:color="auto"/>
        <w:right w:val="none" w:sz="0" w:space="0" w:color="auto"/>
      </w:divBdr>
    </w:div>
    <w:div w:id="1048072574">
      <w:bodyDiv w:val="1"/>
      <w:marLeft w:val="0"/>
      <w:marRight w:val="0"/>
      <w:marTop w:val="0"/>
      <w:marBottom w:val="0"/>
      <w:divBdr>
        <w:top w:val="none" w:sz="0" w:space="0" w:color="auto"/>
        <w:left w:val="none" w:sz="0" w:space="0" w:color="auto"/>
        <w:bottom w:val="none" w:sz="0" w:space="0" w:color="auto"/>
        <w:right w:val="none" w:sz="0" w:space="0" w:color="auto"/>
      </w:divBdr>
    </w:div>
    <w:div w:id="1205482630">
      <w:bodyDiv w:val="1"/>
      <w:marLeft w:val="0"/>
      <w:marRight w:val="0"/>
      <w:marTop w:val="0"/>
      <w:marBottom w:val="0"/>
      <w:divBdr>
        <w:top w:val="none" w:sz="0" w:space="0" w:color="auto"/>
        <w:left w:val="none" w:sz="0" w:space="0" w:color="auto"/>
        <w:bottom w:val="none" w:sz="0" w:space="0" w:color="auto"/>
        <w:right w:val="none" w:sz="0" w:space="0" w:color="auto"/>
      </w:divBdr>
    </w:div>
    <w:div w:id="1231237329">
      <w:bodyDiv w:val="1"/>
      <w:marLeft w:val="0"/>
      <w:marRight w:val="0"/>
      <w:marTop w:val="0"/>
      <w:marBottom w:val="0"/>
      <w:divBdr>
        <w:top w:val="none" w:sz="0" w:space="0" w:color="auto"/>
        <w:left w:val="none" w:sz="0" w:space="0" w:color="auto"/>
        <w:bottom w:val="none" w:sz="0" w:space="0" w:color="auto"/>
        <w:right w:val="none" w:sz="0" w:space="0" w:color="auto"/>
      </w:divBdr>
    </w:div>
    <w:div w:id="1475491904">
      <w:bodyDiv w:val="1"/>
      <w:marLeft w:val="0"/>
      <w:marRight w:val="0"/>
      <w:marTop w:val="0"/>
      <w:marBottom w:val="0"/>
      <w:divBdr>
        <w:top w:val="none" w:sz="0" w:space="0" w:color="auto"/>
        <w:left w:val="none" w:sz="0" w:space="0" w:color="auto"/>
        <w:bottom w:val="none" w:sz="0" w:space="0" w:color="auto"/>
        <w:right w:val="none" w:sz="0" w:space="0" w:color="auto"/>
      </w:divBdr>
    </w:div>
    <w:div w:id="1519079240">
      <w:bodyDiv w:val="1"/>
      <w:marLeft w:val="0"/>
      <w:marRight w:val="0"/>
      <w:marTop w:val="0"/>
      <w:marBottom w:val="0"/>
      <w:divBdr>
        <w:top w:val="none" w:sz="0" w:space="0" w:color="auto"/>
        <w:left w:val="none" w:sz="0" w:space="0" w:color="auto"/>
        <w:bottom w:val="none" w:sz="0" w:space="0" w:color="auto"/>
        <w:right w:val="none" w:sz="0" w:space="0" w:color="auto"/>
      </w:divBdr>
    </w:div>
    <w:div w:id="1586918931">
      <w:bodyDiv w:val="1"/>
      <w:marLeft w:val="0"/>
      <w:marRight w:val="0"/>
      <w:marTop w:val="0"/>
      <w:marBottom w:val="0"/>
      <w:divBdr>
        <w:top w:val="none" w:sz="0" w:space="0" w:color="auto"/>
        <w:left w:val="none" w:sz="0" w:space="0" w:color="auto"/>
        <w:bottom w:val="none" w:sz="0" w:space="0" w:color="auto"/>
        <w:right w:val="none" w:sz="0" w:space="0" w:color="auto"/>
      </w:divBdr>
    </w:div>
    <w:div w:id="1700860879">
      <w:bodyDiv w:val="1"/>
      <w:marLeft w:val="0"/>
      <w:marRight w:val="0"/>
      <w:marTop w:val="0"/>
      <w:marBottom w:val="0"/>
      <w:divBdr>
        <w:top w:val="none" w:sz="0" w:space="0" w:color="auto"/>
        <w:left w:val="none" w:sz="0" w:space="0" w:color="auto"/>
        <w:bottom w:val="none" w:sz="0" w:space="0" w:color="auto"/>
        <w:right w:val="none" w:sz="0" w:space="0" w:color="auto"/>
      </w:divBdr>
    </w:div>
    <w:div w:id="1750734348">
      <w:bodyDiv w:val="1"/>
      <w:marLeft w:val="0"/>
      <w:marRight w:val="0"/>
      <w:marTop w:val="0"/>
      <w:marBottom w:val="0"/>
      <w:divBdr>
        <w:top w:val="none" w:sz="0" w:space="0" w:color="auto"/>
        <w:left w:val="none" w:sz="0" w:space="0" w:color="auto"/>
        <w:bottom w:val="none" w:sz="0" w:space="0" w:color="auto"/>
        <w:right w:val="none" w:sz="0" w:space="0" w:color="auto"/>
      </w:divBdr>
    </w:div>
    <w:div w:id="1993825047">
      <w:bodyDiv w:val="1"/>
      <w:marLeft w:val="0"/>
      <w:marRight w:val="0"/>
      <w:marTop w:val="0"/>
      <w:marBottom w:val="0"/>
      <w:divBdr>
        <w:top w:val="none" w:sz="0" w:space="0" w:color="auto"/>
        <w:left w:val="none" w:sz="0" w:space="0" w:color="auto"/>
        <w:bottom w:val="none" w:sz="0" w:space="0" w:color="auto"/>
        <w:right w:val="none" w:sz="0" w:space="0" w:color="auto"/>
      </w:divBdr>
    </w:div>
    <w:div w:id="2129931168">
      <w:bodyDiv w:val="1"/>
      <w:marLeft w:val="0"/>
      <w:marRight w:val="0"/>
      <w:marTop w:val="0"/>
      <w:marBottom w:val="0"/>
      <w:divBdr>
        <w:top w:val="none" w:sz="0" w:space="0" w:color="auto"/>
        <w:left w:val="none" w:sz="0" w:space="0" w:color="auto"/>
        <w:bottom w:val="none" w:sz="0" w:space="0" w:color="auto"/>
        <w:right w:val="none" w:sz="0" w:space="0" w:color="auto"/>
      </w:divBdr>
    </w:div>
    <w:div w:id="21315122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customXml" Target="../customXml/item4.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12" ma:contentTypeDescription="Create a new document." ma:contentTypeScope="" ma:versionID="ff44ff75b0fc8ee9934874df0d0bdc9c">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73d0811d86b5a300de226efc59a7fdbc"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SearchProperties"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SearchProperties" ma:index="17" nillable="true" ma:displayName="MediaServiceSearchProperties" ma:hidden="true" ma:internalName="MediaServiceSearchProperties" ma:readOnly="true">
      <xsd:simpleType>
        <xsd:restriction base="dms:Note"/>
      </xsd:simpleType>
    </xsd:element>
    <xsd:element name="_activity" ma:index="18" nillable="true" ma:displayName="_activity" ma:hidden="true" ma:internalName="_activity">
      <xsd:simpleType>
        <xsd:restriction base="dms:Note"/>
      </xsd:simpleType>
    </xsd:element>
    <xsd:element name="MediaServiceObjectDetectorVersions" ma:index="19"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Leg243</b:Tag>
    <b:SourceType>InternetSite</b:SourceType>
    <b:Guid>{7BA039E1-11A5-4C9D-9D7D-51006C77EC77}</b:Guid>
    <b:Title>The Civil Procedure Rules 1998</b:Title>
    <b:Year>2024</b:Year>
    <b:YearAccessed>2024</b:YearAccessed>
    <b:MonthAccessed>03</b:MonthAccessed>
    <b:DayAccessed>14</b:DayAccessed>
    <b:URL>https://www.legislation.gov.uk/uksi/1998/3132/contents/made</b:URL>
    <b:Author>
      <b:Author>
        <b:Corporate>Legislation</b:Corporate>
      </b:Author>
    </b:Author>
    <b:RefOrder>1</b:RefOrder>
  </b:Source>
  <b:Source>
    <b:Tag>Wil17</b:Tag>
    <b:SourceType>DocumentFromInternetSite</b:SourceType>
    <b:Guid>{4C7A298D-04EB-4474-BEA0-F2636CCB0326}</b:Guid>
    <b:Author>
      <b:Author>
        <b:Corporate>Wilsons LLP</b:Corporate>
      </b:Author>
    </b:Author>
    <b:Title>A Guide to Litigation and the Civil Procedure Rule</b:Title>
    <b:Year>2017</b:Year>
    <b:YearAccessed>2024</b:YearAccessed>
    <b:MonthAccessed>03</b:MonthAccessed>
    <b:DayAccessed>09</b:DayAccessed>
    <b:URL>https://legacymanagement.org.uk/wp-content/uploads/A-guide-to-litigation-and-the-civil-procedure-rule.pdf</b:URL>
    <b:Month>07</b:Month>
    <b:RefOrder>2</b:RefOrder>
  </b:Source>
  <b:Source>
    <b:Tag>Jus24</b:Tag>
    <b:SourceType>InternetSite</b:SourceType>
    <b:Guid>{D435804F-8301-4BAE-8521-DF02697670E4}</b:Guid>
    <b:Title>Practice Direction - Pre-Action Conduct and Protocols</b:Title>
    <b:Year>2024</b:Year>
    <b:YearAccessed>2024</b:YearAccessed>
    <b:MonthAccessed>03</b:MonthAccessed>
    <b:DayAccessed>14</b:DayAccessed>
    <b:URL>https://www.justice.gov.uk/courts/procedure-rules/civil/rules/pd_pre-action_conduct</b:URL>
    <b:Author>
      <b:Author>
        <b:Corporate>Justice</b:Corporate>
      </b:Author>
    </b:Author>
    <b:RefOrder>3</b:RefOrder>
  </b:Source>
  <b:Source>
    <b:Tag>Law224</b:Tag>
    <b:SourceType>InternetSite</b:SourceType>
    <b:Guid>{3D7A282D-F8BA-48BF-AD71-4B666C28BB75}</b:Guid>
    <b:Author>
      <b:Author>
        <b:Corporate>Lawplus</b:Corporate>
      </b:Author>
    </b:Author>
    <b:Title>What is the pre-action protocol for personal injury claims</b:Title>
    <b:Year>2022</b:Year>
    <b:YearAccessed>2024</b:YearAccessed>
    <b:MonthAccessed>03</b:MonthAccessed>
    <b:DayAccessed>13</b:DayAccessed>
    <b:URL>https://www.lawplus.co.uk/personal-injury/what-is-the-pre-action-protocol-for-personal-injury-claims/</b:URL>
    <b:RefOrder>4</b:RefOrder>
  </b:Source>
  <b:Source>
    <b:Tag>Civ08</b:Tag>
    <b:SourceType>DocumentFromInternetSite</b:SourceType>
    <b:Guid>{E830BCF3-6E10-4276-B50A-04E4B151B0E0}</b:Guid>
    <b:Author>
      <b:Author>
        <b:Corporate>Civil Justice Council</b:Corporate>
      </b:Author>
    </b:Author>
    <b:Title>General Pre-Action Protocol</b:Title>
    <b:Year>2008</b:Year>
    <b:YearAccessed>2024</b:YearAccessed>
    <b:MonthAccessed>03</b:MonthAccessed>
    <b:DayAccessed>08</b:DayAccessed>
    <b:URL>https://www.judiciary.uk/wp-content/uploads/JCO/Documents/CJC/Publications/consultation+papers/CJC+Consultaion+C.pdf</b:URL>
    <b:Month>02</b:Month>
    <b:Day>21</b:Day>
    <b:RefOrder>5</b:RefOrder>
  </b:Source>
  <b:Source>
    <b:Tag>Mul24</b:Tag>
    <b:SourceType>InternetSite</b:SourceType>
    <b:Guid>{EB3ADD3A-2C4D-40D4-B592-A26B0C629100}</b:Guid>
    <b:Title>The Pre-Action Protocol for Personal Injury Claims</b:Title>
    <b:Year>2024</b:Year>
    <b:YearAccessed>2024</b:YearAccessed>
    <b:MonthAccessed>03</b:MonthAccessed>
    <b:DayAccessed>12</b:DayAccessed>
    <b:URL>https://mulderrigs.co.uk/news/the-pre-action-protocol-for-personal-injury-claims/</b:URL>
    <b:Author>
      <b:Author>
        <b:Corporate>Mulderrigs</b:Corporate>
      </b:Author>
    </b:Author>
    <b:RefOrder>6</b:RefOrder>
  </b:Source>
  <b:Source>
    <b:Tag>Ant21</b:Tag>
    <b:SourceType>InternetSite</b:SourceType>
    <b:Guid>{8BA9B8A4-FDD4-421F-B23F-E8D38BF61162}</b:Guid>
    <b:Author>
      <b:Author>
        <b:Corporate>Anthony Gold</b:Corporate>
      </b:Author>
    </b:Author>
    <b:Title>What is the pre-action protocol for personal injury claims?</b:Title>
    <b:Year>2021</b:Year>
    <b:YearAccessed>2024</b:YearAccessed>
    <b:MonthAccessed>03</b:MonthAccessed>
    <b:DayAccessed>13</b:DayAccessed>
    <b:URL>https://anthonygold.co.uk/latest/blog/what-is-the-pre-action-protocol-for-personal-injury-claims/</b:URL>
    <b:RefOrder>7</b:RefOrder>
  </b:Source>
  <b:Source>
    <b:Tag>Leg244</b:Tag>
    <b:SourceType>InternetSite</b:SourceType>
    <b:Guid>{4CA927AE-11EA-4C0E-A0AD-0325C7EFA801}</b:Guid>
    <b:Author>
      <b:Author>
        <b:Corporate>Legislation</b:Corporate>
      </b:Author>
    </b:Author>
    <b:Title>The Civil Procedure (Amendment) Rules 2021</b:Title>
    <b:Year>2024</b:Year>
    <b:YearAccessed>2024</b:YearAccessed>
    <b:MonthAccessed>03</b:MonthAccessed>
    <b:DayAccessed>11</b:DayAccessed>
    <b:URL>https://www.legislation.gov.uk/uksi/2021/117/contents/made</b:URL>
    <b:RefOrder>8</b:RefOrder>
  </b:Source>
  <b:Source>
    <b:Tag>Leg245</b:Tag>
    <b:SourceType>InternetSite</b:SourceType>
    <b:Guid>{E6902E61-4CBA-4E41-BCCE-C3000EAB4E1D}</b:Guid>
    <b:Author>
      <b:Author>
        <b:Corporate>Legislation </b:Corporate>
      </b:Author>
    </b:Author>
    <b:Title>The Whiplash Injury Regulations 2021</b:Title>
    <b:Year>2024</b:Year>
    <b:YearAccessed>2024</b:YearAccessed>
    <b:MonthAccessed>03</b:MonthAccessed>
    <b:DayAccessed>14</b:DayAccessed>
    <b:URL>https://www.legislation.gov.uk/ukdsi/2021/9780348220612</b:URL>
    <b:RefOrder>9</b:RefOrder>
  </b:Source>
  <b:Source>
    <b:Tag>Gov241</b:Tag>
    <b:SourceType>InternetSite</b:SourceType>
    <b:Guid>{07634DB6-59CF-417B-8FC1-CE7332F52856}</b:Guid>
    <b:Author>
      <b:Author>
        <b:Corporate>Gov</b:Corporate>
      </b:Author>
    </b:Author>
    <b:Title>Whiplash Reform Programme: Information and FAQ</b:Title>
    <b:Year>2024</b:Year>
    <b:YearAccessed>2024</b:YearAccessed>
    <b:MonthAccessed>03</b:MonthAccessed>
    <b:DayAccessed>14</b:DayAccessed>
    <b:URL>https://www.gov.uk/government/publications/whiplash-reform-programme-information-and-faq</b:URL>
    <b:RefOrder>10</b:RefOrder>
  </b:Source>
  <b:Source>
    <b:Tag>Par232</b:Tag>
    <b:SourceType>InternetSite</b:SourceType>
    <b:Guid>{C8110964-98E4-4DF1-92F3-E57EFDB3C533}</b:Guid>
    <b:Author>
      <b:Author>
        <b:Corporate>Parliament</b:Corporate>
      </b:Author>
    </b:Author>
    <b:Title>Whiplash reform and the Offical injury claims service</b:Title>
    <b:Year>2022-2023</b:Year>
    <b:YearAccessed>2024</b:YearAccessed>
    <b:MonthAccessed>03</b:MonthAccessed>
    <b:DayAccessed>09</b:DayAccessed>
    <b:URL>https://publications.parliament.uk/pa/cm5803/cmselect/cmjust/1140/report.html</b:URL>
    <b:RefOrder>11</b:RefOrder>
  </b:Source>
  <b:Source>
    <b:Tag>Lex24</b:Tag>
    <b:SourceType>InternetSite</b:SourceType>
    <b:Guid>{AA4D1FF3-52C3-4BC2-A6F7-0E319FDB9968}</b:Guid>
    <b:Author>
      <b:Author>
        <b:Corporate>Lexis</b:Corporate>
      </b:Author>
    </b:Author>
    <b:Title>The Human Rights Act 1998 in practice - personal injury claims under Article 2 and 3 of the ECHR</b:Title>
    <b:Year>2024</b:Year>
    <b:YearAccessed>2023</b:YearAccessed>
    <b:MonthAccessed>03</b:MonthAccessed>
    <b:DayAccessed>14</b:DayAccessed>
    <b:URL>https://www.lexisnexis.co.uk/legal/guidance/the-human-rights-act-1998-in-practice-personal-injury-claims-under-articles-2-3-of-the-echr</b:URL>
    <b:RefOrder>12</b:RefOrder>
  </b:Source>
  <b:Source>
    <b:Tag>Leg246</b:Tag>
    <b:SourceType>InternetSite</b:SourceType>
    <b:Guid>{0F1FFC05-61E6-4A5E-AD1C-993CB91AF548}</b:Guid>
    <b:Author>
      <b:Author>
        <b:Corporate>Legislation </b:Corporate>
      </b:Author>
    </b:Author>
    <b:Title>Legal Aid, Sentencing and Punishment of Offence Act 2012</b:Title>
    <b:Year>2024</b:Year>
    <b:YearAccessed>2024</b:YearAccessed>
    <b:MonthAccessed>03</b:MonthAccessed>
    <b:DayAccessed>12</b:DayAccessed>
    <b:URL>https://www.legislation.gov.uk/ukpga/2012/10/contents</b:URL>
    <b:RefOrder>13</b:RefOrder>
  </b:Source>
  <b:Source>
    <b:Tag>Law24</b:Tag>
    <b:SourceType>InternetSite</b:SourceType>
    <b:Guid>{AB3D87E1-2215-4846-AB97-9ED7FE0DD154}</b:Guid>
    <b:Author>
      <b:Author>
        <b:Corporate>LawSociety</b:Corporate>
      </b:Author>
    </b:Author>
    <b:Title>LASPO</b:Title>
    <b:Year>2024</b:Year>
    <b:YearAccessed>2024</b:YearAccessed>
    <b:MonthAccessed>03</b:MonthAccessed>
    <b:DayAccessed>10</b:DayAccessed>
    <b:URL>https://www.lawsociety.org.uk/topics/legal-aid/laspo-act</b:URL>
    <b:RefOrder>14</b:RefOrder>
  </b:Source>
  <b:Source>
    <b:Tag>Rus17</b:Tag>
    <b:SourceType>InternetSite</b:SourceType>
    <b:Guid>{015491F8-0949-4E8B-92AA-FBB76B5BE60A}</b:Guid>
    <b:Author>
      <b:Author>
        <b:Corporate>Russell Worth</b:Corporate>
      </b:Author>
    </b:Author>
    <b:Title>When will the courts extend the limitation period for personal injury claims</b:Title>
    <b:Year>2017</b:Year>
    <b:YearAccessed>2024</b:YearAccessed>
    <b:MonthAccessed>03</b:MonthAccessed>
    <b:DayAccessed>12</b:DayAccessed>
    <b:URL>https://www.russellworthsolicitors.co.uk/personal-injury-solicitors/8070-2/</b:URL>
    <b:RefOrder>15</b:RefOrder>
  </b:Source>
  <b:Source>
    <b:Tag>Car121</b:Tag>
    <b:SourceType>InternetSite</b:SourceType>
    <b:Guid>{B1CEE318-CB8C-452F-B483-B2BAEF496026}</b:Guid>
    <b:Author>
      <b:Author>
        <b:Corporate>Carruthers</b:Corporate>
      </b:Author>
    </b:Author>
    <b:Title>Limation period and date of knowledge </b:Title>
    <b:Year>2012</b:Year>
    <b:YearAccessed>2024</b:YearAccessed>
    <b:MonthAccessed>03</b:MonthAccessed>
    <b:DayAccessed>14</b:DayAccessed>
    <b:URL>https://www.carruthers-law.co.uk/articles/limitation-period-and-date-of-knowledge-solicitors-negligence/</b:URL>
    <b:RefOrder>16</b:RefOrder>
  </b:Source>
</b:Sources>
</file>

<file path=customXml/itemProps1.xml><?xml version="1.0" encoding="utf-8"?>
<ds:datastoreItem xmlns:ds="http://schemas.openxmlformats.org/officeDocument/2006/customXml" ds:itemID="{EB4C8124-C9BD-4CDA-9F0A-A08A025A159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AF972DE-EA6C-486E-BB26-B3D3310D536F}">
  <ds:schemaRefs>
    <ds:schemaRef ds:uri="http://schemas.microsoft.com/sharepoint/v3/contenttype/forms"/>
  </ds:schemaRefs>
</ds:datastoreItem>
</file>

<file path=customXml/itemProps3.xml><?xml version="1.0" encoding="utf-8"?>
<ds:datastoreItem xmlns:ds="http://schemas.openxmlformats.org/officeDocument/2006/customXml" ds:itemID="{166CAACF-8098-4E06-8FF7-17E11D061FCE}">
  <ds:schemaRefs>
    <ds:schemaRef ds:uri="http://www.w3.org/XML/1998/namespace"/>
    <ds:schemaRef ds:uri="4055ddc6-ee7b-4b5b-b8fb-52871646f80e"/>
    <ds:schemaRef ds:uri="http://purl.org/dc/elements/1.1/"/>
    <ds:schemaRef ds:uri="http://purl.org/dc/terms/"/>
    <ds:schemaRef ds:uri="http://schemas.microsoft.com/office/2006/documentManagement/types"/>
    <ds:schemaRef ds:uri="http://schemas.microsoft.com/office/2006/metadata/properties"/>
    <ds:schemaRef ds:uri="http://schemas.microsoft.com/office/infopath/2007/PartnerControls"/>
    <ds:schemaRef ds:uri="http://schemas.openxmlformats.org/package/2006/metadata/core-properties"/>
    <ds:schemaRef ds:uri="0338428b-3fc8-4989-9d03-78e16c931d9f"/>
    <ds:schemaRef ds:uri="http://purl.org/dc/dcmitype/"/>
  </ds:schemaRefs>
</ds:datastoreItem>
</file>

<file path=customXml/itemProps4.xml><?xml version="1.0" encoding="utf-8"?>
<ds:datastoreItem xmlns:ds="http://schemas.openxmlformats.org/officeDocument/2006/customXml" ds:itemID="{EA4B14C4-64A3-4B4F-AD15-5D7D499C2D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2721</Words>
  <Characters>14861</Characters>
  <Application>Microsoft Office Word</Application>
  <DocSecurity>0</DocSecurity>
  <Lines>235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Jade Thompson</dc:creator>
  <cp:keywords/>
  <dc:description/>
  <cp:lastModifiedBy>Jade Thompson</cp:lastModifiedBy>
  <cp:revision>2</cp:revision>
  <dcterms:created xsi:type="dcterms:W3CDTF">2024-03-14T13:30:00Z</dcterms:created>
  <dcterms:modified xsi:type="dcterms:W3CDTF">2024-03-14T13:30:00Z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