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BD95A7" w14:textId="77777777" w:rsidR="0027439F" w:rsidRPr="00D27FD3" w:rsidRDefault="0027439F" w:rsidP="00D27FD3">
      <w:pPr>
        <w:spacing w:before="240" w:after="240" w:line="360" w:lineRule="auto"/>
        <w:jc w:val="both"/>
        <w:rPr>
          <w:rFonts w:eastAsia="Times New Roman"/>
          <w:lang w:val="en-GB"/>
        </w:rPr>
      </w:pPr>
    </w:p>
    <w:p w14:paraId="77E0B5FC" w14:textId="77777777" w:rsidR="00661CD7" w:rsidRDefault="00661CD7" w:rsidP="005767AF">
      <w:pPr>
        <w:pStyle w:val="Title"/>
        <w:spacing w:before="240" w:after="240" w:line="360" w:lineRule="auto"/>
        <w:jc w:val="center"/>
        <w:rPr>
          <w:sz w:val="22"/>
          <w:szCs w:val="22"/>
          <w:lang w:val="en-GB"/>
        </w:rPr>
      </w:pPr>
      <w:r w:rsidRPr="00D27FD3">
        <w:rPr>
          <w:noProof/>
          <w:sz w:val="22"/>
          <w:szCs w:val="22"/>
          <w:lang w:val="en-GB"/>
        </w:rPr>
        <w:drawing>
          <wp:inline distT="114300" distB="114300" distL="114300" distR="114300" wp14:anchorId="69150D2B" wp14:editId="67A70E46">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086100" cy="990600"/>
                    </a:xfrm>
                    <a:prstGeom prst="rect">
                      <a:avLst/>
                    </a:prstGeom>
                    <a:ln/>
                  </pic:spPr>
                </pic:pic>
              </a:graphicData>
            </a:graphic>
          </wp:inline>
        </w:drawing>
      </w:r>
    </w:p>
    <w:p w14:paraId="5226FADB" w14:textId="77777777" w:rsidR="00252291" w:rsidRDefault="00252291" w:rsidP="00252291">
      <w:pPr>
        <w:rPr>
          <w:lang w:val="en-GB"/>
        </w:rPr>
      </w:pPr>
    </w:p>
    <w:p w14:paraId="10AE934E" w14:textId="77777777" w:rsidR="00252291" w:rsidRDefault="00252291" w:rsidP="00252291">
      <w:pPr>
        <w:rPr>
          <w:lang w:val="en-GB"/>
        </w:rPr>
      </w:pPr>
    </w:p>
    <w:p w14:paraId="3C4F2858" w14:textId="77777777" w:rsidR="00252291" w:rsidRDefault="00252291" w:rsidP="00252291">
      <w:pPr>
        <w:rPr>
          <w:lang w:val="en-GB"/>
        </w:rPr>
      </w:pPr>
    </w:p>
    <w:p w14:paraId="7380258D" w14:textId="77777777" w:rsidR="00252291" w:rsidRPr="00252291" w:rsidRDefault="00252291" w:rsidP="00252291">
      <w:pPr>
        <w:rPr>
          <w:lang w:val="en-GB"/>
        </w:rPr>
      </w:pPr>
    </w:p>
    <w:p w14:paraId="02B2747E" w14:textId="77777777" w:rsidR="00661CD7" w:rsidRPr="005767AF" w:rsidRDefault="00661CD7" w:rsidP="005767AF">
      <w:pPr>
        <w:pStyle w:val="Title"/>
        <w:jc w:val="center"/>
        <w:rPr>
          <w:color w:val="000000" w:themeColor="text1"/>
          <w:sz w:val="28"/>
          <w:szCs w:val="28"/>
          <w:lang w:val="en-GB"/>
        </w:rPr>
      </w:pPr>
      <w:r w:rsidRPr="005767AF">
        <w:rPr>
          <w:color w:val="000000" w:themeColor="text1"/>
          <w:sz w:val="28"/>
          <w:szCs w:val="28"/>
          <w:lang w:val="en-GB"/>
        </w:rPr>
        <w:t>MSc Public Health and Social Care in Practice</w:t>
      </w:r>
    </w:p>
    <w:p w14:paraId="132BC7A3" w14:textId="77777777" w:rsidR="00661CD7" w:rsidRPr="005767AF" w:rsidRDefault="00661CD7" w:rsidP="005767AF">
      <w:pPr>
        <w:pStyle w:val="Title"/>
        <w:jc w:val="center"/>
        <w:rPr>
          <w:color w:val="000000" w:themeColor="text1"/>
          <w:sz w:val="28"/>
          <w:szCs w:val="28"/>
          <w:lang w:val="en-GB"/>
        </w:rPr>
      </w:pPr>
      <w:r w:rsidRPr="005767AF">
        <w:rPr>
          <w:color w:val="000000" w:themeColor="text1"/>
          <w:sz w:val="28"/>
          <w:szCs w:val="28"/>
          <w:lang w:val="en-GB"/>
        </w:rPr>
        <w:t>Quality Assurance and Service Improvements (LCHS7006)</w:t>
      </w:r>
    </w:p>
    <w:p w14:paraId="11968519" w14:textId="1A80B8C8" w:rsidR="00661CD7" w:rsidRDefault="00661CD7" w:rsidP="005767AF">
      <w:pPr>
        <w:pStyle w:val="Title"/>
        <w:jc w:val="center"/>
        <w:rPr>
          <w:color w:val="000000" w:themeColor="text1"/>
          <w:sz w:val="28"/>
          <w:szCs w:val="28"/>
          <w:lang w:val="en-GB"/>
        </w:rPr>
      </w:pPr>
      <w:r w:rsidRPr="005767AF">
        <w:rPr>
          <w:color w:val="000000" w:themeColor="text1"/>
          <w:sz w:val="28"/>
          <w:szCs w:val="28"/>
          <w:lang w:val="en-GB"/>
        </w:rPr>
        <w:t xml:space="preserve"> COMPONENT 2 SERVICE IMPROVEMENT REPORT</w:t>
      </w:r>
    </w:p>
    <w:p w14:paraId="60BCEA02" w14:textId="77777777" w:rsidR="00252291" w:rsidRDefault="00252291" w:rsidP="00252291">
      <w:pPr>
        <w:rPr>
          <w:lang w:val="en-GB"/>
        </w:rPr>
      </w:pPr>
    </w:p>
    <w:p w14:paraId="663B6D7E" w14:textId="77777777" w:rsidR="00252291" w:rsidRDefault="00252291" w:rsidP="00252291">
      <w:pPr>
        <w:rPr>
          <w:lang w:val="en-GB"/>
        </w:rPr>
      </w:pPr>
    </w:p>
    <w:p w14:paraId="2440E92E" w14:textId="77777777" w:rsidR="00252291" w:rsidRDefault="00252291" w:rsidP="00252291">
      <w:pPr>
        <w:rPr>
          <w:lang w:val="en-GB"/>
        </w:rPr>
      </w:pPr>
    </w:p>
    <w:p w14:paraId="1827D949" w14:textId="77777777" w:rsidR="00252291" w:rsidRDefault="00252291" w:rsidP="00252291">
      <w:pPr>
        <w:rPr>
          <w:lang w:val="en-GB"/>
        </w:rPr>
      </w:pPr>
    </w:p>
    <w:p w14:paraId="42E90D3A" w14:textId="77777777" w:rsidR="00252291" w:rsidRDefault="00252291" w:rsidP="00252291">
      <w:pPr>
        <w:rPr>
          <w:lang w:val="en-GB"/>
        </w:rPr>
      </w:pPr>
    </w:p>
    <w:p w14:paraId="6C8690AC" w14:textId="77777777" w:rsidR="00252291" w:rsidRDefault="00252291" w:rsidP="00252291">
      <w:pPr>
        <w:rPr>
          <w:lang w:val="en-GB"/>
        </w:rPr>
      </w:pPr>
    </w:p>
    <w:p w14:paraId="33FD9034" w14:textId="77777777" w:rsidR="00252291" w:rsidRDefault="00252291" w:rsidP="00252291">
      <w:pPr>
        <w:rPr>
          <w:lang w:val="en-GB"/>
        </w:rPr>
      </w:pPr>
    </w:p>
    <w:p w14:paraId="740B0DC6" w14:textId="77777777" w:rsidR="00252291" w:rsidRDefault="00252291" w:rsidP="00252291">
      <w:pPr>
        <w:rPr>
          <w:lang w:val="en-GB"/>
        </w:rPr>
      </w:pPr>
    </w:p>
    <w:p w14:paraId="4470ECE1" w14:textId="77777777" w:rsidR="00252291" w:rsidRDefault="00252291" w:rsidP="00252291">
      <w:pPr>
        <w:rPr>
          <w:lang w:val="en-GB"/>
        </w:rPr>
      </w:pPr>
    </w:p>
    <w:p w14:paraId="14730D30" w14:textId="77777777" w:rsidR="00252291" w:rsidRDefault="00252291" w:rsidP="00252291">
      <w:pPr>
        <w:rPr>
          <w:lang w:val="en-GB"/>
        </w:rPr>
      </w:pPr>
    </w:p>
    <w:p w14:paraId="1AE1A122" w14:textId="77777777" w:rsidR="00252291" w:rsidRDefault="00252291" w:rsidP="00252291">
      <w:pPr>
        <w:rPr>
          <w:lang w:val="en-GB"/>
        </w:rPr>
      </w:pPr>
    </w:p>
    <w:p w14:paraId="668133E1" w14:textId="77777777" w:rsidR="00252291" w:rsidRPr="00252291" w:rsidRDefault="00252291" w:rsidP="00252291">
      <w:pPr>
        <w:rPr>
          <w:lang w:val="en-GB"/>
        </w:rPr>
      </w:pPr>
    </w:p>
    <w:p w14:paraId="709DC004" w14:textId="6EDC5C33" w:rsidR="00252291" w:rsidRPr="00252291" w:rsidRDefault="00661CD7" w:rsidP="00252291">
      <w:pPr>
        <w:pStyle w:val="Title"/>
        <w:jc w:val="center"/>
        <w:rPr>
          <w:color w:val="000000" w:themeColor="text1"/>
          <w:sz w:val="28"/>
          <w:szCs w:val="28"/>
          <w:lang w:val="en-GB"/>
        </w:rPr>
      </w:pPr>
      <w:r w:rsidRPr="005767AF">
        <w:rPr>
          <w:color w:val="000000" w:themeColor="text1"/>
          <w:sz w:val="28"/>
          <w:szCs w:val="28"/>
          <w:lang w:val="en-GB"/>
        </w:rPr>
        <w:t>Student Name-</w:t>
      </w:r>
      <w:r w:rsidR="00252291">
        <w:rPr>
          <w:color w:val="000000" w:themeColor="text1"/>
          <w:sz w:val="28"/>
          <w:szCs w:val="28"/>
          <w:lang w:val="en-GB"/>
        </w:rPr>
        <w:t xml:space="preserve"> Riddhi Patel</w:t>
      </w:r>
    </w:p>
    <w:p w14:paraId="0B307915" w14:textId="0E6D8D01" w:rsidR="00661CD7" w:rsidRPr="005767AF" w:rsidRDefault="00661CD7" w:rsidP="005767AF">
      <w:pPr>
        <w:pStyle w:val="Title"/>
        <w:jc w:val="center"/>
        <w:rPr>
          <w:color w:val="000000" w:themeColor="text1"/>
          <w:sz w:val="28"/>
          <w:szCs w:val="28"/>
          <w:lang w:val="en-GB"/>
        </w:rPr>
      </w:pPr>
      <w:r w:rsidRPr="005767AF">
        <w:rPr>
          <w:color w:val="000000" w:themeColor="text1"/>
          <w:sz w:val="28"/>
          <w:szCs w:val="28"/>
          <w:lang w:val="en-GB"/>
        </w:rPr>
        <w:t>Student ID-</w:t>
      </w:r>
      <w:r w:rsidR="00252291">
        <w:rPr>
          <w:color w:val="000000" w:themeColor="text1"/>
          <w:sz w:val="28"/>
          <w:szCs w:val="28"/>
          <w:lang w:val="en-GB"/>
        </w:rPr>
        <w:t xml:space="preserve"> 2506528</w:t>
      </w:r>
    </w:p>
    <w:p w14:paraId="5DA1CF3A" w14:textId="16DD7EF1" w:rsidR="00661CD7" w:rsidRPr="005767AF" w:rsidRDefault="00661CD7" w:rsidP="005767AF">
      <w:pPr>
        <w:pStyle w:val="Title"/>
        <w:jc w:val="center"/>
        <w:rPr>
          <w:color w:val="000000" w:themeColor="text1"/>
          <w:sz w:val="28"/>
          <w:szCs w:val="28"/>
          <w:lang w:val="en-GB"/>
        </w:rPr>
      </w:pPr>
      <w:r w:rsidRPr="005767AF">
        <w:rPr>
          <w:color w:val="000000" w:themeColor="text1"/>
          <w:sz w:val="28"/>
          <w:szCs w:val="28"/>
          <w:lang w:val="en-GB"/>
        </w:rPr>
        <w:t>Lecturer Name-</w:t>
      </w:r>
      <w:r w:rsidR="00252291">
        <w:rPr>
          <w:color w:val="000000" w:themeColor="text1"/>
          <w:sz w:val="28"/>
          <w:szCs w:val="28"/>
          <w:lang w:val="en-GB"/>
        </w:rPr>
        <w:t xml:space="preserve"> </w:t>
      </w:r>
      <w:r w:rsidR="00252291" w:rsidRPr="00252291">
        <w:rPr>
          <w:color w:val="000000" w:themeColor="text1"/>
          <w:sz w:val="28"/>
          <w:szCs w:val="28"/>
        </w:rPr>
        <w:t>Dr Fahad Khan</w:t>
      </w:r>
    </w:p>
    <w:p w14:paraId="124E8370" w14:textId="1C9C43A3" w:rsidR="00661CD7" w:rsidRPr="005767AF" w:rsidRDefault="00661CD7" w:rsidP="00252291">
      <w:pPr>
        <w:pStyle w:val="Title"/>
        <w:rPr>
          <w:color w:val="000000" w:themeColor="text1"/>
          <w:sz w:val="28"/>
          <w:szCs w:val="28"/>
          <w:lang w:val="en-GB"/>
        </w:rPr>
      </w:pPr>
    </w:p>
    <w:p w14:paraId="445F6580" w14:textId="77777777" w:rsidR="0027439F" w:rsidRPr="00D27FD3" w:rsidRDefault="0027439F" w:rsidP="00D27FD3">
      <w:pPr>
        <w:spacing w:before="240" w:after="240" w:line="360" w:lineRule="auto"/>
        <w:jc w:val="both"/>
        <w:rPr>
          <w:rFonts w:eastAsia="Times New Roman"/>
          <w:lang w:val="en-GB"/>
        </w:rPr>
      </w:pPr>
    </w:p>
    <w:p w14:paraId="1FB1FA9D" w14:textId="77777777" w:rsidR="00D55310" w:rsidRPr="00D27FD3" w:rsidRDefault="00D55310" w:rsidP="00D27FD3">
      <w:pPr>
        <w:spacing w:before="240" w:after="240" w:line="360" w:lineRule="auto"/>
        <w:jc w:val="both"/>
        <w:rPr>
          <w:rFonts w:eastAsia="Times New Roman"/>
          <w:b/>
          <w:bCs/>
          <w:lang w:val="en-GB"/>
        </w:rPr>
      </w:pPr>
      <w:r w:rsidRPr="00D27FD3">
        <w:rPr>
          <w:rFonts w:eastAsia="Times New Roman"/>
          <w:b/>
          <w:bCs/>
          <w:lang w:val="en-GB"/>
        </w:rPr>
        <w:br w:type="page"/>
      </w:r>
    </w:p>
    <w:sdt>
      <w:sdtPr>
        <w:rPr>
          <w:rFonts w:ascii="Arial" w:eastAsia="Arial" w:hAnsi="Arial" w:cs="Arial"/>
          <w:color w:val="auto"/>
          <w:sz w:val="22"/>
          <w:szCs w:val="22"/>
          <w:lang w:val="en-GB" w:eastAsia="en-IN"/>
        </w:rPr>
        <w:id w:val="-1117218535"/>
        <w:docPartObj>
          <w:docPartGallery w:val="Table of Contents"/>
          <w:docPartUnique/>
        </w:docPartObj>
      </w:sdtPr>
      <w:sdtEndPr>
        <w:rPr>
          <w:b/>
          <w:bCs/>
          <w:noProof/>
        </w:rPr>
      </w:sdtEndPr>
      <w:sdtContent>
        <w:p w14:paraId="6C4D51A9" w14:textId="16E1EBE3" w:rsidR="008B486E" w:rsidRPr="00237AC6" w:rsidRDefault="008B486E" w:rsidP="00D27FD3">
          <w:pPr>
            <w:pStyle w:val="TOCHeading"/>
            <w:spacing w:after="240" w:line="360" w:lineRule="auto"/>
            <w:jc w:val="both"/>
            <w:rPr>
              <w:rFonts w:ascii="Arial" w:hAnsi="Arial" w:cs="Arial"/>
              <w:b/>
              <w:bCs/>
              <w:color w:val="auto"/>
              <w:sz w:val="22"/>
              <w:szCs w:val="22"/>
              <w:lang w:val="en-GB"/>
            </w:rPr>
          </w:pPr>
          <w:r w:rsidRPr="00237AC6">
            <w:rPr>
              <w:rFonts w:ascii="Arial" w:hAnsi="Arial" w:cs="Arial"/>
              <w:b/>
              <w:bCs/>
              <w:color w:val="auto"/>
              <w:sz w:val="22"/>
              <w:szCs w:val="22"/>
              <w:lang w:val="en-GB"/>
            </w:rPr>
            <w:t>Table of Contents</w:t>
          </w:r>
        </w:p>
        <w:p w14:paraId="43DB754D" w14:textId="3B6A2612" w:rsidR="00252291" w:rsidRPr="00237AC6" w:rsidRDefault="008B486E">
          <w:pPr>
            <w:pStyle w:val="TOC1"/>
            <w:tabs>
              <w:tab w:val="right" w:leader="dot" w:pos="9350"/>
            </w:tabs>
            <w:rPr>
              <w:rFonts w:eastAsiaTheme="minorEastAsia"/>
              <w:noProof/>
              <w:kern w:val="2"/>
              <w:sz w:val="24"/>
              <w:szCs w:val="24"/>
              <w:lang w:val="en-IN"/>
              <w14:ligatures w14:val="standardContextual"/>
            </w:rPr>
          </w:pPr>
          <w:r w:rsidRPr="00237AC6">
            <w:rPr>
              <w:lang w:val="en-GB"/>
            </w:rPr>
            <w:fldChar w:fldCharType="begin"/>
          </w:r>
          <w:r w:rsidRPr="00237AC6">
            <w:rPr>
              <w:lang w:val="en-GB"/>
            </w:rPr>
            <w:instrText xml:space="preserve"> TOC \o "1-3" \h \z \u </w:instrText>
          </w:r>
          <w:r w:rsidRPr="00237AC6">
            <w:rPr>
              <w:lang w:val="en-GB"/>
            </w:rPr>
            <w:fldChar w:fldCharType="separate"/>
          </w:r>
          <w:hyperlink w:anchor="_Toc225529205" w:history="1">
            <w:r w:rsidR="00252291" w:rsidRPr="00237AC6">
              <w:rPr>
                <w:rStyle w:val="Hyperlink"/>
                <w:noProof/>
                <w:lang w:val="en-GB"/>
              </w:rPr>
              <w:t>1. Introduction</w:t>
            </w:r>
            <w:r w:rsidR="00252291" w:rsidRPr="00237AC6">
              <w:rPr>
                <w:noProof/>
                <w:webHidden/>
              </w:rPr>
              <w:tab/>
            </w:r>
            <w:r w:rsidR="00252291" w:rsidRPr="00237AC6">
              <w:rPr>
                <w:noProof/>
                <w:webHidden/>
              </w:rPr>
              <w:fldChar w:fldCharType="begin"/>
            </w:r>
            <w:r w:rsidR="00252291" w:rsidRPr="00237AC6">
              <w:rPr>
                <w:noProof/>
                <w:webHidden/>
              </w:rPr>
              <w:instrText xml:space="preserve"> PAGEREF _Toc225529205 \h </w:instrText>
            </w:r>
            <w:r w:rsidR="00252291" w:rsidRPr="00237AC6">
              <w:rPr>
                <w:noProof/>
                <w:webHidden/>
              </w:rPr>
            </w:r>
            <w:r w:rsidR="00252291" w:rsidRPr="00237AC6">
              <w:rPr>
                <w:noProof/>
                <w:webHidden/>
              </w:rPr>
              <w:fldChar w:fldCharType="separate"/>
            </w:r>
            <w:r w:rsidR="00252291" w:rsidRPr="00237AC6">
              <w:rPr>
                <w:noProof/>
                <w:webHidden/>
              </w:rPr>
              <w:t>3</w:t>
            </w:r>
            <w:r w:rsidR="00252291" w:rsidRPr="00237AC6">
              <w:rPr>
                <w:noProof/>
                <w:webHidden/>
              </w:rPr>
              <w:fldChar w:fldCharType="end"/>
            </w:r>
          </w:hyperlink>
        </w:p>
        <w:p w14:paraId="552FE4E3" w14:textId="1D2B7895" w:rsidR="00252291" w:rsidRPr="00237AC6" w:rsidRDefault="00252291">
          <w:pPr>
            <w:pStyle w:val="TOC1"/>
            <w:tabs>
              <w:tab w:val="right" w:leader="dot" w:pos="9350"/>
            </w:tabs>
            <w:rPr>
              <w:rFonts w:eastAsiaTheme="minorEastAsia"/>
              <w:noProof/>
              <w:kern w:val="2"/>
              <w:sz w:val="24"/>
              <w:szCs w:val="24"/>
              <w:lang w:val="en-IN"/>
              <w14:ligatures w14:val="standardContextual"/>
            </w:rPr>
          </w:pPr>
          <w:hyperlink w:anchor="_Toc225529206" w:history="1">
            <w:r w:rsidRPr="00237AC6">
              <w:rPr>
                <w:rStyle w:val="Hyperlink"/>
                <w:noProof/>
                <w:lang w:val="en-GB"/>
              </w:rPr>
              <w:t>2. Main Body</w:t>
            </w:r>
            <w:r w:rsidRPr="00237AC6">
              <w:rPr>
                <w:noProof/>
                <w:webHidden/>
              </w:rPr>
              <w:tab/>
            </w:r>
            <w:r w:rsidRPr="00237AC6">
              <w:rPr>
                <w:noProof/>
                <w:webHidden/>
              </w:rPr>
              <w:fldChar w:fldCharType="begin"/>
            </w:r>
            <w:r w:rsidRPr="00237AC6">
              <w:rPr>
                <w:noProof/>
                <w:webHidden/>
              </w:rPr>
              <w:instrText xml:space="preserve"> PAGEREF _Toc225529206 \h </w:instrText>
            </w:r>
            <w:r w:rsidRPr="00237AC6">
              <w:rPr>
                <w:noProof/>
                <w:webHidden/>
              </w:rPr>
            </w:r>
            <w:r w:rsidRPr="00237AC6">
              <w:rPr>
                <w:noProof/>
                <w:webHidden/>
              </w:rPr>
              <w:fldChar w:fldCharType="separate"/>
            </w:r>
            <w:r w:rsidRPr="00237AC6">
              <w:rPr>
                <w:noProof/>
                <w:webHidden/>
              </w:rPr>
              <w:t>4</w:t>
            </w:r>
            <w:r w:rsidRPr="00237AC6">
              <w:rPr>
                <w:noProof/>
                <w:webHidden/>
              </w:rPr>
              <w:fldChar w:fldCharType="end"/>
            </w:r>
          </w:hyperlink>
        </w:p>
        <w:p w14:paraId="296CB11B" w14:textId="3421A6A2" w:rsidR="00252291" w:rsidRPr="00237AC6" w:rsidRDefault="00252291">
          <w:pPr>
            <w:pStyle w:val="TOC2"/>
            <w:tabs>
              <w:tab w:val="right" w:leader="dot" w:pos="9350"/>
            </w:tabs>
            <w:rPr>
              <w:rFonts w:eastAsiaTheme="minorEastAsia"/>
              <w:noProof/>
              <w:kern w:val="2"/>
              <w:sz w:val="24"/>
              <w:szCs w:val="24"/>
              <w:lang w:val="en-IN"/>
              <w14:ligatures w14:val="standardContextual"/>
            </w:rPr>
          </w:pPr>
          <w:hyperlink w:anchor="_Toc225529207" w:history="1">
            <w:r w:rsidRPr="00237AC6">
              <w:rPr>
                <w:rStyle w:val="Hyperlink"/>
                <w:noProof/>
                <w:lang w:val="en-GB"/>
              </w:rPr>
              <w:t>2.1 Donabedian Model</w:t>
            </w:r>
            <w:r w:rsidRPr="00237AC6">
              <w:rPr>
                <w:noProof/>
                <w:webHidden/>
              </w:rPr>
              <w:tab/>
            </w:r>
            <w:r w:rsidRPr="00237AC6">
              <w:rPr>
                <w:noProof/>
                <w:webHidden/>
              </w:rPr>
              <w:fldChar w:fldCharType="begin"/>
            </w:r>
            <w:r w:rsidRPr="00237AC6">
              <w:rPr>
                <w:noProof/>
                <w:webHidden/>
              </w:rPr>
              <w:instrText xml:space="preserve"> PAGEREF _Toc225529207 \h </w:instrText>
            </w:r>
            <w:r w:rsidRPr="00237AC6">
              <w:rPr>
                <w:noProof/>
                <w:webHidden/>
              </w:rPr>
            </w:r>
            <w:r w:rsidRPr="00237AC6">
              <w:rPr>
                <w:noProof/>
                <w:webHidden/>
              </w:rPr>
              <w:fldChar w:fldCharType="separate"/>
            </w:r>
            <w:r w:rsidRPr="00237AC6">
              <w:rPr>
                <w:noProof/>
                <w:webHidden/>
              </w:rPr>
              <w:t>4</w:t>
            </w:r>
            <w:r w:rsidRPr="00237AC6">
              <w:rPr>
                <w:noProof/>
                <w:webHidden/>
              </w:rPr>
              <w:fldChar w:fldCharType="end"/>
            </w:r>
          </w:hyperlink>
        </w:p>
        <w:p w14:paraId="49D32E14" w14:textId="175530E5" w:rsidR="00252291" w:rsidRPr="00237AC6" w:rsidRDefault="00252291">
          <w:pPr>
            <w:pStyle w:val="TOC2"/>
            <w:tabs>
              <w:tab w:val="right" w:leader="dot" w:pos="9350"/>
            </w:tabs>
            <w:rPr>
              <w:rFonts w:eastAsiaTheme="minorEastAsia"/>
              <w:noProof/>
              <w:kern w:val="2"/>
              <w:sz w:val="24"/>
              <w:szCs w:val="24"/>
              <w:lang w:val="en-IN"/>
              <w14:ligatures w14:val="standardContextual"/>
            </w:rPr>
          </w:pPr>
          <w:hyperlink w:anchor="_Toc225529208" w:history="1">
            <w:r w:rsidRPr="00237AC6">
              <w:rPr>
                <w:rStyle w:val="Hyperlink"/>
                <w:noProof/>
                <w:lang w:val="en-GB"/>
              </w:rPr>
              <w:t>2.2 Fishbone Diagram</w:t>
            </w:r>
            <w:r w:rsidRPr="00237AC6">
              <w:rPr>
                <w:noProof/>
                <w:webHidden/>
              </w:rPr>
              <w:tab/>
            </w:r>
            <w:r w:rsidRPr="00237AC6">
              <w:rPr>
                <w:noProof/>
                <w:webHidden/>
              </w:rPr>
              <w:fldChar w:fldCharType="begin"/>
            </w:r>
            <w:r w:rsidRPr="00237AC6">
              <w:rPr>
                <w:noProof/>
                <w:webHidden/>
              </w:rPr>
              <w:instrText xml:space="preserve"> PAGEREF _Toc225529208 \h </w:instrText>
            </w:r>
            <w:r w:rsidRPr="00237AC6">
              <w:rPr>
                <w:noProof/>
                <w:webHidden/>
              </w:rPr>
            </w:r>
            <w:r w:rsidRPr="00237AC6">
              <w:rPr>
                <w:noProof/>
                <w:webHidden/>
              </w:rPr>
              <w:fldChar w:fldCharType="separate"/>
            </w:r>
            <w:r w:rsidRPr="00237AC6">
              <w:rPr>
                <w:noProof/>
                <w:webHidden/>
              </w:rPr>
              <w:t>5</w:t>
            </w:r>
            <w:r w:rsidRPr="00237AC6">
              <w:rPr>
                <w:noProof/>
                <w:webHidden/>
              </w:rPr>
              <w:fldChar w:fldCharType="end"/>
            </w:r>
          </w:hyperlink>
        </w:p>
        <w:p w14:paraId="459B83DE" w14:textId="7C1A164F" w:rsidR="00252291" w:rsidRPr="00237AC6" w:rsidRDefault="00252291">
          <w:pPr>
            <w:pStyle w:val="TOC2"/>
            <w:tabs>
              <w:tab w:val="right" w:leader="dot" w:pos="9350"/>
            </w:tabs>
            <w:rPr>
              <w:rFonts w:eastAsiaTheme="minorEastAsia"/>
              <w:noProof/>
              <w:kern w:val="2"/>
              <w:sz w:val="24"/>
              <w:szCs w:val="24"/>
              <w:lang w:val="en-IN"/>
              <w14:ligatures w14:val="standardContextual"/>
            </w:rPr>
          </w:pPr>
          <w:hyperlink w:anchor="_Toc225529209" w:history="1">
            <w:r w:rsidRPr="00237AC6">
              <w:rPr>
                <w:rStyle w:val="Hyperlink"/>
                <w:noProof/>
                <w:lang w:val="en-GB"/>
              </w:rPr>
              <w:t>2.3 SWOT Analysis</w:t>
            </w:r>
            <w:r w:rsidRPr="00237AC6">
              <w:rPr>
                <w:noProof/>
                <w:webHidden/>
              </w:rPr>
              <w:tab/>
            </w:r>
            <w:r w:rsidRPr="00237AC6">
              <w:rPr>
                <w:noProof/>
                <w:webHidden/>
              </w:rPr>
              <w:fldChar w:fldCharType="begin"/>
            </w:r>
            <w:r w:rsidRPr="00237AC6">
              <w:rPr>
                <w:noProof/>
                <w:webHidden/>
              </w:rPr>
              <w:instrText xml:space="preserve"> PAGEREF _Toc225529209 \h </w:instrText>
            </w:r>
            <w:r w:rsidRPr="00237AC6">
              <w:rPr>
                <w:noProof/>
                <w:webHidden/>
              </w:rPr>
            </w:r>
            <w:r w:rsidRPr="00237AC6">
              <w:rPr>
                <w:noProof/>
                <w:webHidden/>
              </w:rPr>
              <w:fldChar w:fldCharType="separate"/>
            </w:r>
            <w:r w:rsidRPr="00237AC6">
              <w:rPr>
                <w:noProof/>
                <w:webHidden/>
              </w:rPr>
              <w:t>7</w:t>
            </w:r>
            <w:r w:rsidRPr="00237AC6">
              <w:rPr>
                <w:noProof/>
                <w:webHidden/>
              </w:rPr>
              <w:fldChar w:fldCharType="end"/>
            </w:r>
          </w:hyperlink>
        </w:p>
        <w:p w14:paraId="7A1EA3E0" w14:textId="3C59DA34" w:rsidR="00252291" w:rsidRPr="00237AC6" w:rsidRDefault="00252291">
          <w:pPr>
            <w:pStyle w:val="TOC2"/>
            <w:tabs>
              <w:tab w:val="right" w:leader="dot" w:pos="9350"/>
            </w:tabs>
            <w:rPr>
              <w:rFonts w:eastAsiaTheme="minorEastAsia"/>
              <w:noProof/>
              <w:kern w:val="2"/>
              <w:sz w:val="24"/>
              <w:szCs w:val="24"/>
              <w:lang w:val="en-IN"/>
              <w14:ligatures w14:val="standardContextual"/>
            </w:rPr>
          </w:pPr>
          <w:hyperlink w:anchor="_Toc225529210" w:history="1">
            <w:r w:rsidRPr="00237AC6">
              <w:rPr>
                <w:rStyle w:val="Hyperlink"/>
                <w:noProof/>
                <w:lang w:val="en-GB"/>
              </w:rPr>
              <w:t>2.4 PDSA Model</w:t>
            </w:r>
            <w:r w:rsidRPr="00237AC6">
              <w:rPr>
                <w:noProof/>
                <w:webHidden/>
              </w:rPr>
              <w:tab/>
            </w:r>
            <w:r w:rsidRPr="00237AC6">
              <w:rPr>
                <w:noProof/>
                <w:webHidden/>
              </w:rPr>
              <w:fldChar w:fldCharType="begin"/>
            </w:r>
            <w:r w:rsidRPr="00237AC6">
              <w:rPr>
                <w:noProof/>
                <w:webHidden/>
              </w:rPr>
              <w:instrText xml:space="preserve"> PAGEREF _Toc225529210 \h </w:instrText>
            </w:r>
            <w:r w:rsidRPr="00237AC6">
              <w:rPr>
                <w:noProof/>
                <w:webHidden/>
              </w:rPr>
            </w:r>
            <w:r w:rsidRPr="00237AC6">
              <w:rPr>
                <w:noProof/>
                <w:webHidden/>
              </w:rPr>
              <w:fldChar w:fldCharType="separate"/>
            </w:r>
            <w:r w:rsidRPr="00237AC6">
              <w:rPr>
                <w:noProof/>
                <w:webHidden/>
              </w:rPr>
              <w:t>8</w:t>
            </w:r>
            <w:r w:rsidRPr="00237AC6">
              <w:rPr>
                <w:noProof/>
                <w:webHidden/>
              </w:rPr>
              <w:fldChar w:fldCharType="end"/>
            </w:r>
          </w:hyperlink>
        </w:p>
        <w:p w14:paraId="0481CC7A" w14:textId="6189E994" w:rsidR="00252291" w:rsidRPr="00237AC6" w:rsidRDefault="00252291">
          <w:pPr>
            <w:pStyle w:val="TOC2"/>
            <w:tabs>
              <w:tab w:val="right" w:leader="dot" w:pos="9350"/>
            </w:tabs>
            <w:rPr>
              <w:rFonts w:eastAsiaTheme="minorEastAsia"/>
              <w:noProof/>
              <w:kern w:val="2"/>
              <w:sz w:val="24"/>
              <w:szCs w:val="24"/>
              <w:lang w:val="en-IN"/>
              <w14:ligatures w14:val="standardContextual"/>
            </w:rPr>
          </w:pPr>
          <w:hyperlink w:anchor="_Toc225529211" w:history="1">
            <w:r w:rsidRPr="00237AC6">
              <w:rPr>
                <w:rStyle w:val="Hyperlink"/>
                <w:noProof/>
                <w:lang w:val="en-GB"/>
              </w:rPr>
              <w:t>2.5 Kotter’s change model</w:t>
            </w:r>
            <w:r w:rsidRPr="00237AC6">
              <w:rPr>
                <w:noProof/>
                <w:webHidden/>
              </w:rPr>
              <w:tab/>
            </w:r>
            <w:r w:rsidRPr="00237AC6">
              <w:rPr>
                <w:noProof/>
                <w:webHidden/>
              </w:rPr>
              <w:fldChar w:fldCharType="begin"/>
            </w:r>
            <w:r w:rsidRPr="00237AC6">
              <w:rPr>
                <w:noProof/>
                <w:webHidden/>
              </w:rPr>
              <w:instrText xml:space="preserve"> PAGEREF _Toc225529211 \h </w:instrText>
            </w:r>
            <w:r w:rsidRPr="00237AC6">
              <w:rPr>
                <w:noProof/>
                <w:webHidden/>
              </w:rPr>
            </w:r>
            <w:r w:rsidRPr="00237AC6">
              <w:rPr>
                <w:noProof/>
                <w:webHidden/>
              </w:rPr>
              <w:fldChar w:fldCharType="separate"/>
            </w:r>
            <w:r w:rsidRPr="00237AC6">
              <w:rPr>
                <w:noProof/>
                <w:webHidden/>
              </w:rPr>
              <w:t>9</w:t>
            </w:r>
            <w:r w:rsidRPr="00237AC6">
              <w:rPr>
                <w:noProof/>
                <w:webHidden/>
              </w:rPr>
              <w:fldChar w:fldCharType="end"/>
            </w:r>
          </w:hyperlink>
        </w:p>
        <w:p w14:paraId="028E20CB" w14:textId="6731A81C" w:rsidR="00252291" w:rsidRPr="00237AC6" w:rsidRDefault="00252291">
          <w:pPr>
            <w:pStyle w:val="TOC1"/>
            <w:tabs>
              <w:tab w:val="right" w:leader="dot" w:pos="9350"/>
            </w:tabs>
            <w:rPr>
              <w:rFonts w:eastAsiaTheme="minorEastAsia"/>
              <w:noProof/>
              <w:kern w:val="2"/>
              <w:sz w:val="24"/>
              <w:szCs w:val="24"/>
              <w:lang w:val="en-IN"/>
              <w14:ligatures w14:val="standardContextual"/>
            </w:rPr>
          </w:pPr>
          <w:hyperlink w:anchor="_Toc225529212" w:history="1">
            <w:r w:rsidRPr="00237AC6">
              <w:rPr>
                <w:rStyle w:val="Hyperlink"/>
                <w:noProof/>
                <w:lang w:val="en-GB"/>
              </w:rPr>
              <w:t>3. Recommendations</w:t>
            </w:r>
            <w:r w:rsidRPr="00237AC6">
              <w:rPr>
                <w:noProof/>
                <w:webHidden/>
              </w:rPr>
              <w:tab/>
            </w:r>
            <w:r w:rsidRPr="00237AC6">
              <w:rPr>
                <w:noProof/>
                <w:webHidden/>
              </w:rPr>
              <w:fldChar w:fldCharType="begin"/>
            </w:r>
            <w:r w:rsidRPr="00237AC6">
              <w:rPr>
                <w:noProof/>
                <w:webHidden/>
              </w:rPr>
              <w:instrText xml:space="preserve"> PAGEREF _Toc225529212 \h </w:instrText>
            </w:r>
            <w:r w:rsidRPr="00237AC6">
              <w:rPr>
                <w:noProof/>
                <w:webHidden/>
              </w:rPr>
            </w:r>
            <w:r w:rsidRPr="00237AC6">
              <w:rPr>
                <w:noProof/>
                <w:webHidden/>
              </w:rPr>
              <w:fldChar w:fldCharType="separate"/>
            </w:r>
            <w:r w:rsidRPr="00237AC6">
              <w:rPr>
                <w:noProof/>
                <w:webHidden/>
              </w:rPr>
              <w:t>10</w:t>
            </w:r>
            <w:r w:rsidRPr="00237AC6">
              <w:rPr>
                <w:noProof/>
                <w:webHidden/>
              </w:rPr>
              <w:fldChar w:fldCharType="end"/>
            </w:r>
          </w:hyperlink>
        </w:p>
        <w:p w14:paraId="218CAF44" w14:textId="7F98796D" w:rsidR="00252291" w:rsidRPr="00237AC6" w:rsidRDefault="00252291">
          <w:pPr>
            <w:pStyle w:val="TOC1"/>
            <w:tabs>
              <w:tab w:val="right" w:leader="dot" w:pos="9350"/>
            </w:tabs>
            <w:rPr>
              <w:rFonts w:eastAsiaTheme="minorEastAsia"/>
              <w:noProof/>
              <w:kern w:val="2"/>
              <w:sz w:val="24"/>
              <w:szCs w:val="24"/>
              <w:lang w:val="en-IN"/>
              <w14:ligatures w14:val="standardContextual"/>
            </w:rPr>
          </w:pPr>
          <w:hyperlink w:anchor="_Toc225529213" w:history="1">
            <w:r w:rsidRPr="00237AC6">
              <w:rPr>
                <w:rStyle w:val="Hyperlink"/>
                <w:noProof/>
                <w:lang w:val="en-GB"/>
              </w:rPr>
              <w:t>4. Conclusion</w:t>
            </w:r>
            <w:r w:rsidRPr="00237AC6">
              <w:rPr>
                <w:noProof/>
                <w:webHidden/>
              </w:rPr>
              <w:tab/>
            </w:r>
            <w:r w:rsidRPr="00237AC6">
              <w:rPr>
                <w:noProof/>
                <w:webHidden/>
              </w:rPr>
              <w:fldChar w:fldCharType="begin"/>
            </w:r>
            <w:r w:rsidRPr="00237AC6">
              <w:rPr>
                <w:noProof/>
                <w:webHidden/>
              </w:rPr>
              <w:instrText xml:space="preserve"> PAGEREF _Toc225529213 \h </w:instrText>
            </w:r>
            <w:r w:rsidRPr="00237AC6">
              <w:rPr>
                <w:noProof/>
                <w:webHidden/>
              </w:rPr>
            </w:r>
            <w:r w:rsidRPr="00237AC6">
              <w:rPr>
                <w:noProof/>
                <w:webHidden/>
              </w:rPr>
              <w:fldChar w:fldCharType="separate"/>
            </w:r>
            <w:r w:rsidRPr="00237AC6">
              <w:rPr>
                <w:noProof/>
                <w:webHidden/>
              </w:rPr>
              <w:t>13</w:t>
            </w:r>
            <w:r w:rsidRPr="00237AC6">
              <w:rPr>
                <w:noProof/>
                <w:webHidden/>
              </w:rPr>
              <w:fldChar w:fldCharType="end"/>
            </w:r>
          </w:hyperlink>
        </w:p>
        <w:p w14:paraId="2D2C7AEE" w14:textId="53920DD8" w:rsidR="00252291" w:rsidRPr="00237AC6" w:rsidRDefault="00252291">
          <w:pPr>
            <w:pStyle w:val="TOC1"/>
            <w:tabs>
              <w:tab w:val="right" w:leader="dot" w:pos="9350"/>
            </w:tabs>
            <w:rPr>
              <w:rFonts w:eastAsiaTheme="minorEastAsia"/>
              <w:noProof/>
              <w:kern w:val="2"/>
              <w:sz w:val="24"/>
              <w:szCs w:val="24"/>
              <w:lang w:val="en-IN"/>
              <w14:ligatures w14:val="standardContextual"/>
            </w:rPr>
          </w:pPr>
          <w:hyperlink w:anchor="_Toc225529214" w:history="1">
            <w:r w:rsidRPr="00237AC6">
              <w:rPr>
                <w:rStyle w:val="Hyperlink"/>
                <w:noProof/>
                <w:lang w:val="en-GB"/>
              </w:rPr>
              <w:t>References</w:t>
            </w:r>
            <w:r w:rsidRPr="00237AC6">
              <w:rPr>
                <w:noProof/>
                <w:webHidden/>
              </w:rPr>
              <w:tab/>
            </w:r>
            <w:r w:rsidRPr="00237AC6">
              <w:rPr>
                <w:noProof/>
                <w:webHidden/>
              </w:rPr>
              <w:fldChar w:fldCharType="begin"/>
            </w:r>
            <w:r w:rsidRPr="00237AC6">
              <w:rPr>
                <w:noProof/>
                <w:webHidden/>
              </w:rPr>
              <w:instrText xml:space="preserve"> PAGEREF _Toc225529214 \h </w:instrText>
            </w:r>
            <w:r w:rsidRPr="00237AC6">
              <w:rPr>
                <w:noProof/>
                <w:webHidden/>
              </w:rPr>
            </w:r>
            <w:r w:rsidRPr="00237AC6">
              <w:rPr>
                <w:noProof/>
                <w:webHidden/>
              </w:rPr>
              <w:fldChar w:fldCharType="separate"/>
            </w:r>
            <w:r w:rsidRPr="00237AC6">
              <w:rPr>
                <w:noProof/>
                <w:webHidden/>
              </w:rPr>
              <w:t>14</w:t>
            </w:r>
            <w:r w:rsidRPr="00237AC6">
              <w:rPr>
                <w:noProof/>
                <w:webHidden/>
              </w:rPr>
              <w:fldChar w:fldCharType="end"/>
            </w:r>
          </w:hyperlink>
        </w:p>
        <w:p w14:paraId="6D42AE16" w14:textId="1E74C1EC" w:rsidR="008B486E" w:rsidRPr="00237AC6" w:rsidRDefault="008B486E" w:rsidP="00D27FD3">
          <w:pPr>
            <w:spacing w:before="240" w:after="240" w:line="360" w:lineRule="auto"/>
            <w:jc w:val="both"/>
            <w:rPr>
              <w:lang w:val="en-GB"/>
            </w:rPr>
          </w:pPr>
          <w:r w:rsidRPr="00237AC6">
            <w:rPr>
              <w:b/>
              <w:bCs/>
              <w:noProof/>
              <w:lang w:val="en-GB"/>
            </w:rPr>
            <w:fldChar w:fldCharType="end"/>
          </w:r>
        </w:p>
      </w:sdtContent>
    </w:sdt>
    <w:p w14:paraId="25F5921C" w14:textId="77777777" w:rsidR="00D55310" w:rsidRPr="00237AC6" w:rsidRDefault="00D55310" w:rsidP="00D27FD3">
      <w:pPr>
        <w:spacing w:before="240" w:after="240" w:line="360" w:lineRule="auto"/>
        <w:jc w:val="both"/>
        <w:rPr>
          <w:rFonts w:eastAsia="Times New Roman"/>
          <w:b/>
          <w:bCs/>
          <w:lang w:val="en-GB"/>
        </w:rPr>
      </w:pPr>
      <w:r w:rsidRPr="00237AC6">
        <w:rPr>
          <w:rFonts w:eastAsia="Times New Roman"/>
          <w:b/>
          <w:bCs/>
          <w:lang w:val="en-GB"/>
        </w:rPr>
        <w:br w:type="page"/>
      </w:r>
    </w:p>
    <w:p w14:paraId="1AC5C63B" w14:textId="09E80ADE" w:rsidR="0027439F" w:rsidRPr="00237AC6" w:rsidRDefault="00C04963" w:rsidP="00D27FD3">
      <w:pPr>
        <w:pStyle w:val="Heading1"/>
        <w:spacing w:before="240" w:after="240"/>
        <w:rPr>
          <w:color w:val="000000" w:themeColor="text1"/>
          <w:sz w:val="22"/>
          <w:szCs w:val="22"/>
          <w:lang w:val="en-GB"/>
        </w:rPr>
      </w:pPr>
      <w:bookmarkStart w:id="0" w:name="_Toc225529205"/>
      <w:r w:rsidRPr="00237AC6">
        <w:rPr>
          <w:color w:val="000000" w:themeColor="text1"/>
          <w:sz w:val="22"/>
          <w:szCs w:val="22"/>
          <w:lang w:val="en-GB"/>
        </w:rPr>
        <w:lastRenderedPageBreak/>
        <w:t>1. Introduction</w:t>
      </w:r>
      <w:bookmarkEnd w:id="0"/>
      <w:r w:rsidRPr="00237AC6">
        <w:rPr>
          <w:color w:val="000000" w:themeColor="text1"/>
          <w:sz w:val="22"/>
          <w:szCs w:val="22"/>
          <w:lang w:val="en-GB"/>
        </w:rPr>
        <w:t xml:space="preserve"> </w:t>
      </w:r>
    </w:p>
    <w:p w14:paraId="30527A09"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basic elements of quality healthcare that are essential in the provision of effective healthcare systems are quality assurance and service improvement that guarantee that patients are provided with safe, efficient and quality healthcare services. In health and social care organisations, systematic governance systems, ongoing surveillance and evidence-based system enhancement plans are fundamental to sustaining patient safety and preventing system failures (Madine </w:t>
      </w:r>
      <w:r w:rsidRPr="00237AC6">
        <w:rPr>
          <w:rFonts w:eastAsia="Times New Roman"/>
          <w:i/>
          <w:iCs/>
          <w:color w:val="000000" w:themeColor="text1"/>
          <w:lang w:val="en-GB"/>
        </w:rPr>
        <w:t>et al</w:t>
      </w:r>
      <w:r w:rsidRPr="00237AC6">
        <w:rPr>
          <w:rFonts w:eastAsia="Times New Roman"/>
          <w:color w:val="000000" w:themeColor="text1"/>
          <w:lang w:val="en-GB"/>
        </w:rPr>
        <w:t>. 2025). However, in case of the failure of these mechanisms, the possible outcomes can be serious, resulting in the deterioration of the quality of care and poor patient outcomes. The case of the greatest healthcare quality failure in the United Kingdom took place at the Mid Staffordshire NHS Foundation Trust between 2005 and 2009 (Triggle, 2013). The scandal that was uncovered showed a large-scale neglect of the patients, insufficient standards of hygiene, inappropriate staffing, and a grave failure in clinical governance and leadership.</w:t>
      </w:r>
    </w:p>
    <w:p w14:paraId="0CDA68C7" w14:textId="77777777" w:rsidR="000D2F2B"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patients at this time had an unacceptable level of care, such as long waiting hours to be taken care of, the absence of fundamental care, and neglect of their hygiene and nutrition (Francis, 2013). These failures were enhanced by organisational aspects focusing on financial goals and the attainment of foundation trust status instead of patient safety and quality care. Moreover, poor complaint management systems implied that the issues that were raised by patients, families, and the healthcare staff were often disregarded or discounted. In this regard, it significantly led to unsafe practices being practised over a long time. </w:t>
      </w:r>
    </w:p>
    <w:p w14:paraId="67207260" w14:textId="4B6248A6"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case thus pointed to significant flaws in the governance system, staffing, responsibility systems, and regulation in the healthcare system.</w:t>
      </w:r>
      <w:r w:rsidR="000D2F2B" w:rsidRPr="00237AC6">
        <w:rPr>
          <w:color w:val="000000" w:themeColor="text1"/>
          <w:lang w:val="en-GB"/>
        </w:rPr>
        <w:t xml:space="preserve"> </w:t>
      </w:r>
      <w:r w:rsidR="000D2F2B" w:rsidRPr="00237AC6">
        <w:rPr>
          <w:rFonts w:eastAsia="Times New Roman"/>
          <w:color w:val="000000" w:themeColor="text1"/>
          <w:lang w:val="en-GB"/>
        </w:rPr>
        <w:t>The Mid Staffordshire incident was not an isolated episode within the NHS, despite being one of the worst healthcare failures in the United Kingdom. Similar systemic problems have been seen in other incidents, such as the contaminated blood controversy and the Morecambe Bay maternity crisis, which both exposed poor communication, organisational cultures that discouraged whistleblowers, and governance shortcomings. These persistent failures demonstrate that the issues at Mid Staffordshire stemmed from both local administration and more general structural flaws in the NHS, including regulatory loopholes and target-driven organisational cultures.</w:t>
      </w:r>
    </w:p>
    <w:p w14:paraId="1971A4C0" w14:textId="77777777" w:rsidR="00DE2C8E"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This report is a critical review of quality failures in the Mid Staffordshire case through the application of a number of well-established healthcare quality improvement frameworks. To analyse structural, process, and outcome-related failures, the Donabedian Model will be used. </w:t>
      </w:r>
      <w:r w:rsidRPr="00237AC6">
        <w:rPr>
          <w:rFonts w:eastAsia="Times New Roman"/>
          <w:color w:val="000000" w:themeColor="text1"/>
          <w:lang w:val="en-GB"/>
        </w:rPr>
        <w:lastRenderedPageBreak/>
        <w:t>The Fishbone Diagram will also be used to explore root causes, and the strategic organisational factors will be assessed through a SWOT Analysis. Besides, the PDSA Cycle and Change Model by Kotter will be used to discuss improvement strategies. Effectively employing these analytical methods, the report is expected to find the root causes of the failure and provide feasible recommendations to address the problem of healthcare quality, empower the governance system, and promote patient safety in health and social care organisations</w:t>
      </w:r>
      <w:r w:rsidR="00DE2C8E" w:rsidRPr="00237AC6">
        <w:rPr>
          <w:rFonts w:eastAsia="Times New Roman"/>
          <w:color w:val="000000" w:themeColor="text1"/>
          <w:lang w:val="en-GB"/>
        </w:rPr>
        <w:t>.</w:t>
      </w:r>
    </w:p>
    <w:p w14:paraId="62D0B52C" w14:textId="37CA1428" w:rsidR="0027439F" w:rsidRPr="00237AC6" w:rsidRDefault="00C04963" w:rsidP="00D27FD3">
      <w:pPr>
        <w:pStyle w:val="Heading1"/>
        <w:spacing w:before="240" w:after="240"/>
        <w:rPr>
          <w:color w:val="000000" w:themeColor="text1"/>
          <w:sz w:val="22"/>
          <w:szCs w:val="22"/>
          <w:lang w:val="en-GB"/>
        </w:rPr>
      </w:pPr>
      <w:bookmarkStart w:id="1" w:name="_Toc225529206"/>
      <w:r w:rsidRPr="00237AC6">
        <w:rPr>
          <w:color w:val="000000" w:themeColor="text1"/>
          <w:sz w:val="22"/>
          <w:szCs w:val="22"/>
          <w:lang w:val="en-GB"/>
        </w:rPr>
        <w:t>2. Main Body</w:t>
      </w:r>
      <w:bookmarkEnd w:id="1"/>
      <w:r w:rsidRPr="00237AC6">
        <w:rPr>
          <w:color w:val="000000" w:themeColor="text1"/>
          <w:sz w:val="22"/>
          <w:szCs w:val="22"/>
          <w:lang w:val="en-GB"/>
        </w:rPr>
        <w:t xml:space="preserve"> </w:t>
      </w:r>
    </w:p>
    <w:p w14:paraId="7BC35330" w14:textId="77777777" w:rsidR="0027439F" w:rsidRPr="00237AC6" w:rsidRDefault="00C04963" w:rsidP="00D27FD3">
      <w:pPr>
        <w:pStyle w:val="Heading2"/>
        <w:spacing w:before="240" w:after="240"/>
        <w:rPr>
          <w:color w:val="000000" w:themeColor="text1"/>
          <w:lang w:val="en-GB"/>
        </w:rPr>
      </w:pPr>
      <w:bookmarkStart w:id="2" w:name="_Toc225529207"/>
      <w:r w:rsidRPr="00237AC6">
        <w:rPr>
          <w:color w:val="000000" w:themeColor="text1"/>
          <w:lang w:val="en-GB"/>
        </w:rPr>
        <w:t>2.1 Donabedian Model</w:t>
      </w:r>
      <w:bookmarkEnd w:id="2"/>
      <w:r w:rsidRPr="00237AC6">
        <w:rPr>
          <w:color w:val="000000" w:themeColor="text1"/>
          <w:lang w:val="en-GB"/>
        </w:rPr>
        <w:t xml:space="preserve"> </w:t>
      </w:r>
    </w:p>
    <w:p w14:paraId="0F5B6275" w14:textId="77777777" w:rsidR="0027439F" w:rsidRPr="00237AC6" w:rsidRDefault="00C04963" w:rsidP="00444E2B">
      <w:pPr>
        <w:spacing w:before="240" w:after="240" w:line="360" w:lineRule="auto"/>
        <w:jc w:val="center"/>
        <w:rPr>
          <w:rFonts w:eastAsia="Times New Roman"/>
          <w:color w:val="000000" w:themeColor="text1"/>
          <w:lang w:val="en-GB"/>
        </w:rPr>
      </w:pPr>
      <w:r w:rsidRPr="00237AC6">
        <w:rPr>
          <w:rFonts w:eastAsia="Times New Roman"/>
          <w:noProof/>
          <w:color w:val="000000" w:themeColor="text1"/>
          <w:lang w:val="en-GB"/>
        </w:rPr>
        <w:drawing>
          <wp:inline distT="114300" distB="114300" distL="114300" distR="114300" wp14:anchorId="65CAF28A" wp14:editId="35C7818F">
            <wp:extent cx="4100513" cy="309728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100513" cy="3097280"/>
                    </a:xfrm>
                    <a:prstGeom prst="rect">
                      <a:avLst/>
                    </a:prstGeom>
                    <a:ln w="12700">
                      <a:solidFill>
                        <a:srgbClr val="000000"/>
                      </a:solidFill>
                      <a:prstDash val="solid"/>
                    </a:ln>
                  </pic:spPr>
                </pic:pic>
              </a:graphicData>
            </a:graphic>
          </wp:inline>
        </w:drawing>
      </w:r>
    </w:p>
    <w:p w14:paraId="3FDCEC75" w14:textId="1481D678" w:rsidR="0027439F" w:rsidRPr="00237AC6" w:rsidRDefault="00C04963" w:rsidP="00444E2B">
      <w:pPr>
        <w:spacing w:before="240" w:after="240" w:line="360" w:lineRule="auto"/>
        <w:jc w:val="center"/>
        <w:rPr>
          <w:rFonts w:eastAsia="Times New Roman"/>
          <w:b/>
          <w:bCs/>
          <w:color w:val="000000" w:themeColor="text1"/>
          <w:lang w:val="en-GB"/>
        </w:rPr>
      </w:pPr>
      <w:r w:rsidRPr="00237AC6">
        <w:rPr>
          <w:rFonts w:eastAsia="Times New Roman"/>
          <w:b/>
          <w:bCs/>
          <w:color w:val="000000" w:themeColor="text1"/>
          <w:lang w:val="en-GB"/>
        </w:rPr>
        <w:t>Figure 1: Donabedian model</w:t>
      </w:r>
    </w:p>
    <w:p w14:paraId="1968290F" w14:textId="77777777" w:rsidR="0027439F" w:rsidRPr="00237AC6" w:rsidRDefault="00C04963" w:rsidP="00444E2B">
      <w:pPr>
        <w:spacing w:before="240" w:after="240" w:line="360" w:lineRule="auto"/>
        <w:jc w:val="center"/>
        <w:rPr>
          <w:rFonts w:eastAsia="Times New Roman"/>
          <w:color w:val="000000" w:themeColor="text1"/>
          <w:lang w:val="en-GB"/>
        </w:rPr>
      </w:pPr>
      <w:r w:rsidRPr="00237AC6">
        <w:rPr>
          <w:rFonts w:eastAsia="Times New Roman"/>
          <w:color w:val="000000" w:themeColor="text1"/>
          <w:lang w:val="en-GB"/>
        </w:rPr>
        <w:t>(Source: Self-developed)</w:t>
      </w:r>
    </w:p>
    <w:p w14:paraId="4BFBF526" w14:textId="0274D078"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Donabedian Model is another framework that is the most commonly used to assess the quality of healthcare. The model states that the quality of healthcare can be measured by three components (structure, process, and outcomes) that are interrelated (Yang </w:t>
      </w:r>
      <w:r w:rsidRPr="00237AC6">
        <w:rPr>
          <w:rFonts w:eastAsia="Times New Roman"/>
          <w:i/>
          <w:iCs/>
          <w:color w:val="000000" w:themeColor="text1"/>
          <w:lang w:val="en-GB"/>
        </w:rPr>
        <w:t>et al.</w:t>
      </w:r>
      <w:r w:rsidRPr="00237AC6">
        <w:rPr>
          <w:rFonts w:eastAsia="Times New Roman"/>
          <w:color w:val="000000" w:themeColor="text1"/>
          <w:lang w:val="en-GB"/>
        </w:rPr>
        <w:t xml:space="preserve"> 2025). This model can be applied in the case of the Mid Staffordshire NHS Foundation Trust to give a valuable framework for the identification of how the systemic failures of organisational systems contributed to the poor patient care. Its structural component is the physical or organisational infrastructure in which the healthcare services are provided, such as the level of staffing, leadership frameworks, </w:t>
      </w:r>
      <w:r w:rsidRPr="00237AC6">
        <w:rPr>
          <w:rFonts w:eastAsia="Times New Roman"/>
          <w:color w:val="000000" w:themeColor="text1"/>
          <w:lang w:val="en-GB"/>
        </w:rPr>
        <w:lastRenderedPageBreak/>
        <w:t xml:space="preserve">medical equipment, and governance systems. The hospital is significantly influenced by a notable nurse shortage and poor workforce planning, which has greatly decreased the capacity in the provision of proper patient supervision and care by the staff (Roberts, 2013). There </w:t>
      </w:r>
      <w:r w:rsidR="00DE2C8E" w:rsidRPr="00237AC6">
        <w:rPr>
          <w:rFonts w:eastAsia="Times New Roman"/>
          <w:color w:val="000000" w:themeColor="text1"/>
          <w:lang w:val="en-GB"/>
        </w:rPr>
        <w:t>were</w:t>
      </w:r>
      <w:r w:rsidRPr="00237AC6">
        <w:rPr>
          <w:rFonts w:eastAsia="Times New Roman"/>
          <w:color w:val="000000" w:themeColor="text1"/>
          <w:lang w:val="en-GB"/>
        </w:rPr>
        <w:t xml:space="preserve"> also ineffective leadership and a low clinical governance structure that did not prioritise patient safety, with other priorities being the accomplishment of financial objectives and foundation trust status (Francis, 2013). These architectural inadequacies provided a condition in which the quality standards were hard to uphold.</w:t>
      </w:r>
    </w:p>
    <w:p w14:paraId="1BF87E56"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process element concerns the delivery of healthcare services, which is in the form of clinical processes, communication processes, and systems of monitoring. Mid Staffordshire has a poor implementation of essential care processes. There was an inconsistent practice of clinical audits, patient and family complaints that had been neglected, and internal monitoring mechanisms did not notice the deteriorating quality of care. Lack of proper quality monitoring systems enabled unsafe practices to be practised over an extended duration of time (Abdullah </w:t>
      </w:r>
      <w:r w:rsidRPr="00237AC6">
        <w:rPr>
          <w:rFonts w:eastAsia="Times New Roman"/>
          <w:i/>
          <w:iCs/>
          <w:color w:val="000000" w:themeColor="text1"/>
          <w:lang w:val="en-GB"/>
        </w:rPr>
        <w:t xml:space="preserve">et al. </w:t>
      </w:r>
      <w:r w:rsidRPr="00237AC6">
        <w:rPr>
          <w:rFonts w:eastAsia="Times New Roman"/>
          <w:color w:val="000000" w:themeColor="text1"/>
          <w:lang w:val="en-GB"/>
        </w:rPr>
        <w:t>2025). The outcome component is the ultimate influence of healthcare services on patient health and safety. The patients in Mid Staffordshire had poor hygiene, delays in treatment, lack of compassion and neglect in their basic needs such as nutrition and hydration due to structural and procedural failures. These malfunctions led to higher fatality rates and a high level of patient dissatisfaction.</w:t>
      </w:r>
    </w:p>
    <w:p w14:paraId="27136051" w14:textId="77777777" w:rsidR="0027439F" w:rsidRPr="00237AC6" w:rsidRDefault="00C04963" w:rsidP="00D27FD3">
      <w:pPr>
        <w:pStyle w:val="Heading2"/>
        <w:spacing w:before="240" w:after="240"/>
        <w:rPr>
          <w:color w:val="000000" w:themeColor="text1"/>
          <w:lang w:val="en-GB"/>
        </w:rPr>
      </w:pPr>
      <w:bookmarkStart w:id="3" w:name="_Toc225529208"/>
      <w:r w:rsidRPr="00237AC6">
        <w:rPr>
          <w:color w:val="000000" w:themeColor="text1"/>
          <w:lang w:val="en-GB"/>
        </w:rPr>
        <w:t>2.2 Fishbone Diagram</w:t>
      </w:r>
      <w:bookmarkEnd w:id="3"/>
      <w:r w:rsidRPr="00237AC6">
        <w:rPr>
          <w:color w:val="000000" w:themeColor="text1"/>
          <w:lang w:val="en-GB"/>
        </w:rPr>
        <w:t xml:space="preserve"> </w:t>
      </w:r>
    </w:p>
    <w:p w14:paraId="656FB5D9" w14:textId="77777777" w:rsidR="000D2F2B" w:rsidRPr="00237AC6" w:rsidRDefault="000D2F2B" w:rsidP="00D27FD3">
      <w:pPr>
        <w:spacing w:before="240" w:after="240" w:line="360" w:lineRule="auto"/>
        <w:jc w:val="both"/>
        <w:rPr>
          <w:color w:val="000000" w:themeColor="text1"/>
          <w:lang w:val="en-GB"/>
        </w:rPr>
      </w:pPr>
      <w:r w:rsidRPr="00237AC6">
        <w:rPr>
          <w:color w:val="000000" w:themeColor="text1"/>
          <w:lang w:val="en-GB"/>
        </w:rPr>
        <w:t>The Fishbone Diagram was chosen for the analysis of such complicated healthcare failures because it allows for the identification of several interconnected underlying causes instead of concentrating on just one. The fishbone structure offers a visual and methodical way to classify these reasons into leadership, staffing, training, governance, and environmental elements. Healthcare quality failures usually result from a combination of organisational, human, and process-related challenges. Because of this, it is especially appropriate for examining significant institutional failures like Mid Staffordshire.</w:t>
      </w:r>
    </w:p>
    <w:p w14:paraId="04442020" w14:textId="77777777" w:rsidR="000D2F2B" w:rsidRPr="00237AC6" w:rsidRDefault="000D2F2B" w:rsidP="00D27FD3">
      <w:pPr>
        <w:spacing w:before="240" w:after="240" w:line="360" w:lineRule="auto"/>
        <w:jc w:val="both"/>
        <w:rPr>
          <w:color w:val="000000" w:themeColor="text1"/>
          <w:lang w:val="en-GB"/>
        </w:rPr>
      </w:pPr>
    </w:p>
    <w:p w14:paraId="2D62CA4F" w14:textId="77777777" w:rsidR="0027439F" w:rsidRPr="00237AC6" w:rsidRDefault="00C04963" w:rsidP="00AA6E2C">
      <w:pPr>
        <w:spacing w:before="240" w:after="240" w:line="360" w:lineRule="auto"/>
        <w:jc w:val="center"/>
        <w:rPr>
          <w:rFonts w:eastAsia="Times New Roman"/>
          <w:color w:val="000000" w:themeColor="text1"/>
          <w:lang w:val="en-GB"/>
        </w:rPr>
      </w:pPr>
      <w:r w:rsidRPr="00237AC6">
        <w:rPr>
          <w:rFonts w:eastAsia="Times New Roman"/>
          <w:noProof/>
          <w:color w:val="000000" w:themeColor="text1"/>
          <w:lang w:val="en-GB"/>
        </w:rPr>
        <w:lastRenderedPageBreak/>
        <w:drawing>
          <wp:inline distT="114300" distB="114300" distL="114300" distR="114300" wp14:anchorId="41C2143B" wp14:editId="4D8EE7A3">
            <wp:extent cx="4667250" cy="2670274"/>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667250" cy="2670274"/>
                    </a:xfrm>
                    <a:prstGeom prst="rect">
                      <a:avLst/>
                    </a:prstGeom>
                    <a:ln w="12700">
                      <a:solidFill>
                        <a:srgbClr val="000000"/>
                      </a:solidFill>
                      <a:prstDash val="solid"/>
                    </a:ln>
                  </pic:spPr>
                </pic:pic>
              </a:graphicData>
            </a:graphic>
          </wp:inline>
        </w:drawing>
      </w:r>
    </w:p>
    <w:p w14:paraId="41F80C18" w14:textId="77777777" w:rsidR="0027439F" w:rsidRPr="00237AC6" w:rsidRDefault="00C04963" w:rsidP="00AA6E2C">
      <w:pPr>
        <w:spacing w:before="240" w:after="240" w:line="360" w:lineRule="auto"/>
        <w:jc w:val="center"/>
        <w:rPr>
          <w:rFonts w:eastAsia="Times New Roman"/>
          <w:b/>
          <w:bCs/>
          <w:color w:val="000000" w:themeColor="text1"/>
          <w:lang w:val="en-GB"/>
        </w:rPr>
      </w:pPr>
      <w:r w:rsidRPr="00237AC6">
        <w:rPr>
          <w:rFonts w:eastAsia="Times New Roman"/>
          <w:b/>
          <w:bCs/>
          <w:color w:val="000000" w:themeColor="text1"/>
          <w:lang w:val="en-GB"/>
        </w:rPr>
        <w:t>Figure 2: Fishbone Diagram</w:t>
      </w:r>
    </w:p>
    <w:p w14:paraId="63F4D4ED" w14:textId="77777777" w:rsidR="0027439F" w:rsidRPr="00237AC6" w:rsidRDefault="00C04963" w:rsidP="00AA6E2C">
      <w:pPr>
        <w:spacing w:before="240" w:after="240" w:line="360" w:lineRule="auto"/>
        <w:jc w:val="center"/>
        <w:rPr>
          <w:rFonts w:eastAsia="Times New Roman"/>
          <w:color w:val="000000" w:themeColor="text1"/>
          <w:lang w:val="en-GB"/>
        </w:rPr>
      </w:pPr>
      <w:r w:rsidRPr="00237AC6">
        <w:rPr>
          <w:rFonts w:eastAsia="Times New Roman"/>
          <w:color w:val="000000" w:themeColor="text1"/>
          <w:lang w:val="en-GB"/>
        </w:rPr>
        <w:t>(Source: Self-developed)</w:t>
      </w:r>
    </w:p>
    <w:p w14:paraId="42996AA1" w14:textId="7E993D30" w:rsidR="0027439F" w:rsidRPr="00237AC6" w:rsidRDefault="00AA6E2C"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Fishbone Diagram or the cause-and-effect diagram</w:t>
      </w:r>
      <w:r w:rsidR="00C04963" w:rsidRPr="00237AC6">
        <w:rPr>
          <w:rFonts w:eastAsia="Times New Roman"/>
          <w:color w:val="000000" w:themeColor="text1"/>
          <w:lang w:val="en-GB"/>
        </w:rPr>
        <w:t xml:space="preserve"> is a quality management tool that is employed in the identification of the root causes of complex organisational problems. It also aids the investigation of numerous contributory factors that contemplate the failures associated with patient safety and service delivery in healthcare settings (Kumah </w:t>
      </w:r>
      <w:r w:rsidR="00C04963" w:rsidRPr="00237AC6">
        <w:rPr>
          <w:rFonts w:eastAsia="Times New Roman"/>
          <w:i/>
          <w:iCs/>
          <w:color w:val="000000" w:themeColor="text1"/>
          <w:lang w:val="en-GB"/>
        </w:rPr>
        <w:t xml:space="preserve">et al. </w:t>
      </w:r>
      <w:r w:rsidR="00C04963" w:rsidRPr="00237AC6">
        <w:rPr>
          <w:rFonts w:eastAsia="Times New Roman"/>
          <w:color w:val="000000" w:themeColor="text1"/>
          <w:lang w:val="en-GB"/>
        </w:rPr>
        <w:t xml:space="preserve">2024). When it is applied to the case of the Mid Staffordshire NHS Foundation Trust, the fishbone analysis indicates that some aspects caused the reduction in the quality of care that are connected in a chain. Leadership and management are one of the major categories of causation. Mid Staffordshire was led by senior management that was primarily interested in financial performance and achievement of foundation trust </w:t>
      </w:r>
      <w:r w:rsidRPr="00237AC6">
        <w:rPr>
          <w:rFonts w:eastAsia="Times New Roman"/>
          <w:color w:val="000000" w:themeColor="text1"/>
          <w:lang w:val="en-GB"/>
        </w:rPr>
        <w:t>status and</w:t>
      </w:r>
      <w:r w:rsidR="00C04963" w:rsidRPr="00237AC6">
        <w:rPr>
          <w:rFonts w:eastAsia="Times New Roman"/>
          <w:color w:val="000000" w:themeColor="text1"/>
          <w:lang w:val="en-GB"/>
        </w:rPr>
        <w:t xml:space="preserve"> did not emphasise patient care quality. This management style resulted in the lack of transparency and the establishment of a work environment in which employees did not feel free to discuss the safety issue (Tenzer, 2024). Consequently, the initial indicators of the deteriorating healthcare standards were not taken into consideration.</w:t>
      </w:r>
    </w:p>
    <w:p w14:paraId="129C76DC"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Staffing and workforce planning were also key aspects. The hospital had intense shortages of nurses, and the effect of nurse shortage increased workloads on the healthcare staff and shortened the time that could be spent on monitoring the patients. The lack of staffing rendered delays in treatments, as well as the inability to perform fundamental care procedures, including hygiene, nutrition, and hydration (Abdelhalim </w:t>
      </w:r>
      <w:r w:rsidRPr="00237AC6">
        <w:rPr>
          <w:rFonts w:eastAsia="Times New Roman"/>
          <w:i/>
          <w:iCs/>
          <w:color w:val="000000" w:themeColor="text1"/>
          <w:lang w:val="en-GB"/>
        </w:rPr>
        <w:t>et al</w:t>
      </w:r>
      <w:r w:rsidRPr="00237AC6">
        <w:rPr>
          <w:rFonts w:eastAsia="Times New Roman"/>
          <w:color w:val="000000" w:themeColor="text1"/>
          <w:lang w:val="en-GB"/>
        </w:rPr>
        <w:t xml:space="preserve">. 2024). These issues greatly impacted patient safety negatively. The issue was also caused by training and professional development. Most </w:t>
      </w:r>
      <w:r w:rsidRPr="00237AC6">
        <w:rPr>
          <w:rFonts w:eastAsia="Times New Roman"/>
          <w:color w:val="000000" w:themeColor="text1"/>
          <w:lang w:val="en-GB"/>
        </w:rPr>
        <w:lastRenderedPageBreak/>
        <w:t>employees did not receive proper training and oversight, which influenced their performance with respect to providing effective and safe care. Absent sustained professional growth and adequate clinical leadership, health professionals were not well-suited to detect and handle patient risks. Moreover, deficiencies in governance and monitoring systems were very significant. There was a lack of consistency in clinical audits, a lack of regulatory control, and the fact that the complaints of patients were often overlooked or postponed. These flaws in the system enabled hazardous activities to go unaddressed (‌Holmes, 2013).</w:t>
      </w:r>
    </w:p>
    <w:p w14:paraId="17889DA2" w14:textId="77777777" w:rsidR="0027439F" w:rsidRPr="00237AC6" w:rsidRDefault="00C04963" w:rsidP="00D27FD3">
      <w:pPr>
        <w:pStyle w:val="Heading2"/>
        <w:spacing w:before="240" w:after="240"/>
        <w:rPr>
          <w:color w:val="000000" w:themeColor="text1"/>
          <w:lang w:val="en-GB"/>
        </w:rPr>
      </w:pPr>
      <w:bookmarkStart w:id="4" w:name="_Toc225529209"/>
      <w:r w:rsidRPr="00237AC6">
        <w:rPr>
          <w:color w:val="000000" w:themeColor="text1"/>
          <w:lang w:val="en-GB"/>
        </w:rPr>
        <w:t>2.3 SWOT Analysis</w:t>
      </w:r>
      <w:bookmarkEnd w:id="4"/>
      <w:r w:rsidRPr="00237AC6">
        <w:rPr>
          <w:color w:val="000000" w:themeColor="text1"/>
          <w:lang w:val="en-GB"/>
        </w:rPr>
        <w:t xml:space="preserve"> </w:t>
      </w:r>
    </w:p>
    <w:tbl>
      <w:tblPr>
        <w:tblStyle w:val="TableGrid"/>
        <w:tblW w:w="9856" w:type="dxa"/>
        <w:tblLook w:val="04A0" w:firstRow="1" w:lastRow="0" w:firstColumn="1" w:lastColumn="0" w:noHBand="0" w:noVBand="1"/>
      </w:tblPr>
      <w:tblGrid>
        <w:gridCol w:w="2869"/>
        <w:gridCol w:w="2226"/>
        <w:gridCol w:w="2470"/>
        <w:gridCol w:w="2291"/>
      </w:tblGrid>
      <w:tr w:rsidR="004A0163" w:rsidRPr="00237AC6" w14:paraId="12D808B2" w14:textId="77777777" w:rsidTr="00DF6AC9">
        <w:trPr>
          <w:trHeight w:val="616"/>
        </w:trPr>
        <w:tc>
          <w:tcPr>
            <w:tcW w:w="0" w:type="auto"/>
            <w:hideMark/>
          </w:tcPr>
          <w:p w14:paraId="78592BCF" w14:textId="77777777" w:rsidR="004A0163" w:rsidRPr="004B37D7" w:rsidRDefault="004A0163" w:rsidP="00DF6AC9">
            <w:pPr>
              <w:spacing w:line="276" w:lineRule="auto"/>
              <w:rPr>
                <w:rFonts w:eastAsia="Times New Roman"/>
                <w:b/>
                <w:bCs/>
                <w:color w:val="000000" w:themeColor="text1"/>
                <w:lang w:val="en-IN"/>
              </w:rPr>
            </w:pPr>
            <w:r w:rsidRPr="004B37D7">
              <w:rPr>
                <w:rFonts w:eastAsia="Times New Roman"/>
                <w:b/>
                <w:bCs/>
                <w:color w:val="000000" w:themeColor="text1"/>
                <w:lang w:val="en-IN"/>
              </w:rPr>
              <w:t>Strengths</w:t>
            </w:r>
          </w:p>
        </w:tc>
        <w:tc>
          <w:tcPr>
            <w:tcW w:w="0" w:type="auto"/>
            <w:hideMark/>
          </w:tcPr>
          <w:p w14:paraId="0FF296D8" w14:textId="77777777" w:rsidR="004A0163" w:rsidRPr="004B37D7" w:rsidRDefault="004A0163" w:rsidP="00DF6AC9">
            <w:pPr>
              <w:spacing w:line="276" w:lineRule="auto"/>
              <w:rPr>
                <w:rFonts w:eastAsia="Times New Roman"/>
                <w:b/>
                <w:bCs/>
                <w:color w:val="000000" w:themeColor="text1"/>
                <w:lang w:val="en-IN"/>
              </w:rPr>
            </w:pPr>
            <w:r w:rsidRPr="004B37D7">
              <w:rPr>
                <w:rFonts w:eastAsia="Times New Roman"/>
                <w:b/>
                <w:bCs/>
                <w:color w:val="000000" w:themeColor="text1"/>
                <w:lang w:val="en-IN"/>
              </w:rPr>
              <w:t>Weaknesses</w:t>
            </w:r>
          </w:p>
        </w:tc>
        <w:tc>
          <w:tcPr>
            <w:tcW w:w="0" w:type="auto"/>
            <w:hideMark/>
          </w:tcPr>
          <w:p w14:paraId="68918CA5" w14:textId="77777777" w:rsidR="004A0163" w:rsidRPr="004B37D7" w:rsidRDefault="004A0163" w:rsidP="00DF6AC9">
            <w:pPr>
              <w:spacing w:line="276" w:lineRule="auto"/>
              <w:rPr>
                <w:rFonts w:eastAsia="Times New Roman"/>
                <w:b/>
                <w:bCs/>
                <w:color w:val="000000" w:themeColor="text1"/>
                <w:lang w:val="en-IN"/>
              </w:rPr>
            </w:pPr>
            <w:r w:rsidRPr="004B37D7">
              <w:rPr>
                <w:rFonts w:eastAsia="Times New Roman"/>
                <w:b/>
                <w:bCs/>
                <w:color w:val="000000" w:themeColor="text1"/>
                <w:lang w:val="en-IN"/>
              </w:rPr>
              <w:t>Opportunities</w:t>
            </w:r>
          </w:p>
        </w:tc>
        <w:tc>
          <w:tcPr>
            <w:tcW w:w="0" w:type="auto"/>
            <w:hideMark/>
          </w:tcPr>
          <w:p w14:paraId="32CD8E47" w14:textId="77777777" w:rsidR="004A0163" w:rsidRPr="004B37D7" w:rsidRDefault="004A0163" w:rsidP="00DF6AC9">
            <w:pPr>
              <w:spacing w:line="276" w:lineRule="auto"/>
              <w:rPr>
                <w:rFonts w:eastAsia="Times New Roman"/>
                <w:b/>
                <w:bCs/>
                <w:color w:val="000000" w:themeColor="text1"/>
                <w:lang w:val="en-IN"/>
              </w:rPr>
            </w:pPr>
            <w:r w:rsidRPr="004B37D7">
              <w:rPr>
                <w:rFonts w:eastAsia="Times New Roman"/>
                <w:b/>
                <w:bCs/>
                <w:color w:val="000000" w:themeColor="text1"/>
                <w:lang w:val="en-IN"/>
              </w:rPr>
              <w:t>Threats</w:t>
            </w:r>
          </w:p>
        </w:tc>
      </w:tr>
      <w:tr w:rsidR="004A0163" w:rsidRPr="00237AC6" w14:paraId="2D9AF1A4" w14:textId="77777777" w:rsidTr="00DF6AC9">
        <w:trPr>
          <w:trHeight w:val="2040"/>
        </w:trPr>
        <w:tc>
          <w:tcPr>
            <w:tcW w:w="0" w:type="auto"/>
            <w:hideMark/>
          </w:tcPr>
          <w:p w14:paraId="04D25269"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Established national healthcare system under the National Health Service with regulatory frameworks for quality monitoring</w:t>
            </w:r>
          </w:p>
        </w:tc>
        <w:tc>
          <w:tcPr>
            <w:tcW w:w="0" w:type="auto"/>
            <w:hideMark/>
          </w:tcPr>
          <w:p w14:paraId="13B02D09"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Poor leadership prioritising financial targets over patient safety</w:t>
            </w:r>
          </w:p>
        </w:tc>
        <w:tc>
          <w:tcPr>
            <w:tcW w:w="0" w:type="auto"/>
            <w:hideMark/>
          </w:tcPr>
          <w:p w14:paraId="68BC7028"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Implementation of reforms following the Francis Report</w:t>
            </w:r>
          </w:p>
        </w:tc>
        <w:tc>
          <w:tcPr>
            <w:tcW w:w="0" w:type="auto"/>
            <w:hideMark/>
          </w:tcPr>
          <w:p w14:paraId="2027B016"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Financial pressures within the healthcare system</w:t>
            </w:r>
          </w:p>
        </w:tc>
      </w:tr>
      <w:tr w:rsidR="004A0163" w:rsidRPr="00237AC6" w14:paraId="4CCD5B62" w14:textId="77777777" w:rsidTr="00DF6AC9">
        <w:trPr>
          <w:trHeight w:val="1864"/>
        </w:trPr>
        <w:tc>
          <w:tcPr>
            <w:tcW w:w="0" w:type="auto"/>
            <w:hideMark/>
          </w:tcPr>
          <w:p w14:paraId="2C34FC84"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Availability of trained healthcare professionals and medical infrastructure</w:t>
            </w:r>
          </w:p>
        </w:tc>
        <w:tc>
          <w:tcPr>
            <w:tcW w:w="0" w:type="auto"/>
            <w:hideMark/>
          </w:tcPr>
          <w:p w14:paraId="07C828ED"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Severe nurse shortages and poor workforce planning</w:t>
            </w:r>
          </w:p>
        </w:tc>
        <w:tc>
          <w:tcPr>
            <w:tcW w:w="0" w:type="auto"/>
            <w:hideMark/>
          </w:tcPr>
          <w:p w14:paraId="24D6BED3"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Strengthening of inspection and monitoring by the Care Quality Commission</w:t>
            </w:r>
          </w:p>
        </w:tc>
        <w:tc>
          <w:tcPr>
            <w:tcW w:w="0" w:type="auto"/>
            <w:hideMark/>
          </w:tcPr>
          <w:p w14:paraId="5D637D5E"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Organisational culture discourages staff from raising concerns</w:t>
            </w:r>
          </w:p>
        </w:tc>
      </w:tr>
      <w:tr w:rsidR="004A0163" w:rsidRPr="00237AC6" w14:paraId="78D5EA1F" w14:textId="77777777" w:rsidTr="00DF6AC9">
        <w:trPr>
          <w:trHeight w:val="1874"/>
        </w:trPr>
        <w:tc>
          <w:tcPr>
            <w:tcW w:w="0" w:type="auto"/>
            <w:hideMark/>
          </w:tcPr>
          <w:p w14:paraId="7D37AF71"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Existence of governance policies and clinical standards</w:t>
            </w:r>
          </w:p>
        </w:tc>
        <w:tc>
          <w:tcPr>
            <w:tcW w:w="0" w:type="auto"/>
            <w:hideMark/>
          </w:tcPr>
          <w:p w14:paraId="5C527105"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Weak clinical governance and irregular quality audits</w:t>
            </w:r>
          </w:p>
        </w:tc>
        <w:tc>
          <w:tcPr>
            <w:tcW w:w="0" w:type="auto"/>
            <w:hideMark/>
          </w:tcPr>
          <w:p w14:paraId="61C6A71A"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Adoption of quality improvement frameworks such as Lean and PDSA</w:t>
            </w:r>
          </w:p>
        </w:tc>
        <w:tc>
          <w:tcPr>
            <w:tcW w:w="0" w:type="auto"/>
            <w:hideMark/>
          </w:tcPr>
          <w:p w14:paraId="1D058BEE"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Staff burnout and workforce shortages are affecting service delivery</w:t>
            </w:r>
          </w:p>
        </w:tc>
      </w:tr>
      <w:tr w:rsidR="004A0163" w:rsidRPr="00237AC6" w14:paraId="31A61EE0" w14:textId="77777777" w:rsidTr="00DF6AC9">
        <w:trPr>
          <w:trHeight w:val="1289"/>
        </w:trPr>
        <w:tc>
          <w:tcPr>
            <w:tcW w:w="0" w:type="auto"/>
            <w:hideMark/>
          </w:tcPr>
          <w:p w14:paraId="41839E19"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Presence of national patient safety and complaint mechanisms</w:t>
            </w:r>
          </w:p>
        </w:tc>
        <w:tc>
          <w:tcPr>
            <w:tcW w:w="0" w:type="auto"/>
            <w:hideMark/>
          </w:tcPr>
          <w:p w14:paraId="71550237"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Patient complaints and whistleblowing concerns were ignored</w:t>
            </w:r>
          </w:p>
        </w:tc>
        <w:tc>
          <w:tcPr>
            <w:tcW w:w="0" w:type="auto"/>
            <w:hideMark/>
          </w:tcPr>
          <w:p w14:paraId="6542EFB7"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Significant emphasis on patient-centred care and transparency</w:t>
            </w:r>
          </w:p>
        </w:tc>
        <w:tc>
          <w:tcPr>
            <w:tcW w:w="0" w:type="auto"/>
            <w:hideMark/>
          </w:tcPr>
          <w:p w14:paraId="53F32382" w14:textId="77777777" w:rsidR="004A0163" w:rsidRPr="004B37D7" w:rsidRDefault="004A0163" w:rsidP="00DF6AC9">
            <w:pPr>
              <w:spacing w:line="276" w:lineRule="auto"/>
              <w:rPr>
                <w:rFonts w:eastAsia="Times New Roman"/>
                <w:color w:val="000000" w:themeColor="text1"/>
                <w:lang w:val="en-IN"/>
              </w:rPr>
            </w:pPr>
            <w:r w:rsidRPr="004B37D7">
              <w:rPr>
                <w:rFonts w:eastAsia="Times New Roman"/>
                <w:color w:val="000000" w:themeColor="text1"/>
                <w:lang w:val="en-IN"/>
              </w:rPr>
              <w:t>Public distrust in healthcare institutions following scandals</w:t>
            </w:r>
          </w:p>
        </w:tc>
      </w:tr>
    </w:tbl>
    <w:p w14:paraId="45C33643" w14:textId="77777777" w:rsidR="004A0163" w:rsidRPr="00237AC6" w:rsidRDefault="004A0163" w:rsidP="004A0163">
      <w:pPr>
        <w:rPr>
          <w:rFonts w:eastAsia="Times New Roman"/>
          <w:color w:val="000000" w:themeColor="text1"/>
          <w:lang w:val="en-GB"/>
        </w:rPr>
      </w:pPr>
    </w:p>
    <w:p w14:paraId="65B17EB8" w14:textId="590E37D2" w:rsidR="0027439F" w:rsidRPr="00237AC6" w:rsidRDefault="004A0163" w:rsidP="004A0163">
      <w:pPr>
        <w:rPr>
          <w:rFonts w:eastAsia="Times New Roman"/>
          <w:color w:val="000000" w:themeColor="text1"/>
          <w:lang w:val="en-GB"/>
        </w:rPr>
      </w:pPr>
      <w:r w:rsidRPr="00237AC6">
        <w:rPr>
          <w:rFonts w:eastAsia="Times New Roman"/>
          <w:color w:val="000000" w:themeColor="text1"/>
          <w:lang w:val="en-GB"/>
        </w:rPr>
        <w:t xml:space="preserve">         </w:t>
      </w:r>
      <w:r w:rsidR="00C04963" w:rsidRPr="00237AC6">
        <w:rPr>
          <w:rFonts w:eastAsia="Times New Roman"/>
          <w:b/>
          <w:bCs/>
          <w:color w:val="000000" w:themeColor="text1"/>
          <w:lang w:val="en-GB"/>
        </w:rPr>
        <w:t>Table 1: SWOT analysis table: Mid Staffordshire NHS Foundation Trust Case</w:t>
      </w:r>
    </w:p>
    <w:p w14:paraId="655741E4" w14:textId="77777777" w:rsidR="0027439F" w:rsidRPr="00237AC6" w:rsidRDefault="00C04963" w:rsidP="003B6178">
      <w:pPr>
        <w:spacing w:before="240" w:after="240" w:line="360" w:lineRule="auto"/>
        <w:jc w:val="center"/>
        <w:rPr>
          <w:rFonts w:eastAsia="Times New Roman"/>
          <w:color w:val="000000" w:themeColor="text1"/>
          <w:lang w:val="en-GB"/>
        </w:rPr>
      </w:pPr>
      <w:r w:rsidRPr="00237AC6">
        <w:rPr>
          <w:rFonts w:eastAsia="Times New Roman"/>
          <w:color w:val="000000" w:themeColor="text1"/>
          <w:lang w:val="en-GB"/>
        </w:rPr>
        <w:t>(Source: Self-developed)</w:t>
      </w:r>
    </w:p>
    <w:p w14:paraId="5F87BAFE"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lastRenderedPageBreak/>
        <w:t>The strengths are primarily associated with the larger healthcare system in which the hospital functions. The NHS offers systematic governance models, medically qualified personnel, and national healthcare measures that are aimed at establishing safe patient care. The theoretical justification of the high-quality service delivery and accountability is the work of these institutional mechanisms. However, weaknesses in the organisation were high. The problem of failures in leadership, insufficient staffing rates, and inefficient clinical governance had a major negative impact on the hospital's ability to deliver safe and caring care. The Francis Inquiry evidence revealed that the focus of the management was on financial performance and attainment of foundation trust status rather than patient welfare (Francis, 2013).</w:t>
      </w:r>
    </w:p>
    <w:p w14:paraId="751D8314" w14:textId="3FA38582" w:rsidR="0027439F" w:rsidRPr="00237AC6" w:rsidRDefault="00C04963" w:rsidP="004A016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Some of the healthcare reform opportunities were also demonstrated in the case. After the investigation, the regulatory organisations, including</w:t>
      </w:r>
      <w:r w:rsidR="004A0163" w:rsidRPr="00237AC6">
        <w:rPr>
          <w:rFonts w:eastAsia="Times New Roman"/>
          <w:color w:val="000000" w:themeColor="text1"/>
          <w:lang w:val="en-GB"/>
        </w:rPr>
        <w:t xml:space="preserve"> </w:t>
      </w:r>
      <w:r w:rsidRPr="00237AC6">
        <w:rPr>
          <w:rFonts w:eastAsia="Times New Roman"/>
          <w:color w:val="000000" w:themeColor="text1"/>
          <w:lang w:val="en-GB"/>
        </w:rPr>
        <w:t>Quality Commission, increased the inspection procedures, and national policies focused on transparency, patient-centred care, and more robust accountability systems in the healthcare organisations. Though opportunities are there, there are still a number of threats that are pertinent to healthcare systems. Quality improvement efforts can be sabotaged by financial constraints, shortages of workforce and organisational cultures that do not encourage whistleblowing. Unless such threats are handled in an effective manner, they could lead to higher chances of failure of the same in future.</w:t>
      </w:r>
    </w:p>
    <w:p w14:paraId="083A8A2F" w14:textId="77452363" w:rsidR="0027439F" w:rsidRPr="00237AC6" w:rsidRDefault="00C04963" w:rsidP="00D27FD3">
      <w:pPr>
        <w:pStyle w:val="Heading2"/>
        <w:spacing w:before="240" w:after="240"/>
        <w:rPr>
          <w:color w:val="000000" w:themeColor="text1"/>
          <w:lang w:val="en-GB"/>
        </w:rPr>
      </w:pPr>
      <w:bookmarkStart w:id="5" w:name="_Toc225529210"/>
      <w:r w:rsidRPr="00237AC6">
        <w:rPr>
          <w:color w:val="000000" w:themeColor="text1"/>
          <w:lang w:val="en-GB"/>
        </w:rPr>
        <w:t>2.4 PDSA Model</w:t>
      </w:r>
      <w:bookmarkEnd w:id="5"/>
      <w:r w:rsidRPr="00237AC6">
        <w:rPr>
          <w:color w:val="000000" w:themeColor="text1"/>
          <w:lang w:val="en-GB"/>
        </w:rPr>
        <w:t xml:space="preserve"> </w:t>
      </w:r>
    </w:p>
    <w:p w14:paraId="5ECCA135" w14:textId="3776E5CF" w:rsidR="004A0163" w:rsidRPr="00237AC6" w:rsidRDefault="004A0163" w:rsidP="004A0163">
      <w:pPr>
        <w:rPr>
          <w:lang w:val="en-GB"/>
        </w:rPr>
      </w:pPr>
      <w:r w:rsidRPr="00237AC6">
        <w:rPr>
          <w:lang w:val="en-GB"/>
        </w:rPr>
        <w:t xml:space="preserve">                                                                       </w:t>
      </w:r>
    </w:p>
    <w:p w14:paraId="073A2C98" w14:textId="4A241DBD" w:rsidR="004A0163" w:rsidRPr="00237AC6" w:rsidRDefault="004A0163" w:rsidP="004A0163">
      <w:pPr>
        <w:rPr>
          <w:lang w:val="en-GB"/>
        </w:rPr>
      </w:pPr>
      <w:r w:rsidRPr="00237AC6">
        <w:rPr>
          <w:lang w:val="en-GB"/>
        </w:rPr>
        <w:t xml:space="preserve">                                    </w:t>
      </w:r>
      <w:r w:rsidRPr="00237AC6">
        <w:rPr>
          <w:rFonts w:eastAsia="Times New Roman"/>
          <w:noProof/>
          <w:color w:val="000000" w:themeColor="text1"/>
          <w:lang w:val="en-GB"/>
        </w:rPr>
        <w:drawing>
          <wp:inline distT="114300" distB="114300" distL="114300" distR="114300" wp14:anchorId="5C88E7BB" wp14:editId="24BCF6E3">
            <wp:extent cx="2927021" cy="2330255"/>
            <wp:effectExtent l="19050" t="19050" r="26035" b="13335"/>
            <wp:docPr id="119125568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2960808" cy="2357153"/>
                    </a:xfrm>
                    <a:prstGeom prst="rect">
                      <a:avLst/>
                    </a:prstGeom>
                    <a:ln w="12700">
                      <a:solidFill>
                        <a:srgbClr val="000000"/>
                      </a:solidFill>
                      <a:prstDash val="solid"/>
                    </a:ln>
                  </pic:spPr>
                </pic:pic>
              </a:graphicData>
            </a:graphic>
          </wp:inline>
        </w:drawing>
      </w:r>
    </w:p>
    <w:p w14:paraId="51177026" w14:textId="5F98093F" w:rsidR="004A0163" w:rsidRPr="00237AC6" w:rsidRDefault="004A0163" w:rsidP="004A0163">
      <w:pPr>
        <w:spacing w:before="240" w:after="240" w:line="360" w:lineRule="auto"/>
        <w:rPr>
          <w:rFonts w:eastAsia="Times New Roman"/>
          <w:b/>
          <w:bCs/>
          <w:color w:val="000000" w:themeColor="text1"/>
          <w:lang w:val="en-GB"/>
        </w:rPr>
      </w:pPr>
      <w:r w:rsidRPr="00237AC6">
        <w:rPr>
          <w:rFonts w:eastAsia="Times New Roman"/>
          <w:b/>
          <w:bCs/>
          <w:color w:val="000000" w:themeColor="text1"/>
          <w:lang w:val="en-GB"/>
        </w:rPr>
        <w:t xml:space="preserve">                                                   </w:t>
      </w:r>
      <w:r w:rsidRPr="00237AC6">
        <w:rPr>
          <w:rFonts w:eastAsia="Times New Roman"/>
          <w:b/>
          <w:bCs/>
          <w:color w:val="000000" w:themeColor="text1"/>
          <w:lang w:val="en-GB"/>
        </w:rPr>
        <w:t>Figure 3: PDSA model</w:t>
      </w:r>
      <w:r w:rsidRPr="00237AC6">
        <w:rPr>
          <w:rFonts w:eastAsia="Times New Roman"/>
          <w:b/>
          <w:bCs/>
          <w:color w:val="000000" w:themeColor="text1"/>
          <w:lang w:val="en-GB"/>
        </w:rPr>
        <w:t xml:space="preserve"> </w:t>
      </w:r>
    </w:p>
    <w:p w14:paraId="36D6BACC" w14:textId="77777777" w:rsidR="004A0163" w:rsidRPr="00237AC6" w:rsidRDefault="004A0163" w:rsidP="004A0163">
      <w:pPr>
        <w:spacing w:before="240" w:after="240" w:line="360" w:lineRule="auto"/>
        <w:rPr>
          <w:rFonts w:eastAsia="Times New Roman"/>
          <w:b/>
          <w:bCs/>
          <w:color w:val="000000" w:themeColor="text1"/>
          <w:lang w:val="en-GB"/>
        </w:rPr>
      </w:pPr>
      <w:r w:rsidRPr="00237AC6">
        <w:rPr>
          <w:rFonts w:eastAsia="Times New Roman"/>
          <w:b/>
          <w:bCs/>
          <w:color w:val="000000" w:themeColor="text1"/>
          <w:lang w:val="en-GB"/>
        </w:rPr>
        <w:t xml:space="preserve">                                                  </w:t>
      </w:r>
      <w:r w:rsidRPr="00237AC6">
        <w:rPr>
          <w:rFonts w:eastAsia="Times New Roman"/>
          <w:color w:val="000000" w:themeColor="text1"/>
          <w:lang w:val="en-GB"/>
        </w:rPr>
        <w:t>(Source: Self-developed)</w:t>
      </w:r>
    </w:p>
    <w:p w14:paraId="79F5C65A" w14:textId="08A180CC" w:rsidR="0027439F" w:rsidRPr="00237AC6" w:rsidRDefault="00C04963" w:rsidP="004A0163">
      <w:pPr>
        <w:spacing w:before="240" w:after="240" w:line="360" w:lineRule="auto"/>
        <w:rPr>
          <w:rFonts w:eastAsia="Times New Roman"/>
          <w:b/>
          <w:bCs/>
          <w:color w:val="000000" w:themeColor="text1"/>
          <w:lang w:val="en-GB"/>
        </w:rPr>
      </w:pPr>
      <w:r w:rsidRPr="00237AC6">
        <w:rPr>
          <w:rFonts w:eastAsia="Times New Roman"/>
          <w:color w:val="000000" w:themeColor="text1"/>
          <w:lang w:val="en-GB"/>
        </w:rPr>
        <w:lastRenderedPageBreak/>
        <w:t xml:space="preserve">PDSA Cycle is a popular model in the healthcare sector that is applied to introduce and assess ongoing service enhancements. The model was developed based on concepts of quality management and allows organisations to pilot the changes before the entire implementation to ensure that the evidence-based improvement is sustainable (Endalamaw </w:t>
      </w:r>
      <w:r w:rsidRPr="00237AC6">
        <w:rPr>
          <w:rFonts w:eastAsia="Times New Roman"/>
          <w:i/>
          <w:iCs/>
          <w:color w:val="000000" w:themeColor="text1"/>
          <w:lang w:val="en-GB"/>
        </w:rPr>
        <w:t xml:space="preserve">et al. </w:t>
      </w:r>
      <w:r w:rsidRPr="00237AC6">
        <w:rPr>
          <w:rFonts w:eastAsia="Times New Roman"/>
          <w:color w:val="000000" w:themeColor="text1"/>
          <w:lang w:val="en-GB"/>
        </w:rPr>
        <w:t xml:space="preserve">2024). </w:t>
      </w:r>
      <w:r w:rsidR="00AF624C" w:rsidRPr="00237AC6">
        <w:rPr>
          <w:rFonts w:eastAsia="Times New Roman"/>
          <w:color w:val="000000" w:themeColor="text1"/>
          <w:lang w:val="en-GB"/>
        </w:rPr>
        <w:t xml:space="preserve">In a similar case, the Plan-Do-Study-Act (PDSA) cycle was selected over the conventional Plan-Do-Check-Act (PDCA) model because PDSA prioritises in-depth analysis and reflective learning during the study phase over straightforward outcome verification. This analytical approach enables businesses to learn from pilot treatments and more effectively adapt advances in healthcare environments, where patient safety and clinical results are complicated and sensitive. </w:t>
      </w:r>
      <w:r w:rsidRPr="00237AC6">
        <w:rPr>
          <w:rFonts w:eastAsia="Times New Roman"/>
          <w:color w:val="000000" w:themeColor="text1"/>
          <w:lang w:val="en-GB"/>
        </w:rPr>
        <w:t xml:space="preserve">The PDSA model can be used in the case of the Mid Staffordshire NHS Foundation Trust to deal with the systemic failures that caused the failures in the organisational governance and poor patient care. </w:t>
      </w:r>
    </w:p>
    <w:p w14:paraId="64C75CCF"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Plan stage entails the identification of the definite issues in the healthcare quality and the development of strategies to resolve them. The planning in the situation of Mid Staffordshire would aim at enhancing the staffing levels, increasing the clinical governance and implementing efficient patient complaint systems. As the study indicated, there is a necessity to have greater leadership accountability and enhanced supervision of patient safety (Dirik and Seren Intepeler, 2024). The Do stage includes the implementation of all these improvements on a small scale in the form of pilot programmes on changes to nurse staffing, staff training, and improved mechanisms of patient feedback. At the stage of Study, healthcare organisations can determine the effectiveness of these interventions by using the indicators of patient outcomes, staff performance, and quality of services. Lastly, the Act stage aims at institutionalising the successful changes within the organisation as well as altering strategies that failed to deliver the desired outcomes.</w:t>
      </w:r>
    </w:p>
    <w:p w14:paraId="4F40639D" w14:textId="0923218C" w:rsidR="0027439F" w:rsidRPr="00237AC6" w:rsidRDefault="00C04963" w:rsidP="00D27FD3">
      <w:pPr>
        <w:pStyle w:val="Heading2"/>
        <w:spacing w:before="240" w:after="240"/>
        <w:rPr>
          <w:color w:val="000000" w:themeColor="text1"/>
          <w:lang w:val="en-GB"/>
        </w:rPr>
      </w:pPr>
      <w:bookmarkStart w:id="6" w:name="_Toc225529211"/>
      <w:r w:rsidRPr="00237AC6">
        <w:rPr>
          <w:color w:val="000000" w:themeColor="text1"/>
          <w:lang w:val="en-GB"/>
        </w:rPr>
        <w:t>2.5 Kotter’s change model</w:t>
      </w:r>
      <w:bookmarkEnd w:id="6"/>
      <w:r w:rsidRPr="00237AC6">
        <w:rPr>
          <w:color w:val="000000" w:themeColor="text1"/>
          <w:lang w:val="en-GB"/>
        </w:rPr>
        <w:t xml:space="preserve"> </w:t>
      </w:r>
    </w:p>
    <w:p w14:paraId="2D1695F8" w14:textId="36A74B9D" w:rsidR="00676CDD"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Change Model developed by Kotter is a well-known platform of organisational change management applied to introduce changes to the organisation and make them sustainable. The model was developed by John P. Kotter, and it entails eight steps to be followed sequentially to ensure organisations effectively put change into practice (Al Owad </w:t>
      </w:r>
      <w:r w:rsidRPr="00237AC6">
        <w:rPr>
          <w:rFonts w:eastAsia="Times New Roman"/>
          <w:i/>
          <w:iCs/>
          <w:color w:val="000000" w:themeColor="text1"/>
          <w:lang w:val="en-GB"/>
        </w:rPr>
        <w:t>et al</w:t>
      </w:r>
      <w:r w:rsidRPr="00237AC6">
        <w:rPr>
          <w:rFonts w:eastAsia="Times New Roman"/>
          <w:color w:val="000000" w:themeColor="text1"/>
          <w:lang w:val="en-GB"/>
        </w:rPr>
        <w:t xml:space="preserve">. 2025). This model can be applied in healthcare practice and is especially effective in dealing with systemic problems and enhancing the quality of service (Graves </w:t>
      </w:r>
      <w:r w:rsidRPr="00237AC6">
        <w:rPr>
          <w:rFonts w:eastAsia="Times New Roman"/>
          <w:i/>
          <w:iCs/>
          <w:color w:val="000000" w:themeColor="text1"/>
          <w:lang w:val="en-GB"/>
        </w:rPr>
        <w:t>et al</w:t>
      </w:r>
      <w:r w:rsidRPr="00237AC6">
        <w:rPr>
          <w:rFonts w:eastAsia="Times New Roman"/>
          <w:color w:val="000000" w:themeColor="text1"/>
          <w:lang w:val="en-GB"/>
        </w:rPr>
        <w:t xml:space="preserve">. 2023). </w:t>
      </w:r>
      <w:r w:rsidR="00676CDD" w:rsidRPr="00237AC6">
        <w:rPr>
          <w:rFonts w:eastAsia="Times New Roman"/>
          <w:color w:val="000000" w:themeColor="text1"/>
          <w:lang w:val="en-GB"/>
        </w:rPr>
        <w:t xml:space="preserve">Lastly, because Kotter's Eight-Step Change Model offers a thorough, methodical approach to managing extensive organisational transformation, it was chosen over cohort-based or less structured change frameworks. Kotter's </w:t>
      </w:r>
      <w:r w:rsidR="00676CDD" w:rsidRPr="00237AC6">
        <w:rPr>
          <w:rFonts w:eastAsia="Times New Roman"/>
          <w:color w:val="000000" w:themeColor="text1"/>
          <w:lang w:val="en-GB"/>
        </w:rPr>
        <w:lastRenderedPageBreak/>
        <w:t>strategy, which emphasises urgency creation, leadership coalitions, and cultural institutionalisation of new practices, is especially effective in handling such systemic change. The Mid Staffordshire issue involves deeply ingrained cultural and leadership shortcomings.</w:t>
      </w:r>
    </w:p>
    <w:p w14:paraId="743A65E2" w14:textId="17A1967A"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model proposed by Kotter can be used in the context of the Mid Staffordshire case to assess the organisational changes to enhance patient safety and healthcare governance. The initial one is the establishment of a sense of urgency, and this means that the seriousness of the healthcare failures is recognised and that there is a need to improve the situation urgently. The conclusions of the Francis Report made it quite obvious the necessity of healthcare reform and the enhanced accountability systems (Francis, 2013). The second step is the establishment of a guiding coalition, such as the collaboration of healthcare leaders, regulators and clinical staff, in order to solve the identified problems and initiate the organisational change.</w:t>
      </w:r>
    </w:p>
    <w:p w14:paraId="7F6385DC" w14:textId="7F46C01C"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third and fourth steps involve coming up with a strategic vision and effective communication of the vision throughout the organisation. Patient safety, transparency, and quality improvement should be highlighted as the main priorities of the organisation by healthcare leaders. The fifth step is empowering the employees to take action, where employees feel encouraged to raise concerns and add their services towards service improvement without the fear of being retaliated against. The last stages are to develop short-term wins, maintain change and institutionalise new practices in organisational culture. As an illustration, early progress could be reflected in the improvement of the staffing levels, clinical audits, and complaint management systems and stimulate further reform. Therefore, the model developed by Kotter offers a systematic way to handle organisational change </w:t>
      </w:r>
      <w:r w:rsidR="002030B3" w:rsidRPr="00237AC6">
        <w:rPr>
          <w:rFonts w:eastAsia="Times New Roman"/>
          <w:color w:val="000000" w:themeColor="text1"/>
          <w:lang w:val="en-GB"/>
        </w:rPr>
        <w:t>and</w:t>
      </w:r>
      <w:r w:rsidRPr="00237AC6">
        <w:rPr>
          <w:rFonts w:eastAsia="Times New Roman"/>
          <w:color w:val="000000" w:themeColor="text1"/>
          <w:lang w:val="en-GB"/>
        </w:rPr>
        <w:t xml:space="preserve"> assists healthcare institutions in introducing long-term change in the area of patient care and service quality. </w:t>
      </w:r>
    </w:p>
    <w:p w14:paraId="28134561" w14:textId="77777777" w:rsidR="0027439F" w:rsidRPr="00237AC6" w:rsidRDefault="00C04963" w:rsidP="00D27FD3">
      <w:pPr>
        <w:pStyle w:val="Heading1"/>
        <w:spacing w:before="240" w:after="240"/>
        <w:rPr>
          <w:color w:val="000000" w:themeColor="text1"/>
          <w:sz w:val="22"/>
          <w:szCs w:val="22"/>
          <w:lang w:val="en-GB"/>
        </w:rPr>
      </w:pPr>
      <w:bookmarkStart w:id="7" w:name="_Toc225529212"/>
      <w:r w:rsidRPr="00237AC6">
        <w:rPr>
          <w:color w:val="000000" w:themeColor="text1"/>
          <w:sz w:val="22"/>
          <w:szCs w:val="22"/>
          <w:lang w:val="en-GB"/>
        </w:rPr>
        <w:t>3. Recommendations</w:t>
      </w:r>
      <w:bookmarkEnd w:id="7"/>
      <w:r w:rsidRPr="00237AC6">
        <w:rPr>
          <w:color w:val="000000" w:themeColor="text1"/>
          <w:sz w:val="22"/>
          <w:szCs w:val="22"/>
          <w:lang w:val="en-GB"/>
        </w:rPr>
        <w:t xml:space="preserve"> </w:t>
      </w:r>
    </w:p>
    <w:p w14:paraId="065968D8"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case study analysis of the Mid Staffordshire points to a number of systemic failures in the leadership, governance, staffing, and patient feedback mechanisms that played a significant role in showing the quality of healthcare and the safety of patients. Using the findings made with the help of the Donabedian Model, Fishbone Diagram, SWOT Analysis and change management models, there are several recommendations that can be implemented to enhance the delivery of healthcare services and avoid these failures in the future.</w:t>
      </w:r>
    </w:p>
    <w:p w14:paraId="2F17C856"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To begin with, patient-centred leadership and enhanced systems of governance should take centre stage in healthcare organisations (Levine and Drossman, 2022). The crisis in Mid </w:t>
      </w:r>
      <w:r w:rsidRPr="00237AC6">
        <w:rPr>
          <w:rFonts w:eastAsia="Times New Roman"/>
          <w:color w:val="000000" w:themeColor="text1"/>
          <w:lang w:val="en-GB"/>
        </w:rPr>
        <w:lastRenderedPageBreak/>
        <w:t>Staffordshire was largely caused by leadership failures, where the management that existed was driven more by financial goals and organisational position instead of focusing on patient safety. Governance models should be embraced by hospital leaders with a focus on accountability, transparency, and patient welfare being the main goals of the healthcare services (Abor and Tetteh, 2023). Enhanced leadership control and greater monitoring of quality indicators at the board level can be used to ensure that patient safety continues to take centre stage in organisational decision-making. The regular inspection and monitoring of healthcare performance by regulatory bodies should also be continued to maintain adherence to the national standards.</w:t>
      </w:r>
    </w:p>
    <w:p w14:paraId="3E6D68FA"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Second, better planning and staffing of the workforce is critical towards quality care. There should be enough nurse-to-patient ratios to enable the healthcare professionals to adequately monitor the patients and offer quality care (Batiha, 2025). The nurse shortage in Mid Staffordshire was a key factor in the negligence of patients and care delays. The healthcare organisations are thus expected to have strategic workforce planning systems that will maintain adequate staffing levels, continual professional training, and employee well-being. The competency of the staff and the number of clinical mistakes can be increased by implementing better training programmes and professional development opportunities (Heydarikhayat </w:t>
      </w:r>
      <w:r w:rsidRPr="00237AC6">
        <w:rPr>
          <w:rFonts w:eastAsia="Times New Roman"/>
          <w:i/>
          <w:iCs/>
          <w:color w:val="000000" w:themeColor="text1"/>
          <w:lang w:val="en-GB"/>
        </w:rPr>
        <w:t>et al</w:t>
      </w:r>
      <w:r w:rsidRPr="00237AC6">
        <w:rPr>
          <w:rFonts w:eastAsia="Times New Roman"/>
          <w:color w:val="000000" w:themeColor="text1"/>
          <w:lang w:val="en-GB"/>
        </w:rPr>
        <w:t>. 2024).</w:t>
      </w:r>
    </w:p>
    <w:p w14:paraId="06612194"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Third, healthcare organisations need to create efficient feedback and complaint management systems with patients (Antonopoulou </w:t>
      </w:r>
      <w:r w:rsidRPr="00237AC6">
        <w:rPr>
          <w:rFonts w:eastAsia="Times New Roman"/>
          <w:i/>
          <w:iCs/>
          <w:color w:val="000000" w:themeColor="text1"/>
          <w:lang w:val="en-GB"/>
        </w:rPr>
        <w:t>et al.</w:t>
      </w:r>
      <w:r w:rsidRPr="00237AC6">
        <w:rPr>
          <w:rFonts w:eastAsia="Times New Roman"/>
          <w:color w:val="000000" w:themeColor="text1"/>
          <w:lang w:val="en-GB"/>
        </w:rPr>
        <w:t xml:space="preserve"> 2024). Poor practices were not stopped as families raised their patient complaints and concerns that were often ignored or dismissed in the Mid Staffordshire case. By putting in place clear and receptive channels of complaints, the healthcare institutions will be in a position to detect the issues early and take corrective measures for them. The creation of a culture of trust and accountability will also be encouraged by open communication between the healthcare staff, patients, and families (Van Baarle </w:t>
      </w:r>
      <w:r w:rsidRPr="00237AC6">
        <w:rPr>
          <w:rFonts w:eastAsia="Times New Roman"/>
          <w:i/>
          <w:iCs/>
          <w:color w:val="000000" w:themeColor="text1"/>
          <w:lang w:val="en-GB"/>
        </w:rPr>
        <w:t>et al</w:t>
      </w:r>
      <w:r w:rsidRPr="00237AC6">
        <w:rPr>
          <w:rFonts w:eastAsia="Times New Roman"/>
          <w:color w:val="000000" w:themeColor="text1"/>
          <w:lang w:val="en-GB"/>
        </w:rPr>
        <w:t>. 2022).</w:t>
      </w:r>
    </w:p>
    <w:p w14:paraId="5751EDAD"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The other recommendation involves the constant quality improvement models, such as the PDSA Cycle. These types of frameworks enable healthcare organisations to determine issues, pilot the strategies of improvement, compare the results, and improve interventions as time goes by (Abuzied </w:t>
      </w:r>
      <w:r w:rsidRPr="00237AC6">
        <w:rPr>
          <w:rFonts w:eastAsia="Times New Roman"/>
          <w:i/>
          <w:iCs/>
          <w:color w:val="000000" w:themeColor="text1"/>
          <w:lang w:val="en-GB"/>
        </w:rPr>
        <w:t>et al</w:t>
      </w:r>
      <w:r w:rsidRPr="00237AC6">
        <w:rPr>
          <w:rFonts w:eastAsia="Times New Roman"/>
          <w:color w:val="000000" w:themeColor="text1"/>
          <w:lang w:val="en-GB"/>
        </w:rPr>
        <w:t>. 2023). The organisations can identify potential risks before they develop into significant failures by constantly tracking clinical performance indicators, patient satisfaction, and safety events.</w:t>
      </w:r>
    </w:p>
    <w:p w14:paraId="7D17E78D"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 xml:space="preserve">Lastly, the healthcare organisations must foster a positive organisational culture, which will promote transparency and whistleblowing. Employees should be encouraged to communicate </w:t>
      </w:r>
      <w:r w:rsidRPr="00237AC6">
        <w:rPr>
          <w:rFonts w:eastAsia="Times New Roman"/>
          <w:color w:val="000000" w:themeColor="text1"/>
          <w:lang w:val="en-GB"/>
        </w:rPr>
        <w:lastRenderedPageBreak/>
        <w:t xml:space="preserve">issues associated with patient safety without being scared of repercussions (Dietl </w:t>
      </w:r>
      <w:r w:rsidRPr="00237AC6">
        <w:rPr>
          <w:rFonts w:eastAsia="Times New Roman"/>
          <w:i/>
          <w:iCs/>
          <w:color w:val="000000" w:themeColor="text1"/>
          <w:lang w:val="en-GB"/>
        </w:rPr>
        <w:t>et al.</w:t>
      </w:r>
      <w:r w:rsidRPr="00237AC6">
        <w:rPr>
          <w:rFonts w:eastAsia="Times New Roman"/>
          <w:color w:val="000000" w:themeColor="text1"/>
          <w:lang w:val="en-GB"/>
        </w:rPr>
        <w:t xml:space="preserve"> 2023). Enabling supportive reporting measures and safeguarding the whistleblowers may assist organisations in determining issues in the initial stages and enhance accountability.</w:t>
      </w:r>
    </w:p>
    <w:p w14:paraId="191B0708" w14:textId="48B854DF" w:rsidR="0027439F" w:rsidRPr="00237AC6" w:rsidRDefault="00C04963" w:rsidP="004A0163">
      <w:pPr>
        <w:rPr>
          <w:b/>
          <w:bCs/>
          <w:color w:val="000000" w:themeColor="text1"/>
          <w:lang w:val="en-GB"/>
        </w:rPr>
      </w:pPr>
      <w:r w:rsidRPr="00237AC6">
        <w:rPr>
          <w:b/>
          <w:bCs/>
          <w:color w:val="000000" w:themeColor="text1"/>
          <w:lang w:val="en-GB"/>
        </w:rPr>
        <w:t>3.1 Benchmark Table</w:t>
      </w:r>
    </w:p>
    <w:p w14:paraId="325049C1" w14:textId="77777777" w:rsidR="00252291" w:rsidRPr="00237AC6" w:rsidRDefault="00252291" w:rsidP="004A0163">
      <w:pPr>
        <w:rPr>
          <w:rFonts w:eastAsia="Times New Roman"/>
          <w:b/>
          <w:bCs/>
          <w:color w:val="000000" w:themeColor="text1"/>
          <w:lang w:val="en-GB"/>
        </w:rPr>
      </w:pPr>
    </w:p>
    <w:tbl>
      <w:tblPr>
        <w:tblStyle w:val="a1"/>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431"/>
        <w:gridCol w:w="3442"/>
        <w:gridCol w:w="3487"/>
      </w:tblGrid>
      <w:tr w:rsidR="00E2587D" w:rsidRPr="00237AC6" w14:paraId="23990C53" w14:textId="77777777">
        <w:trPr>
          <w:trHeight w:val="8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E98CA8"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b/>
                <w:bCs/>
                <w:color w:val="000000" w:themeColor="text1"/>
                <w:lang w:val="en-GB"/>
              </w:rPr>
              <w:t>Quality Standard</w:t>
            </w:r>
          </w:p>
        </w:tc>
        <w:tc>
          <w:tcPr>
            <w:tcW w:w="34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C5DF32"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b/>
                <w:bCs/>
                <w:color w:val="000000" w:themeColor="text1"/>
                <w:lang w:val="en-GB"/>
              </w:rPr>
              <w:t>Mid Staffordshire Performance (2005–2009)</w:t>
            </w:r>
          </w:p>
        </w:tc>
        <w:tc>
          <w:tcPr>
            <w:tcW w:w="34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107D05"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b/>
                <w:bCs/>
                <w:color w:val="000000" w:themeColor="text1"/>
                <w:lang w:val="en-GB"/>
              </w:rPr>
              <w:t>Benchmark / Post-Francis NHS Standard</w:t>
            </w:r>
          </w:p>
        </w:tc>
      </w:tr>
      <w:tr w:rsidR="00E2587D" w:rsidRPr="00237AC6" w14:paraId="005D9875" w14:textId="77777777">
        <w:trPr>
          <w:trHeight w:val="1085"/>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7A8805"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Clinical governance and quality assurance</w:t>
            </w:r>
          </w:p>
        </w:tc>
        <w:tc>
          <w:tcPr>
            <w:tcW w:w="34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C106AE"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Weak governance failed to detect declining care quality and rising mortality (Francis, 2013)</w:t>
            </w:r>
          </w:p>
        </w:tc>
        <w:tc>
          <w:tcPr>
            <w:tcW w:w="34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9F30A"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Stronger monitoring and inspection introduced by the Care Quality Commission</w:t>
            </w:r>
          </w:p>
        </w:tc>
      </w:tr>
      <w:tr w:rsidR="00E2587D" w:rsidRPr="00237AC6" w14:paraId="78E2E32B" w14:textId="77777777">
        <w:trPr>
          <w:trHeight w:val="1085"/>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AE8178"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Patient-centred care and basic nursing standards</w:t>
            </w:r>
          </w:p>
        </w:tc>
        <w:tc>
          <w:tcPr>
            <w:tcW w:w="34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99E94"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Patients experienced neglect of hygiene, nutrition, hydration and basic care</w:t>
            </w:r>
          </w:p>
        </w:tc>
        <w:tc>
          <w:tcPr>
            <w:tcW w:w="34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56EA8"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Improved patient-centred care standards across the National Health Service</w:t>
            </w:r>
          </w:p>
        </w:tc>
      </w:tr>
      <w:tr w:rsidR="00E2587D" w:rsidRPr="00237AC6" w14:paraId="25885415" w14:textId="77777777">
        <w:trPr>
          <w:trHeight w:val="1085"/>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31D50B"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Complaint handling systems</w:t>
            </w:r>
          </w:p>
        </w:tc>
        <w:tc>
          <w:tcPr>
            <w:tcW w:w="34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C6DA8B"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Patient complaints were ignored or delayed without proper investigation</w:t>
            </w:r>
          </w:p>
        </w:tc>
        <w:tc>
          <w:tcPr>
            <w:tcW w:w="34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ACE46"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Mandatory complaint investigation and organisational learning systems</w:t>
            </w:r>
          </w:p>
        </w:tc>
      </w:tr>
      <w:tr w:rsidR="00E2587D" w:rsidRPr="00237AC6" w14:paraId="3E98205F" w14:textId="77777777">
        <w:trPr>
          <w:trHeight w:val="1085"/>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E7ED2"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Organisational culture</w:t>
            </w:r>
          </w:p>
        </w:tc>
        <w:tc>
          <w:tcPr>
            <w:tcW w:w="344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242C49"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culture of fear discouraged staff from raising concerns</w:t>
            </w:r>
          </w:p>
        </w:tc>
        <w:tc>
          <w:tcPr>
            <w:tcW w:w="34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C3B8E0"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Whistleblowing protection and Freedom to Speak Up initiatives after the Francis Report</w:t>
            </w:r>
          </w:p>
        </w:tc>
      </w:tr>
    </w:tbl>
    <w:p w14:paraId="6D1EC2C9" w14:textId="1A30D902" w:rsidR="0027439F" w:rsidRPr="00237AC6" w:rsidRDefault="00C04963" w:rsidP="00123EA9">
      <w:pPr>
        <w:spacing w:before="240" w:after="240" w:line="360" w:lineRule="auto"/>
        <w:jc w:val="center"/>
        <w:rPr>
          <w:rFonts w:eastAsia="Times New Roman"/>
          <w:b/>
          <w:bCs/>
          <w:color w:val="000000" w:themeColor="text1"/>
          <w:lang w:val="en-GB"/>
        </w:rPr>
      </w:pPr>
      <w:r w:rsidRPr="00237AC6">
        <w:rPr>
          <w:rFonts w:eastAsia="Times New Roman"/>
          <w:b/>
          <w:bCs/>
          <w:color w:val="000000" w:themeColor="text1"/>
          <w:lang w:val="en-GB"/>
        </w:rPr>
        <w:t>Table 2: Benchmark table</w:t>
      </w:r>
    </w:p>
    <w:p w14:paraId="6A4DE707" w14:textId="77777777" w:rsidR="00252291" w:rsidRPr="00237AC6" w:rsidRDefault="00252291" w:rsidP="00123EA9">
      <w:pPr>
        <w:spacing w:before="240" w:after="240" w:line="360" w:lineRule="auto"/>
        <w:jc w:val="center"/>
        <w:rPr>
          <w:rFonts w:eastAsia="Times New Roman"/>
          <w:color w:val="000000" w:themeColor="text1"/>
          <w:lang w:val="en-GB"/>
        </w:rPr>
      </w:pPr>
    </w:p>
    <w:p w14:paraId="502396E6" w14:textId="4D2A4961" w:rsidR="0027439F" w:rsidRPr="00237AC6" w:rsidRDefault="00C04963" w:rsidP="00123EA9">
      <w:pPr>
        <w:spacing w:before="240" w:after="240" w:line="360" w:lineRule="auto"/>
        <w:jc w:val="center"/>
        <w:rPr>
          <w:rFonts w:eastAsia="Times New Roman"/>
          <w:color w:val="000000" w:themeColor="text1"/>
          <w:lang w:val="en-GB"/>
        </w:rPr>
      </w:pPr>
      <w:r w:rsidRPr="00237AC6">
        <w:rPr>
          <w:rFonts w:eastAsia="Times New Roman"/>
          <w:color w:val="000000" w:themeColor="text1"/>
          <w:lang w:val="en-GB"/>
        </w:rPr>
        <w:t>(Source: Self-developed)</w:t>
      </w:r>
    </w:p>
    <w:p w14:paraId="0060D564" w14:textId="77777777" w:rsidR="0027439F" w:rsidRPr="00237AC6" w:rsidRDefault="00C04963" w:rsidP="00D27FD3">
      <w:pPr>
        <w:pStyle w:val="Heading1"/>
        <w:spacing w:before="240" w:after="240"/>
        <w:rPr>
          <w:color w:val="000000" w:themeColor="text1"/>
          <w:sz w:val="22"/>
          <w:szCs w:val="22"/>
          <w:lang w:val="en-GB"/>
        </w:rPr>
      </w:pPr>
      <w:bookmarkStart w:id="8" w:name="_Toc225529213"/>
      <w:r w:rsidRPr="00237AC6">
        <w:rPr>
          <w:color w:val="000000" w:themeColor="text1"/>
          <w:sz w:val="22"/>
          <w:szCs w:val="22"/>
          <w:lang w:val="en-GB"/>
        </w:rPr>
        <w:lastRenderedPageBreak/>
        <w:t>4. Conclusion</w:t>
      </w:r>
      <w:bookmarkEnd w:id="8"/>
      <w:r w:rsidRPr="00237AC6">
        <w:rPr>
          <w:color w:val="000000" w:themeColor="text1"/>
          <w:sz w:val="22"/>
          <w:szCs w:val="22"/>
          <w:lang w:val="en-GB"/>
        </w:rPr>
        <w:t xml:space="preserve"> </w:t>
      </w:r>
    </w:p>
    <w:p w14:paraId="1DE71D05"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The case of the Mid Staffordshire NHS Foundation Trust is one of the most massive healthcare quality failures in the United Kingdom, pointing to the severity of poor governance, leadership, and quality assurance systems. The case analysis based on the Donabedian Model revealed that the adversity of the communication level between patients and healthcare facilities, as well as providers was the result of a malfunction in the healthcare structure, processes, and outcomes. This was caused by structural weaknesses such as nurse shortages and leaders, coupled with ineffective care processes like regular audits and missed patient complaints, which ultimately led to negative patient outcomes and mortality.</w:t>
      </w:r>
    </w:p>
    <w:p w14:paraId="46510B6E" w14:textId="77777777" w:rsidR="0027439F" w:rsidRPr="00237AC6" w:rsidRDefault="00C04963" w:rsidP="00D27FD3">
      <w:pPr>
        <w:spacing w:before="240" w:after="240" w:line="360" w:lineRule="auto"/>
        <w:jc w:val="both"/>
        <w:rPr>
          <w:rFonts w:eastAsia="Times New Roman"/>
          <w:color w:val="000000" w:themeColor="text1"/>
          <w:lang w:val="en-GB"/>
        </w:rPr>
      </w:pPr>
      <w:r w:rsidRPr="00237AC6">
        <w:rPr>
          <w:rFonts w:eastAsia="Times New Roman"/>
          <w:color w:val="000000" w:themeColor="text1"/>
          <w:lang w:val="en-GB"/>
        </w:rPr>
        <w:t>Moreover, the Fishbone Diagram aided in the establishment of various root causes of the crisis, such as priorities of the leaders, staffing shortages, lack of staff training, and poor governance systems. SWOT Analysis strategic assessment also identified the weaknesses and external pressures of the organisation that led to the deterioration of the quality of healthcare. The use of quality improvement frameworks such as the PDSA Cycle and Change Model introduced by Kotter also illustrated the way organised quality improvement measures can be used to facilitate a sustainable organisational change. Altogether, the results highlight the role of robust leadership, proper clinical governance, staffing, and an open feedback system in ensuring the quality of healthcare. The given improvements can assist healthcare organisations in improving patient safety, increasing accountability, and avoiding similar systemic failures in the future.</w:t>
      </w:r>
    </w:p>
    <w:p w14:paraId="2E304F2F" w14:textId="77777777" w:rsidR="0027439F" w:rsidRPr="00237AC6" w:rsidRDefault="00C04963" w:rsidP="00D27FD3">
      <w:pPr>
        <w:spacing w:before="240" w:after="240" w:line="360" w:lineRule="auto"/>
        <w:jc w:val="both"/>
        <w:rPr>
          <w:rFonts w:eastAsia="Times New Roman"/>
          <w:lang w:val="en-GB"/>
        </w:rPr>
      </w:pPr>
      <w:r w:rsidRPr="00237AC6">
        <w:rPr>
          <w:rFonts w:eastAsia="Times New Roman"/>
          <w:lang w:val="en-GB"/>
        </w:rPr>
        <w:t xml:space="preserve"> </w:t>
      </w:r>
      <w:r w:rsidRPr="00237AC6">
        <w:rPr>
          <w:lang w:val="en-GB"/>
        </w:rPr>
        <w:br w:type="page"/>
      </w:r>
    </w:p>
    <w:p w14:paraId="0E5A77D9" w14:textId="77777777" w:rsidR="0027439F" w:rsidRPr="00237AC6" w:rsidRDefault="00C04963" w:rsidP="00D27FD3">
      <w:pPr>
        <w:pStyle w:val="Heading1"/>
        <w:spacing w:before="240" w:after="240"/>
        <w:rPr>
          <w:sz w:val="22"/>
          <w:szCs w:val="22"/>
          <w:lang w:val="en-GB"/>
        </w:rPr>
      </w:pPr>
      <w:bookmarkStart w:id="9" w:name="_Toc225529214"/>
      <w:r w:rsidRPr="00237AC6">
        <w:rPr>
          <w:sz w:val="22"/>
          <w:szCs w:val="22"/>
          <w:lang w:val="en-GB"/>
        </w:rPr>
        <w:lastRenderedPageBreak/>
        <w:t>References</w:t>
      </w:r>
      <w:bookmarkEnd w:id="9"/>
    </w:p>
    <w:p w14:paraId="11B1CBB4"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Abdelhalim, A., Zargoush, M., Archer, N. and Roham, M., 2024. Decoding the persistence of delayed hospital discharge: An in</w:t>
      </w:r>
      <w:r w:rsidRPr="00237AC6">
        <w:rPr>
          <w:rFonts w:ascii="Cambria Math" w:eastAsia="Times New Roman" w:hAnsi="Cambria Math" w:cs="Cambria Math"/>
          <w:lang w:val="en-GB"/>
        </w:rPr>
        <w:t>‐</w:t>
      </w:r>
      <w:r w:rsidRPr="00237AC6">
        <w:rPr>
          <w:rFonts w:eastAsia="Times New Roman"/>
          <w:lang w:val="en-GB"/>
        </w:rPr>
        <w:t xml:space="preserve">depth scoping review and insights from two decades. Health Expectations, 27(2), p.e14050.DOI: </w:t>
      </w:r>
      <w:hyperlink r:id="rId14">
        <w:r w:rsidRPr="00237AC6">
          <w:rPr>
            <w:rFonts w:eastAsia="Times New Roman"/>
            <w:color w:val="1155CC"/>
            <w:u w:val="single"/>
            <w:lang w:val="en-GB"/>
          </w:rPr>
          <w:t>10.1111/hex.14050</w:t>
        </w:r>
      </w:hyperlink>
    </w:p>
    <w:p w14:paraId="6CE06618"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Abdullah, Z.O., Çelik, T. and Çelik, T., 2025. Proposing an Affordable Real-Time Camera-Based Safety and Quality Management Framework for Construction Industries in Developing Countries. Buildings, 15(2), p.156.</w:t>
      </w:r>
      <w:hyperlink r:id="rId15">
        <w:r w:rsidRPr="00237AC6">
          <w:rPr>
            <w:rFonts w:eastAsia="Times New Roman"/>
            <w:color w:val="1155CC"/>
            <w:u w:val="single"/>
            <w:lang w:val="en-GB"/>
          </w:rPr>
          <w:t>https://doi.org/10.3390/buildings15020156</w:t>
        </w:r>
      </w:hyperlink>
    </w:p>
    <w:p w14:paraId="77B99F46"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Abor, P.A. and Tetteh, C.K., 2023. Accountability and transparency: Is this possible in hospital governance?. Cogent Business &amp; Management, 10(3), p.2266188.</w:t>
      </w:r>
      <w:hyperlink r:id="rId16">
        <w:r w:rsidRPr="00237AC6">
          <w:rPr>
            <w:rFonts w:eastAsia="Times New Roman"/>
            <w:color w:val="1155CC"/>
            <w:u w:val="single"/>
            <w:lang w:val="en-GB"/>
          </w:rPr>
          <w:t>https://doi.org/10.1080/23311975.2023.2266188</w:t>
        </w:r>
      </w:hyperlink>
    </w:p>
    <w:p w14:paraId="27204AAD"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 xml:space="preserve">Abuzied, Y., Alshammary, S.A., Alhalahlah, T. and Somduth, S., 2023. Using FOCUS-PDSA quality improvement methodology model in healthcare: process and outcomes. Global Journal on Quality and Safety in Healthcare, 6(2), pp.70-72.DOI: </w:t>
      </w:r>
      <w:hyperlink r:id="rId17">
        <w:r w:rsidRPr="00237AC6">
          <w:rPr>
            <w:rFonts w:eastAsia="Times New Roman"/>
            <w:color w:val="1155CC"/>
            <w:u w:val="single"/>
            <w:lang w:val="en-GB"/>
          </w:rPr>
          <w:t>10.36401/JQSH-22-19.</w:t>
        </w:r>
      </w:hyperlink>
    </w:p>
    <w:p w14:paraId="1CDD8745"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Al Owad, A., Yadav, N., Kumar, V., Swarnakar, V., Jayakrishna, K., Haridy, S. and Yadav, V., 2025. Integrated Lean Six Sigma and Kotter change management framework for emergency healthcare services in Saudi Arabia. Benchmarking: An International Journal, 32(1), pp.299-331.</w:t>
      </w:r>
      <w:hyperlink r:id="rId18">
        <w:r w:rsidRPr="00237AC6">
          <w:rPr>
            <w:rFonts w:eastAsia="Times New Roman"/>
            <w:color w:val="1155CC"/>
            <w:u w:val="single"/>
            <w:lang w:val="en-GB"/>
          </w:rPr>
          <w:t>https://doi.org/10.1108/BIJ-05-2023-0335</w:t>
        </w:r>
      </w:hyperlink>
    </w:p>
    <w:p w14:paraId="799B3349"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Antonopoulou, V., Meyer, C., Chadwick, P., Gibson, B., Sniehotta, F.F., Vlaev, I., Vassova, A., Goffe, L., Lorencatto, F., McKinlay, A. and Chater, A.M., 2024. Understanding healthcare professionals’ responses to patient complaints in secondary and tertiary care in the UK: A systematic review and behavioural analysis using the Theoretical Domains Framework. Health research policy and systems, 22(1), p.137.</w:t>
      </w:r>
      <w:hyperlink r:id="rId19">
        <w:r w:rsidRPr="00237AC6">
          <w:rPr>
            <w:rFonts w:eastAsia="Times New Roman"/>
            <w:color w:val="1155CC"/>
            <w:u w:val="single"/>
            <w:lang w:val="en-GB"/>
          </w:rPr>
          <w:t>https://doi.org/10.1186/s12961-024-01209-4</w:t>
        </w:r>
      </w:hyperlink>
    </w:p>
    <w:p w14:paraId="520B73D3"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Batiha, A.M., 2025. Evaluating nurse-to-patient ratio legislation to improve patient safety and care quality: A mixed-methods policy study. Applied Nursing Research, p.151989.</w:t>
      </w:r>
      <w:hyperlink r:id="rId20">
        <w:r w:rsidRPr="00237AC6">
          <w:rPr>
            <w:rFonts w:eastAsia="Times New Roman"/>
            <w:color w:val="1155CC"/>
            <w:u w:val="single"/>
            <w:lang w:val="en-GB"/>
          </w:rPr>
          <w:t>https://doi.org/10.1016/j.apnr.2025.151989</w:t>
        </w:r>
      </w:hyperlink>
    </w:p>
    <w:p w14:paraId="1C674CAE"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Dietl, J.E., Derksen, C., Keller, F.M., Schmiedhofer, M. and Lippke, S., 2023. Psychosocial processes in healthcare workers: How individuals’ perceptions of interpersonal communication is related to patient safety threats and higher-quality care. International journal of environmental research and public health, 20(9), p.5698.</w:t>
      </w:r>
      <w:hyperlink r:id="rId21">
        <w:r w:rsidRPr="00237AC6">
          <w:rPr>
            <w:rFonts w:eastAsia="Times New Roman"/>
            <w:color w:val="1155CC"/>
            <w:u w:val="single"/>
            <w:lang w:val="en-GB"/>
          </w:rPr>
          <w:t>https://doi.org/10.3390/ijerph20095698</w:t>
        </w:r>
      </w:hyperlink>
    </w:p>
    <w:p w14:paraId="41F57FAF"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lastRenderedPageBreak/>
        <w:t>Dirik, H.F. and Seren Intepeler, S., 2024. An authentic leadership training programme to increase nurse empowerment and patient safety: A quasi</w:t>
      </w:r>
      <w:r w:rsidRPr="00237AC6">
        <w:rPr>
          <w:rFonts w:ascii="Cambria Math" w:eastAsia="Times New Roman" w:hAnsi="Cambria Math" w:cs="Cambria Math"/>
          <w:lang w:val="en-GB"/>
        </w:rPr>
        <w:t>‐</w:t>
      </w:r>
      <w:r w:rsidRPr="00237AC6">
        <w:rPr>
          <w:rFonts w:eastAsia="Times New Roman"/>
          <w:lang w:val="en-GB"/>
        </w:rPr>
        <w:t xml:space="preserve">experimental study. Journal of Advanced Nursing, 80(4), pp.1417-1428.DOI: </w:t>
      </w:r>
      <w:hyperlink r:id="rId22">
        <w:r w:rsidRPr="00237AC6">
          <w:rPr>
            <w:rFonts w:eastAsia="Times New Roman"/>
            <w:color w:val="1155CC"/>
            <w:u w:val="single"/>
            <w:lang w:val="en-GB"/>
          </w:rPr>
          <w:t xml:space="preserve">10.1111/jan.15926 </w:t>
        </w:r>
      </w:hyperlink>
    </w:p>
    <w:p w14:paraId="02303990"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Endalamaw, A., Khatri, R.B., Mengistu, T.S., Erku, D., Wolka, E., Zewdie, A. and Assefa, Y., 2024. A scoping review of continuous quality improvement in healthcare system: conceptualization, models and tools, barriers and facilitators, and impact. BMC health services research, 24(1), p.487.</w:t>
      </w:r>
      <w:hyperlink r:id="rId23">
        <w:r w:rsidRPr="00237AC6">
          <w:rPr>
            <w:rFonts w:eastAsia="Times New Roman"/>
            <w:color w:val="1155CC"/>
            <w:u w:val="single"/>
            <w:lang w:val="en-GB"/>
          </w:rPr>
          <w:t>https://doi.org/10.1186/s12913-024-10828-0</w:t>
        </w:r>
      </w:hyperlink>
    </w:p>
    <w:p w14:paraId="0F1D0CC0" w14:textId="13B885B0"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Francis, R.</w:t>
      </w:r>
      <w:r w:rsidR="00593ED4" w:rsidRPr="00237AC6">
        <w:rPr>
          <w:rFonts w:eastAsia="Times New Roman"/>
          <w:lang w:val="en-GB"/>
        </w:rPr>
        <w:t xml:space="preserve">, </w:t>
      </w:r>
      <w:r w:rsidRPr="00237AC6">
        <w:rPr>
          <w:rFonts w:eastAsia="Times New Roman"/>
          <w:lang w:val="en-GB"/>
        </w:rPr>
        <w:t xml:space="preserve">2013. Report of the Mid Staffordshire NHS Foundation Trust Public Inquiry. [online] GOV.UK. Available at: </w:t>
      </w:r>
      <w:hyperlink r:id="rId24" w:history="1">
        <w:r w:rsidR="001E1E6D" w:rsidRPr="00237AC6">
          <w:rPr>
            <w:rStyle w:val="Hyperlink"/>
            <w:rFonts w:eastAsia="Times New Roman"/>
            <w:lang w:val="en-GB"/>
          </w:rPr>
          <w:t>https://www.gov.uk/government/publications/report-of-the-mid-staffordshire-nhs-foundation-trust-public-inquiry</w:t>
        </w:r>
      </w:hyperlink>
      <w:r w:rsidRPr="00237AC6">
        <w:rPr>
          <w:rFonts w:eastAsia="Times New Roman"/>
          <w:lang w:val="en-GB"/>
        </w:rPr>
        <w:t>.</w:t>
      </w:r>
      <w:r w:rsidR="001E1E6D" w:rsidRPr="00237AC6">
        <w:rPr>
          <w:rFonts w:eastAsia="Times New Roman"/>
          <w:lang w:val="en-GB"/>
        </w:rPr>
        <w:t xml:space="preserve"> </w:t>
      </w:r>
    </w:p>
    <w:p w14:paraId="687EE782" w14:textId="4CF9A4F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Francis, R.</w:t>
      </w:r>
      <w:r w:rsidR="002E2697" w:rsidRPr="00237AC6">
        <w:rPr>
          <w:rFonts w:eastAsia="Times New Roman"/>
          <w:lang w:val="en-GB"/>
        </w:rPr>
        <w:t xml:space="preserve">, </w:t>
      </w:r>
      <w:r w:rsidRPr="00237AC6">
        <w:rPr>
          <w:rFonts w:eastAsia="Times New Roman"/>
          <w:lang w:val="en-GB"/>
        </w:rPr>
        <w:t xml:space="preserve">2013. The Mid Staffordshire NHS Foundation Trust Public Inquiry Report of the Mid Staffordshire NHS Foundation Trust Public Inquiry Executive Summary HC947. [Online] </w:t>
      </w:r>
      <w:hyperlink r:id="rId25">
        <w:r w:rsidRPr="00237AC6">
          <w:rPr>
            <w:rFonts w:eastAsia="Times New Roman"/>
            <w:color w:val="1155CC"/>
            <w:u w:val="single"/>
            <w:lang w:val="en-GB"/>
          </w:rPr>
          <w:t>Gov.UK</w:t>
        </w:r>
      </w:hyperlink>
      <w:r w:rsidRPr="00237AC6">
        <w:rPr>
          <w:rFonts w:eastAsia="Times New Roman"/>
          <w:lang w:val="en-GB"/>
        </w:rPr>
        <w:t>. Available At:</w:t>
      </w:r>
      <w:r w:rsidR="0055636E" w:rsidRPr="00237AC6">
        <w:rPr>
          <w:rFonts w:eastAsia="Times New Roman"/>
          <w:lang w:val="en-GB"/>
        </w:rPr>
        <w:t xml:space="preserve"> </w:t>
      </w:r>
      <w:hyperlink r:id="rId26" w:history="1">
        <w:r w:rsidR="0055636E" w:rsidRPr="00237AC6">
          <w:rPr>
            <w:rStyle w:val="Hyperlink"/>
            <w:rFonts w:eastAsia="Times New Roman"/>
            <w:lang w:val="en-GB"/>
          </w:rPr>
          <w:t>https://assets.publishing.service.gov.uk/government/uploads/system/uploads/attachment_data/file/279124/0947.pdf</w:t>
        </w:r>
      </w:hyperlink>
      <w:r w:rsidR="0055636E" w:rsidRPr="00237AC6">
        <w:rPr>
          <w:rFonts w:eastAsia="Times New Roman"/>
          <w:lang w:val="en-GB"/>
        </w:rPr>
        <w:t xml:space="preserve"> </w:t>
      </w:r>
    </w:p>
    <w:p w14:paraId="67845B30"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Graves, L., Dalgarno, N., Van Hoorn, R., Hastings-Truelove, A., Mulder, J., Kolomitro, K., Kirby, F. and van Wylick, R., 2023. Creating change: Kotter’s change management model in action. Canadian medical education journal, 14(3), p.136.</w:t>
      </w:r>
      <w:hyperlink r:id="rId27">
        <w:r w:rsidRPr="00237AC6">
          <w:rPr>
            <w:rFonts w:eastAsia="Times New Roman"/>
            <w:color w:val="1155CC"/>
            <w:u w:val="single"/>
            <w:lang w:val="en-GB"/>
          </w:rPr>
          <w:t>https://doi.org/10.36834/cmej.76680</w:t>
        </w:r>
      </w:hyperlink>
    </w:p>
    <w:p w14:paraId="5BAB2F08"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Heydarikhayat, N., Ghanbarzehi, N. and Sabagh, K., 2024. Strategies to prevent medical errors by nursing interns: a qualitative content analysis. BMC nursing, 23(1), p.48.</w:t>
      </w:r>
      <w:hyperlink r:id="rId28">
        <w:r w:rsidRPr="00237AC6">
          <w:rPr>
            <w:rFonts w:eastAsia="Times New Roman"/>
            <w:color w:val="1155CC"/>
            <w:u w:val="single"/>
            <w:lang w:val="en-GB"/>
          </w:rPr>
          <w:t>https://doi.org/10.1186/s12912-024-01726-1</w:t>
        </w:r>
      </w:hyperlink>
    </w:p>
    <w:p w14:paraId="513823A4" w14:textId="1B31F4A0"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‌Holmes, D.</w:t>
      </w:r>
      <w:r w:rsidR="00901A76" w:rsidRPr="00237AC6">
        <w:rPr>
          <w:rFonts w:eastAsia="Times New Roman"/>
          <w:lang w:val="en-GB"/>
        </w:rPr>
        <w:t xml:space="preserve">, </w:t>
      </w:r>
      <w:r w:rsidRPr="00237AC6">
        <w:rPr>
          <w:rFonts w:eastAsia="Times New Roman"/>
          <w:lang w:val="en-GB"/>
        </w:rPr>
        <w:t>2013. Mid Staffordshire Scandal Highlights NHS Cultural Crisis. The Lancet, [online] 381(9866), pp.521–522. doi:</w:t>
      </w:r>
      <w:hyperlink r:id="rId29">
        <w:r w:rsidRPr="00237AC6">
          <w:rPr>
            <w:rFonts w:eastAsia="Times New Roman"/>
            <w:color w:val="1155CC"/>
            <w:u w:val="single"/>
            <w:lang w:val="en-GB"/>
          </w:rPr>
          <w:t>https://doi.org/10.1016/s0140-6736(13)60264-0</w:t>
        </w:r>
      </w:hyperlink>
      <w:r w:rsidRPr="00237AC6">
        <w:rPr>
          <w:rFonts w:eastAsia="Times New Roman"/>
          <w:lang w:val="en-GB"/>
        </w:rPr>
        <w:t>.</w:t>
      </w:r>
    </w:p>
    <w:p w14:paraId="71BC2D55"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Kumah, A., Nwogu, C.N., Issah, A.R., Obot, E., Kanamitie, D.T., Sifa, J.S. and Aidoo, L.A., 2024. Cause-and-effect (fishbone) diagram: a tool for generating and organizing quality improvement ideas. Global Journal on Quality and Safety in Healthcare, 7(2), pp.85-87.</w:t>
      </w:r>
      <w:hyperlink r:id="rId30">
        <w:r w:rsidRPr="00237AC6">
          <w:rPr>
            <w:rFonts w:eastAsia="Times New Roman"/>
            <w:color w:val="1155CC"/>
            <w:u w:val="single"/>
            <w:lang w:val="en-GB"/>
          </w:rPr>
          <w:t>https://doi.org/10.36401/JQSH-23-42</w:t>
        </w:r>
      </w:hyperlink>
    </w:p>
    <w:p w14:paraId="5B23FF27"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Levine, D.S. and Drossman, D.A., 2022. Addressing misalignments to improve the US health care system by integrating patient-centred care, patient-centred real-world data, and knowledge-</w:t>
      </w:r>
      <w:r w:rsidRPr="00237AC6">
        <w:rPr>
          <w:rFonts w:eastAsia="Times New Roman"/>
          <w:lang w:val="en-GB"/>
        </w:rPr>
        <w:lastRenderedPageBreak/>
        <w:t>sharing: a review and approaches to system alignment. Discover Health Systems, 1(1), p.8.</w:t>
      </w:r>
      <w:hyperlink r:id="rId31">
        <w:r w:rsidRPr="00237AC6">
          <w:rPr>
            <w:rFonts w:eastAsia="Times New Roman"/>
            <w:color w:val="1155CC"/>
            <w:u w:val="single"/>
            <w:lang w:val="en-GB"/>
          </w:rPr>
          <w:t>https://doi.org/10.1007/s44250-022-00012-8</w:t>
        </w:r>
      </w:hyperlink>
    </w:p>
    <w:p w14:paraId="0F005CF4"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Madine, M., Simsekler, M.C.E., Salah, K. and Ellahham, S., 2025. Applying Quality Improvement Science to Patient Safety: Strategies, Frameworks, and Sustainable Solutions. Risk Management and Healthcare Policy, pp.3781-3791.</w:t>
      </w:r>
      <w:hyperlink r:id="rId32">
        <w:r w:rsidRPr="00237AC6">
          <w:rPr>
            <w:rFonts w:eastAsia="Times New Roman"/>
            <w:color w:val="1155CC"/>
            <w:u w:val="single"/>
            <w:lang w:val="en-GB"/>
          </w:rPr>
          <w:t>https://doi.org/10.2147/RMHP.S564459</w:t>
        </w:r>
      </w:hyperlink>
    </w:p>
    <w:p w14:paraId="1BFAB1B1" w14:textId="7D3BF3CF"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Roberts, D.J.</w:t>
      </w:r>
      <w:r w:rsidR="00DD14EC" w:rsidRPr="00237AC6">
        <w:rPr>
          <w:rFonts w:eastAsia="Times New Roman"/>
          <w:lang w:val="en-GB"/>
        </w:rPr>
        <w:t xml:space="preserve">, </w:t>
      </w:r>
      <w:r w:rsidRPr="00237AC6">
        <w:rPr>
          <w:rFonts w:eastAsia="Times New Roman"/>
          <w:lang w:val="en-GB"/>
        </w:rPr>
        <w:t>2013. The Francis report on the Mid-Staffordshire NHS Foundation Trust: putting patients first. Transfusion Medicine, [online] 23(2), pp.73–76. doi:https://doi.org/10.1111/tme.12032.</w:t>
      </w:r>
    </w:p>
    <w:p w14:paraId="7B7F9DDA"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Tenzer, A., 2024. Impact of IFRS 15 adoption on performance measurement in healthcare–the case of National Health Service Foundation Trusts. Cogent Business &amp; Management, 11(1), p.2331982.</w:t>
      </w:r>
      <w:hyperlink r:id="rId33">
        <w:r w:rsidRPr="00237AC6">
          <w:rPr>
            <w:rFonts w:eastAsia="Times New Roman"/>
            <w:color w:val="1155CC"/>
            <w:u w:val="single"/>
            <w:lang w:val="en-GB"/>
          </w:rPr>
          <w:t>https://doi.org/10.1080/23311975.2024.2331982</w:t>
        </w:r>
      </w:hyperlink>
    </w:p>
    <w:p w14:paraId="69D7AA21" w14:textId="3ADD0450"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Triggle, N.</w:t>
      </w:r>
      <w:r w:rsidR="00315F71" w:rsidRPr="00237AC6">
        <w:rPr>
          <w:rFonts w:eastAsia="Times New Roman"/>
          <w:lang w:val="en-GB"/>
        </w:rPr>
        <w:t xml:space="preserve">, </w:t>
      </w:r>
      <w:r w:rsidRPr="00237AC6">
        <w:rPr>
          <w:rFonts w:eastAsia="Times New Roman"/>
          <w:lang w:val="en-GB"/>
        </w:rPr>
        <w:t>2013. Stafford Hospital: the scandal that shames the NHS. BBC News. [online] 4 Feb. Available at: https://www.bbc.com/news/health-21244190.</w:t>
      </w:r>
    </w:p>
    <w:p w14:paraId="11A6B099" w14:textId="77777777" w:rsidR="00DE2C8E" w:rsidRPr="00237AC6" w:rsidRDefault="00DE2C8E" w:rsidP="00D27FD3">
      <w:pPr>
        <w:spacing w:before="240" w:after="240" w:line="360" w:lineRule="auto"/>
        <w:jc w:val="both"/>
        <w:rPr>
          <w:rFonts w:eastAsia="Times New Roman"/>
          <w:lang w:val="en-GB"/>
        </w:rPr>
      </w:pPr>
      <w:r w:rsidRPr="00237AC6">
        <w:rPr>
          <w:rFonts w:eastAsia="Times New Roman"/>
          <w:lang w:val="en-GB"/>
        </w:rPr>
        <w:t>Van Baarle, E., Hartman, L., Rooijakkers, S., Wallenburg, I., Weenink, J.W., Bal, R. and Widdershoven, G., 2022. Fostering a just culture in healthcare organizations: experiences in practice. BMC Health Services Research, 22(1), p.1035.</w:t>
      </w:r>
      <w:hyperlink r:id="rId34">
        <w:r w:rsidRPr="00237AC6">
          <w:rPr>
            <w:rFonts w:eastAsia="Times New Roman"/>
            <w:color w:val="1155CC"/>
            <w:u w:val="single"/>
            <w:lang w:val="en-GB"/>
          </w:rPr>
          <w:t>https://doi.org/10.1186/s12913-022-08418-z</w:t>
        </w:r>
      </w:hyperlink>
    </w:p>
    <w:p w14:paraId="42D193AE" w14:textId="77777777" w:rsidR="00DE2C8E" w:rsidRPr="00D27FD3" w:rsidRDefault="00DE2C8E" w:rsidP="00D27FD3">
      <w:pPr>
        <w:spacing w:before="240" w:after="240" w:line="360" w:lineRule="auto"/>
        <w:jc w:val="both"/>
        <w:rPr>
          <w:rFonts w:eastAsia="Times New Roman"/>
          <w:lang w:val="en-GB"/>
        </w:rPr>
      </w:pPr>
      <w:r w:rsidRPr="00237AC6">
        <w:rPr>
          <w:rFonts w:eastAsia="Times New Roman"/>
          <w:lang w:val="en-GB"/>
        </w:rPr>
        <w:t>Yang, J., Liu, F., Yang, C., Wei, J., Ma, Y., Xu, L., Xie, J. and Wang, J., 2025. Application of Donabedian Three</w:t>
      </w:r>
      <w:r w:rsidRPr="00237AC6">
        <w:rPr>
          <w:rFonts w:ascii="Cambria Math" w:eastAsia="Times New Roman" w:hAnsi="Cambria Math" w:cs="Cambria Math"/>
          <w:lang w:val="en-GB"/>
        </w:rPr>
        <w:t>‐</w:t>
      </w:r>
      <w:r w:rsidRPr="00237AC6">
        <w:rPr>
          <w:rFonts w:eastAsia="Times New Roman"/>
          <w:lang w:val="en-GB"/>
        </w:rPr>
        <w:t>Dimensional Model in Outpatient Care Quality: A Scoping Review. Journal of nursing management, 2</w:t>
      </w:r>
      <w:r w:rsidRPr="00D27FD3">
        <w:rPr>
          <w:rFonts w:eastAsia="Times New Roman"/>
          <w:lang w:val="en-GB"/>
        </w:rPr>
        <w:t>025(1), p.6893336.</w:t>
      </w:r>
      <w:hyperlink r:id="rId35">
        <w:r w:rsidRPr="00D27FD3">
          <w:rPr>
            <w:rFonts w:eastAsia="Times New Roman"/>
            <w:color w:val="1155CC"/>
            <w:u w:val="single"/>
            <w:lang w:val="en-GB"/>
          </w:rPr>
          <w:t>https://doi.org/10.1155/jonm/6893336</w:t>
        </w:r>
      </w:hyperlink>
    </w:p>
    <w:sectPr w:rsidR="00DE2C8E" w:rsidRPr="00D27FD3" w:rsidSect="00417DAB">
      <w:footerReference w:type="default" r:id="rId36"/>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C41EF" w14:textId="77777777" w:rsidR="009A5103" w:rsidRDefault="009A5103" w:rsidP="005E06B4">
      <w:pPr>
        <w:spacing w:line="240" w:lineRule="auto"/>
      </w:pPr>
      <w:r>
        <w:separator/>
      </w:r>
    </w:p>
  </w:endnote>
  <w:endnote w:type="continuationSeparator" w:id="0">
    <w:p w14:paraId="0FDE75AC" w14:textId="77777777" w:rsidR="009A5103" w:rsidRDefault="009A5103" w:rsidP="005E06B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9CD66F5-6506-43F2-8364-CD91D57A4B59}"/>
  </w:font>
  <w:font w:name="Vrinda">
    <w:panose1 w:val="020B0502040204020203"/>
    <w:charset w:val="00"/>
    <w:family w:val="swiss"/>
    <w:pitch w:val="variable"/>
    <w:sig w:usb0="00010003" w:usb1="00000000" w:usb2="00000000" w:usb3="00000000" w:csb0="00000001" w:csb1="00000000"/>
    <w:embedRegular r:id="rId2" w:fontKey="{BCFAE6CE-5662-42F3-82C9-E4E6439C8AC5}"/>
  </w:font>
  <w:font w:name="Cambria Math">
    <w:panose1 w:val="02040503050406030204"/>
    <w:charset w:val="00"/>
    <w:family w:val="roman"/>
    <w:pitch w:val="variable"/>
    <w:sig w:usb0="E00006FF" w:usb1="420024FF" w:usb2="02000000" w:usb3="00000000" w:csb0="0000019F" w:csb1="00000000"/>
    <w:embedRegular r:id="rId3" w:fontKey="{3860E4D5-9C92-456B-B84E-B7EBC88FEFFA}"/>
  </w:font>
  <w:font w:name="Cambria">
    <w:panose1 w:val="02040503050406030204"/>
    <w:charset w:val="00"/>
    <w:family w:val="roman"/>
    <w:pitch w:val="variable"/>
    <w:sig w:usb0="E00006FF" w:usb1="420024FF" w:usb2="02000000" w:usb3="00000000" w:csb0="0000019F" w:csb1="00000000"/>
    <w:embedRegular r:id="rId4" w:fontKey="{8C62EA50-1E5A-44B2-9DB5-22749660DAA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672671"/>
      <w:docPartObj>
        <w:docPartGallery w:val="Page Numbers (Bottom of Page)"/>
        <w:docPartUnique/>
      </w:docPartObj>
    </w:sdtPr>
    <w:sdtEndPr>
      <w:rPr>
        <w:noProof/>
      </w:rPr>
    </w:sdtEndPr>
    <w:sdtContent>
      <w:p w14:paraId="17A9D2EF" w14:textId="55F1A0A1" w:rsidR="005E06B4" w:rsidRDefault="005E06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95458" w14:textId="77777777" w:rsidR="005E06B4" w:rsidRDefault="005E06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759247" w14:textId="77777777" w:rsidR="009A5103" w:rsidRDefault="009A5103" w:rsidP="005E06B4">
      <w:pPr>
        <w:spacing w:line="240" w:lineRule="auto"/>
      </w:pPr>
      <w:r>
        <w:separator/>
      </w:r>
    </w:p>
  </w:footnote>
  <w:footnote w:type="continuationSeparator" w:id="0">
    <w:p w14:paraId="3691D7D4" w14:textId="77777777" w:rsidR="009A5103" w:rsidRDefault="009A5103" w:rsidP="005E06B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439F"/>
    <w:rsid w:val="000661E0"/>
    <w:rsid w:val="000D2D34"/>
    <w:rsid w:val="000D2F2B"/>
    <w:rsid w:val="00123EA9"/>
    <w:rsid w:val="001E1E6D"/>
    <w:rsid w:val="002030B3"/>
    <w:rsid w:val="002132E7"/>
    <w:rsid w:val="00237AC6"/>
    <w:rsid w:val="00252291"/>
    <w:rsid w:val="0027439F"/>
    <w:rsid w:val="00276A06"/>
    <w:rsid w:val="002A7D27"/>
    <w:rsid w:val="002E2697"/>
    <w:rsid w:val="00315F71"/>
    <w:rsid w:val="003B6178"/>
    <w:rsid w:val="004148DB"/>
    <w:rsid w:val="00417DAB"/>
    <w:rsid w:val="00444E2B"/>
    <w:rsid w:val="00483630"/>
    <w:rsid w:val="004A0163"/>
    <w:rsid w:val="004B37D7"/>
    <w:rsid w:val="0055636E"/>
    <w:rsid w:val="005767AF"/>
    <w:rsid w:val="00593ED4"/>
    <w:rsid w:val="005E06B4"/>
    <w:rsid w:val="00661CD7"/>
    <w:rsid w:val="00676CDD"/>
    <w:rsid w:val="00683A54"/>
    <w:rsid w:val="006E05E8"/>
    <w:rsid w:val="008B486E"/>
    <w:rsid w:val="00901A76"/>
    <w:rsid w:val="00963859"/>
    <w:rsid w:val="009A5103"/>
    <w:rsid w:val="00AA6E2C"/>
    <w:rsid w:val="00AF624C"/>
    <w:rsid w:val="00B24F79"/>
    <w:rsid w:val="00BA01BB"/>
    <w:rsid w:val="00C04963"/>
    <w:rsid w:val="00C6691D"/>
    <w:rsid w:val="00CE0EEB"/>
    <w:rsid w:val="00D13B37"/>
    <w:rsid w:val="00D27FD3"/>
    <w:rsid w:val="00D55310"/>
    <w:rsid w:val="00DD14EC"/>
    <w:rsid w:val="00DE2C8E"/>
    <w:rsid w:val="00E23C4C"/>
    <w:rsid w:val="00E2587D"/>
    <w:rsid w:val="00EC6043"/>
    <w:rsid w:val="00FC56C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B9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E2C8E"/>
    <w:pPr>
      <w:spacing w:line="360" w:lineRule="auto"/>
      <w:jc w:val="both"/>
      <w:outlineLvl w:val="0"/>
    </w:pPr>
    <w:rPr>
      <w:rFonts w:eastAsia="Times New Roman"/>
      <w:b/>
      <w:bCs/>
      <w:sz w:val="24"/>
      <w:szCs w:val="24"/>
    </w:rPr>
  </w:style>
  <w:style w:type="paragraph" w:styleId="Heading2">
    <w:name w:val="heading 2"/>
    <w:basedOn w:val="Normal"/>
    <w:next w:val="Normal"/>
    <w:uiPriority w:val="9"/>
    <w:unhideWhenUsed/>
    <w:qFormat/>
    <w:rsid w:val="00DE2C8E"/>
    <w:pPr>
      <w:spacing w:line="360" w:lineRule="auto"/>
      <w:jc w:val="both"/>
      <w:outlineLvl w:val="1"/>
    </w:pPr>
    <w:rPr>
      <w:rFonts w:eastAsia="Times New Roman"/>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paragraph" w:styleId="TOCHeading">
    <w:name w:val="TOC Heading"/>
    <w:basedOn w:val="Heading1"/>
    <w:next w:val="Normal"/>
    <w:uiPriority w:val="39"/>
    <w:unhideWhenUsed/>
    <w:qFormat/>
    <w:rsid w:val="008B486E"/>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B486E"/>
    <w:pPr>
      <w:spacing w:after="100"/>
    </w:pPr>
  </w:style>
  <w:style w:type="paragraph" w:styleId="TOC2">
    <w:name w:val="toc 2"/>
    <w:basedOn w:val="Normal"/>
    <w:next w:val="Normal"/>
    <w:autoRedefine/>
    <w:uiPriority w:val="39"/>
    <w:unhideWhenUsed/>
    <w:rsid w:val="008B486E"/>
    <w:pPr>
      <w:spacing w:after="100"/>
      <w:ind w:left="220"/>
    </w:pPr>
  </w:style>
  <w:style w:type="character" w:styleId="Hyperlink">
    <w:name w:val="Hyperlink"/>
    <w:basedOn w:val="DefaultParagraphFont"/>
    <w:uiPriority w:val="99"/>
    <w:unhideWhenUsed/>
    <w:rsid w:val="008B486E"/>
    <w:rPr>
      <w:color w:val="0000FF" w:themeColor="hyperlink"/>
      <w:u w:val="single"/>
    </w:rPr>
  </w:style>
  <w:style w:type="paragraph" w:styleId="Header">
    <w:name w:val="header"/>
    <w:basedOn w:val="Normal"/>
    <w:link w:val="HeaderChar"/>
    <w:uiPriority w:val="99"/>
    <w:unhideWhenUsed/>
    <w:rsid w:val="005E06B4"/>
    <w:pPr>
      <w:tabs>
        <w:tab w:val="center" w:pos="4513"/>
        <w:tab w:val="right" w:pos="9026"/>
      </w:tabs>
      <w:spacing w:line="240" w:lineRule="auto"/>
    </w:pPr>
  </w:style>
  <w:style w:type="character" w:customStyle="1" w:styleId="HeaderChar">
    <w:name w:val="Header Char"/>
    <w:basedOn w:val="DefaultParagraphFont"/>
    <w:link w:val="Header"/>
    <w:uiPriority w:val="99"/>
    <w:rsid w:val="005E06B4"/>
  </w:style>
  <w:style w:type="paragraph" w:styleId="Footer">
    <w:name w:val="footer"/>
    <w:basedOn w:val="Normal"/>
    <w:link w:val="FooterChar"/>
    <w:uiPriority w:val="99"/>
    <w:unhideWhenUsed/>
    <w:rsid w:val="005E06B4"/>
    <w:pPr>
      <w:tabs>
        <w:tab w:val="center" w:pos="4513"/>
        <w:tab w:val="right" w:pos="9026"/>
      </w:tabs>
      <w:spacing w:line="240" w:lineRule="auto"/>
    </w:pPr>
  </w:style>
  <w:style w:type="character" w:customStyle="1" w:styleId="FooterChar">
    <w:name w:val="Footer Char"/>
    <w:basedOn w:val="DefaultParagraphFont"/>
    <w:link w:val="Footer"/>
    <w:uiPriority w:val="99"/>
    <w:rsid w:val="005E06B4"/>
  </w:style>
  <w:style w:type="paragraph" w:styleId="NormalWeb">
    <w:name w:val="Normal (Web)"/>
    <w:basedOn w:val="Normal"/>
    <w:uiPriority w:val="99"/>
    <w:semiHidden/>
    <w:unhideWhenUsed/>
    <w:rsid w:val="00AF624C"/>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E1E6D"/>
    <w:rPr>
      <w:color w:val="605E5C"/>
      <w:shd w:val="clear" w:color="auto" w:fill="E1DFDD"/>
    </w:rPr>
  </w:style>
  <w:style w:type="table" w:styleId="PlainTable1">
    <w:name w:val="Plain Table 1"/>
    <w:basedOn w:val="TableNormal"/>
    <w:uiPriority w:val="41"/>
    <w:rsid w:val="004A0163"/>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4A016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108/BIJ-05-2023-0335" TargetMode="External"/><Relationship Id="rId26" Type="http://schemas.openxmlformats.org/officeDocument/2006/relationships/hyperlink" Target="https://assets.publishing.service.gov.uk/government/uploads/system/uploads/attachment_data/file/279124/0947.pdf" TargetMode="External"/><Relationship Id="rId21" Type="http://schemas.openxmlformats.org/officeDocument/2006/relationships/hyperlink" Target="https://doi.org/10.3390/ijerph20095698" TargetMode="External"/><Relationship Id="rId34" Type="http://schemas.openxmlformats.org/officeDocument/2006/relationships/hyperlink" Target="https://doi.org/10.1186/s12913-022-08418-z"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pubmed.ncbi.nlm.nih.gov/37333757/" TargetMode="External"/><Relationship Id="rId25" Type="http://schemas.openxmlformats.org/officeDocument/2006/relationships/hyperlink" Target="http://gov.uk" TargetMode="External"/><Relationship Id="rId33" Type="http://schemas.openxmlformats.org/officeDocument/2006/relationships/hyperlink" Target="https://doi.org/10.1080/23311975.2024.2331982"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23311975.2023.2266188" TargetMode="External"/><Relationship Id="rId20" Type="http://schemas.openxmlformats.org/officeDocument/2006/relationships/hyperlink" Target="https://doi.org/10.1016/j.apnr.2025.151989" TargetMode="External"/><Relationship Id="rId29" Type="http://schemas.openxmlformats.org/officeDocument/2006/relationships/hyperlink" Target="https://doi.org/10.1016/s0140-6736(13)60264-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gov.uk/government/publications/report-of-the-mid-staffordshire-nhs-foundation-trust-public-inquiry" TargetMode="External"/><Relationship Id="rId32" Type="http://schemas.openxmlformats.org/officeDocument/2006/relationships/hyperlink" Target="https://doi.org/10.2147/RMHP.S564459" TargetMode="External"/><Relationship Id="rId37"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3390/buildings15020156" TargetMode="External"/><Relationship Id="rId23" Type="http://schemas.openxmlformats.org/officeDocument/2006/relationships/hyperlink" Target="https://doi.org/10.1186/s12913-024-10828-0" TargetMode="External"/><Relationship Id="rId28" Type="http://schemas.openxmlformats.org/officeDocument/2006/relationships/hyperlink" Target="https://doi.org/10.1186/s12912-024-01726-1"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doi.org/10.1186/s12961-024-01209-4" TargetMode="External"/><Relationship Id="rId31" Type="http://schemas.openxmlformats.org/officeDocument/2006/relationships/hyperlink" Target="https://doi.org/10.1007/s44250-022-00012-8"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pubmed.ncbi.nlm.nih.gov/38628150/" TargetMode="External"/><Relationship Id="rId22" Type="http://schemas.openxmlformats.org/officeDocument/2006/relationships/hyperlink" Target="https://onlinelibrary.wiley.com/doi/10.1111/jan.15926" TargetMode="External"/><Relationship Id="rId27" Type="http://schemas.openxmlformats.org/officeDocument/2006/relationships/hyperlink" Target="https://doi.org/10.36834/cmej.76680" TargetMode="External"/><Relationship Id="rId30" Type="http://schemas.openxmlformats.org/officeDocument/2006/relationships/hyperlink" Target="https://doi.org/10.36401/JQSH-23-42" TargetMode="External"/><Relationship Id="rId35" Type="http://schemas.openxmlformats.org/officeDocument/2006/relationships/hyperlink" Target="https://doi.org/10.1155/jonm/6893336"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1F99B6C-0A26-42E3-A5CD-91FBCA574458}">
  <ds:schemaRefs>
    <ds:schemaRef ds:uri="http://schemas.openxmlformats.org/officeDocument/2006/bibliography"/>
  </ds:schemaRefs>
</ds:datastoreItem>
</file>

<file path=customXml/itemProps2.xml><?xml version="1.0" encoding="utf-8"?>
<ds:datastoreItem xmlns:ds="http://schemas.openxmlformats.org/officeDocument/2006/customXml" ds:itemID="{4855C298-88CC-4CFD-976A-B0D591CD88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1FC4271-98BC-4F12-ACAC-5B9138AD4969}">
  <ds:schemaRefs>
    <ds:schemaRef ds:uri="http://schemas.microsoft.com/sharepoint/v3/contenttype/forms"/>
  </ds:schemaRefs>
</ds:datastoreItem>
</file>

<file path=customXml/itemProps4.xml><?xml version="1.0" encoding="utf-8"?>
<ds:datastoreItem xmlns:ds="http://schemas.openxmlformats.org/officeDocument/2006/customXml" ds:itemID="{3C8C5FF6-A06D-486E-AEC0-8120F8D49E7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4721</Words>
  <Characters>26913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2026-03-27T18:57:00Z</dcterms:created>
  <dcterms:modified xsi:type="dcterms:W3CDTF">2026-03-27T18:57:00Z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