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emf" ContentType="image/emf"/>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278" w:lineRule="auto"/>
        <w:jc w:val="center"/>
      </w:pPr>
    </w:p>
    <w:p>
      <w:pPr>
        <w:jc w:val="center"/>
        <w:rPr>
          <w:rFonts w:ascii="Arial" w:hAnsi="Arial"/>
          <w:b/>
          <w:bCs/>
          <w:sz w:val="36"/>
          <w:szCs w:val="36"/>
        </w:rPr>
      </w:pPr>
    </w:p>
    <w:p>
      <w:pPr>
        <w:jc w:val="center"/>
        <w:rPr>
          <w:rFonts w:ascii="Arial" w:hAnsi="Arial"/>
          <w:b/>
          <w:bCs/>
          <w:sz w:val="28"/>
          <w:szCs w:val="28"/>
        </w:rPr>
      </w:pPr>
      <w:r>
        <w:rPr>
          <w:rFonts w:ascii="Arial" w:hAnsi="Arial"/>
          <w:b/>
          <w:bCs/>
          <w:sz w:val="28"/>
          <w:szCs w:val="28"/>
        </w:rPr>
        <w:tab/>
      </w:r>
      <w:r>
        <w:rPr>
          <w:lang w:val="en-IN" w:eastAsia="en-IN"/>
        </w:rPr>
        <w:drawing>
          <wp:anchor distT="0" distB="0" distL="114300" distR="114300" simplePos="0" relativeHeight="24" behindDoc="1" locked="0" layoutInCell="1" hidden="0" allowOverlap="1">
            <wp:simplePos x="0" y="0"/>
            <wp:positionH relativeFrom="column">
              <wp:posOffset>920376</wp:posOffset>
            </wp:positionH>
            <wp:positionV relativeFrom="paragraph">
              <wp:posOffset>0</wp:posOffset>
            </wp:positionV>
            <wp:extent cx="3878244" cy="2001520"/>
            <wp:effectExtent l="0" t="0" r="0" b="0"/>
            <wp:wrapTopAndBottom/>
            <wp:docPr id="1" name="Images 1"/>
            <wp:cNvGraphicFramePr>
              <a:graphicFrameLocks noChangeAspect="1"/>
            </wp:cNvGraphicFramePr>
            <a:graphic>
              <a:graphicData uri="http://schemas.openxmlformats.org/drawingml/2006/picture">
                <pic:pic>
                  <pic:nvPicPr>
                    <pic:cNvPr id="3" name="Images 3"/>
                    <pic:cNvPicPr/>
                  </pic:nvPicPr>
                  <pic:blipFill>
                    <a:blip r:embed="rId3"/>
                    <a:stretch>
                      <a:fillRect/>
                    </a:stretch>
                  </pic:blipFill>
                  <pic:spPr>
                    <a:xfrm rot="0">
                      <a:off x="0" y="0"/>
                      <a:ext cx="3878244" cy="2001520"/>
                    </a:xfrm>
                    <a:prstGeom prst="rect"/>
                    <a:noFill/>
                    <a:ln w="12700" cmpd="sng" cap="flat">
                      <a:noFill/>
                      <a:prstDash val="solid"/>
                      <a:miter/>
                    </a:ln>
                  </pic:spPr>
                </pic:pic>
              </a:graphicData>
            </a:graphic>
          </wp:anchor>
        </w:drawing>
      </w:r>
      <w:r>
        <w:rPr>
          <w:rFonts w:ascii="Arial" w:hAnsi="Arial"/>
          <w:b/>
          <w:bCs/>
          <w:sz w:val="28"/>
          <w:szCs w:val="28"/>
        </w:rPr>
        <w:t xml:space="preserve"> Student Name: Parth Vipulkumar Patel</w:t>
      </w:r>
    </w:p>
    <w:p>
      <w:pPr>
        <w:jc w:val="center"/>
        <w:rPr>
          <w:rFonts w:ascii="Arial" w:hAnsi="Arial"/>
          <w:b/>
          <w:bCs/>
          <w:sz w:val="28"/>
          <w:szCs w:val="28"/>
        </w:rPr>
      </w:pPr>
      <w:r>
        <w:rPr>
          <w:rFonts w:ascii="Arial" w:hAnsi="Arial"/>
          <w:b/>
          <w:bCs/>
          <w:sz w:val="28"/>
          <w:szCs w:val="28"/>
        </w:rPr>
        <w:t>Student ID: 2532673</w:t>
      </w:r>
    </w:p>
    <w:p>
      <w:pPr>
        <w:jc w:val="center"/>
        <w:rPr>
          <w:rFonts w:ascii="Arial" w:hAnsi="Arial"/>
          <w:b/>
          <w:bCs/>
          <w:sz w:val="28"/>
          <w:szCs w:val="28"/>
        </w:rPr>
      </w:pPr>
      <w:r>
        <w:rPr>
          <w:rFonts w:ascii="Arial" w:hAnsi="Arial"/>
          <w:b/>
          <w:bCs/>
          <w:sz w:val="28"/>
          <w:szCs w:val="28"/>
        </w:rPr>
        <w:t>Master of Business Administration (MBA)</w:t>
      </w:r>
    </w:p>
    <w:p>
      <w:pPr>
        <w:jc w:val="center"/>
        <w:rPr>
          <w:rFonts w:ascii="Arial" w:hAnsi="Arial"/>
          <w:b/>
          <w:bCs/>
          <w:sz w:val="28"/>
          <w:szCs w:val="28"/>
        </w:rPr>
      </w:pPr>
      <w:r>
        <w:rPr>
          <w:rFonts w:ascii="Arial" w:hAnsi="Arial"/>
          <w:b/>
          <w:bCs/>
          <w:sz w:val="28"/>
          <w:szCs w:val="28"/>
        </w:rPr>
        <w:t>Module name: Financial Management</w:t>
      </w:r>
      <w:bookmarkStart w:id="0" w:name="_GoBack"/>
    </w:p>
    <w:p>
      <w:pPr>
        <w:jc w:val="center"/>
        <w:rPr>
          <w:rFonts w:ascii="Arial" w:hAnsi="Arial"/>
          <w:b/>
          <w:bCs/>
          <w:sz w:val="28"/>
          <w:szCs w:val="28"/>
        </w:rPr>
      </w:pPr>
      <w:r>
        <w:rPr>
          <w:rFonts w:ascii="Arial" w:hAnsi="Arial"/>
          <w:b/>
          <w:bCs/>
          <w:sz w:val="28"/>
          <w:szCs w:val="28"/>
        </w:rPr>
        <w:t xml:space="preserve">Module code: LCMB7002 </w:t>
      </w:r>
    </w:p>
    <w:p>
      <w:pPr>
        <w:jc w:val="center"/>
        <w:rPr>
          <w:rFonts w:ascii="Arial" w:hAnsi="Arial"/>
          <w:b/>
          <w:bCs/>
          <w:sz w:val="28"/>
          <w:szCs w:val="28"/>
        </w:rPr>
      </w:pPr>
      <w:r>
        <w:rPr>
          <w:rFonts w:ascii="Arial" w:hAnsi="Arial"/>
          <w:b/>
          <w:bCs/>
          <w:sz w:val="28"/>
          <w:szCs w:val="28"/>
        </w:rPr>
        <w:t>Assignment component: Financial performance and management</w:t>
      </w:r>
    </w:p>
    <w:p>
      <w:pPr>
        <w:jc w:val="center"/>
        <w:rPr>
          <w:rFonts w:ascii="Arial" w:hAnsi="Arial"/>
          <w:b/>
          <w:bCs/>
          <w:sz w:val="28"/>
          <w:szCs w:val="28"/>
        </w:rPr>
      </w:pPr>
      <w:r>
        <w:rPr>
          <w:rFonts w:ascii="Arial" w:hAnsi="Arial"/>
          <w:b/>
          <w:bCs/>
          <w:sz w:val="28"/>
          <w:szCs w:val="28"/>
        </w:rPr>
        <w:t>(InterContinental Hotels Group (IHG) )</w:t>
      </w:r>
    </w:p>
    <w:p>
      <w:pPr>
        <w:jc w:val="center"/>
        <w:rPr>
          <w:rFonts w:ascii="Arial" w:hAnsi="Arial"/>
          <w:b/>
          <w:bCs/>
          <w:sz w:val="28"/>
          <w:szCs w:val="28"/>
        </w:rPr>
      </w:pPr>
      <w:r>
        <w:rPr>
          <w:rFonts w:ascii="Arial" w:hAnsi="Arial"/>
          <w:b/>
          <w:bCs/>
          <w:sz w:val="28"/>
          <w:szCs w:val="28"/>
        </w:rPr>
        <w:t>Lecturer's name: MD Kalam</w:t>
      </w:r>
    </w:p>
    <w:p>
      <w:pPr>
        <w:jc w:val="center"/>
        <w:rPr>
          <w:rFonts w:ascii="Arial" w:hAnsi="Arial"/>
          <w:b/>
          <w:bCs/>
          <w:sz w:val="28"/>
          <w:szCs w:val="28"/>
        </w:rPr>
      </w:pPr>
      <w:r>
        <w:rPr>
          <w:rFonts w:ascii="Arial" w:hAnsi="Arial"/>
          <w:b/>
          <w:bCs/>
          <w:sz w:val="28"/>
          <w:szCs w:val="28"/>
        </w:rPr>
        <w:t>Submission Date: 13 August,2026</w:t>
      </w:r>
    </w:p>
    <w:p>
      <w:pPr>
        <w:jc w:val="center"/>
        <w:rPr>
          <w:rFonts w:ascii="Arial" w:hAnsi="Arial"/>
          <w:b/>
          <w:bCs/>
          <w:sz w:val="28"/>
          <w:szCs w:val="28"/>
        </w:rPr>
      </w:pPr>
      <w:r>
        <w:rPr>
          <w:rFonts w:ascii="Arial" w:hAnsi="Arial"/>
          <w:b/>
          <w:bCs/>
          <w:sz w:val="28"/>
          <w:szCs w:val="28"/>
        </w:rPr>
        <w:t>Word Count: Approx.5000</w:t>
      </w:r>
    </w:p>
    <w:p/>
    <w:p>
      <w:pPr>
        <w:tabs>
          <w:tab w:val="left" w:pos="3823"/>
        </w:tabs>
        <w:rPr>
          <w:rFonts w:ascii="Arial" w:hAnsi="Arial"/>
          <w:b/>
          <w:bCs/>
          <w:sz w:val="28"/>
          <w:szCs w:val="28"/>
        </w:rPr>
      </w:pPr>
    </w:p>
    <w:p>
      <w:pPr>
        <w:jc w:val="center"/>
        <w:rPr>
          <w:rFonts w:ascii="Arial" w:hAnsi="Arial"/>
          <w:b/>
          <w:bCs/>
          <w:sz w:val="28"/>
          <w:szCs w:val="28"/>
        </w:rPr>
      </w:pPr>
    </w:p>
    <w:p>
      <w:pPr>
        <w:rPr>
          <w:rFonts w:ascii="Arial" w:hAnsi="Arial"/>
          <w:b/>
          <w:bCs/>
          <w:sz w:val="28"/>
          <w:szCs w:val="28"/>
        </w:rPr>
      </w:pPr>
    </w:p>
    <w:p>
      <w:pPr>
        <w:jc w:val="center"/>
        <w:rPr>
          <w:rFonts w:ascii="Arial" w:hAnsi="Arial"/>
          <w:b/>
          <w:bCs/>
          <w:sz w:val="28"/>
          <w:szCs w:val="28"/>
        </w:rPr>
      </w:pPr>
      <w:r>
        <w:rPr>
          <w:rFonts w:ascii="Arial" w:hAnsi="Arial"/>
          <w:b/>
          <w:bCs/>
          <w:sz w:val="28"/>
          <w:szCs w:val="28"/>
        </w:rPr>
        <w:t>Term 1</w:t>
      </w:r>
    </w:p>
    <w:p>
      <w:pPr>
        <w:pStyle w:val="24"/>
        <w:spacing w:line="360" w:lineRule="auto"/>
        <w:jc w:val="center"/>
        <w:rPr>
          <w:rFonts w:ascii="Times New Roman" w:cs="Times New Roman" w:hAnsi="Times New Roman"/>
          <w:b/>
          <w:bCs/>
          <w:color w:val="auto"/>
          <w:sz w:val="24"/>
          <w:szCs w:val="24"/>
        </w:rPr>
      </w:pPr>
      <w:r>
        <w:rPr>
          <w:rFonts w:ascii="Times New Roman" w:cs="Times New Roman" w:hAnsi="Times New Roman"/>
          <w:b/>
          <w:bCs/>
          <w:color w:val="auto"/>
          <w:sz w:val="24"/>
          <w:szCs w:val="24"/>
        </w:rPr>
        <w:t>Table Of Contents</w:t>
      </w:r>
    </w:p>
    <w:p>
      <w:pPr>
        <w:pStyle w:val="25"/>
        <w:tabs>
          <w:tab w:val="right" w:leader="dot" w:pos="9350"/>
        </w:tabs>
        <w:rPr>
          <w:rFonts w:ascii="Calibri" w:eastAsia="等线" w:hAnsi="Calibri"/>
          <w:lang w:val="en-US"/>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Hyperlink \l "_Toc233719623"</w:instrText>
      </w:r>
      <w:r>
        <w:fldChar w:fldCharType="separate"/>
      </w:r>
      <w:r>
        <w:t>Financial Health Check</w:t>
        <w:tab/>
      </w:r>
      <w:r>
        <w:fldChar w:fldCharType="begin"/>
      </w:r>
      <w:r>
        <w:instrText xml:space="preserve"> PAGEREF _Toc233719623 \h </w:instrText>
      </w:r>
      <w:r>
        <w:fldChar w:fldCharType="separate"/>
      </w:r>
      <w:r>
        <w:t>4</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"_Toc233719624"</w:instrText>
      </w:r>
      <w:r>
        <w:fldChar w:fldCharType="separate"/>
      </w:r>
      <w:r>
        <w:t>2.1 Five-Year Financial Performance Overview</w:t>
        <w:tab/>
      </w:r>
      <w:r>
        <w:fldChar w:fldCharType="begin"/>
      </w:r>
      <w:r>
        <w:instrText xml:space="preserve"> PAGEREF _Toc233719624 \h </w:instrText>
      </w:r>
      <w:r>
        <w:fldChar w:fldCharType="separate"/>
      </w:r>
      <w:r>
        <w:t>4</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"_Toc233719625"</w:instrText>
      </w:r>
      <w:r>
        <w:fldChar w:fldCharType="separate"/>
      </w:r>
      <w:r>
        <w:t>2.2 Profitability Ratio Analysis</w:t>
        <w:tab/>
      </w:r>
      <w:r>
        <w:fldChar w:fldCharType="begin"/>
      </w:r>
      <w:r>
        <w:instrText xml:space="preserve"> PAGEREF _Toc233719625 \h </w:instrText>
      </w:r>
      <w:r>
        <w:fldChar w:fldCharType="separate"/>
      </w:r>
      <w:r>
        <w:t>4</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"_Toc233719626"</w:instrText>
      </w:r>
      <w:r>
        <w:fldChar w:fldCharType="separate"/>
      </w:r>
      <w:r>
        <w:t>2.3 Liquidity Ratio Analysis</w:t>
        <w:tab/>
      </w:r>
      <w:r>
        <w:fldChar w:fldCharType="begin"/>
      </w:r>
      <w:r>
        <w:instrText xml:space="preserve"> PAGEREF _Toc233719626 \h </w:instrText>
      </w:r>
      <w:r>
        <w:fldChar w:fldCharType="separate"/>
      </w:r>
      <w:r>
        <w:t>5</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"_Toc233719627"</w:instrText>
      </w:r>
      <w:r>
        <w:fldChar w:fldCharType="separate"/>
      </w:r>
      <w:r>
        <w:t>2.4 Efficiency Ratio Analysis</w:t>
        <w:tab/>
      </w:r>
      <w:r>
        <w:fldChar w:fldCharType="begin"/>
      </w:r>
      <w:r>
        <w:instrText xml:space="preserve"> PAGEREF _Toc233719627 \h </w:instrText>
      </w:r>
      <w:r>
        <w:fldChar w:fldCharType="separate"/>
      </w:r>
      <w:r>
        <w:t>6</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"_Toc233719628"</w:instrText>
      </w:r>
      <w:r>
        <w:fldChar w:fldCharType="separate"/>
      </w:r>
      <w:r>
        <w:t>2.5 Gearing Ratio Analysis</w:t>
        <w:tab/>
      </w:r>
      <w:r>
        <w:fldChar w:fldCharType="begin"/>
      </w:r>
      <w:r>
        <w:instrText xml:space="preserve"> PAGEREF _Toc233719628 \h </w:instrText>
      </w:r>
      <w:r>
        <w:fldChar w:fldCharType="separate"/>
      </w:r>
      <w:r>
        <w:t>6</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"_Toc233719629"</w:instrText>
      </w:r>
      <w:r>
        <w:fldChar w:fldCharType="separate"/>
      </w:r>
      <w:r>
        <w:t>2.6 Investment and Cash Flow Ratio Analysis</w:t>
        <w:tab/>
      </w:r>
      <w:r>
        <w:fldChar w:fldCharType="begin"/>
      </w:r>
      <w:r>
        <w:instrText xml:space="preserve"> PAGEREF _Toc233719629 \h </w:instrText>
      </w:r>
      <w:r>
        <w:fldChar w:fldCharType="separate"/>
      </w:r>
      <w:r>
        <w:t>7</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"_Toc233719630"</w:instrText>
      </w:r>
      <w:r>
        <w:fldChar w:fldCharType="separate"/>
      </w:r>
      <w:r>
        <w:t>2.7 Overall Financial Performance Evaluation</w:t>
        <w:tab/>
      </w:r>
      <w:r>
        <w:fldChar w:fldCharType="begin"/>
      </w:r>
      <w:r>
        <w:instrText xml:space="preserve"> PAGEREF _Toc233719630 \h </w:instrText>
      </w:r>
      <w:r>
        <w:fldChar w:fldCharType="separate"/>
      </w:r>
      <w:r>
        <w:t>7</w:t>
      </w:r>
      <w:r>
        <w:fldChar w:fldCharType="end"/>
      </w:r>
      <w:r>
        <w:fldChar w:fldCharType="end"/>
      </w:r>
    </w:p>
    <w:p>
      <w:pPr>
        <w:pStyle w:val="25"/>
        <w:tabs>
          <w:tab w:val="right" w:leader="dot" w:pos="9350"/>
        </w:tabs>
        <w:rPr>
          <w:rFonts w:ascii="Calibri" w:eastAsia="等线" w:hAnsi="Calibri"/>
          <w:lang w:val="en-US"/>
        </w:rPr>
      </w:pPr>
      <w:r>
        <w:fldChar w:fldCharType="begin"/>
      </w:r>
      <w:r>
        <w:instrText>Hyperlink \l "_Toc233719631"</w:instrText>
      </w:r>
      <w:r>
        <w:fldChar w:fldCharType="separate"/>
      </w:r>
      <w:r>
        <w:t>Working Capital Management Analysis</w:t>
        <w:tab/>
      </w:r>
      <w:r>
        <w:fldChar w:fldCharType="begin"/>
      </w:r>
      <w:r>
        <w:instrText xml:space="preserve"> PAGEREF _Toc233719631 \h </w:instrText>
      </w:r>
      <w:r>
        <w:fldChar w:fldCharType="separate"/>
      </w:r>
      <w:r>
        <w:t>8</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"_Toc233719632"</w:instrText>
      </w:r>
      <w:r>
        <w:fldChar w:fldCharType="separate"/>
      </w:r>
      <w:r>
        <w:t>3.1 Cash Operating Cycle Assessment</w:t>
        <w:tab/>
      </w:r>
      <w:r>
        <w:fldChar w:fldCharType="begin"/>
      </w:r>
      <w:r>
        <w:instrText xml:space="preserve"> PAGEREF _Toc233719632 \h </w:instrText>
      </w:r>
      <w:r>
        <w:fldChar w:fldCharType="separate"/>
      </w:r>
      <w:r>
        <w:t>8</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"_Toc233719633"</w:instrText>
      </w:r>
      <w:r>
        <w:fldChar w:fldCharType="separate"/>
      </w:r>
      <w:r>
        <w:t>3.2 Working Capital Improvement Strategies</w:t>
        <w:tab/>
      </w:r>
      <w:r>
        <w:fldChar w:fldCharType="begin"/>
      </w:r>
      <w:r>
        <w:instrText xml:space="preserve"> PAGEREF _Toc233719633 \h </w:instrText>
      </w:r>
      <w:r>
        <w:fldChar w:fldCharType="separate"/>
      </w:r>
      <w:r>
        <w:t>8</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"_Toc233719634"</w:instrText>
      </w:r>
      <w:r>
        <w:fldChar w:fldCharType="separate"/>
      </w:r>
      <w:r>
        <w:t>3.3 Short-Term versus Long-Term Financing Options</w:t>
        <w:tab/>
      </w:r>
      <w:r>
        <w:fldChar w:fldCharType="begin"/>
      </w:r>
      <w:r>
        <w:instrText xml:space="preserve"> PAGEREF _Toc233719634 \h </w:instrText>
      </w:r>
      <w:r>
        <w:fldChar w:fldCharType="separate"/>
      </w:r>
      <w:r>
        <w:t>9</w:t>
      </w:r>
      <w:r>
        <w:fldChar w:fldCharType="end"/>
      </w:r>
      <w:r>
        <w:fldChar w:fldCharType="end"/>
      </w:r>
    </w:p>
    <w:p>
      <w:pPr>
        <w:pStyle w:val="25"/>
        <w:tabs>
          <w:tab w:val="right" w:leader="dot" w:pos="9350"/>
        </w:tabs>
        <w:rPr>
          <w:rFonts w:ascii="Calibri" w:eastAsia="等线" w:hAnsi="Calibri"/>
          <w:lang w:val="en-US"/>
        </w:rPr>
      </w:pPr>
      <w:r>
        <w:fldChar w:fldCharType="begin"/>
      </w:r>
      <w:r>
        <w:instrText>Hyperlink \l "_Toc233719635"</w:instrText>
      </w:r>
      <w:r>
        <w:fldChar w:fldCharType="separate"/>
      </w:r>
      <w:r>
        <w:t>Strategic Financial Restructuring Plan</w:t>
        <w:tab/>
      </w:r>
      <w:r>
        <w:fldChar w:fldCharType="begin"/>
      </w:r>
      <w:r>
        <w:instrText xml:space="preserve"> PAGEREF _Toc233719635 \h </w:instrText>
      </w:r>
      <w:r>
        <w:fldChar w:fldCharType="separate"/>
      </w:r>
      <w:r>
        <w:t>10</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"_Toc233719636"</w:instrText>
      </w:r>
      <w:r>
        <w:fldChar w:fldCharType="separate"/>
      </w:r>
      <w:r>
        <w:t>4.1 Recommended Financial Restructuring Strategy</w:t>
        <w:tab/>
      </w:r>
      <w:r>
        <w:fldChar w:fldCharType="begin"/>
      </w:r>
      <w:r>
        <w:instrText xml:space="preserve"> PAGEREF _Toc233719636 \h </w:instrText>
      </w:r>
      <w:r>
        <w:fldChar w:fldCharType="separate"/>
      </w:r>
      <w:r>
        <w:t>10</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"_Toc233719637"</w:instrText>
      </w:r>
      <w:r>
        <w:fldChar w:fldCharType="separate"/>
      </w:r>
      <w:r>
        <w:t>4.2 Impact on Shareholder Value, Debt Structure and Operational Flexibility</w:t>
        <w:tab/>
      </w:r>
      <w:r>
        <w:fldChar w:fldCharType="begin"/>
      </w:r>
      <w:r>
        <w:instrText xml:space="preserve"> PAGEREF _Toc233719637 \h </w:instrText>
      </w:r>
      <w:r>
        <w:fldChar w:fldCharType="separate"/>
      </w:r>
      <w:r>
        <w:t>11</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"_Toc233719638"</w:instrText>
      </w:r>
      <w:r>
        <w:fldChar w:fldCharType="separate"/>
      </w:r>
      <w:r>
        <w:t>4.3 International Financial and ESG Considerations</w:t>
        <w:tab/>
      </w:r>
      <w:r>
        <w:fldChar w:fldCharType="begin"/>
      </w:r>
      <w:r>
        <w:instrText xml:space="preserve"> PAGEREF _Toc233719638 \h </w:instrText>
      </w:r>
      <w:r>
        <w:fldChar w:fldCharType="separate"/>
      </w:r>
      <w:r>
        <w:t>12</w:t>
      </w:r>
      <w:r>
        <w:fldChar w:fldCharType="end"/>
      </w:r>
      <w:r>
        <w:fldChar w:fldCharType="end"/>
      </w:r>
    </w:p>
    <w:p>
      <w:pPr>
        <w:pStyle w:val="25"/>
        <w:tabs>
          <w:tab w:val="right" w:leader="dot" w:pos="9350"/>
        </w:tabs>
        <w:rPr>
          <w:rFonts w:ascii="Calibri" w:eastAsia="等线" w:hAnsi="Calibri"/>
          <w:lang w:val="en-US"/>
        </w:rPr>
      </w:pPr>
      <w:r>
        <w:fldChar w:fldCharType="begin"/>
      </w:r>
      <w:r>
        <w:instrText>Hyperlink \l "_Toc233719639"</w:instrText>
      </w:r>
      <w:r>
        <w:fldChar w:fldCharType="separate"/>
      </w:r>
      <w:r>
        <w:t>Investment Appraisal and Capital Budgeting</w:t>
        <w:tab/>
      </w:r>
      <w:r>
        <w:fldChar w:fldCharType="begin"/>
      </w:r>
      <w:r>
        <w:instrText xml:space="preserve"> PAGEREF _Toc233719639 \h </w:instrText>
      </w:r>
      <w:r>
        <w:fldChar w:fldCharType="separate"/>
      </w:r>
      <w:r>
        <w:t>12</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"_Toc233719640"</w:instrText>
      </w:r>
      <w:r>
        <w:fldChar w:fldCharType="separate"/>
      </w:r>
      <w:r>
        <w:t>5.1 Investment Appraisal Techniques</w:t>
        <w:tab/>
      </w:r>
      <w:r>
        <w:fldChar w:fldCharType="begin"/>
      </w:r>
      <w:r>
        <w:instrText xml:space="preserve"> PAGEREF _Toc233719640 \h </w:instrText>
      </w:r>
      <w:r>
        <w:fldChar w:fldCharType="separate"/>
      </w:r>
      <w:r>
        <w:t>12</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"_Toc233719641"</w:instrText>
      </w:r>
      <w:r>
        <w:fldChar w:fldCharType="separate"/>
      </w:r>
      <w:r>
        <w:t>5.2 Evaluation of Projects A, B and C</w:t>
        <w:tab/>
      </w:r>
      <w:r>
        <w:fldChar w:fldCharType="begin"/>
      </w:r>
      <w:r>
        <w:instrText xml:space="preserve"> PAGEREF _Toc233719641 \h </w:instrText>
      </w:r>
      <w:r>
        <w:fldChar w:fldCharType="separate"/>
      </w:r>
      <w:r>
        <w:t>13</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"_Toc233719642"</w:instrText>
      </w:r>
      <w:r>
        <w:fldChar w:fldCharType="separate"/>
      </w:r>
      <w:r>
        <w:t>5.3 Recommendation of the Best Individual Project</w:t>
        <w:tab/>
      </w:r>
      <w:r>
        <w:fldChar w:fldCharType="begin"/>
      </w:r>
      <w:r>
        <w:instrText xml:space="preserve"> PAGEREF _Toc233719642 \h </w:instrText>
      </w:r>
      <w:r>
        <w:fldChar w:fldCharType="separate"/>
      </w:r>
      <w:r>
        <w:t>14</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"_Toc233719643"</w:instrText>
      </w:r>
      <w:r>
        <w:fldChar w:fldCharType="separate"/>
      </w:r>
      <w:r>
        <w:t>5.4 Capital Rationing Analysis</w:t>
        <w:tab/>
      </w:r>
      <w:r>
        <w:fldChar w:fldCharType="begin"/>
      </w:r>
      <w:r>
        <w:instrText xml:space="preserve"> PAGEREF _Toc233719643 \h </w:instrText>
      </w:r>
      <w:r>
        <w:fldChar w:fldCharType="separate"/>
      </w:r>
      <w:r>
        <w:t>15</w:t>
      </w:r>
      <w:r>
        <w:fldChar w:fldCharType="end"/>
      </w:r>
      <w:r>
        <w:fldChar w:fldCharType="end"/>
      </w:r>
    </w:p>
    <w:p>
      <w:pPr>
        <w:pStyle w:val="25"/>
        <w:tabs>
          <w:tab w:val="right" w:leader="dot" w:pos="9350"/>
        </w:tabs>
        <w:rPr>
          <w:rFonts w:ascii="Calibri" w:eastAsia="等线" w:hAnsi="Calibri"/>
          <w:lang w:val="en-US"/>
        </w:rPr>
      </w:pPr>
      <w:r>
        <w:fldChar w:fldCharType="begin"/>
      </w:r>
      <w:r>
        <w:instrText>Hyperlink \l "_Toc233719644"</w:instrText>
      </w:r>
      <w:r>
        <w:fldChar w:fldCharType="separate"/>
      </w:r>
      <w:r>
        <w:t>Critical Reflection on AI Usage</w:t>
        <w:tab/>
      </w:r>
      <w:r>
        <w:fldChar w:fldCharType="begin"/>
      </w:r>
      <w:r>
        <w:instrText xml:space="preserve"> PAGEREF _Toc233719644 \h </w:instrText>
      </w:r>
      <w:r>
        <w:fldChar w:fldCharType="separate"/>
      </w:r>
      <w:r>
        <w:t>16</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"_Toc233719645"</w:instrText>
      </w:r>
      <w:r>
        <w:fldChar w:fldCharType="separate"/>
      </w:r>
      <w:r>
        <w:t>6.1 AI Tool Disclosure</w:t>
        <w:tab/>
      </w:r>
      <w:r>
        <w:fldChar w:fldCharType="begin"/>
      </w:r>
      <w:r>
        <w:instrText xml:space="preserve"> PAGEREF _Toc233719645 \h </w:instrText>
      </w:r>
      <w:r>
        <w:fldChar w:fldCharType="separate"/>
      </w:r>
      <w:r>
        <w:t>16</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"_Toc233719646"</w:instrText>
      </w:r>
      <w:r>
        <w:fldChar w:fldCharType="separate"/>
      </w:r>
      <w:r>
        <w:t>6.2 Verification and Critical Evaluation of AI Outputs</w:t>
        <w:tab/>
      </w:r>
      <w:r>
        <w:fldChar w:fldCharType="begin"/>
      </w:r>
      <w:r>
        <w:instrText xml:space="preserve"> PAGEREF _Toc233719646 \h </w:instrText>
      </w:r>
      <w:r>
        <w:fldChar w:fldCharType="separate"/>
      </w:r>
      <w:r>
        <w:t>16</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"_Toc233719647"</w:instrText>
      </w:r>
      <w:r>
        <w:fldChar w:fldCharType="separate"/>
      </w:r>
      <w:r>
        <w:t>6.3 Personal Contribution and Financial Judgement</w:t>
        <w:tab/>
      </w:r>
      <w:r>
        <w:fldChar w:fldCharType="begin"/>
      </w:r>
      <w:r>
        <w:instrText xml:space="preserve"> PAGEREF _Toc233719647 \h </w:instrText>
      </w:r>
      <w:r>
        <w:fldChar w:fldCharType="separate"/>
      </w:r>
      <w:r>
        <w:t>17</w:t>
      </w:r>
      <w:r>
        <w:fldChar w:fldCharType="end"/>
      </w:r>
      <w:r>
        <w:fldChar w:fldCharType="end"/>
      </w:r>
    </w:p>
    <w:p>
      <w:pPr>
        <w:pStyle w:val="26"/>
        <w:tabs>
          <w:tab w:val="right" w:leader="dot" w:pos="9350"/>
        </w:tabs>
        <w:rPr>
          <w:rFonts w:ascii="Calibri" w:eastAsia="等线" w:hAnsi="Calibri"/>
          <w:lang w:val="en-US"/>
        </w:rPr>
      </w:pPr>
      <w:r>
        <w:fldChar w:fldCharType="begin"/>
      </w:r>
      <w:r>
        <w:instrText>Hyperlink \l "_Toc233719648"</w:instrText>
      </w:r>
      <w:r>
        <w:fldChar w:fldCharType="separate"/>
      </w:r>
      <w:r>
        <w:t>6.4 Ethical and Professional Reflection</w:t>
        <w:tab/>
      </w:r>
      <w:r>
        <w:fldChar w:fldCharType="begin"/>
      </w:r>
      <w:r>
        <w:instrText xml:space="preserve"> PAGEREF _Toc233719648 \h </w:instrText>
      </w:r>
      <w:r>
        <w:fldChar w:fldCharType="separate"/>
      </w:r>
      <w:r>
        <w:t>17</w:t>
      </w:r>
      <w:r>
        <w:fldChar w:fldCharType="end"/>
      </w:r>
      <w:r>
        <w:fldChar w:fldCharType="end"/>
      </w:r>
    </w:p>
    <w:p>
      <w:pPr>
        <w:pStyle w:val="25"/>
        <w:tabs>
          <w:tab w:val="right" w:leader="dot" w:pos="9350"/>
        </w:tabs>
        <w:rPr>
          <w:rFonts w:ascii="Calibri" w:eastAsia="等线" w:hAnsi="Calibri"/>
          <w:lang w:val="en-US"/>
        </w:rPr>
      </w:pPr>
      <w:r>
        <w:fldChar w:fldCharType="begin"/>
      </w:r>
      <w:r>
        <w:instrText>Hyperlink \l "_Toc233719649"</w:instrText>
      </w:r>
      <w:r>
        <w:fldChar w:fldCharType="separate"/>
      </w:r>
      <w:r>
        <w:t>Conclusion</w:t>
        <w:tab/>
      </w:r>
      <w:r>
        <w:fldChar w:fldCharType="begin"/>
      </w:r>
      <w:r>
        <w:instrText xml:space="preserve"> PAGEREF _Toc233719649 \h </w:instrText>
      </w:r>
      <w:r>
        <w:fldChar w:fldCharType="separate"/>
      </w:r>
      <w:r>
        <w:t>18</w:t>
      </w:r>
      <w:r>
        <w:fldChar w:fldCharType="end"/>
      </w:r>
      <w:r>
        <w:fldChar w:fldCharType="end"/>
      </w:r>
    </w:p>
    <w:p>
      <w:pPr>
        <w:pStyle w:val="25"/>
        <w:tabs>
          <w:tab w:val="right" w:leader="dot" w:pos="9350"/>
        </w:tabs>
        <w:rPr>
          <w:rFonts w:ascii="Calibri" w:eastAsia="等线" w:hAnsi="Calibri"/>
          <w:lang w:val="en-US"/>
        </w:rPr>
      </w:pPr>
      <w:r>
        <w:fldChar w:fldCharType="begin"/>
      </w:r>
      <w:r>
        <w:instrText>Hyperlink \l "_Toc233719650"</w:instrText>
      </w:r>
      <w:r>
        <w:fldChar w:fldCharType="separate"/>
      </w:r>
      <w:r>
        <w:t>Reference List</w:t>
        <w:tab/>
      </w:r>
      <w:r>
        <w:fldChar w:fldCharType="begin"/>
      </w:r>
      <w:r>
        <w:instrText xml:space="preserve"> PAGEREF _Toc233719650 \h </w:instrText>
      </w:r>
      <w:r>
        <w:fldChar w:fldCharType="separate"/>
      </w:r>
      <w:r>
        <w:t>19</w:t>
      </w:r>
      <w:r>
        <w:fldChar w:fldCharType="end"/>
      </w:r>
      <w:r>
        <w:fldChar w:fldCharType="end"/>
      </w:r>
    </w:p>
    <w:p>
      <w:pPr>
        <w:pStyle w:val="25"/>
        <w:tabs>
          <w:tab w:val="right" w:leader="dot" w:pos="9350"/>
        </w:tabs>
        <w:rPr>
          <w:rFonts w:ascii="Calibri" w:eastAsia="等线" w:hAnsi="Calibri"/>
          <w:lang w:val="en-US"/>
        </w:rPr>
      </w:pPr>
      <w:r>
        <w:fldChar w:fldCharType="begin"/>
      </w:r>
      <w:r>
        <w:instrText>Hyperlink \l "_Toc233719651"</w:instrText>
      </w:r>
      <w:r>
        <w:fldChar w:fldCharType="separate"/>
      </w:r>
      <w:r>
        <w:t>Appendices</w:t>
        <w:tab/>
      </w:r>
      <w:r>
        <w:fldChar w:fldCharType="begin"/>
      </w:r>
      <w:r>
        <w:instrText xml:space="preserve"> PAGEREF _Toc233719651 \h </w:instrText>
      </w:r>
      <w:r>
        <w:fldChar w:fldCharType="separate"/>
      </w:r>
      <w:r>
        <w:t>22</w:t>
      </w:r>
      <w:r>
        <w:fldChar w:fldCharType="end"/>
      </w:r>
      <w:r>
        <w:fldChar w:fldCharType="end"/>
      </w:r>
    </w:p>
    <w:p>
      <w:pPr>
        <w:rPr>
          <w:rFonts w:cs="Times New Roman"/>
        </w:rPr>
      </w:pPr>
      <w:r>
        <w:rPr>
          <w:rFonts w:cs="Times New Roman"/>
          <w:b/>
          <w:bCs/>
        </w:rPr>
        <w:fldChar w:fldCharType="end"/>
      </w:r>
    </w:p>
    <w:p>
      <w:pPr>
        <w:rPr>
          <w:rFonts w:cs="Times New Roman"/>
        </w:rPr>
      </w:pPr>
    </w:p>
    <w:p>
      <w:pPr>
        <w:rPr>
          <w:rFonts w:cs="Times New Roman"/>
        </w:rPr>
      </w:pPr>
      <w:r>
        <w:rPr>
          <w:rFonts w:cs="Times New Roman"/>
        </w:rPr>
        <w:br w:type="page"/>
      </w:r>
    </w:p>
    <w:p>
      <w:pPr>
        <w:spacing w:line="278" w:lineRule="auto"/>
        <w:jc w:val="left"/>
      </w:pPr>
      <w:r>
        <w:rPr>
          <w:b/>
        </w:rPr>
        <w:t xml:space="preserve">Introduction </w:t>
      </w:r>
    </w:p>
    <w:p>
      <w:r>
        <w:t>This report examines the financial performance and strategic financial position of InterContinental Hotels Group PLC that would trade as IHG Hotels and Resorts between 2021 to 2025. It is composed of the Chief Financial Officer and it compares the profitability, liquidity, efficiency, gearing, investment performance and good cash-flow through the use of the Excel ratio analysis. Working capital management, restructuring choices and investment appraisal choices are another area covered in the report. This is to be done to set up financial strengths, risk and practical advice that can help in sustainable growth, shareholder value and resilience.</w:t>
      </w:r>
    </w:p>
    <w:p>
      <w:pPr>
        <w:pStyle w:val="1"/>
      </w:pPr>
      <w:bookmarkStart w:id="1" w:name="_Toc233719623"/>
      <w:r>
        <w:t>Financial Health Check</w:t>
      </w:r>
      <w:bookmarkEnd w:id="1"/>
    </w:p>
    <w:p>
      <w:pPr>
        <w:pStyle w:val="2"/>
      </w:pPr>
      <w:bookmarkStart w:id="2" w:name="_Toc233719624"/>
      <w:r>
        <w:t>2.1 Five-Year Financial Performance Overview</w:t>
      </w:r>
      <w:bookmarkEnd w:id="2"/>
      <w:r>
        <w:t xml:space="preserve"> </w:t>
      </w:r>
    </w:p>
    <w:p>
      <w:r>
        <w:t xml:space="preserve">IHG financial performance is a positive and apparent recovery and expenditure trend after a breakage in 2021. There was a good growth in revenue throughout the period and this was aided by better hotel demand, better occupancy, better room rates and further growth in the asset-light franchised and managed hotel model in the group. The operating profit was also recovering, although not in a perfectly linear manner, meaning that the recovery depended on the cost pressures, regional demand variations, and market normalisation post-pandemic (El-Said et al., 2024). The net profit has improved overall and it implies that the capacity to generate earnings and convert them to shareholder wealth is also improved. There was not much change in total assets as compared to the growth in revenue that IHG was earning more money but did not have to increase its assets to earn the same amount. </w:t>
      </w:r>
    </w:p>
    <w:p>
      <w:pPr>
        <w:pStyle w:val="2"/>
      </w:pPr>
      <w:bookmarkStart w:id="3" w:name="_Toc233719625"/>
      <w:r>
        <w:t>2.2 Profitability Ratio Analysis</w:t>
      </w:r>
      <w:bookmarkEnd w:id="3"/>
      <w:r>
        <w:t xml:space="preserve"> </w:t>
      </w:r>
    </w:p>
    <w:p>
      <w:r>
        <w:t>The profitability ratios indicate that IHG was in a good position in terms of earnings within the five-year period despite its location in a harsh and a highly competitive global hospitality industry. The gross profit margin was rather stable and was gradually getting better, which is an indication of a good control over direct operating costs and an advantage in the form of a higher income of franchise and management fees (InterContinental Hotels Group PLC, 2025). Its operating profit margin also increased which was indicative of efficiency in its operations, cost discipline and scalability of its IHG asset-light business model.</w:t>
      </w:r>
    </w:p>
    <w:p>
      <w:r>
        <w:t>There was also a positive long-term trend in the net profit margin, however, there was a temporary decline in the middle of the period of analysis when the operating expenses and the finance costs were higher. Its subsequent recovery is an indicator that the management has been in a position to regain its profitability due to high revenues, pricing strategies and improved performance of the hotels in the key markets in the world.</w:t>
      </w:r>
    </w:p>
    <w:p>
      <w:r>
        <w:t>The Return on Assets (ROA) was trending upwards as profits were increasing at a faster rate than the total assets suggesting that the company was generating more profits on the existing asset base and did not need to raise capital. The Return on Capital Employed (ROCE) has been high over the period, which is an indication of good utilisation of long-term capital and capacity of the business to generate good operating returns to the investors.</w:t>
      </w:r>
    </w:p>
    <w:p>
      <w:r>
        <w:t>Altogether, the profitability analysis indicates that IHG has a solid earnings model that is backed by its mostly franchised and operated hotel portfolio. However, the ability to sustain profitability in the future will hinge on the ability to control the costs of finance, keep the revenue going up and have the ability to balance shareholder pays with further investment into technology, brand building and foreign expansion.</w:t>
      </w:r>
    </w:p>
    <w:p>
      <w:pPr>
        <w:pStyle w:val="2"/>
      </w:pPr>
      <w:bookmarkStart w:id="4" w:name="_Toc233719626"/>
      <w:r>
        <w:t>2.3 Liquidity Ratio Analysis</w:t>
      </w:r>
      <w:bookmarkEnd w:id="4"/>
      <w:r>
        <w:t xml:space="preserve"> </w:t>
      </w:r>
    </w:p>
    <w:p>
      <w:r>
        <w:t>The liquidity ratios reveal that IHGA has been financially stable in the five years, but its current and quick ratios were less than the traditional 1.0 level. This performance is a symptom of the nature of the asset-light business model, but not poor financial management of the company. IHG may be described as having a worldwide hotel franchisor and management which relies less on inventories and current assets high, and generates consistent cash flows in the form of franchise and management fees and licensing fees (Chairunisa, Digdowiseiso and Karyatun, 2023).</w:t>
      </w:r>
    </w:p>
    <w:p>
      <w:r>
        <w:t>The current ratio was also relatively stable throughout the period under analysis which indicates that the company is able to cover the current liabilities despite relatively high current liabilities. Similarly, the quick ratio also had little fluctuations, a fact that substantiated the fact that the working capital was adequate to support the daily running of the business, without depending on inventory sales.</w:t>
      </w:r>
    </w:p>
    <w:p>
      <w:r>
        <w:t>Judged against the usual standards of the hospitality sector, IHG does not fare badly in the liquidity position but it does not allow it much room during economic uncertainties. Improving liquidity through the building of cash reserves, improving receivables collection, and proper management of short-term liabilities would also be beneficial in improving funds and help in resilience of operations and future investment.</w:t>
      </w:r>
    </w:p>
    <w:p>
      <w:pPr>
        <w:pStyle w:val="2"/>
      </w:pPr>
      <w:bookmarkStart w:id="5" w:name="_Toc233719627"/>
      <w:r>
        <w:t>2.4 Efficiency Ratio Analysis</w:t>
      </w:r>
      <w:bookmarkEnd w:id="5"/>
      <w:r>
        <w:t xml:space="preserve"> </w:t>
      </w:r>
    </w:p>
    <w:p>
      <w:r>
        <w:t>The efficiency ratios indicate that IHG has optimally used its resources to help it augment the revenues without compromising on its operating lean structure. The asset turnover during the five years was high indicating that the business was realising increasing revenues without much investment in the additional assets. This is indicative of the business benefits of franchising and management contracts in hotels whereby expansion is brought about not by ownership but by brand.</w:t>
      </w:r>
    </w:p>
    <w:p>
      <w:r>
        <w:t>The receivable management was also quite efficient and the collection terms were also steady, and which added to the normal operating cash flows. Well-managed credit management and payment of franchise and management fees on time helped to support healthy liquidity (Mugambi, Muturi and Njeru, 2023). The payables management became under control as well, and the company could maintain the golden mean between the responsibilities to the suppliers and retaining cash without significant effects on business relations.</w:t>
      </w:r>
    </w:p>
    <w:p>
      <w:r>
        <w:t>The efficiency analysis in general reveals that IHG was efficient in using its operational resources and that it is still enhancing productivity during the review period. However, further optimisation of the receivable collections, supplier payment policy and digital financial operations can be used to enhance operational performance and enhance working capital management in an increasingly competitive global hotel market.</w:t>
      </w:r>
    </w:p>
    <w:p>
      <w:pPr>
        <w:pStyle w:val="2"/>
      </w:pPr>
      <w:bookmarkStart w:id="6" w:name="_Toc233719628"/>
      <w:r>
        <w:t>2.5 Gearing Ratio Analysis</w:t>
      </w:r>
      <w:bookmarkEnd w:id="6"/>
      <w:r>
        <w:t xml:space="preserve"> </w:t>
      </w:r>
    </w:p>
    <w:p>
      <w:r>
        <w:t xml:space="preserve">The gearing ratios suggest that IHG adopted a relatively high leverage level of capital structure to fund the expansion as well as to sustain high levels of shareholder distributions. The debt ratio had not been so high during the time of the review but slow increase was observed which was a sign of increased borrowing and lease commitments that had been taken in the decisions of expansion and capital allocation of the business. </w:t>
      </w:r>
    </w:p>
    <w:p>
      <w:r>
        <w:t>The interest coverage was good over the five years and it shows that operating profit was adequate to cover financing cost even with the increasing debt. This implies that the company had sufficient financial strength to cover its liabilities without exerting a lot of strain on working cash flows.</w:t>
      </w:r>
    </w:p>
    <w:p>
      <w:r>
        <w:t>Overall, the gearing analysis indicates a more geared but stable financial position. Though debt has been able to enable strategic investments and dividend payments to the shareholders, any additional growth may decrease financial flexibility in unfavourable market environments. This will be necessary in order to maintain a sound level of borrowing and enhance cash flows generated internally in order to maintain long-term financial stability and confidence of investors.</w:t>
      </w:r>
    </w:p>
    <w:p>
      <w:pPr>
        <w:pStyle w:val="2"/>
      </w:pPr>
      <w:bookmarkStart w:id="7" w:name="_Toc233719629"/>
      <w:r>
        <w:t>2.6 Investment and Cash Flow Ratio Analysis</w:t>
      </w:r>
      <w:bookmarkEnd w:id="7"/>
      <w:r>
        <w:t xml:space="preserve"> </w:t>
      </w:r>
    </w:p>
    <w:p>
      <w:r>
        <w:t>The investment and cash flow ratios indicate that IHGA has had the capability to create value to its shareholders and maintain an acceptable amount of operating cash generation over the period. Earnings per share tended to improve with an increase in profitability as they showed more earnings to ordinary shareholders despite persisting share repurchase programmes (Kolodiziev et al., 2024). Dividend-related activities also demonstrated the management devotion at returning capital to the investors through paying regular dividends which was enabled by increase in financial performance.</w:t>
      </w:r>
    </w:p>
    <w:p>
      <w:r>
        <w:t xml:space="preserve">The operating cash flow was also robust as compared to the revenue and operating profit, thus demonstrating that accounting profits were successfully turned to cash. The robust cash flow boosted the ability of the companies to finance the day-to-day business, pay debt, and finance capital spending and shareholder compensation without relying on the high dependency on external financing (Gajić et al., 2024). </w:t>
      </w:r>
    </w:p>
    <w:p>
      <w:pPr>
        <w:pStyle w:val="2"/>
      </w:pPr>
      <w:bookmarkStart w:id="8" w:name="_Toc233719630"/>
      <w:r>
        <w:t>2.7 Overall Financial Performance Evaluation</w:t>
      </w:r>
      <w:bookmarkEnd w:id="8"/>
      <w:r>
        <w:t xml:space="preserve"> </w:t>
      </w:r>
    </w:p>
    <w:p>
      <w:r>
        <w:t xml:space="preserve">Overall, the financial analysis indicates that IHG has achieved a lot with regard to its financial position in 2021 and 2025. The company was able to maintain profitability, increase operational efficiency and cash generation and this showed that the company had a successful asset-light business model. The liquidity ratios were rather low they tended to be typical of the industry characteristics and were supplemented by the constant operating cash flows. </w:t>
      </w:r>
    </w:p>
    <w:p>
      <w:r>
        <w:t xml:space="preserve">The international brand portfolio, the diversification of revenue sources and efficient capital utilisation of the IHG provides it with a significant competitive advantage in a strategic context. However, there is a risk of finances as it is vulnerable to inflation, change in foreign exchange rates, geopolitical risk and changing travel demand (Soda et al., 2022). To build resilience, enhancing liquidity, maintaining reasonable levels of debt, and concentrating on investments that generate long-term sustainable value will aid. </w:t>
      </w:r>
    </w:p>
    <w:p>
      <w:pPr>
        <w:pStyle w:val="1"/>
      </w:pPr>
      <w:bookmarkStart w:id="9" w:name="_Toc233719631"/>
      <w:r>
        <w:t>Working Capital Management Analysis</w:t>
      </w:r>
      <w:bookmarkEnd w:id="9"/>
    </w:p>
    <w:p>
      <w:pPr>
        <w:pStyle w:val="2"/>
      </w:pPr>
      <w:bookmarkStart w:id="10" w:name="_Toc233719632"/>
      <w:r>
        <w:t>3.1 Cash Operating Cycle Assessment</w:t>
      </w:r>
      <w:bookmarkEnd w:id="10"/>
      <w:r>
        <w:t xml:space="preserve"> </w:t>
      </w:r>
    </w:p>
    <w:p>
      <w:r>
        <w:t>The cash operating cycle is a measure of time that it takes a business to change investments made in working capital into cash receipts. The classical cash operating cycle cannot be applied in the case of IHGA because of the asset light business model that the hospitality company employs has franchised and operated hotels rather than owned properties. This implies that the inventory is not important and the revenues are realised through franchise fees, management fees and loyalty programme income.</w:t>
      </w:r>
    </w:p>
    <w:p>
      <w:r>
        <w:t xml:space="preserve">In the ratio analysis, the periods of the receivables collection were rather stable during the five-year period which indicates that the company has a good control over credit and collects the fees it owes to the hotel owners in time. The payable periods did not vary, as well, and the company was able to save its liquidity and retain a good relationship with the suppliers (InterContinental Hotels Group PLC, 2026). </w:t>
      </w:r>
    </w:p>
    <w:p>
      <w:r>
        <w:t>The operating cycle of the traditional cash is very short but it will have to be applied together with operating cash flow and not inventory movement. Recurring fee revenue is constant and reduces the dependence on the inventory turnover and allows the company to generate predictable cash flows within the financial year. Overall, IHG working capital cycle reflects an effective cash management and operational resilience (Stavropoulos and Zounta, 2025). Nevertheless, to ensure the liquidity during the economic uncertainty and variability of the global travel demand, the receivable collections, the supplier payment terms and the regional cash flows should be constantly monitored.</w:t>
      </w:r>
    </w:p>
    <w:p>
      <w:pPr>
        <w:pStyle w:val="2"/>
      </w:pPr>
      <w:bookmarkStart w:id="11" w:name="_Toc233719633"/>
      <w:r>
        <w:t>3.2 Working Capital Improvement Strategies</w:t>
      </w:r>
      <w:bookmarkEnd w:id="11"/>
      <w:r>
        <w:t xml:space="preserve"> </w:t>
      </w:r>
    </w:p>
    <w:p>
      <w:r>
        <w:t>Although IHG has a quite efficient working capital position, several initiatives would help to increase liquidity and financial flexibility. The initial priority is to improve the receivable management by promoting quicker payment of franchise and management fees by automated invoicing, online payment systems and tighter monitoring of credit. Prepay would improve the operating cash flows without a resultant increase in borrowing.</w:t>
      </w:r>
    </w:p>
    <w:p>
      <w:r>
        <w:t>It would also require the company to streamline the management of payables by negotiating amicable terms of payment with the suppliers and at the same time make sure that it honours its contractual obligations on time. Increasing payment times where business wise feasible would enable more cash to stay in the business without harming the relationships with suppliers (Aslam et al., 2025). The accurate control of payment schedules can thus enhance the liquidity in the short run and help maintain operations.</w:t>
      </w:r>
    </w:p>
    <w:p>
      <w:r>
        <w:t xml:space="preserve">The integrated financial planning systems must be upgraded to drive cash forecasting and assisting in tracking regional cash flows, seasonal demand fluctuations and foreign currency exposure. The management can also be more effective in its international operation and predict the necessity of liquidity with the help of better forecasting, and utilise the financial resources in a more efficient manner (Akbar et al., 2022). IHG must continue being conscious of investing capital that generates measurable operational benefits and postpone unneeded investments during periods of economic uncertainty. </w:t>
      </w:r>
    </w:p>
    <w:p>
      <w:r>
        <w:t>Finally, more investment in digital financial systems and data analytics would enhance real-time performance of working capital. The new liquidity pressures can be identified through predictive analysis and automated reporting to prevent their effects on business performance. All of these would improve cash flow, financial health and provide additional flexibility to allow future growth without necessarily sacrificing the asset light operating model and long-term shareholder value of the corporation.</w:t>
      </w:r>
    </w:p>
    <w:p>
      <w:pPr>
        <w:pStyle w:val="2"/>
      </w:pPr>
      <w:bookmarkStart w:id="12" w:name="_Toc233719634"/>
      <w:r>
        <w:t>3.3 Short-Term versus Long-Term Financing Options</w:t>
      </w:r>
      <w:bookmarkEnd w:id="12"/>
      <w:r>
        <w:t xml:space="preserve"> </w:t>
      </w:r>
    </w:p>
    <w:p>
      <w:r>
        <w:t>The short-term and long-term sources of funding will enable IHG to finance its operations and have their own benefits and drawbacks. Bank overdrafts, revolving credit facilities and short-term loans are all classified as short-term financing that is used to provide liquidity to meet the seasonal cash flow and temporary working capital needs. These sources are more flexible and accessibility is less complex but the company is exposed to the refinancing risk, and is likely to be charged higher interest rate in case of deterioration of the market conditions.</w:t>
      </w:r>
    </w:p>
    <w:p>
      <w:r>
        <w:t>The long-term financing entails the corporate bonds, syndicated loans, lease financing and equity or hybrid capital instruments. These sources of funds are more stable in terms of finances, having capital over longer periods, lessening the aspect of refinance and assisting strategic investments like acquisitions, technology development and international expansion (Friewald, Nagler and Wagner, 2022). In the long term, though, it is typically more expensive to commit to and may hamper financial flexibility should there be over-borrowing, which raises leverage.</w:t>
      </w:r>
    </w:p>
    <w:p>
      <w:r>
        <w:t xml:space="preserve">The balanced financing strategy is the most appropriate financing strategy considering the financial position of IHG. Funds should be obtained mainly through short-term facilities to finance operational liquidity and working capital changes but long-term funds should be used to finance large strategic investments, which have returns in the future. This approach assists in reducing the refinancing risk, ensuring that there is adequate liquidity, and the investment objectives are aligned with the funding maturity (Nguyen et al., 2023). </w:t>
      </w:r>
    </w:p>
    <w:p>
      <w:pPr>
        <w:pStyle w:val="1"/>
      </w:pPr>
      <w:bookmarkStart w:id="13" w:name="_Toc233719635"/>
      <w:r>
        <w:t>Strategic Financial Restructuring Plan</w:t>
      </w:r>
      <w:bookmarkEnd w:id="13"/>
    </w:p>
    <w:p>
      <w:pPr>
        <w:pStyle w:val="2"/>
      </w:pPr>
      <w:bookmarkStart w:id="14" w:name="_Toc233719636"/>
      <w:r>
        <w:t>4.1 Recommended Financial Restructuring Strategy</w:t>
      </w:r>
      <w:bookmarkEnd w:id="14"/>
      <w:r>
        <w:t xml:space="preserve"> </w:t>
      </w:r>
    </w:p>
    <w:p>
      <w:r>
        <w:t>The financial analysis shows that the financial restructuring strategy that IHG should pursue must be balanced it will allow the company to improve liquidity and sustainable growth in the long run. The first recommendation is to refinance a portion of the existing debt by replacing the more expensive borrowings with the cheaper long-term funding at the time when the market is favourable. This would reduce the cost of financing, improve stability of cash flows and minimise refinancing risk where there is uncertainty in the economy.</w:t>
      </w:r>
    </w:p>
    <w:p>
      <w:r>
        <w:t>Secondly, the company ought to tone down the future share buyback programmes and keep a constant dividend policy (Della Corte et al., 2022). Despite the fact that shareholder distributions boost investor confidence, the retention of higher percentage of internally generated funds would boost liquidity, less reliance on external borrowing and offer extra financial flexibility to pursue strategic investments.</w:t>
      </w:r>
    </w:p>
    <w:p>
      <w:r>
        <w:t>IHG should also continue to embark on selective acquisitions of complementary hotel brands and technology platforms that can improve the global portfolio, but do not result in a significant rise in the complexity of its operations. Disciplined capital allocation principles should be used to finance acquisitions, and they must exhibit long-term value creation. At the same time, any non-core assets owned or leased but not of much strategic value should be viewed as potential selloff to release capital into more profitable investment opportunities.</w:t>
      </w:r>
    </w:p>
    <w:p>
      <w:r>
        <w:t>Increasing investment in digital technologies, revenue management systems and customer loyalty programmes to improve the effectiveness of operations and retention of customers should also become the focus of the restructuring plan (YLA et al., 2023). These measures can contribute to enabling the company to maintain the increase of revenues and enhance the advantages of the asset-light business model.</w:t>
      </w:r>
    </w:p>
    <w:p>
      <w:r>
        <w:t>The suggested restructuring plan overall is an amalgamation of prudent debt handling, stringent capital handling, selective portfolio optimisation and operational investment. This compromise would result in the company being financially stronger, liquid and capable of responding to future market opportunities, and still able to maintain long-term shareholder value and competitiveness in the global hospitality industry.</w:t>
      </w:r>
    </w:p>
    <w:p>
      <w:pPr>
        <w:pStyle w:val="2"/>
      </w:pPr>
      <w:bookmarkStart w:id="15" w:name="_Toc233719637"/>
      <w:r>
        <w:t>4.2 Impact on Shareholder Value, Debt Structure and Operational Flexibility</w:t>
      </w:r>
      <w:bookmarkEnd w:id="15"/>
      <w:r>
        <w:t xml:space="preserve"> </w:t>
      </w:r>
    </w:p>
    <w:p>
      <w:r>
        <w:t>The suggested financial restructuring plan will enhance shareholder value through enhanced financial stability as well as sustainable long-term growth. Recapitalize current debt through a more advantageous borrowing rate would lower the interest bill and enhance the future profitability, thus enhancing the value created to shareholders. The moderate policy of share buybacks, with sustainable dividend payments, would not be destructive to investor confidence, and would not cause excessive pressure on liquidity.</w:t>
      </w:r>
    </w:p>
    <w:p>
      <w:r>
        <w:t>There would also be less financial risk due to a stronger capital structure. Reduced dependence on costly short-term debt and an increased proportion of long-term debt in well-structured financing would enhance the debt maturity patterns and decrease the refinancing risk in times of unstable financial markets (Mollah, Rouf and Rana, 2023). A good leverage will enhance the creditworthiness and will enhance the ability of the firm to obtain money to finance future strategic opportunities.</w:t>
      </w:r>
    </w:p>
    <w:p>
      <w:r>
        <w:t xml:space="preserve">The extra retained cash reserves and the better capability of funding itself would increase its flexibility in its operations. An increase in the liquidity enables the management to respond more to economic downturns, sudden market volatilities and profitable investment opportunities without over pending on external sources of funds (Manitkul, 2025). The additional financial flexibility would also help in additional investment in technology, sustainability initiatives and international expansion. </w:t>
      </w:r>
    </w:p>
    <w:p>
      <w:pPr>
        <w:pStyle w:val="2"/>
      </w:pPr>
      <w:bookmarkStart w:id="16" w:name="_Toc233719638"/>
      <w:r>
        <w:t>4.3 International Financial and ESG Considerations</w:t>
      </w:r>
      <w:bookmarkEnd w:id="16"/>
      <w:r>
        <w:t xml:space="preserve"> </w:t>
      </w:r>
    </w:p>
    <w:p>
      <w:r>
        <w:t>Being a global hospitality organisation, IHG has numerous operations in various geographical locations and is susceptible to various international financial risks which need constant management. Currency fluctuation can significantly affect the reported revenue, operating profit and cash flows as the income is realised in various foreign currencies and financial reporting is made in a single reporting currency. Natural hedging and effective foreign exchange risk management strategies are thus still significant in financial planning.</w:t>
      </w:r>
    </w:p>
    <w:p>
      <w:r>
        <w:t>Inflation also affects other markets in terms of labour, energy, cost of construction and supplier prices. Cost management, dynamic pricing strategy and excellent procurement practices can serve to protect the profitability during inflationary period. Also, the differences in the international taxation laws need to be carefully planned in terms of taxation to guarantee compliance without reducing efficiency of the operation and exposing the company to an unwarranted number of financial risks.</w:t>
      </w:r>
    </w:p>
    <w:p>
      <w:r>
        <w:t>Environment, Social and Governance are increasingly becoming important in decision-making regarding investment and image of the company. On-going investment in carbon cutting, energy efficiency, responsible sourcing, water conservation and waste management enhances long term sustainability and the accomplishment of stakeholder expectations. Good governance practices, financial reporting and ethical decision-making also contribute to the increase in investor confidence and lower the reputational risk (Wangchuk, 2022). A balanced approach will assist IHG in protecting its profitability, capitalise on the trust of the stakeholders and its long-term competitiveness as it adjusts well to new regulatory demands and emerging expectations on the global hospitality markets.</w:t>
      </w:r>
    </w:p>
    <w:p>
      <w:pPr>
        <w:pStyle w:val="1"/>
      </w:pPr>
      <w:bookmarkStart w:id="17" w:name="_Toc233719639"/>
      <w:r>
        <w:t>Investment Appraisal and Capital Budgeting</w:t>
      </w:r>
      <w:bookmarkEnd w:id="17"/>
    </w:p>
    <w:p>
      <w:pPr>
        <w:pStyle w:val="2"/>
      </w:pPr>
      <w:bookmarkStart w:id="18" w:name="_Toc233719640"/>
      <w:r>
        <w:t>5.1 Investment Appraisal Techniques</w:t>
      </w:r>
      <w:bookmarkEnd w:id="18"/>
      <w:r>
        <w:t xml:space="preserve"> </w:t>
      </w:r>
    </w:p>
    <w:p>
      <w:r>
        <w:t xml:space="preserve">Investment appraisal compares the value of the proposed projects in terms of financial benefit to the cost and risk of the proposed projects. Payback Period is applied to calculate the period where the initial investment of 50 million pounds is paid back but does not consider the cash flows after the recovery period and does not calculate shareholder value. ARR is used to compare average accounting profit and average investment but it uses accounting returns as compared to discounted cash flows. NPV will discount cash flows in the future at the cost of capital of 8% and will show the value of a future cash flow that will either be generated or lost (Vilani et al., 2024). Profitability Index is applied in those cases when the capital is limited and comparing the inflows present value with the original investment. IRR will decide what discount rate will make NPV equal zero. </w:t>
      </w:r>
    </w:p>
    <w:p>
      <w:pPr>
        <w:pStyle w:val="2"/>
      </w:pPr>
      <w:bookmarkStart w:id="19" w:name="_Toc233719641"/>
      <w:r>
        <w:t>5.2 Evaluation of Projects A, B and C</w:t>
      </w:r>
      <w:bookmarkEnd w:id="19"/>
      <w:r>
        <w:t xml:space="preserve"> </w:t>
      </w:r>
    </w:p>
    <w:p>
      <w:r>
        <w:t>The results of the investigation of the investing appraisal show that there are clear differences in financial attractiveness of the Projects A, B and C, the total cash inflows of which are £54 million in five years with an average cash inflow of £10.8 million. Its ARR is only 3.2%, based on average accounting profit of £0.8 million, which is weak for a strategic investment. It has an average accounting profit of only it bases its ARR which is poor as compared to a strategic investment. More significantly, Project A has a negative NPV of £6.5million pounds, Profitability Index of 0.87 and an IRR of 2.7%. Project A should be rejected because it has an IRR less than the discount rate of 8% and PI less than 1.0.</w:t>
      </w:r>
    </w:p>
    <w:p>
      <w:r>
        <w:t>Project B has more secure annual cash inflows of £11million and overall cash inflows of £55million. This presents a little higher average inflow of £11 million and ARR of 4.0% with average accounting profit of 1.0 million. However, even when the project is done with discounted appraisal, it is poor still. It’s payback is 4.55 years that is a bit higher than that of Project A. Its NPV is negative in the amount of £6.1 million pound, the PI is 0.88 and IRR is 3.3%. Project B has not been selected as yet because despite having a higher project than project A, it is not paying the 8% returns as required, hence should also be dismissed.</w:t>
      </w:r>
    </w:p>
    <w:p>
      <w:r>
        <w:t>Project C has a higher financial strength than the two options. It produces a total cash inflow of £65 million and an average inflow of £13 million which is backed by greater inflows in years three and four. It has the lowest payback of 3.60 years; it is the fastest to recover the initial capital. It has an ARR of 12.0%, with average accounting profit of £3.0 million, hence, showing enhanced accounting profitability. The NPV is positive at £0.9 million, the PI is 1.02 and the IRR is 8.6%. Although the difference between the 8% discount rate and the margin is minimal, Project C is the only one that is value adding.</w:t>
      </w:r>
    </w:p>
    <w:p>
      <w:r>
        <w:t xml:space="preserve">Financially speaking, the ranking will be thus Project C first, Project B second and Project A third. The conclusions also provide the motives behind why the simple approaches are misleading. Project B seems appealing as the inflows of cash are steady but on discounted analysis it kills value. Project C does not have balanced cash flows, but the highest value as it produces higher returns in the middle of the period. In the situation of IHGA which needs to balance growth investment and liquidity protection and debt discipline, the project selected should be one that adds value without compromising cash resilience. This is especially critical since the ratio analysis reveals that IHG is a profitable and cash-generative company with a rather tight liquidity position in comparison to traditional metrics. Therefore, it would be wise to reject projects that have negative discounted value because this would jeopardize financial flexibility and would not be a wise CFO action (Hoang, Gatzer and Ruckes, 2025). Therefore, the Project C is the only one that fulfils the requirement of the minimum investment. It will also be more consistent with the IHGA asset-light strategy that concentrates its capital on scalable opportunities as its cash recovery profile is cash-based. </w:t>
      </w:r>
    </w:p>
    <w:p>
      <w:pPr>
        <w:pStyle w:val="2"/>
      </w:pPr>
      <w:bookmarkStart w:id="20" w:name="_Toc233719642"/>
      <w:r>
        <w:t>5.3 Recommendation of the Best Individual Project</w:t>
      </w:r>
      <w:bookmarkEnd w:id="20"/>
      <w:r>
        <w:t xml:space="preserve"> </w:t>
      </w:r>
    </w:p>
    <w:p>
      <w:r>
        <w:t>Project C is the most suitable individual project as it is the only project that satisfies the most important financial acceptance requirements. It gives a positive NPV of £0.9 million pounds, a Profitability Index of 1.02 and an IRR of 8.6£ that is higher than the discount rate of 8%. These findings indicate that Project C will be able to pay back its cost of capital and generate small incremental shareholder value. It is also the one with the shortest payback period of 3.60 years, which is also advantageous in the liquidity management as the money will be retrieved earlier as compared to Projects A and B.</w:t>
      </w:r>
    </w:p>
    <w:p>
      <w:r>
        <w:t>Project C also fits better into the financial situation of IHG, as it has to secure cash reserves and control leverage and distribution of shares. The projects with higher recovery and positive discounted value are preferred to those which require capital to be tied up longer, but with negative NPV.</w:t>
      </w:r>
    </w:p>
    <w:p>
      <w:r>
        <w:t>It is however recommended to be done cautiously because NPV surplus of Project C is not high and the cash flows are not even. The augmented inflows in the years three and four expose the firm to timing risk in case the market demand, political circumstances, inflation or customer loyalty goes down. Project C would therefore be acceptable only when the management is employing good project governance, sensitivity testing and the staged capital release. This would allow IHG to proceed value creation and defend liquidity and contain downside financial risk effectively whilst supporting disciplined strategic capital allocation by the management.</w:t>
      </w:r>
    </w:p>
    <w:p>
      <w:pPr>
        <w:pStyle w:val="2"/>
      </w:pPr>
      <w:bookmarkStart w:id="21" w:name="_Toc233719643"/>
      <w:r>
        <w:t>5.4 Capital Rationing Analysis</w:t>
      </w:r>
      <w:bookmarkEnd w:id="21"/>
      <w:r>
        <w:t xml:space="preserve"> </w:t>
      </w:r>
    </w:p>
    <w:p>
      <w:r>
        <w:t>Having less than £100 million capital rationing, IHG will be free to invest in two projects since both projects will require an initial investment of £50 million. The combinations could be A+B, A+C and B+C. The analysis in Excel indicates that each of the three combinations is technically feasible since they all would cost £100 million. Nonetheless, the feasibility is not the sole criterion, and the desired mix has to be maximising value, but the risk and capital discipline should be taken into account (Lee, Lee and Wu, 2023).</w:t>
      </w:r>
    </w:p>
    <w:p>
      <w:r>
        <w:t>The A + B combination is the weakest. It generates a combined NPV of negative £12.6 million and a combined PI of 0.87. This means that the two projects kill value and fail to give the required payoff. The choice of A+B would consume all of the investment capital and decrease shareholder value so it cannot be accepted.</w:t>
      </w:r>
    </w:p>
    <w:p>
      <w:r>
        <w:t>The A + C combination is more successful as it comprises of Project C which is the only positive-NPV project. The combined NPV would however be negative at £5.7 million and the combined PI is 0.94 only. This means that the positive contribution of Project C is not enough to counter the negative contribution of Project A. It is the second-ranked combination, however, even in this case, it fails the value creation test.</w:t>
      </w:r>
    </w:p>
    <w:p>
      <w:r>
        <w:t>The best two-project option is B+C combination. It has the biggest combined NPV at negative of £5.2 million and the biggest combined PI at 0.95. Nonetheless, even with the first rank in the category of capital rationing, it still kills value in general since the total NPV is negative and PI is less than 1.0. Thus, regarding a strict shareholder-value approach, IHG cannot afford to spend the entire amount of £100 million simply because the money is there (Back, 2024).</w:t>
      </w:r>
    </w:p>
    <w:p>
      <w:r>
        <w:t>The financially most disciplined suggestion would be to take Project C and go no further with regard to the remaining £50 million until the management finds another positive-NPV project. B + C would be selected in case the assignment consists of a combination of the two best projects as the combination would result in the least destruction of value of the set of possible alternatives. However, the CFO must be very clear that this is a tight-knit ranking, but not an overall recommendation of a profitable investment decision.</w:t>
      </w:r>
    </w:p>
    <w:p>
      <w:pPr>
        <w:pStyle w:val="1"/>
      </w:pPr>
      <w:bookmarkStart w:id="22" w:name="_Toc233719644"/>
      <w:r>
        <w:t>Critical Reflection on AI Usage</w:t>
      </w:r>
      <w:bookmarkEnd w:id="22"/>
    </w:p>
    <w:p>
      <w:pPr>
        <w:pStyle w:val="2"/>
      </w:pPr>
      <w:bookmarkStart w:id="23" w:name="_Toc233719645"/>
      <w:r>
        <w:t>6.1 AI Tool Disclosure</w:t>
      </w:r>
      <w:bookmarkEnd w:id="23"/>
      <w:r>
        <w:t xml:space="preserve"> </w:t>
      </w:r>
    </w:p>
    <w:p>
      <w:r>
        <w:t xml:space="preserve">Specific stages of this report, including background research, explaining financial concepts, proofreading and language refinement were assisted with the help of Artificial Intelligence tools. AI also came in handy to explain financial approaches and formulate preliminary ideas and scrutinize the legitimacy of computations performed in Microsoft Excel (Deng and Zhou, 2022). Nonetheless, all the financial information, ratio analysis, investment appraisal findings and strategic suggestions were discussed on their own before being incorporated into the report. </w:t>
      </w:r>
    </w:p>
    <w:p>
      <w:pPr>
        <w:pStyle w:val="2"/>
      </w:pPr>
      <w:bookmarkStart w:id="24" w:name="_Toc233719646"/>
      <w:r>
        <w:t>6.2 Verification and Critical Evaluation of AI Outputs</w:t>
      </w:r>
      <w:bookmarkEnd w:id="24"/>
      <w:r>
        <w:t xml:space="preserve"> </w:t>
      </w:r>
    </w:p>
    <w:p>
      <w:r>
        <w:t>Information generated by AI was critically verified and before any information was put in the report, it was first verified. Monetary reports were checked directly with annual reports that IHG released to confirm that it is in line with the reported income statement, statement of financial position and cash flow statement. The calculations of the ratios have been made and verified with the assistance of Microsoft Excel formulas without considering the numerical results produced by AI. Calculations of investment appraisal such as Payback Period, ARR, NPV, Profitability Index and IRR were also re-calculated manually in Excel to ensure that all is correct.</w:t>
      </w:r>
    </w:p>
    <w:p>
      <w:r>
        <w:t>In conducting the review, a number of AI responses had to be corrected since they had assumptions which were not justified by the published financial information of the company. These outputs were revised based on the comparison with confirmed financial statements and assignments requirements. In situations where AI generated too general financial interpretations, further company-specific analysis was created to capture the true financial situation of IHGA (Kanyhin and Tyschenko, 2022). This systematic verification process minimised the chances of factual errors, logic errors and unsubstantiated conclusions as well as enhanced the overall reliability and credibility of the report.</w:t>
      </w:r>
    </w:p>
    <w:p>
      <w:pPr>
        <w:pStyle w:val="2"/>
      </w:pPr>
      <w:bookmarkStart w:id="25" w:name="_Toc233719647"/>
      <w:r>
        <w:t>6.3 Personal Contribution and Financial Judgement</w:t>
      </w:r>
      <w:bookmarkEnd w:id="25"/>
      <w:r>
        <w:t xml:space="preserve"> </w:t>
      </w:r>
    </w:p>
    <w:p>
      <w:r>
        <w:t>Even though AI was used to give a general direction in the preparation process, the substantive financial analysis and professional judgement were done independently. The analysis of financial statements, calculation of ratios in Excel, development of investment appraisal models based on appropriate financial formulae were performed. The trend analysis, evaluation of the liquidity, evaluation of the gearing, the comparison of the sources of financing and the development of the restructuring proposals were not automatic responses, but the critical thinking. The selection of projects and capital rationing decisions were made based on the proven financial evidence and correlated with the strategic goals of the company (Svetlova, 2022). In order to ensure that the final product, the report, was the mirror of the financial analysis and reflected the use of the concepts of financial management required at the postgraduate level, the final structure of the report, discussion, conclusions and recommendations were thoroughly checked.</w:t>
      </w:r>
    </w:p>
    <w:p>
      <w:pPr>
        <w:pStyle w:val="2"/>
      </w:pPr>
      <w:bookmarkStart w:id="26" w:name="_Toc233719648"/>
      <w:r>
        <w:t>6.4 Ethical and Professional Reflection</w:t>
      </w:r>
      <w:bookmarkEnd w:id="26"/>
      <w:r>
        <w:t xml:space="preserve"> </w:t>
      </w:r>
    </w:p>
    <w:p>
      <w:r>
        <w:t>The positive consequences of the increasing use of Artificial Intelligence in financial management are enormous, but it has significant ethical and professional issues. Openness about the use of AI is vital as financial decisions impact investors, employees and other stakeholders. To become responsible and reliable professionals must establish a very thin boundary between AI-enhanced assistance and autonomous financial decision-making.</w:t>
      </w:r>
    </w:p>
    <w:p>
      <w:r>
        <w:t>Another consideration that should be made is the privacy of information particularly when handling sensitive company or financial information. There should be no cases of sharing sensitive data with the AI systems when the corresponding security and organisational policies do not allow this. An excessive use of AI may also reduce professional scepticism and critical thinking, and more people will follow false advice or untested financial choices.</w:t>
      </w:r>
    </w:p>
    <w:p>
      <w:r>
        <w:t>Thus, AI must be used as an extension of professional knowledge and not as a substitute. The financial managers are tasked with the responsibility of justifying calculation, interpretation of business performance and making strategic decisions. Ethical practices, independent judgement and strict verification are essential to make AI facilitate beneficial financial reporting and help maintain responsible corporate governance and trust in stakeholders.</w:t>
      </w:r>
    </w:p>
    <w:p>
      <w:pPr>
        <w:pStyle w:val="1"/>
      </w:pPr>
      <w:bookmarkStart w:id="27" w:name="_Toc233719649"/>
      <w:r>
        <w:t>Conclusion</w:t>
      </w:r>
      <w:bookmarkEnd w:id="27"/>
      <w:r>
        <w:t xml:space="preserve"> </w:t>
      </w:r>
    </w:p>
    <w:p>
      <w:r>
        <w:t>This report finds that IHG had a good financial performance in 2021 and 2025 with the aid of increasing profitability, effective operations and strong cash production. Nevertheless, a rise in leverage and a relatively low liquidity demand maintains financial discipline. The proposed reorganisation plan along with the thorough management of the working capital as well as the thoughtful choice of investment would improve financial stability in the long run. The investment appraisal had made project C as the most desirable project, and the capital allocation on a disciplined basis is important within the capital limits. In general, the recommendations suggested will aid sustainable growth, improved shareholder value and increased financial stability.</w:t>
      </w:r>
    </w:p>
    <w:p/>
    <w:p>
      <w:pPr>
        <w:spacing w:line="278" w:lineRule="auto"/>
        <w:jc w:val="left"/>
      </w:pPr>
    </w:p>
    <w:p>
      <w:pPr>
        <w:spacing w:line="278" w:lineRule="auto"/>
        <w:jc w:val="left"/>
      </w:pPr>
      <w:r>
        <w:br w:type="page"/>
      </w:r>
    </w:p>
    <w:p>
      <w:pPr>
        <w:pStyle w:val="1"/>
      </w:pPr>
      <w:bookmarkStart w:id="28" w:name="_Toc233719650"/>
      <w:r>
        <w:t>Reference List</w:t>
      </w:r>
      <w:bookmarkEnd w:id="28"/>
    </w:p>
    <w:p>
      <w:r>
        <w:t>Akbar, M., Hussain, A., Sokolova, M. and Sabahat, T., 2022. Financial distress, firm life cycle, and corporate restructuring decisions: evidence from Pakistan’s economy. </w:t>
      </w:r>
      <w:r>
        <w:rPr>
          <w:i/>
          <w:iCs/>
        </w:rPr>
        <w:t>Economies</w:t>
      </w:r>
      <w:r>
        <w:t>, </w:t>
      </w:r>
      <w:r>
        <w:rPr>
          <w:i/>
          <w:iCs/>
        </w:rPr>
        <w:t>10</w:t>
      </w:r>
      <w:r>
        <w:t>(7), p.175.</w:t>
      </w:r>
    </w:p>
    <w:p>
      <w:r>
        <w:t>Aslam, R., Nasir, A., Asif, R., Abid, H. and Ali, A., 2025. How Macroeconomic Factors Affect the Leverage Behavior? A Model of Asset Light and Fee-Oriented Strategy in the Hospitality Industry. </w:t>
      </w:r>
      <w:r>
        <w:rPr>
          <w:i/>
          <w:iCs/>
        </w:rPr>
        <w:t>The Critical Review of Social Sciences Studies</w:t>
      </w:r>
      <w:r>
        <w:t>, </w:t>
      </w:r>
      <w:r>
        <w:rPr>
          <w:i/>
          <w:iCs/>
        </w:rPr>
        <w:t>3</w:t>
      </w:r>
      <w:r>
        <w:t>(1), pp.985-1003.</w:t>
      </w:r>
    </w:p>
    <w:p>
      <w:r>
        <w:t>Back, K.J., 2024. ESG for the hospitality and tourism research: Essential demanded research area for all. </w:t>
      </w:r>
      <w:r>
        <w:rPr>
          <w:i/>
          <w:iCs/>
        </w:rPr>
        <w:t>Tourism Management</w:t>
      </w:r>
      <w:r>
        <w:t>, </w:t>
      </w:r>
      <w:r>
        <w:rPr>
          <w:i/>
          <w:iCs/>
        </w:rPr>
        <w:t>105</w:t>
      </w:r>
      <w:r>
        <w:t>, p.104954.</w:t>
      </w:r>
    </w:p>
    <w:p>
      <w:r>
        <w:t>Chairunisa, S.S., Digdowiseiso, K. and Karyatun, S., 2023. The Effect of Total Assets Turnover, Debt to Assets Ratio, Cash Ratio and Current Ratio on Financial Performance of Companies The Hotel, Restaurant and Tourism Subsector in IDX for The Period 2016-2020. </w:t>
      </w:r>
      <w:r>
        <w:rPr>
          <w:i/>
          <w:iCs/>
        </w:rPr>
        <w:t>Jurnal Syntax Admiration</w:t>
      </w:r>
      <w:r>
        <w:t>, </w:t>
      </w:r>
      <w:r>
        <w:rPr>
          <w:i/>
          <w:iCs/>
        </w:rPr>
        <w:t>4</w:t>
      </w:r>
      <w:r>
        <w:t>(3), pp.548-558.</w:t>
      </w:r>
    </w:p>
    <w:p>
      <w:r>
        <w:t>Della Corte, V., Aria, M., Del Gaudio, G., Sepe, F. and Di Taranto, E., 2022. Stakeholder value creation: A case of the hospitality industry. </w:t>
      </w:r>
      <w:r>
        <w:rPr>
          <w:i/>
          <w:iCs/>
        </w:rPr>
        <w:t>Corporate Ownership and Control</w:t>
      </w:r>
      <w:r>
        <w:t>, </w:t>
      </w:r>
      <w:r>
        <w:rPr>
          <w:i/>
          <w:iCs/>
        </w:rPr>
        <w:t>19</w:t>
      </w:r>
      <w:r>
        <w:t>(1), pp.314-326.</w:t>
      </w:r>
    </w:p>
    <w:p>
      <w:r>
        <w:t>Deng, F. and Zhou, C., 2022. Sustainable development of corporate governance in the hospitality and tourism industry: the evolution and the future. </w:t>
      </w:r>
      <w:r>
        <w:rPr>
          <w:i/>
          <w:iCs/>
        </w:rPr>
        <w:t>Sustainability</w:t>
      </w:r>
      <w:r>
        <w:t>, </w:t>
      </w:r>
      <w:r>
        <w:rPr>
          <w:i/>
          <w:iCs/>
        </w:rPr>
        <w:t>14</w:t>
      </w:r>
      <w:r>
        <w:t>(7), p.4286.</w:t>
      </w:r>
    </w:p>
    <w:p>
      <w:r>
        <w:t>El-Said, O.A., Elhoushy, S., Smith, M. and Youssif, M., 2024. Crisis-driven innovation in hospitality: how do international hotel chains innovate to recover from a global crisis?. </w:t>
      </w:r>
      <w:r>
        <w:rPr>
          <w:i/>
          <w:iCs/>
        </w:rPr>
        <w:t>International Journal of Hospitality Management</w:t>
      </w:r>
      <w:r>
        <w:t>, </w:t>
      </w:r>
      <w:r>
        <w:rPr>
          <w:i/>
          <w:iCs/>
        </w:rPr>
        <w:t>120</w:t>
      </w:r>
      <w:r>
        <w:t>, p.103758.</w:t>
      </w:r>
    </w:p>
    <w:p>
      <w:r>
        <w:t>Friewald, N., Nagler, F. and Wagner, C., 2022. Debt refinancing and equity returns. </w:t>
      </w:r>
      <w:r>
        <w:rPr>
          <w:i/>
          <w:iCs/>
        </w:rPr>
        <w:t>The Journal of Finance</w:t>
      </w:r>
      <w:r>
        <w:t>, </w:t>
      </w:r>
      <w:r>
        <w:rPr>
          <w:i/>
          <w:iCs/>
        </w:rPr>
        <w:t>77</w:t>
      </w:r>
      <w:r>
        <w:t>(4), pp.2287-2329.</w:t>
      </w:r>
    </w:p>
    <w:p>
      <w:r>
        <w:t>Gajić, T., Petrović, M.D., Pešić, A.M., Conić, M. and Gligorijević, N., 2024. Innovative approaches in hotel management: integrating artificial intelligence (AI) and the internet of things (IoT) to enhance operational efficiency and sustainability. </w:t>
      </w:r>
      <w:r>
        <w:rPr>
          <w:i/>
          <w:iCs/>
        </w:rPr>
        <w:t>Sustainability</w:t>
      </w:r>
      <w:r>
        <w:t>, </w:t>
      </w:r>
      <w:r>
        <w:rPr>
          <w:i/>
          <w:iCs/>
        </w:rPr>
        <w:t>16</w:t>
      </w:r>
      <w:r>
        <w:t>(17), p.7279.</w:t>
      </w:r>
    </w:p>
    <w:p>
      <w:r>
        <w:t>Hoang, D., Gatzer, S. and Ruckes, M., 2025. The economics of capital allocation in firms: Evidence from internal capital markets. </w:t>
      </w:r>
      <w:r>
        <w:rPr>
          <w:i/>
          <w:iCs/>
        </w:rPr>
        <w:t>Management science</w:t>
      </w:r>
      <w:r>
        <w:t>, </w:t>
      </w:r>
      <w:r>
        <w:rPr>
          <w:i/>
          <w:iCs/>
        </w:rPr>
        <w:t>71</w:t>
      </w:r>
      <w:r>
        <w:t>(8), pp.6392-6425.</w:t>
      </w:r>
    </w:p>
    <w:p>
      <w:r>
        <w:t>InterContinental Hotels Group PLC, 2025.</w:t>
      </w:r>
      <w:r>
        <w:rPr>
          <w:i/>
          <w:iCs/>
        </w:rPr>
        <w:t xml:space="preserve"> IHG annual report 2025</w:t>
      </w:r>
      <w:r>
        <w:t xml:space="preserve">. Available at: </w:t>
      </w:r>
      <w:r>
        <w:rPr>
          <w:rStyle w:val="27"/>
        </w:rPr>
        <w:fldChar w:fldCharType="begin"/>
      </w:r>
      <w:r>
        <w:instrText>HYPERLINK "https://www.ihgplc.com/~/media/Files/I/Ihg-Plc/investors/annual-report/2025/ihg-ar25-interactive.pdf"</w:instrText>
      </w:r>
      <w:r>
        <w:rPr>
          <w:rStyle w:val="27"/>
        </w:rPr>
        <w:fldChar w:fldCharType="separate"/>
      </w:r>
      <w:r>
        <w:rPr>
          <w:rStyle w:val="27"/>
        </w:rPr>
        <w:t>https://www.ihgplc.com/~/media/Files/I/Ihg-Plc/investors/annual-report/2025/ihg-ar25-interactive.pdf</w:t>
      </w:r>
      <w:r>
        <w:rPr>
          <w:rStyle w:val="27"/>
        </w:rPr>
        <w:fldChar w:fldCharType="end"/>
      </w:r>
      <w:r>
        <w:t xml:space="preserve"> [Accessed on: 30/06/2026]</w:t>
      </w:r>
    </w:p>
    <w:p>
      <w:r>
        <w:t xml:space="preserve">InterContinental Hotels Group PLC, 2026. </w:t>
      </w:r>
      <w:r>
        <w:rPr>
          <w:i/>
          <w:iCs/>
        </w:rPr>
        <w:t>InterContinental Hotels Group PLC Investor Relations</w:t>
      </w:r>
      <w:r>
        <w:t xml:space="preserve">. Available at: </w:t>
      </w:r>
      <w:r>
        <w:rPr>
          <w:rStyle w:val="27"/>
        </w:rPr>
        <w:fldChar w:fldCharType="begin"/>
      </w:r>
      <w:r>
        <w:instrText>HYPERLINK "https://www.ihgplc.com/en"</w:instrText>
      </w:r>
      <w:r>
        <w:rPr>
          <w:rStyle w:val="27"/>
        </w:rPr>
        <w:fldChar w:fldCharType="separate"/>
      </w:r>
      <w:r>
        <w:rPr>
          <w:rStyle w:val="27"/>
        </w:rPr>
        <w:t>https://www.ihgplc.com/en</w:t>
      </w:r>
      <w:r>
        <w:rPr>
          <w:rStyle w:val="27"/>
        </w:rPr>
        <w:fldChar w:fldCharType="end"/>
      </w:r>
      <w:r>
        <w:t xml:space="preserve"> [Accessed on: 30 June 2026]</w:t>
      </w:r>
    </w:p>
    <w:p>
      <w:r>
        <w:t>Kanyhin, S. and Tyschenko, V., 2022. Role of the artificial intelligence in financial management. </w:t>
      </w:r>
      <w:r>
        <w:rPr>
          <w:i/>
          <w:iCs/>
        </w:rPr>
        <w:t>Publishing House “Baltija Publishing”</w:t>
      </w:r>
      <w:r>
        <w:t>.</w:t>
      </w:r>
    </w:p>
    <w:p>
      <w:r>
        <w:t>Kolodiziev, O., Dorokhov, O., Shcherbak, V., Dorokhova, L., Ismailov, A. and Figueiredo, R., 2024. Resilience benchmarking: How small hotels can ensure their survival and growth during global disruptions. </w:t>
      </w:r>
      <w:r>
        <w:rPr>
          <w:i/>
          <w:iCs/>
        </w:rPr>
        <w:t>Journal of Risk and Financial Management</w:t>
      </w:r>
      <w:r>
        <w:t>, </w:t>
      </w:r>
      <w:r>
        <w:rPr>
          <w:i/>
          <w:iCs/>
        </w:rPr>
        <w:t>17</w:t>
      </w:r>
      <w:r>
        <w:t>(7), p.281.</w:t>
      </w:r>
    </w:p>
    <w:p>
      <w:r>
        <w:t>Lee, C.C., Lee, C.C. and Wu, Y., 2023. The impact of COVID‐19 pandemic on hospitality stock returns in China. </w:t>
      </w:r>
      <w:r>
        <w:rPr>
          <w:i/>
          <w:iCs/>
        </w:rPr>
        <w:t>International Journal of Finance &amp; Economics</w:t>
      </w:r>
      <w:r>
        <w:t>, </w:t>
      </w:r>
      <w:r>
        <w:rPr>
          <w:i/>
          <w:iCs/>
        </w:rPr>
        <w:t>28</w:t>
      </w:r>
      <w:r>
        <w:t>(2), pp.1787-1800.</w:t>
      </w:r>
    </w:p>
    <w:p>
      <w:r>
        <w:t>Manitkul, T.R., 2025. A Comparative Net Present Value (NPV) Analysis: 1993 Sukavichinomics' Ocean Terminal vs. 2025 Popularism's Casino Complex in Thailand. </w:t>
      </w:r>
      <w:r>
        <w:rPr>
          <w:i/>
          <w:iCs/>
        </w:rPr>
        <w:t>Available at SSRN 5276569</w:t>
      </w:r>
      <w:r>
        <w:t>.</w:t>
      </w:r>
    </w:p>
    <w:p>
      <w:r>
        <w:t>Mollah, M.A.S., Rouf, M.A. and Rana, S.S., 2023. A study on capital budgeting practices of some selected companies in Bangladesh. </w:t>
      </w:r>
      <w:r>
        <w:rPr>
          <w:i/>
          <w:iCs/>
        </w:rPr>
        <w:t>PSU Research Review</w:t>
      </w:r>
      <w:r>
        <w:t>, </w:t>
      </w:r>
      <w:r>
        <w:rPr>
          <w:i/>
          <w:iCs/>
        </w:rPr>
        <w:t>7</w:t>
      </w:r>
      <w:r>
        <w:t>(2), pp.137-151.</w:t>
      </w:r>
    </w:p>
    <w:p>
      <w:r>
        <w:t>Mugambi, P.M., Muturi, W. and Njeru, A., 2023. Effect of liquidity on financial performance of star rated hotels in Nairobi County, Kenya. </w:t>
      </w:r>
      <w:r>
        <w:rPr>
          <w:i/>
          <w:iCs/>
        </w:rPr>
        <w:t>International Academic Journal of Economics and Finance, 3 (8), 305</w:t>
      </w:r>
      <w:r>
        <w:t>, </w:t>
      </w:r>
      <w:r>
        <w:rPr>
          <w:i/>
          <w:iCs/>
        </w:rPr>
        <w:t>322</w:t>
      </w:r>
      <w:r>
        <w:t>(2).</w:t>
      </w:r>
    </w:p>
    <w:p>
      <w:r>
        <w:t>Nguyen, L.T.M., Le, D., Vu, K.T. and Tran, T.K., 2023. The role of capital structure management in maintaining the financial stability of hotel firms during the pandemic—A global investigation. </w:t>
      </w:r>
      <w:r>
        <w:rPr>
          <w:i/>
          <w:iCs/>
        </w:rPr>
        <w:t>International Journal of Hospitality Management</w:t>
      </w:r>
      <w:r>
        <w:t>, </w:t>
      </w:r>
      <w:r>
        <w:rPr>
          <w:i/>
          <w:iCs/>
        </w:rPr>
        <w:t>109</w:t>
      </w:r>
      <w:r>
        <w:t>, p.103366.</w:t>
      </w:r>
    </w:p>
    <w:p>
      <w:r>
        <w:t>Soda, M.Z., Hassan Makhlouf, M., Oroud, Y. and Al Omari, R., 2022. Is firms’ profitability affected by working capital management? A novel market-based evidence in Jordan. </w:t>
      </w:r>
      <w:r>
        <w:rPr>
          <w:i/>
          <w:iCs/>
        </w:rPr>
        <w:t>Cogent Business &amp; Management</w:t>
      </w:r>
      <w:r>
        <w:t>, </w:t>
      </w:r>
      <w:r>
        <w:rPr>
          <w:i/>
          <w:iCs/>
        </w:rPr>
        <w:t>9</w:t>
      </w:r>
      <w:r>
        <w:t>(1), p.2049671.</w:t>
      </w:r>
    </w:p>
    <w:p>
      <w:r>
        <w:t>Stavropoulos, A.S. and Zounta, S., 2025. Cash conversion cycle and profitability: Evidence from Greek service firms. </w:t>
      </w:r>
      <w:r>
        <w:rPr>
          <w:i/>
          <w:iCs/>
        </w:rPr>
        <w:t>Journal of Risk and Financial Management</w:t>
      </w:r>
      <w:r>
        <w:t>, </w:t>
      </w:r>
      <w:r>
        <w:rPr>
          <w:i/>
          <w:iCs/>
        </w:rPr>
        <w:t>18</w:t>
      </w:r>
      <w:r>
        <w:t>(4), p.208.</w:t>
      </w:r>
    </w:p>
    <w:p>
      <w:r>
        <w:t>Svetlova, E., 2022. AI ethics and systemic risks in finance. </w:t>
      </w:r>
      <w:r>
        <w:rPr>
          <w:i/>
          <w:iCs/>
        </w:rPr>
        <w:t>AI and Ethics</w:t>
      </w:r>
      <w:r>
        <w:t>, </w:t>
      </w:r>
      <w:r>
        <w:rPr>
          <w:i/>
          <w:iCs/>
        </w:rPr>
        <w:t>2</w:t>
      </w:r>
      <w:r>
        <w:t>(4), pp.713-725.</w:t>
      </w:r>
    </w:p>
    <w:p>
      <w:r>
        <w:t>Vilani, L., Zanin, A., Lizot, M., Trentin, M.G., Afonso, P. and Lima, J.D.D., 2024. A framework for investment and risk assessment of agricultural projects. </w:t>
      </w:r>
      <w:r>
        <w:rPr>
          <w:i/>
          <w:iCs/>
        </w:rPr>
        <w:t>Journal of risk and financial management</w:t>
      </w:r>
      <w:r>
        <w:t>, </w:t>
      </w:r>
      <w:r>
        <w:rPr>
          <w:i/>
          <w:iCs/>
        </w:rPr>
        <w:t>17</w:t>
      </w:r>
      <w:r>
        <w:t>(9), p.378.</w:t>
      </w:r>
    </w:p>
    <w:p>
      <w:r>
        <w:t>Wangchuk, P., 2022. Application of depreciation net present value and internal rate of return in engineering projects a brief literature review. </w:t>
      </w:r>
      <w:r>
        <w:rPr>
          <w:i/>
          <w:iCs/>
        </w:rPr>
        <w:t>Journal of Applied Engineering, Technology and Management</w:t>
      </w:r>
      <w:r>
        <w:t>, </w:t>
      </w:r>
      <w:r>
        <w:rPr>
          <w:i/>
          <w:iCs/>
        </w:rPr>
        <w:t>2</w:t>
      </w:r>
      <w:r>
        <w:t>(1), pp.25-30.</w:t>
      </w:r>
    </w:p>
    <w:p>
      <w:r>
        <w:t>Ylä-Kujala, A., Kedziora, D., Metso, L., Kärri, T., Happonen, A. and Piotrowicz, W., 2023. Robotic process automation deployments: a step-by-step method to investment appraisal. </w:t>
      </w:r>
      <w:r>
        <w:rPr>
          <w:i/>
          <w:iCs/>
        </w:rPr>
        <w:t>Business Process Management Journal</w:t>
      </w:r>
      <w:r>
        <w:t>, </w:t>
      </w:r>
      <w:r>
        <w:rPr>
          <w:i/>
          <w:iCs/>
        </w:rPr>
        <w:t>29</w:t>
      </w:r>
      <w:r>
        <w:t>(8), pp.163-187.</w:t>
      </w:r>
    </w:p>
    <w:p/>
    <w:p/>
    <w:p>
      <w:pPr>
        <w:spacing w:line="278" w:lineRule="auto"/>
        <w:jc w:val="left"/>
        <w:rPr>
          <w:rFonts w:eastAsia="等线 Light" w:cs="Times New Roman"/>
          <w:b/>
          <w:color w:val="000000"/>
          <w:szCs w:val="40"/>
        </w:rPr>
      </w:pPr>
      <w:r>
        <w:br w:type="page"/>
      </w:r>
    </w:p>
    <w:p>
      <w:pPr>
        <w:pStyle w:val="1"/>
      </w:pPr>
      <w:bookmarkStart w:id="29" w:name="_Toc233719651"/>
      <w:r>
        <w:t>Appendices</w:t>
      </w:r>
      <w:bookmarkEnd w:id="29"/>
    </w:p>
    <w:p>
      <w:pPr>
        <w:rPr>
          <w:b/>
          <w:bCs/>
          <w:i/>
          <w:iCs/>
        </w:rPr>
      </w:pPr>
      <w:r>
        <w:rPr>
          <w:b/>
          <w:bCs/>
          <w:i/>
          <w:iCs/>
        </w:rPr>
        <w:t>Ratio Analysis</w:t>
      </w:r>
    </w:p>
    <w:p>
      <w:pPr>
        <w:jc w:val="center"/>
      </w:pPr>
      <w:r>
        <w:rPr>
          <w:lang w:val="en-IN" w:eastAsia="en-IN"/>
        </w:rPr>
        <w:drawing>
          <wp:inline distT="0" distB="0" distL="0" distR="0">
            <wp:extent cx="4159178" cy="6924674"/>
            <wp:effectExtent l="42862" t="42862" r="95243" b="95194"/>
            <wp:docPr id="4" name="Images 4"/>
            <wp:cNvGraphicFramePr>
              <a:graphicFrameLocks noChangeAspect="1"/>
            </wp:cNvGraphicFramePr>
            <a:graphic>
              <a:graphicData uri="http://schemas.openxmlformats.org/drawingml/2006/picture">
                <pic:pic>
                  <pic:nvPicPr>
                    <pic:cNvPr id="6" name="Images 6"/>
                    <pic:cNvPicPr/>
                  </pic:nvPicPr>
                  <pic:blipFill>
                    <a:blip r:embed="rId4"/>
                    <a:stretch>
                      <a:fillRect/>
                    </a:stretch>
                  </pic:blipFill>
                  <pic:spPr>
                    <a:xfrm rot="0">
                      <a:off x="0" y="0"/>
                      <a:ext cx="4159178" cy="6924674"/>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jc w:val="center"/>
        <w:rPr>
          <w:b/>
          <w:bCs/>
        </w:rPr>
      </w:pPr>
      <w:r>
        <w:rPr>
          <w:b/>
          <w:bCs/>
        </w:rPr>
        <w:t>(Source: MS Excel)</w:t>
      </w:r>
    </w:p>
    <w:p>
      <w:pPr>
        <w:jc w:val="center"/>
        <w:rPr>
          <w:b/>
          <w:bCs/>
        </w:rPr>
      </w:pPr>
      <w:r>
        <w:rPr>
          <w:b/>
          <w:bCs/>
          <w:lang w:val="en-IN" w:eastAsia="en-IN"/>
        </w:rPr>
        <w:drawing>
          <wp:inline distT="0" distB="0" distL="0" distR="0">
            <wp:extent cx="5361798" cy="4029075"/>
            <wp:effectExtent l="0" t="0" r="0" b="0"/>
            <wp:docPr id="7" name="Images 7"/>
            <wp:cNvGraphicFramePr>
              <a:graphicFrameLocks noChangeAspect="1"/>
            </wp:cNvGraphicFramePr>
            <a:graphic>
              <a:graphicData uri="http://schemas.openxmlformats.org/drawingml/2006/picture">
                <pic:pic>
                  <pic:nvPicPr>
                    <pic:cNvPr id="9" name="Images 9"/>
                    <pic:cNvPicPr/>
                  </pic:nvPicPr>
                  <pic:blipFill>
                    <a:blip r:embed="rId5"/>
                    <a:stretch>
                      <a:fillRect/>
                    </a:stretch>
                  </pic:blipFill>
                  <pic:spPr>
                    <a:xfrm rot="0">
                      <a:off x="0" y="0"/>
                      <a:ext cx="5361798" cy="4029075"/>
                    </a:xfrm>
                    <a:prstGeom prst="rect"/>
                    <a:noFill/>
                    <a:ln w="12700" cmpd="sng" cap="flat">
                      <a:noFill/>
                      <a:prstDash val="solid"/>
                      <a:miter/>
                    </a:ln>
                  </pic:spPr>
                </pic:pic>
              </a:graphicData>
            </a:graphic>
          </wp:inline>
        </w:drawing>
      </w:r>
    </w:p>
    <w:p>
      <w:pPr>
        <w:jc w:val="center"/>
        <w:rPr>
          <w:b/>
          <w:bCs/>
        </w:rPr>
      </w:pPr>
      <w:r>
        <w:rPr>
          <w:b/>
          <w:bCs/>
          <w:lang w:val="en-IN" w:eastAsia="en-IN"/>
        </w:rPr>
        <w:drawing>
          <wp:inline distT="0" distB="0" distL="0" distR="0">
            <wp:extent cx="4733925" cy="3261148"/>
            <wp:effectExtent l="0" t="0" r="0" b="0"/>
            <wp:docPr id="10" name="Images 10"/>
            <wp:cNvGraphicFramePr>
              <a:graphicFrameLocks noChangeAspect="1"/>
            </wp:cNvGraphicFramePr>
            <a:graphic>
              <a:graphicData uri="http://schemas.openxmlformats.org/drawingml/2006/picture">
                <pic:pic>
                  <pic:nvPicPr>
                    <pic:cNvPr id="12" name="Images 12"/>
                    <pic:cNvPicPr/>
                  </pic:nvPicPr>
                  <pic:blipFill>
                    <a:blip r:embed="rId6"/>
                    <a:stretch>
                      <a:fillRect/>
                    </a:stretch>
                  </pic:blipFill>
                  <pic:spPr>
                    <a:xfrm rot="0">
                      <a:off x="0" y="0"/>
                      <a:ext cx="4733925" cy="3261148"/>
                    </a:xfrm>
                    <a:prstGeom prst="rect"/>
                    <a:noFill/>
                    <a:ln w="12700" cmpd="sng" cap="flat">
                      <a:noFill/>
                      <a:prstDash val="solid"/>
                      <a:miter/>
                    </a:ln>
                  </pic:spPr>
                </pic:pic>
              </a:graphicData>
            </a:graphic>
          </wp:inline>
        </w:drawing>
      </w:r>
    </w:p>
    <w:p>
      <w:pPr>
        <w:jc w:val="center"/>
        <w:rPr>
          <w:b/>
          <w:bCs/>
        </w:rPr>
      </w:pPr>
      <w:r>
        <w:rPr>
          <w:b/>
          <w:bCs/>
          <w:lang w:val="en-IN" w:eastAsia="en-IN"/>
        </w:rPr>
        <w:drawing>
          <wp:inline distT="0" distB="0" distL="0" distR="0">
            <wp:extent cx="4787460" cy="3248025"/>
            <wp:effectExtent l="0" t="0" r="0" b="0"/>
            <wp:docPr id="13" name="Images 13"/>
            <wp:cNvGraphicFramePr>
              <a:graphicFrameLocks noChangeAspect="1"/>
            </wp:cNvGraphicFramePr>
            <a:graphic>
              <a:graphicData uri="http://schemas.openxmlformats.org/drawingml/2006/picture">
                <pic:pic>
                  <pic:nvPicPr>
                    <pic:cNvPr id="15" name="Images 15"/>
                    <pic:cNvPicPr/>
                  </pic:nvPicPr>
                  <pic:blipFill>
                    <a:blip r:embed="rId7"/>
                    <a:stretch>
                      <a:fillRect/>
                    </a:stretch>
                  </pic:blipFill>
                  <pic:spPr>
                    <a:xfrm rot="0">
                      <a:off x="0" y="0"/>
                      <a:ext cx="4787460" cy="3248025"/>
                    </a:xfrm>
                    <a:prstGeom prst="rect"/>
                    <a:noFill/>
                    <a:ln w="12700" cmpd="sng" cap="flat">
                      <a:noFill/>
                      <a:prstDash val="solid"/>
                      <a:miter/>
                    </a:ln>
                  </pic:spPr>
                </pic:pic>
              </a:graphicData>
            </a:graphic>
          </wp:inline>
        </w:drawing>
      </w:r>
    </w:p>
    <w:p>
      <w:pPr>
        <w:jc w:val="center"/>
        <w:rPr>
          <w:b/>
          <w:bCs/>
        </w:rPr>
      </w:pPr>
      <w:r>
        <w:rPr>
          <w:b/>
          <w:bCs/>
          <w:lang w:val="en-IN" w:eastAsia="en-IN"/>
        </w:rPr>
        <w:drawing>
          <wp:inline distT="0" distB="0" distL="0" distR="0">
            <wp:extent cx="5389075" cy="3629024"/>
            <wp:effectExtent l="0" t="0" r="0" b="0"/>
            <wp:docPr id="16" name="Images 16"/>
            <wp:cNvGraphicFramePr>
              <a:graphicFrameLocks noChangeAspect="1"/>
            </wp:cNvGraphicFramePr>
            <a:graphic>
              <a:graphicData uri="http://schemas.openxmlformats.org/drawingml/2006/picture">
                <pic:pic>
                  <pic:nvPicPr>
                    <pic:cNvPr id="18" name="Images 18"/>
                    <pic:cNvPicPr/>
                  </pic:nvPicPr>
                  <pic:blipFill>
                    <a:blip r:embed="rId8"/>
                    <a:stretch>
                      <a:fillRect/>
                    </a:stretch>
                  </pic:blipFill>
                  <pic:spPr>
                    <a:xfrm rot="0">
                      <a:off x="0" y="0"/>
                      <a:ext cx="5389075" cy="3629024"/>
                    </a:xfrm>
                    <a:prstGeom prst="rect"/>
                    <a:noFill/>
                    <a:ln w="12700" cmpd="sng" cap="flat">
                      <a:noFill/>
                      <a:prstDash val="solid"/>
                      <a:miter/>
                    </a:ln>
                  </pic:spPr>
                </pic:pic>
              </a:graphicData>
            </a:graphic>
          </wp:inline>
        </w:drawing>
      </w:r>
    </w:p>
    <w:p>
      <w:pPr>
        <w:jc w:val="center"/>
        <w:rPr>
          <w:b/>
          <w:bCs/>
        </w:rPr>
      </w:pPr>
      <w:r>
        <w:rPr>
          <w:b/>
          <w:bCs/>
        </w:rPr>
        <w:t>(Source: MS Excel)</w:t>
      </w:r>
    </w:p>
    <w:p>
      <w:pPr>
        <w:rPr>
          <w:b/>
          <w:bCs/>
          <w:i/>
          <w:iCs/>
        </w:rPr>
      </w:pPr>
      <w:r>
        <w:rPr>
          <w:b/>
          <w:bCs/>
          <w:i/>
          <w:iCs/>
        </w:rPr>
        <w:t>Investment Appraisal</w:t>
      </w:r>
    </w:p>
    <w:p>
      <w:pPr>
        <w:jc w:val="center"/>
      </w:pPr>
      <w:r>
        <w:rPr>
          <w:lang w:val="en-IN" w:eastAsia="en-IN"/>
        </w:rPr>
        <w:drawing>
          <wp:inline distT="0" distB="0" distL="0" distR="0">
            <wp:extent cx="5943600" cy="3343275"/>
            <wp:effectExtent l="42861" t="42861" r="95208" b="95248"/>
            <wp:docPr id="19" name="Images 19"/>
            <wp:cNvGraphicFramePr>
              <a:graphicFrameLocks noChangeAspect="1"/>
            </wp:cNvGraphicFramePr>
            <a:graphic>
              <a:graphicData uri="http://schemas.openxmlformats.org/drawingml/2006/picture">
                <pic:pic>
                  <pic:nvPicPr>
                    <pic:cNvPr id="21" name="Images 21"/>
                    <pic:cNvPicPr/>
                  </pic:nvPicPr>
                  <pic:blipFill>
                    <a:blip r:embed="rId9"/>
                    <a:stretch>
                      <a:fillRect/>
                    </a:stretch>
                  </pic:blipFill>
                  <pic:spPr>
                    <a:xfrm rot="0">
                      <a:off x="0" y="0"/>
                      <a:ext cx="5943600" cy="3343275"/>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jc w:val="center"/>
      </w:pPr>
      <w:r>
        <w:rPr>
          <w:lang w:val="en-IN" w:eastAsia="en-IN"/>
        </w:rPr>
        <w:drawing>
          <wp:inline distT="0" distB="0" distL="0" distR="0">
            <wp:extent cx="5943600" cy="1257300"/>
            <wp:effectExtent l="42861" t="42862" r="95208" b="95183"/>
            <wp:docPr id="22" name="Images 22"/>
            <wp:cNvGraphicFramePr>
              <a:graphicFrameLocks noChangeAspect="1"/>
            </wp:cNvGraphicFramePr>
            <a:graphic>
              <a:graphicData uri="http://schemas.openxmlformats.org/drawingml/2006/picture">
                <pic:pic>
                  <pic:nvPicPr>
                    <pic:cNvPr id="24" name="Images 24"/>
                    <pic:cNvPicPr/>
                  </pic:nvPicPr>
                  <pic:blipFill>
                    <a:blip r:embed="rId10"/>
                    <a:stretch>
                      <a:fillRect/>
                    </a:stretch>
                  </pic:blipFill>
                  <pic:spPr>
                    <a:xfrm rot="0">
                      <a:off x="0" y="0"/>
                      <a:ext cx="5943600" cy="1257300"/>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jc w:val="center"/>
      </w:pPr>
      <w:r>
        <w:rPr>
          <w:b/>
          <w:bCs/>
        </w:rPr>
        <w:t>(Source: MS Excel)</w:t>
      </w:r>
    </w:p>
    <w:sectPr>
      <w:footerReference w:type="default" r:id="rI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titlePg/>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panose1 w:val="00000000000000000000"/>
    <w:charset w:val="00"/>
    <w:family w:val="auto"/>
    <w:pitch w:val="variable"/>
    <w:sig w:usb0="00000000" w:usb1="00000000" w:usb2="00000000" w:usb3="00000000" w:csb0="00000000" w:csb1="00000000"/>
  </w:font>
  <w:font w:name="等线 Light">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3"/>
      <w:tabs>
        <w:tab w:val="center" w:pos="4680"/>
        <w:tab w:val="right" w:pos="9360"/>
      </w:tabs>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w:t>
    </w:r>
    <w:r>
      <w:rPr>
        <w:sz w:val="20"/>
        <w:szCs w:val="20"/>
      </w:rPr>
      <w:fldChar w:fldCharType="end"/>
    </w:r>
  </w:p>
  <w:p>
    <w:pPr>
      <w:pStyle w:val="23"/>
      <w:tabs>
        <w:tab w:val="center" w:pos="4680"/>
        <w:tab w:val="right" w:pos="9360"/>
      </w:tabs>
      <w:rPr>
        <w:sz w:val="20"/>
        <w:szCs w:val="20"/>
      </w:rPr>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09"/>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360" w:lineRule="auto"/>
      <w:jc w:val="both"/>
    </w:pPr>
    <w:rPr>
      <w:rFonts w:ascii="Times New Roman" w:eastAsia="Calibri" w:cs="Arial" w:hAnsi="Times New Roman"/>
      <w:kern w:val="2"/>
      <w:sz w:val="24"/>
      <w:szCs w:val="24"/>
      <w:lang w:val="en-GB" w:eastAsia="en-US" w:bidi="ar-SA"/>
    </w:rPr>
  </w:style>
  <w:style w:type="paragraph" w:styleId="1">
    <w:name w:val="heading 1"/>
    <w:basedOn w:val="0"/>
    <w:autoRedefine/>
    <w:next w:val="0"/>
    <w:pPr>
      <w:keepNext/>
      <w:keepLines/>
      <w:spacing w:before="360" w:after="80"/>
      <w:outlineLvl w:val="0"/>
    </w:pPr>
    <w:rPr>
      <w:rFonts w:eastAsia="等线 Light" w:cs="Times New Roman"/>
      <w:b/>
      <w:color w:val="000000"/>
      <w:szCs w:val="40"/>
    </w:rPr>
  </w:style>
  <w:style w:type="paragraph" w:styleId="2">
    <w:name w:val="heading 2"/>
    <w:basedOn w:val="0"/>
    <w:autoRedefine/>
    <w:next w:val="0"/>
    <w:pPr>
      <w:keepNext/>
      <w:keepLines/>
      <w:spacing w:before="160" w:after="80"/>
      <w:outlineLvl w:val="1"/>
    </w:pPr>
    <w:rPr>
      <w:rFonts w:eastAsia="等线 Light" w:cs="Times New Roman"/>
      <w:b/>
      <w:color w:val="000000"/>
      <w:szCs w:val="32"/>
    </w:rPr>
  </w:style>
  <w:style w:type="paragraph" w:styleId="3">
    <w:name w:val="heading 3"/>
    <w:basedOn w:val="0"/>
    <w:autoRedefine/>
    <w:next w:val="0"/>
    <w:pPr>
      <w:keepNext/>
      <w:keepLines/>
      <w:spacing w:before="160" w:after="80"/>
      <w:outlineLvl w:val="2"/>
    </w:pPr>
    <w:rPr>
      <w:rFonts w:eastAsia="等线 Light" w:cs="Times New Roman"/>
      <w:b/>
      <w:color w:val="000000"/>
      <w:szCs w:val="28"/>
    </w:rPr>
  </w:style>
  <w:style w:type="paragraph" w:styleId="4">
    <w:name w:val="heading 4"/>
    <w:basedOn w:val="0"/>
    <w:next w:val="0"/>
    <w:pPr>
      <w:keepNext/>
      <w:keepLines/>
      <w:spacing w:before="80" w:after="40"/>
      <w:outlineLvl w:val="3"/>
    </w:pPr>
    <w:rPr>
      <w:rFonts w:ascii="Calibri" w:eastAsia="等线 Light" w:cs="Times New Roman" w:hAnsi="Calibri"/>
      <w:i/>
      <w:iCs/>
      <w:color w:val="2F5496"/>
    </w:rPr>
  </w:style>
  <w:style w:type="paragraph" w:styleId="5">
    <w:name w:val="heading 5"/>
    <w:basedOn w:val="0"/>
    <w:next w:val="0"/>
    <w:pPr>
      <w:keepNext/>
      <w:keepLines/>
      <w:spacing w:before="80" w:after="40"/>
      <w:outlineLvl w:val="4"/>
    </w:pPr>
    <w:rPr>
      <w:rFonts w:ascii="Calibri" w:eastAsia="等线 Light" w:cs="Times New Roman" w:hAnsi="Calibri"/>
      <w:color w:val="2F5496"/>
    </w:rPr>
  </w:style>
  <w:style w:type="paragraph" w:styleId="6">
    <w:name w:val="heading 6"/>
    <w:basedOn w:val="0"/>
    <w:next w:val="0"/>
    <w:pPr>
      <w:keepNext/>
      <w:keepLines/>
      <w:spacing w:before="40" w:after="0"/>
      <w:outlineLvl w:val="5"/>
    </w:pPr>
    <w:rPr>
      <w:rFonts w:ascii="Calibri" w:eastAsia="等线 Light" w:cs="Times New Roman" w:hAnsi="Calibri"/>
      <w:i/>
      <w:iCs/>
      <w:color w:val="595959"/>
    </w:rPr>
  </w:style>
  <w:style w:type="paragraph" w:styleId="7">
    <w:name w:val="heading 7"/>
    <w:basedOn w:val="0"/>
    <w:next w:val="0"/>
    <w:pPr>
      <w:keepNext/>
      <w:keepLines/>
      <w:spacing w:before="40" w:after="0"/>
      <w:outlineLvl w:val="6"/>
    </w:pPr>
    <w:rPr>
      <w:rFonts w:ascii="Calibri" w:eastAsia="等线 Light" w:cs="Times New Roman" w:hAnsi="Calibri"/>
      <w:color w:val="595959"/>
    </w:rPr>
  </w:style>
  <w:style w:type="paragraph" w:styleId="8">
    <w:name w:val="heading 8"/>
    <w:basedOn w:val="0"/>
    <w:next w:val="0"/>
    <w:pPr>
      <w:keepNext/>
      <w:keepLines/>
      <w:spacing w:after="0"/>
      <w:outlineLvl w:val="7"/>
    </w:pPr>
    <w:rPr>
      <w:rFonts w:ascii="Calibri" w:eastAsia="等线 Light" w:cs="Times New Roman" w:hAnsi="Calibri"/>
      <w:i/>
      <w:iCs/>
      <w:color w:val="272727"/>
    </w:rPr>
  </w:style>
  <w:style w:type="paragraph" w:styleId="9">
    <w:name w:val="heading 9"/>
    <w:basedOn w:val="0"/>
    <w:next w:val="0"/>
    <w:pPr>
      <w:keepNext/>
      <w:keepLines/>
      <w:spacing w:after="0"/>
      <w:outlineLvl w:val="8"/>
    </w:pPr>
    <w:rPr>
      <w:rFonts w:ascii="Calibri" w:eastAsia="等线 Light" w:cs="Times New Roman" w:hAnsi="Calibri"/>
      <w:color w:val="272727"/>
    </w:rPr>
  </w:style>
  <w:style w:type="character" w:default="1" w:styleId="10">
    <w:name w:val="Default Paragraph Font"/>
  </w:style>
  <w:style w:type="paragraph" w:styleId="15">
    <w:name w:val="Title"/>
    <w:basedOn w:val="0"/>
    <w:next w:val="0"/>
    <w:pPr>
      <w:spacing w:after="80" w:line="240" w:lineRule="auto"/>
      <w:contextualSpacing/>
    </w:pPr>
    <w:rPr>
      <w:rFonts w:ascii="Calibri Light" w:eastAsia="等线 Light" w:cs="Times New Roman" w:hAnsi="Calibri Light"/>
      <w:spacing w:val="-10"/>
      <w:kern w:val="28"/>
      <w:sz w:val="56"/>
      <w:szCs w:val="56"/>
    </w:rPr>
  </w:style>
  <w:style w:type="paragraph" w:styleId="16">
    <w:name w:val="Subtitle"/>
    <w:basedOn w:val="0"/>
    <w:next w:val="0"/>
    <w:rPr>
      <w:rFonts w:ascii="Calibri" w:eastAsia="等线 Light" w:cs="Times New Roman" w:hAnsi="Calibri"/>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2F5496"/>
    </w:rPr>
  </w:style>
  <w:style w:type="paragraph" w:customStyle="1" w:styleId="20">
    <w:name w:val="Intense Quote"/>
    <w:basedOn w:val="0"/>
    <w:next w:val="0"/>
    <w:pPr>
      <w:pBdr>
        <w:top w:val="single" w:sz="4" w:space="10" w:color="2F5496"/>
        <w:bottom w:val="single" w:sz="4" w:space="10" w:color="2F5496"/>
      </w:pBdr>
      <w:spacing w:before="360" w:after="360"/>
      <w:ind w:left="864" w:right="864"/>
      <w:jc w:val="center"/>
    </w:pPr>
    <w:rPr>
      <w:i/>
      <w:iCs/>
      <w:color w:val="2F5496"/>
    </w:rPr>
  </w:style>
  <w:style w:type="character" w:customStyle="1" w:styleId="21">
    <w:name w:val="Intense Reference"/>
    <w:basedOn w:val="10"/>
    <w:rPr>
      <w:b/>
      <w:bCs/>
      <w:caps w:val="0"/>
      <w:smallCaps/>
      <w:color w:val="2F5496"/>
      <w:spacing w:val="5"/>
    </w:rPr>
  </w:style>
  <w:style w:type="paragraph" w:styleId="22">
    <w:name w:val="header"/>
    <w:basedOn w:val="0"/>
    <w:pPr>
      <w:tabs>
        <w:tab w:val="center" w:pos="4680"/>
        <w:tab w:val="right" w:pos="9360"/>
      </w:tabs>
      <w:spacing w:after="0" w:line="240" w:lineRule="auto"/>
    </w:pPr>
  </w:style>
  <w:style w:type="paragraph" w:styleId="23">
    <w:name w:val="footer"/>
    <w:basedOn w:val="0"/>
    <w:pPr>
      <w:tabs>
        <w:tab w:val="center" w:pos="4680"/>
        <w:tab w:val="right" w:pos="9360"/>
      </w:tabs>
      <w:spacing w:after="0" w:line="240" w:lineRule="auto"/>
    </w:pPr>
  </w:style>
  <w:style w:type="paragraph" w:customStyle="1" w:styleId="24">
    <w:name w:val="TOC Heading"/>
    <w:basedOn w:val="1"/>
    <w:next w:val="0"/>
    <w:pPr>
      <w:spacing w:before="240" w:after="0" w:line="259" w:lineRule="auto"/>
      <w:jc w:val="left"/>
      <w:outlineLvl w:val="9"/>
    </w:pPr>
    <w:rPr>
      <w:rFonts w:ascii="Calibri Light" w:hAnsi="Calibri Light"/>
      <w:b w:val="0"/>
      <w:color w:val="2F5496"/>
      <w:kern w:val="0"/>
      <w:sz w:val="32"/>
      <w:szCs w:val="32"/>
      <w:lang w:val="en-US"/>
    </w:rPr>
  </w:style>
  <w:style w:type="paragraph" w:styleId="25">
    <w:name w:val="toc 1"/>
    <w:basedOn w:val="0"/>
    <w:autoRedefine/>
    <w:next w:val="0"/>
    <w:pPr>
      <w:spacing w:after="100"/>
    </w:pPr>
  </w:style>
  <w:style w:type="paragraph" w:styleId="26">
    <w:name w:val="toc 2"/>
    <w:basedOn w:val="0"/>
    <w:autoRedefine/>
    <w:next w:val="0"/>
    <w:pPr>
      <w:spacing w:after="100"/>
      <w:ind w:left="240"/>
    </w:pPr>
  </w:style>
  <w:style w:type="character" w:styleId="27">
    <w:name w:val="Hyperlink"/>
    <w:basedOn w:val="10"/>
    <w:rPr>
      <w:color w:val="0563C1"/>
      <w:u w:val="single"/>
    </w:rPr>
  </w:style>
  <w:style w:type="paragraph" w:styleId="28">
    <w:name w:val="Balloon Text"/>
    <w:basedOn w:val="0"/>
    <w:pPr>
      <w:spacing w:after="0" w:line="240" w:lineRule="auto"/>
    </w:pPr>
    <w:rPr>
      <w:rFonts w:ascii="Tahoma" w:cs="Tahoma" w:hAnsi="Tahoma"/>
      <w:sz w:val="16"/>
      <w:szCs w:val="16"/>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jpeg"/><Relationship Id="rId4" Type="http://schemas.openxmlformats.org/officeDocument/2006/relationships/image" Target="media/5.emf"/><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emf"/><Relationship Id="rId10" Type="http://schemas.openxmlformats.org/officeDocument/2006/relationships/image" Target="media/23.emf"/><Relationship Id="rId11" Type="http://schemas.openxmlformats.org/officeDocument/2006/relationships/styles" Target="styles.xml"/><Relationship Id="rId12" Type="http://schemas.openxmlformats.org/officeDocument/2006/relationships/fontTable" Target="fontTable.xml"/></Relationships>
</file>

<file path=docProps/app.xml><?xml version="1.0" encoding="utf-8"?>
<Properties xmlns="http://schemas.openxmlformats.org/officeDocument/2006/extended-properties">
  <Template>Normal.eit</Template>
  <TotalTime>41</TotalTime>
  <Application>Honor_Office</Application>
  <Pages>31</Pages>
  <Words>6196</Words>
  <Characters>35108</Characters>
  <Lines>613</Lines>
  <Paragraphs>165</Paragraphs>
  <CharactersWithSpaces>41172</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User</dc:creator>
  <cp:lastModifiedBy>HONOR Docs</cp:lastModifiedBy>
  <cp:revision>32</cp:revision>
  <dcterms:created xsi:type="dcterms:W3CDTF">2026-06-30T06:18:00Z</dcterms:created>
  <dcterms:modified xsi:type="dcterms:W3CDTF">2026-07-20T07:26:25Z</dcterms:modified>
</cp:coreProperties>
</file>