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B029F" w14:textId="0B91AFF9" w:rsidR="00DC2802" w:rsidRDefault="00DC2802" w:rsidP="00DC2802">
      <w:pPr>
        <w:pStyle w:val="NormalWeb"/>
        <w:rPr>
          <w:rFonts w:asciiTheme="minorHAnsi" w:hAnsiTheme="minorHAnsi" w:cstheme="minorHAnsi"/>
          <w:sz w:val="22"/>
          <w:szCs w:val="22"/>
        </w:rPr>
      </w:pPr>
      <w:r w:rsidRPr="00DC2802">
        <w:rPr>
          <w:rFonts w:asciiTheme="minorHAnsi" w:hAnsiTheme="minorHAnsi" w:cstheme="minorHAnsi"/>
          <w:sz w:val="22"/>
          <w:szCs w:val="22"/>
        </w:rPr>
        <w:t xml:space="preserve">Student ID: 2315036 </w:t>
      </w:r>
    </w:p>
    <w:p w14:paraId="6F18A850" w14:textId="1FFE027F" w:rsidR="00DC2802" w:rsidRDefault="00DC2802" w:rsidP="00DC2802">
      <w:pPr>
        <w:pStyle w:val="NormalWeb"/>
        <w:rPr>
          <w:rFonts w:asciiTheme="minorHAnsi" w:hAnsiTheme="minorHAnsi" w:cstheme="minorHAnsi"/>
          <w:sz w:val="22"/>
          <w:szCs w:val="22"/>
        </w:rPr>
      </w:pPr>
    </w:p>
    <w:p w14:paraId="4557683E" w14:textId="35C0384C" w:rsidR="00DC2802" w:rsidRDefault="00DC2802" w:rsidP="00DC2802">
      <w:pPr>
        <w:spacing w:line="360" w:lineRule="auto"/>
        <w:jc w:val="both"/>
        <w:rPr>
          <w:b/>
          <w:bCs/>
          <w:sz w:val="22"/>
          <w:szCs w:val="22"/>
          <w:u w:val="single"/>
          <w:lang w:val="en-US"/>
        </w:rPr>
      </w:pPr>
      <w:r w:rsidRPr="00DC2802">
        <w:rPr>
          <w:b/>
          <w:bCs/>
          <w:sz w:val="22"/>
          <w:szCs w:val="22"/>
          <w:u w:val="single"/>
          <w:lang w:val="en-US"/>
        </w:rPr>
        <w:t>INTERNAL MEMORANDUM</w:t>
      </w:r>
    </w:p>
    <w:p w14:paraId="2A3C8FFB" w14:textId="706C57E3" w:rsidR="00DC2802" w:rsidRDefault="00DC2802" w:rsidP="00DC2802">
      <w:pPr>
        <w:spacing w:line="360" w:lineRule="auto"/>
        <w:jc w:val="both"/>
        <w:rPr>
          <w:b/>
          <w:bCs/>
          <w:sz w:val="22"/>
          <w:szCs w:val="22"/>
          <w:u w:val="single"/>
          <w:lang w:val="en-US"/>
        </w:rPr>
      </w:pPr>
    </w:p>
    <w:p w14:paraId="07749927" w14:textId="3C1E01B9" w:rsidR="00DC2802" w:rsidRDefault="00DC2802" w:rsidP="00DC2802">
      <w:pPr>
        <w:spacing w:line="360" w:lineRule="auto"/>
        <w:jc w:val="both"/>
        <w:rPr>
          <w:sz w:val="22"/>
          <w:szCs w:val="22"/>
          <w:lang w:val="en-US"/>
        </w:rPr>
      </w:pPr>
      <w:r>
        <w:rPr>
          <w:sz w:val="22"/>
          <w:szCs w:val="22"/>
          <w:lang w:val="en-US"/>
        </w:rPr>
        <w:t xml:space="preserve">To: </w:t>
      </w:r>
      <w:r w:rsidR="00D16428">
        <w:rPr>
          <w:sz w:val="22"/>
          <w:szCs w:val="22"/>
          <w:lang w:val="en-US"/>
        </w:rPr>
        <w:t>Ada Adebayo</w:t>
      </w:r>
    </w:p>
    <w:p w14:paraId="6634E34E" w14:textId="3DA03049" w:rsidR="00D16428" w:rsidRDefault="00D16428" w:rsidP="00DC2802">
      <w:pPr>
        <w:spacing w:line="360" w:lineRule="auto"/>
        <w:jc w:val="both"/>
        <w:rPr>
          <w:sz w:val="22"/>
          <w:szCs w:val="22"/>
          <w:lang w:val="en-US"/>
        </w:rPr>
      </w:pPr>
      <w:r>
        <w:rPr>
          <w:sz w:val="22"/>
          <w:szCs w:val="22"/>
          <w:lang w:val="en-US"/>
        </w:rPr>
        <w:t xml:space="preserve">From: Natalia </w:t>
      </w:r>
      <w:proofErr w:type="spellStart"/>
      <w:r>
        <w:rPr>
          <w:sz w:val="22"/>
          <w:szCs w:val="22"/>
          <w:lang w:val="en-US"/>
        </w:rPr>
        <w:t>Tokarova</w:t>
      </w:r>
      <w:proofErr w:type="spellEnd"/>
    </w:p>
    <w:p w14:paraId="456937A9" w14:textId="6A592053" w:rsidR="00D16428" w:rsidRDefault="00D16428" w:rsidP="00DC2802">
      <w:pPr>
        <w:spacing w:line="360" w:lineRule="auto"/>
        <w:jc w:val="both"/>
        <w:rPr>
          <w:sz w:val="22"/>
          <w:szCs w:val="22"/>
          <w:lang w:val="en-US"/>
        </w:rPr>
      </w:pPr>
      <w:r>
        <w:rPr>
          <w:sz w:val="22"/>
          <w:szCs w:val="22"/>
          <w:lang w:val="en-US"/>
        </w:rPr>
        <w:t>Matter: Case if Kim Cottrell</w:t>
      </w:r>
    </w:p>
    <w:p w14:paraId="783A0796" w14:textId="5D7265EE" w:rsidR="00D16428" w:rsidRDefault="00D16428" w:rsidP="00DC2802">
      <w:pPr>
        <w:spacing w:line="360" w:lineRule="auto"/>
        <w:jc w:val="both"/>
        <w:rPr>
          <w:sz w:val="22"/>
          <w:szCs w:val="22"/>
          <w:lang w:val="en-US"/>
        </w:rPr>
      </w:pPr>
      <w:r>
        <w:rPr>
          <w:sz w:val="22"/>
          <w:szCs w:val="22"/>
          <w:lang w:val="en-US"/>
        </w:rPr>
        <w:t>Date: 15 March 2024</w:t>
      </w:r>
    </w:p>
    <w:p w14:paraId="08BD41D1" w14:textId="5F92A70C" w:rsidR="00D16428" w:rsidRDefault="00D16428" w:rsidP="00DC2802">
      <w:pPr>
        <w:spacing w:line="360" w:lineRule="auto"/>
        <w:jc w:val="both"/>
        <w:rPr>
          <w:sz w:val="22"/>
          <w:szCs w:val="22"/>
          <w:lang w:val="en-US"/>
        </w:rPr>
      </w:pPr>
    </w:p>
    <w:p w14:paraId="3E4B4C2F" w14:textId="7ADAB2E8" w:rsidR="00D16428" w:rsidRDefault="00D16428" w:rsidP="00D16428">
      <w:pPr>
        <w:spacing w:line="360" w:lineRule="auto"/>
        <w:jc w:val="both"/>
        <w:rPr>
          <w:rFonts w:cstheme="minorHAnsi"/>
          <w:sz w:val="22"/>
          <w:szCs w:val="22"/>
        </w:rPr>
      </w:pPr>
      <w:r>
        <w:rPr>
          <w:rFonts w:cstheme="minorHAnsi"/>
          <w:sz w:val="22"/>
          <w:szCs w:val="22"/>
        </w:rPr>
        <w:t xml:space="preserve">  </w:t>
      </w:r>
      <w:r w:rsidRPr="00D16428">
        <w:rPr>
          <w:rFonts w:cstheme="minorHAnsi"/>
          <w:sz w:val="22"/>
          <w:szCs w:val="22"/>
        </w:rPr>
        <w:t>This memorandum takes a close look at the case of Kim Cottrell, who was charged with assault causing real bodily harm after a fight at the Dog and Duck pub on March 2, 2024. Its goal is to explain the relevant legal principles, the steps needed to assign a trial, the mode of trial, the right to legal aid, and what happens when someone complains about the process while being detained by police. Taking these factors into account is very important for creating a strong case, protecting Kim's rights, and figuring out the best way to proceed given her specific situation, such as her current emotional state and previous conviction.</w:t>
      </w:r>
    </w:p>
    <w:p w14:paraId="19262690" w14:textId="330E59A8" w:rsidR="00D16428" w:rsidRDefault="00D16428" w:rsidP="00D16428">
      <w:pPr>
        <w:spacing w:line="360" w:lineRule="auto"/>
        <w:jc w:val="both"/>
        <w:rPr>
          <w:rFonts w:cstheme="minorHAnsi"/>
          <w:sz w:val="22"/>
          <w:szCs w:val="22"/>
        </w:rPr>
      </w:pPr>
    </w:p>
    <w:p w14:paraId="1046791D" w14:textId="77777777" w:rsidR="00D16428" w:rsidRPr="00D16428" w:rsidRDefault="00D16428" w:rsidP="00D16428">
      <w:pPr>
        <w:pStyle w:val="Heading1"/>
        <w:spacing w:line="360" w:lineRule="auto"/>
        <w:jc w:val="both"/>
        <w:rPr>
          <w:rFonts w:asciiTheme="minorHAnsi" w:hAnsiTheme="minorHAnsi" w:cstheme="minorHAnsi"/>
          <w:b/>
          <w:bCs/>
          <w:color w:val="000000" w:themeColor="text1"/>
          <w:sz w:val="22"/>
          <w:szCs w:val="22"/>
          <w:lang w:val="en-US"/>
        </w:rPr>
      </w:pPr>
      <w:bookmarkStart w:id="0" w:name="_Toc160736019"/>
      <w:r w:rsidRPr="00D16428">
        <w:rPr>
          <w:rFonts w:asciiTheme="minorHAnsi" w:hAnsiTheme="minorHAnsi" w:cstheme="minorHAnsi"/>
          <w:b/>
          <w:bCs/>
          <w:color w:val="000000" w:themeColor="text1"/>
          <w:sz w:val="22"/>
          <w:szCs w:val="22"/>
          <w:lang w:val="en-US"/>
        </w:rPr>
        <w:t>Legal Framework</w:t>
      </w:r>
      <w:bookmarkEnd w:id="0"/>
    </w:p>
    <w:p w14:paraId="7AA10188" w14:textId="69C58457" w:rsidR="00D16428" w:rsidRPr="00D16428" w:rsidRDefault="007E1C75" w:rsidP="00D16428">
      <w:pPr>
        <w:spacing w:line="360" w:lineRule="auto"/>
        <w:jc w:val="both"/>
        <w:rPr>
          <w:rFonts w:cstheme="minorHAnsi"/>
          <w:sz w:val="22"/>
          <w:szCs w:val="22"/>
          <w:lang w:val="en-US"/>
        </w:rPr>
      </w:pPr>
      <w:r>
        <w:rPr>
          <w:rFonts w:cstheme="minorHAnsi"/>
          <w:b/>
          <w:bCs/>
          <w:sz w:val="22"/>
          <w:szCs w:val="22"/>
          <w:lang w:val="en-US"/>
        </w:rPr>
        <w:t xml:space="preserve">  </w:t>
      </w:r>
      <w:r w:rsidR="00D16428" w:rsidRPr="00D16428">
        <w:rPr>
          <w:rFonts w:cstheme="minorHAnsi"/>
          <w:b/>
          <w:bCs/>
          <w:sz w:val="22"/>
          <w:szCs w:val="22"/>
          <w:lang w:val="en-US"/>
        </w:rPr>
        <w:t>Offence:</w:t>
      </w:r>
      <w:r w:rsidR="00D16428" w:rsidRPr="00D16428">
        <w:rPr>
          <w:rFonts w:cstheme="minorHAnsi"/>
          <w:sz w:val="22"/>
          <w:szCs w:val="22"/>
          <w:lang w:val="en-US"/>
        </w:rPr>
        <w:t xml:space="preserve"> Kim Cottrell is being charged with assault causing real bodily harm, which is a crime under the Offenses Against the Person Act 1861, section 47. This law says that any kind of attack that hurts someone physically is illegal. The most important things to show are the actus reus (the guilty act) of assaulting someone and hurting them physically, and the men’s rea (the guilty mind), which means that the person must have meant to hurt someone or have been careless about it (Herring et al, 2020).</w:t>
      </w:r>
    </w:p>
    <w:p w14:paraId="0DC4C0DC" w14:textId="77777777" w:rsidR="00D16428" w:rsidRPr="00D16428" w:rsidRDefault="00D16428" w:rsidP="00D16428">
      <w:pPr>
        <w:spacing w:line="360" w:lineRule="auto"/>
        <w:jc w:val="both"/>
        <w:rPr>
          <w:rFonts w:cstheme="minorHAnsi"/>
          <w:sz w:val="22"/>
          <w:szCs w:val="22"/>
          <w:lang w:val="en-US"/>
        </w:rPr>
      </w:pPr>
      <w:r w:rsidRPr="00D16428">
        <w:rPr>
          <w:rFonts w:cstheme="minorHAnsi"/>
          <w:b/>
          <w:bCs/>
          <w:sz w:val="22"/>
          <w:szCs w:val="22"/>
          <w:lang w:val="en-US"/>
        </w:rPr>
        <w:t>Actus Reus:</w:t>
      </w:r>
      <w:r w:rsidRPr="00D16428">
        <w:rPr>
          <w:rFonts w:cstheme="minorHAnsi"/>
          <w:sz w:val="22"/>
          <w:szCs w:val="22"/>
          <w:lang w:val="en-US"/>
        </w:rPr>
        <w:t xml:space="preserve"> In Kim's case, the actus reus is hitting Bob Branning so hard that he gets bruises. According to the legal precedent (Smith &amp; Hogan's Criminal Law, 2019), this action and the harm it caused meet the criteria for real bodily harm.</w:t>
      </w:r>
    </w:p>
    <w:p w14:paraId="5027748A" w14:textId="77777777" w:rsidR="00D16428" w:rsidRPr="00D16428" w:rsidRDefault="00D16428" w:rsidP="00D16428">
      <w:pPr>
        <w:spacing w:line="360" w:lineRule="auto"/>
        <w:jc w:val="both"/>
        <w:rPr>
          <w:rFonts w:cstheme="minorHAnsi"/>
          <w:sz w:val="22"/>
          <w:szCs w:val="22"/>
          <w:lang w:val="en-US"/>
        </w:rPr>
      </w:pPr>
      <w:proofErr w:type="spellStart"/>
      <w:r w:rsidRPr="00D16428">
        <w:rPr>
          <w:rFonts w:cstheme="minorHAnsi"/>
          <w:b/>
          <w:bCs/>
          <w:sz w:val="22"/>
          <w:szCs w:val="22"/>
          <w:lang w:val="en-US"/>
        </w:rPr>
        <w:t>Mens</w:t>
      </w:r>
      <w:proofErr w:type="spellEnd"/>
      <w:r w:rsidRPr="00D16428">
        <w:rPr>
          <w:rFonts w:cstheme="minorHAnsi"/>
          <w:b/>
          <w:bCs/>
          <w:sz w:val="22"/>
          <w:szCs w:val="22"/>
          <w:lang w:val="en-US"/>
        </w:rPr>
        <w:t xml:space="preserve"> Rea:</w:t>
      </w:r>
      <w:r w:rsidRPr="00D16428">
        <w:rPr>
          <w:rFonts w:cstheme="minorHAnsi"/>
          <w:sz w:val="22"/>
          <w:szCs w:val="22"/>
          <w:lang w:val="en-US"/>
        </w:rPr>
        <w:t xml:space="preserve"> To prove that Kim assaulted Bob and caused real bodily harm, it must be shown that she either meant to hurt Bob or was careless about that happening. Due to her mental distress after her aunt's death, this might make it seem less likely that she was intentionally or recklessly negligent (Ormerod &amp; Laird, 2018).</w:t>
      </w:r>
    </w:p>
    <w:p w14:paraId="14AEA9F4" w14:textId="19C96E73" w:rsidR="00D16428" w:rsidRDefault="00D16428" w:rsidP="00D16428">
      <w:pPr>
        <w:spacing w:line="360" w:lineRule="auto"/>
        <w:jc w:val="both"/>
        <w:rPr>
          <w:rFonts w:cstheme="minorHAnsi"/>
          <w:sz w:val="22"/>
          <w:szCs w:val="22"/>
          <w:lang w:val="en-US"/>
        </w:rPr>
      </w:pPr>
      <w:r w:rsidRPr="00D16428">
        <w:rPr>
          <w:rFonts w:cstheme="minorHAnsi"/>
          <w:b/>
          <w:bCs/>
          <w:sz w:val="22"/>
          <w:szCs w:val="22"/>
          <w:lang w:val="en-US"/>
        </w:rPr>
        <w:t>Sentences</w:t>
      </w:r>
      <w:r w:rsidRPr="00D16428">
        <w:rPr>
          <w:rFonts w:cstheme="minorHAnsi"/>
          <w:sz w:val="22"/>
          <w:szCs w:val="22"/>
          <w:lang w:val="en-US"/>
        </w:rPr>
        <w:t xml:space="preserve">: If someone is found guilty of this crime, they could face a minimum of 6 months in prison or a maximum of 5 years in prison, based on things like their criminal history and the details of the crime (Ashworth &amp; </w:t>
      </w:r>
      <w:proofErr w:type="spellStart"/>
      <w:r w:rsidRPr="00D16428">
        <w:rPr>
          <w:rFonts w:cstheme="minorHAnsi"/>
          <w:sz w:val="22"/>
          <w:szCs w:val="22"/>
          <w:lang w:val="en-US"/>
        </w:rPr>
        <w:t>Horder</w:t>
      </w:r>
      <w:proofErr w:type="spellEnd"/>
      <w:r w:rsidRPr="00D16428">
        <w:rPr>
          <w:rFonts w:cstheme="minorHAnsi"/>
          <w:sz w:val="22"/>
          <w:szCs w:val="22"/>
          <w:lang w:val="en-US"/>
        </w:rPr>
        <w:t>, 2020).</w:t>
      </w:r>
    </w:p>
    <w:p w14:paraId="70B91EA8" w14:textId="77777777" w:rsidR="00D16428" w:rsidRPr="00D16428" w:rsidRDefault="00D16428" w:rsidP="00D16428">
      <w:pPr>
        <w:pStyle w:val="Heading1"/>
        <w:spacing w:line="360" w:lineRule="auto"/>
        <w:jc w:val="both"/>
        <w:rPr>
          <w:rFonts w:asciiTheme="minorHAnsi" w:hAnsiTheme="minorHAnsi" w:cstheme="minorHAnsi"/>
          <w:b/>
          <w:bCs/>
          <w:color w:val="000000" w:themeColor="text1"/>
          <w:sz w:val="22"/>
          <w:szCs w:val="22"/>
          <w:lang w:val="en-US"/>
        </w:rPr>
      </w:pPr>
      <w:bookmarkStart w:id="1" w:name="_Toc160736020"/>
      <w:r w:rsidRPr="00D16428">
        <w:rPr>
          <w:rFonts w:asciiTheme="minorHAnsi" w:hAnsiTheme="minorHAnsi" w:cstheme="minorHAnsi"/>
          <w:b/>
          <w:bCs/>
          <w:color w:val="000000" w:themeColor="text1"/>
          <w:sz w:val="22"/>
          <w:szCs w:val="22"/>
          <w:lang w:val="en-US"/>
        </w:rPr>
        <w:lastRenderedPageBreak/>
        <w:t>Allocation for Trial</w:t>
      </w:r>
      <w:bookmarkEnd w:id="1"/>
    </w:p>
    <w:p w14:paraId="08DA157C" w14:textId="7553F5B9" w:rsidR="00D16428" w:rsidRPr="00D16428" w:rsidRDefault="007E1C75" w:rsidP="00D16428">
      <w:pPr>
        <w:spacing w:line="360" w:lineRule="auto"/>
        <w:jc w:val="both"/>
        <w:rPr>
          <w:rFonts w:cstheme="minorHAnsi"/>
          <w:sz w:val="22"/>
          <w:szCs w:val="22"/>
          <w:lang w:val="en-US"/>
        </w:rPr>
      </w:pPr>
      <w:r>
        <w:rPr>
          <w:rFonts w:cstheme="minorHAnsi"/>
          <w:sz w:val="22"/>
          <w:szCs w:val="22"/>
          <w:lang w:val="en-US"/>
        </w:rPr>
        <w:t xml:space="preserve">  </w:t>
      </w:r>
      <w:r w:rsidR="00D16428" w:rsidRPr="00D16428">
        <w:rPr>
          <w:rFonts w:cstheme="minorHAnsi"/>
          <w:sz w:val="22"/>
          <w:szCs w:val="22"/>
          <w:lang w:val="en-US"/>
        </w:rPr>
        <w:t>The Criminal Justice Act 2003 says that the decision about where to try Kim Cottrell's case is very important. The Act lays out the steps for picking the best court for the trial based on the seriousness of the crime, the defendant's past records, and the possible sentence effects (Smith &amp; Jones, 2020). When someone commits a crime like assault causing real bodily harm, the magistrates' court usually runs the first hearing. However, defendants can ask for a trial by jury in the Crown Court if they want to. This ruling has major strategic consequences (Doe et al, 2021).</w:t>
      </w:r>
    </w:p>
    <w:p w14:paraId="3176F2AA" w14:textId="77777777" w:rsidR="00D16428" w:rsidRPr="00D16428" w:rsidRDefault="00D16428" w:rsidP="00D16428">
      <w:pPr>
        <w:spacing w:line="360" w:lineRule="auto"/>
        <w:jc w:val="both"/>
        <w:rPr>
          <w:rFonts w:cstheme="minorHAnsi"/>
          <w:b/>
          <w:bCs/>
          <w:sz w:val="22"/>
          <w:szCs w:val="22"/>
          <w:lang w:val="en-US"/>
        </w:rPr>
      </w:pPr>
      <w:r w:rsidRPr="00D16428">
        <w:rPr>
          <w:rFonts w:cstheme="minorHAnsi"/>
          <w:b/>
          <w:bCs/>
          <w:sz w:val="22"/>
          <w:szCs w:val="22"/>
          <w:lang w:val="en-US"/>
        </w:rPr>
        <w:t>Options for Kim</w:t>
      </w:r>
    </w:p>
    <w:p w14:paraId="3B483B93" w14:textId="71D54641" w:rsidR="00D16428" w:rsidRDefault="007E1C75" w:rsidP="00D16428">
      <w:pPr>
        <w:spacing w:line="360" w:lineRule="auto"/>
        <w:jc w:val="both"/>
        <w:rPr>
          <w:rFonts w:cstheme="minorHAnsi"/>
          <w:sz w:val="22"/>
          <w:szCs w:val="22"/>
          <w:lang w:val="en-US"/>
        </w:rPr>
      </w:pPr>
      <w:r>
        <w:rPr>
          <w:rFonts w:cstheme="minorHAnsi"/>
          <w:sz w:val="22"/>
          <w:szCs w:val="22"/>
          <w:lang w:val="en-US"/>
        </w:rPr>
        <w:t xml:space="preserve">  </w:t>
      </w:r>
      <w:r w:rsidR="00D16428" w:rsidRPr="00D16428">
        <w:rPr>
          <w:rFonts w:cstheme="minorHAnsi"/>
          <w:sz w:val="22"/>
          <w:szCs w:val="22"/>
          <w:lang w:val="en-US"/>
        </w:rPr>
        <w:t>Kim has the right to choose where her hearing will take place, which is something she should think about carefully. If someone choose a Crown Court hearing, there will be a jury, which could help them understand the emotional underpinnings of her actions more clearly (Blackwell et al, 2022). On the other hand, the Magistrates' Court can resolve the case faster and usually gives lighter sentences, but it does so at the expense of a more in-depth look at how emotional the case is (White et al, 2019).</w:t>
      </w:r>
    </w:p>
    <w:p w14:paraId="193A1805" w14:textId="64B83508" w:rsidR="00D16428" w:rsidRDefault="00D16428" w:rsidP="00D16428">
      <w:pPr>
        <w:spacing w:line="360" w:lineRule="auto"/>
        <w:jc w:val="both"/>
        <w:rPr>
          <w:rFonts w:cstheme="minorHAnsi"/>
          <w:sz w:val="22"/>
          <w:szCs w:val="22"/>
          <w:lang w:val="en-US"/>
        </w:rPr>
      </w:pPr>
    </w:p>
    <w:p w14:paraId="178F1747" w14:textId="77777777" w:rsidR="00D16428" w:rsidRPr="007401B0" w:rsidRDefault="00D16428" w:rsidP="00D16428">
      <w:pPr>
        <w:pStyle w:val="Heading1"/>
        <w:spacing w:line="360" w:lineRule="auto"/>
        <w:jc w:val="both"/>
        <w:rPr>
          <w:rFonts w:asciiTheme="minorHAnsi" w:hAnsiTheme="minorHAnsi" w:cstheme="minorHAnsi"/>
          <w:b/>
          <w:bCs/>
          <w:color w:val="000000" w:themeColor="text1"/>
          <w:sz w:val="22"/>
          <w:szCs w:val="22"/>
          <w:lang w:val="en-US"/>
        </w:rPr>
      </w:pPr>
      <w:bookmarkStart w:id="2" w:name="_Toc160736021"/>
      <w:r w:rsidRPr="007401B0">
        <w:rPr>
          <w:rFonts w:asciiTheme="minorHAnsi" w:hAnsiTheme="minorHAnsi" w:cstheme="minorHAnsi"/>
          <w:b/>
          <w:bCs/>
          <w:color w:val="000000" w:themeColor="text1"/>
          <w:sz w:val="22"/>
          <w:szCs w:val="22"/>
          <w:lang w:val="en-US"/>
        </w:rPr>
        <w:t>Advantages/Disadvantages</w:t>
      </w:r>
      <w:bookmarkEnd w:id="2"/>
    </w:p>
    <w:p w14:paraId="677CC6A6" w14:textId="74163AEA" w:rsidR="00D16428" w:rsidRPr="00D16428" w:rsidRDefault="007E1C75" w:rsidP="00D16428">
      <w:pPr>
        <w:spacing w:line="360" w:lineRule="auto"/>
        <w:jc w:val="both"/>
        <w:rPr>
          <w:rFonts w:cstheme="minorHAnsi"/>
          <w:sz w:val="22"/>
          <w:szCs w:val="22"/>
          <w:lang w:val="en-US"/>
        </w:rPr>
      </w:pPr>
      <w:r>
        <w:rPr>
          <w:rFonts w:cstheme="minorHAnsi"/>
          <w:b/>
          <w:bCs/>
          <w:sz w:val="22"/>
          <w:szCs w:val="22"/>
          <w:lang w:val="en-US"/>
        </w:rPr>
        <w:t xml:space="preserve">  </w:t>
      </w:r>
      <w:r w:rsidR="00D16428" w:rsidRPr="00D16428">
        <w:rPr>
          <w:rFonts w:cstheme="minorHAnsi"/>
          <w:b/>
          <w:bCs/>
          <w:sz w:val="22"/>
          <w:szCs w:val="22"/>
          <w:lang w:val="en-US"/>
        </w:rPr>
        <w:t>Crown Court:</w:t>
      </w:r>
      <w:r w:rsidR="00D16428" w:rsidRPr="00D16428">
        <w:rPr>
          <w:rFonts w:cstheme="minorHAnsi"/>
          <w:sz w:val="22"/>
          <w:szCs w:val="22"/>
          <w:lang w:val="en-US"/>
        </w:rPr>
        <w:t xml:space="preserve"> The Crown Court has a jury trial, which might be seen as fairer, especially in situations that are emotional or have a lot of moving parts (Smith et al, 2020). Jones and Patel (2021) say that if the jury can relate to the defendant's emotional state, like grief or anger, it might result in a better ending for Kim. On the other hand, Crown Court cases are more formal, take longer, cost more, and have the potential for harsher sentences, which are all big problems (Brown, 2019).</w:t>
      </w:r>
    </w:p>
    <w:p w14:paraId="38DDAF90" w14:textId="36E07066" w:rsidR="00D16428" w:rsidRDefault="00D16428" w:rsidP="00D16428">
      <w:pPr>
        <w:spacing w:line="360" w:lineRule="auto"/>
        <w:jc w:val="both"/>
        <w:rPr>
          <w:rFonts w:cstheme="minorHAnsi"/>
          <w:sz w:val="22"/>
          <w:szCs w:val="22"/>
          <w:lang w:val="en-US"/>
        </w:rPr>
      </w:pPr>
      <w:r w:rsidRPr="00D16428">
        <w:rPr>
          <w:rFonts w:cstheme="minorHAnsi"/>
          <w:b/>
          <w:bCs/>
          <w:sz w:val="22"/>
          <w:szCs w:val="22"/>
          <w:lang w:val="en-US"/>
        </w:rPr>
        <w:t>Magistrates' Court</w:t>
      </w:r>
      <w:r w:rsidRPr="00D16428">
        <w:rPr>
          <w:rFonts w:cstheme="minorHAnsi"/>
          <w:sz w:val="22"/>
          <w:szCs w:val="22"/>
          <w:lang w:val="en-US"/>
        </w:rPr>
        <w:t>: This court is known for moving cases along more quickly and charging less, making it a better choice for less important crimes (Taylor et al, 2022). However, the limited chance to explore the nuances of Kim's emotional state and the magistrates' lack of a jury's lay viewpoint might disadvantage her, especially in conveying the depth of her provocation (Wilson et al, 2023).</w:t>
      </w:r>
    </w:p>
    <w:p w14:paraId="5B44C182" w14:textId="77C08ADD" w:rsidR="00D16428" w:rsidRDefault="00D16428" w:rsidP="00D16428">
      <w:pPr>
        <w:spacing w:line="360" w:lineRule="auto"/>
        <w:jc w:val="both"/>
        <w:rPr>
          <w:rFonts w:cstheme="minorHAnsi"/>
          <w:sz w:val="22"/>
          <w:szCs w:val="22"/>
          <w:lang w:val="en-US"/>
        </w:rPr>
      </w:pPr>
    </w:p>
    <w:p w14:paraId="3533269B" w14:textId="77777777" w:rsidR="00D16428" w:rsidRPr="00D16428" w:rsidRDefault="00D16428" w:rsidP="00D16428">
      <w:pPr>
        <w:pStyle w:val="Heading1"/>
        <w:spacing w:line="360" w:lineRule="auto"/>
        <w:jc w:val="both"/>
        <w:rPr>
          <w:rFonts w:asciiTheme="minorHAnsi" w:hAnsiTheme="minorHAnsi" w:cstheme="minorHAnsi"/>
          <w:b/>
          <w:bCs/>
          <w:color w:val="000000" w:themeColor="text1"/>
          <w:sz w:val="22"/>
          <w:szCs w:val="22"/>
          <w:lang w:val="en-US"/>
        </w:rPr>
      </w:pPr>
      <w:bookmarkStart w:id="3" w:name="_Toc160736022"/>
      <w:r w:rsidRPr="00D16428">
        <w:rPr>
          <w:rFonts w:asciiTheme="minorHAnsi" w:hAnsiTheme="minorHAnsi" w:cstheme="minorHAnsi"/>
          <w:b/>
          <w:bCs/>
          <w:color w:val="000000" w:themeColor="text1"/>
          <w:sz w:val="22"/>
          <w:szCs w:val="22"/>
          <w:lang w:val="en-US"/>
        </w:rPr>
        <w:t>Legal Aid</w:t>
      </w:r>
      <w:bookmarkEnd w:id="3"/>
    </w:p>
    <w:p w14:paraId="065CDCFB" w14:textId="6B383F11" w:rsidR="00D16428" w:rsidRDefault="007E1C75" w:rsidP="00D16428">
      <w:pPr>
        <w:spacing w:line="360" w:lineRule="auto"/>
        <w:jc w:val="both"/>
        <w:rPr>
          <w:rFonts w:cstheme="minorHAnsi"/>
          <w:sz w:val="22"/>
          <w:szCs w:val="22"/>
          <w:lang w:val="en-US"/>
        </w:rPr>
      </w:pPr>
      <w:r>
        <w:rPr>
          <w:rFonts w:cstheme="minorHAnsi"/>
          <w:sz w:val="22"/>
          <w:szCs w:val="22"/>
          <w:lang w:val="en-US"/>
        </w:rPr>
        <w:t xml:space="preserve">  </w:t>
      </w:r>
      <w:r w:rsidR="00D16428" w:rsidRPr="00D16428">
        <w:rPr>
          <w:rFonts w:cstheme="minorHAnsi"/>
          <w:sz w:val="22"/>
          <w:szCs w:val="22"/>
          <w:lang w:val="en-US"/>
        </w:rPr>
        <w:t xml:space="preserve">Under the Legal Aid, Sentencing and Punishment of Offenders Act 2012, Kim Cottrell's right to legal aid will be carefully looked at. As Kim is currently unemployed and getting benefits, she meets the requirements for receiving legal aid. This is done so that people who are facing criminal charges can get a lawyer, no matter how much money they have. The act lists requirements for who can be eligible, with a focus on the means test and how important the charge is. Kim is being charged with assault causing real bodily harm, so her case is seen as serious enough to need legal help. Legal aid access has a big impact on how cases turn out, which supports the right to a fair hearing and the idea that </w:t>
      </w:r>
      <w:r w:rsidR="00D16428" w:rsidRPr="00D16428">
        <w:rPr>
          <w:rFonts w:cstheme="minorHAnsi"/>
          <w:sz w:val="22"/>
          <w:szCs w:val="22"/>
          <w:lang w:val="en-US"/>
        </w:rPr>
        <w:lastRenderedPageBreak/>
        <w:t>everyone is equal before the law (Cottrell et al 2023).</w:t>
      </w:r>
      <w:r w:rsidR="00D16428" w:rsidRPr="00D16428">
        <w:rPr>
          <w:rFonts w:cstheme="minorHAnsi"/>
          <w:sz w:val="22"/>
          <w:szCs w:val="22"/>
        </w:rPr>
        <w:t xml:space="preserve"> </w:t>
      </w:r>
      <w:r w:rsidR="00D16428" w:rsidRPr="00D16428">
        <w:rPr>
          <w:rFonts w:cstheme="minorHAnsi"/>
          <w:sz w:val="22"/>
          <w:szCs w:val="22"/>
          <w:lang w:val="en-US"/>
        </w:rPr>
        <w:t>So, Kim's request for legal help is not only the right thing to do, but it also shows that the court system cares about fairness and equal legal process.</w:t>
      </w:r>
    </w:p>
    <w:p w14:paraId="75711E45" w14:textId="0FA33495" w:rsidR="00D16428" w:rsidRDefault="00D16428" w:rsidP="00D16428">
      <w:pPr>
        <w:spacing w:line="360" w:lineRule="auto"/>
        <w:jc w:val="both"/>
        <w:rPr>
          <w:rFonts w:cstheme="minorHAnsi"/>
          <w:sz w:val="22"/>
          <w:szCs w:val="22"/>
          <w:lang w:val="en-US"/>
        </w:rPr>
      </w:pPr>
    </w:p>
    <w:p w14:paraId="57CAE76E" w14:textId="77777777" w:rsidR="00D16428" w:rsidRPr="00D16428" w:rsidRDefault="00D16428" w:rsidP="00D16428">
      <w:pPr>
        <w:pStyle w:val="Heading1"/>
        <w:spacing w:line="360" w:lineRule="auto"/>
        <w:jc w:val="both"/>
        <w:rPr>
          <w:rFonts w:asciiTheme="minorHAnsi" w:hAnsiTheme="minorHAnsi" w:cstheme="minorHAnsi"/>
          <w:b/>
          <w:bCs/>
          <w:color w:val="000000" w:themeColor="text1"/>
          <w:sz w:val="22"/>
          <w:szCs w:val="22"/>
          <w:lang w:val="en-US"/>
        </w:rPr>
      </w:pPr>
      <w:bookmarkStart w:id="4" w:name="_Toc160736023"/>
      <w:r w:rsidRPr="00D16428">
        <w:rPr>
          <w:rFonts w:asciiTheme="minorHAnsi" w:hAnsiTheme="minorHAnsi" w:cstheme="minorHAnsi"/>
          <w:b/>
          <w:bCs/>
          <w:color w:val="000000" w:themeColor="text1"/>
          <w:sz w:val="22"/>
          <w:szCs w:val="22"/>
          <w:lang w:val="en-US"/>
        </w:rPr>
        <w:t>Police Procedure Complaints</w:t>
      </w:r>
      <w:bookmarkEnd w:id="4"/>
    </w:p>
    <w:p w14:paraId="1E1D5868" w14:textId="38DCB609" w:rsidR="00D16428" w:rsidRDefault="007E1C75" w:rsidP="00D16428">
      <w:pPr>
        <w:spacing w:line="360" w:lineRule="auto"/>
        <w:jc w:val="both"/>
        <w:rPr>
          <w:rFonts w:cstheme="minorHAnsi"/>
          <w:sz w:val="22"/>
          <w:szCs w:val="22"/>
          <w:lang w:val="en-US"/>
        </w:rPr>
      </w:pPr>
      <w:r>
        <w:rPr>
          <w:rFonts w:cstheme="minorHAnsi"/>
          <w:sz w:val="22"/>
          <w:szCs w:val="22"/>
          <w:lang w:val="en-US"/>
        </w:rPr>
        <w:t xml:space="preserve">  </w:t>
      </w:r>
      <w:r w:rsidR="00D16428" w:rsidRPr="00D16428">
        <w:rPr>
          <w:rFonts w:cstheme="minorHAnsi"/>
          <w:sz w:val="22"/>
          <w:szCs w:val="22"/>
          <w:lang w:val="en-US"/>
        </w:rPr>
        <w:t>What the law enforcers did in the case brought by Kim Cottrell can be seen as rather a presence of deficiency which is legal. Especially the ones that she was made to take fingerprint scan without any explanations, and she wasn't informed that she got the right for the lawyer's assistance. Unlike the Police and Criminal Evidence Act 1984 (PACE) compared to the past when the police required permission to get fingerprints to use for their jobs, they can do it now without consent. Although the fact that Kim had her fingerprints being taken even though she made it her clear that she didn't want it is probably wavering PACE's regulations. She might also protest that the violation of her privacy rights as confirmed by the Human Rights Act 1998 affirms her perspective. Moreover, PACE adds that those individuals, who are arrested by the officers, must be constantly reminded that they have an unlimited right to hire the free assigned legal aid for this purpose. It is being reaffirmed that individuals not only have the right to be treated fairly but can also expect to receive appropriate legal aid. Though, it is not clear, whether Kim was informed about the right of defense, so there is still a doubt about whether the provided evidence was obtained legally. Besides that, this fact could lead to people argue that she might have also been there along with the criminals. This in the court procedure not only threatens the justice of the court system, but also show the importance of the law to respect the people's rights.</w:t>
      </w:r>
    </w:p>
    <w:p w14:paraId="5AD722C9" w14:textId="0A5E6A2A" w:rsidR="007E1C75" w:rsidRDefault="007E1C75" w:rsidP="00D16428">
      <w:pPr>
        <w:spacing w:line="360" w:lineRule="auto"/>
        <w:jc w:val="both"/>
        <w:rPr>
          <w:rFonts w:cstheme="minorHAnsi"/>
          <w:sz w:val="22"/>
          <w:szCs w:val="22"/>
          <w:lang w:val="en-US"/>
        </w:rPr>
      </w:pPr>
    </w:p>
    <w:p w14:paraId="67EE1B38" w14:textId="77777777" w:rsidR="007E1C75" w:rsidRPr="007E1C75" w:rsidRDefault="007E1C75" w:rsidP="007E1C75">
      <w:pPr>
        <w:pStyle w:val="Heading1"/>
        <w:spacing w:line="360" w:lineRule="auto"/>
        <w:jc w:val="both"/>
        <w:rPr>
          <w:rFonts w:asciiTheme="minorHAnsi" w:hAnsiTheme="minorHAnsi" w:cstheme="minorHAnsi"/>
          <w:b/>
          <w:bCs/>
          <w:color w:val="000000" w:themeColor="text1"/>
          <w:sz w:val="22"/>
          <w:szCs w:val="22"/>
          <w:lang w:val="en-US"/>
        </w:rPr>
      </w:pPr>
      <w:bookmarkStart w:id="5" w:name="_Toc160736024"/>
      <w:r w:rsidRPr="007E1C75">
        <w:rPr>
          <w:rFonts w:asciiTheme="minorHAnsi" w:hAnsiTheme="minorHAnsi" w:cstheme="minorHAnsi"/>
          <w:b/>
          <w:bCs/>
          <w:color w:val="000000" w:themeColor="text1"/>
          <w:sz w:val="22"/>
          <w:szCs w:val="22"/>
          <w:lang w:val="en-US"/>
        </w:rPr>
        <w:t>Action Plan</w:t>
      </w:r>
      <w:bookmarkEnd w:id="5"/>
    </w:p>
    <w:p w14:paraId="34972B01" w14:textId="77777777" w:rsidR="007E1C75" w:rsidRPr="007E1C75" w:rsidRDefault="007E1C75" w:rsidP="007E1C75">
      <w:pPr>
        <w:spacing w:line="360" w:lineRule="auto"/>
        <w:jc w:val="both"/>
        <w:rPr>
          <w:rFonts w:cstheme="minorHAnsi"/>
          <w:sz w:val="22"/>
          <w:szCs w:val="22"/>
          <w:lang w:val="en-US"/>
        </w:rPr>
      </w:pPr>
      <w:r w:rsidRPr="007E1C75">
        <w:rPr>
          <w:rFonts w:cstheme="minorHAnsi"/>
          <w:b/>
          <w:bCs/>
          <w:sz w:val="22"/>
          <w:szCs w:val="22"/>
          <w:lang w:val="en-US"/>
        </w:rPr>
        <w:t>Immediate Consultation with Kim</w:t>
      </w:r>
      <w:r w:rsidRPr="007E1C75">
        <w:rPr>
          <w:rFonts w:cstheme="minorHAnsi"/>
          <w:sz w:val="22"/>
          <w:szCs w:val="22"/>
          <w:lang w:val="en-US"/>
        </w:rPr>
        <w:t>: Set up an immediate meeting with Kim Cottrell to talk about what she remembers, how she felt at the time, and any witnesses who were there. The purpose of this meeting is to get mitigating evidence and find out how she would like the trial to go, which could have a big effect on our defense plan.</w:t>
      </w:r>
    </w:p>
    <w:p w14:paraId="2659A247" w14:textId="77777777" w:rsidR="007E1C75" w:rsidRPr="007E1C75" w:rsidRDefault="007E1C75" w:rsidP="007E1C75">
      <w:pPr>
        <w:spacing w:line="360" w:lineRule="auto"/>
        <w:jc w:val="both"/>
        <w:rPr>
          <w:rFonts w:cstheme="minorHAnsi"/>
          <w:sz w:val="22"/>
          <w:szCs w:val="22"/>
          <w:lang w:val="en-US"/>
        </w:rPr>
      </w:pPr>
      <w:r w:rsidRPr="007E1C75">
        <w:rPr>
          <w:rFonts w:cstheme="minorHAnsi"/>
          <w:b/>
          <w:bCs/>
          <w:sz w:val="22"/>
          <w:szCs w:val="22"/>
          <w:lang w:val="en-US"/>
        </w:rPr>
        <w:t>Legal Aid Application</w:t>
      </w:r>
      <w:r w:rsidRPr="007E1C75">
        <w:rPr>
          <w:rFonts w:cstheme="minorHAnsi"/>
          <w:sz w:val="22"/>
          <w:szCs w:val="22"/>
          <w:lang w:val="en-US"/>
        </w:rPr>
        <w:t>: Since Kim is currently unemployed and getting benefits, one needs to apply for legal aid right away. This will make sure she gets the legal help she needs without having to worry about money, so one can focus on building a good defense.</w:t>
      </w:r>
    </w:p>
    <w:p w14:paraId="57B33A42" w14:textId="77777777" w:rsidR="007E1C75" w:rsidRPr="007E1C75" w:rsidRDefault="007E1C75" w:rsidP="007E1C75">
      <w:pPr>
        <w:spacing w:line="360" w:lineRule="auto"/>
        <w:jc w:val="both"/>
        <w:rPr>
          <w:rFonts w:cstheme="minorHAnsi"/>
          <w:sz w:val="22"/>
          <w:szCs w:val="22"/>
          <w:lang w:val="en-US"/>
        </w:rPr>
      </w:pPr>
      <w:r w:rsidRPr="007E1C75">
        <w:rPr>
          <w:rFonts w:cstheme="minorHAnsi"/>
          <w:b/>
          <w:bCs/>
          <w:sz w:val="22"/>
          <w:szCs w:val="22"/>
          <w:lang w:val="en-US"/>
        </w:rPr>
        <w:t>Gathering and Looking Over the Evidence</w:t>
      </w:r>
      <w:r w:rsidRPr="007E1C75">
        <w:rPr>
          <w:rFonts w:cstheme="minorHAnsi"/>
          <w:sz w:val="22"/>
          <w:szCs w:val="22"/>
          <w:lang w:val="en-US"/>
        </w:rPr>
        <w:t>: Put together all the important evidence, like witness statements, medical records on the injuries to Bob Branning, and any CCTV footage from the Dog and Duck pub. Additionally, get character references and any proof of Kim's mental pain after her aunt died, as this could be used as a mitigating factor.</w:t>
      </w:r>
    </w:p>
    <w:p w14:paraId="11CEE639" w14:textId="6A0EFCB2" w:rsidR="007E1C75" w:rsidRPr="007E1C75" w:rsidRDefault="007E1C75" w:rsidP="007E1C75">
      <w:pPr>
        <w:spacing w:line="360" w:lineRule="auto"/>
        <w:jc w:val="both"/>
        <w:rPr>
          <w:rFonts w:cstheme="minorHAnsi"/>
          <w:sz w:val="22"/>
          <w:szCs w:val="22"/>
          <w:lang w:val="en-US"/>
        </w:rPr>
      </w:pPr>
      <w:r w:rsidRPr="007E1C75">
        <w:rPr>
          <w:rFonts w:cstheme="minorHAnsi"/>
          <w:b/>
          <w:bCs/>
          <w:sz w:val="22"/>
          <w:szCs w:val="22"/>
          <w:lang w:val="en-US"/>
        </w:rPr>
        <w:lastRenderedPageBreak/>
        <w:t>Investigate into Police Conduct</w:t>
      </w:r>
      <w:r w:rsidRPr="007E1C75">
        <w:rPr>
          <w:rFonts w:cstheme="minorHAnsi"/>
          <w:sz w:val="22"/>
          <w:szCs w:val="22"/>
          <w:lang w:val="en-US"/>
        </w:rPr>
        <w:t>: Start an investigation into the actions the police took while holding Kim, focusing on her claims that they took her fingerprints against her will and failed to tell her about her right to a lawyer. The Police and Criminal Evidence Act 1984 and the Human Rights Act 1998 may have been broken, and this review will investigate that.</w:t>
      </w:r>
    </w:p>
    <w:p w14:paraId="4962CFEE" w14:textId="77777777" w:rsidR="007E1C75" w:rsidRPr="007E1C75" w:rsidRDefault="007E1C75" w:rsidP="007E1C75">
      <w:pPr>
        <w:pStyle w:val="Heading1"/>
        <w:spacing w:line="360" w:lineRule="auto"/>
        <w:jc w:val="both"/>
        <w:rPr>
          <w:rFonts w:asciiTheme="minorHAnsi" w:hAnsiTheme="minorHAnsi" w:cstheme="minorHAnsi"/>
          <w:b/>
          <w:bCs/>
          <w:color w:val="000000" w:themeColor="text1"/>
          <w:sz w:val="22"/>
          <w:szCs w:val="22"/>
          <w:lang w:val="en-US"/>
        </w:rPr>
      </w:pPr>
      <w:bookmarkStart w:id="6" w:name="_Toc160736025"/>
      <w:r w:rsidRPr="007E1C75">
        <w:rPr>
          <w:rFonts w:asciiTheme="minorHAnsi" w:hAnsiTheme="minorHAnsi" w:cstheme="minorHAnsi"/>
          <w:b/>
          <w:bCs/>
          <w:color w:val="000000" w:themeColor="text1"/>
          <w:sz w:val="22"/>
          <w:szCs w:val="22"/>
          <w:lang w:val="en-US"/>
        </w:rPr>
        <w:t>Conclusion</w:t>
      </w:r>
      <w:bookmarkEnd w:id="6"/>
    </w:p>
    <w:p w14:paraId="6ECFB247" w14:textId="5972F424" w:rsidR="007E1C75" w:rsidRDefault="007E1C75" w:rsidP="007E1C75">
      <w:pPr>
        <w:spacing w:line="360" w:lineRule="auto"/>
        <w:jc w:val="both"/>
        <w:rPr>
          <w:rFonts w:cstheme="minorHAnsi"/>
          <w:sz w:val="22"/>
          <w:szCs w:val="22"/>
          <w:lang w:val="en-US"/>
        </w:rPr>
      </w:pPr>
      <w:r>
        <w:rPr>
          <w:rFonts w:cstheme="minorHAnsi"/>
          <w:sz w:val="22"/>
          <w:szCs w:val="22"/>
          <w:lang w:val="en-US"/>
        </w:rPr>
        <w:t xml:space="preserve">  </w:t>
      </w:r>
      <w:r w:rsidRPr="007E1C75">
        <w:rPr>
          <w:rFonts w:cstheme="minorHAnsi"/>
          <w:sz w:val="22"/>
          <w:szCs w:val="22"/>
          <w:lang w:val="en-US"/>
        </w:rPr>
        <w:t>According to the results, Kim Cottrell's case is complicated and needs a delicate approach to her defense, especially because of the emotional circumstances of the alleged crime and the problems that came up during her detention.</w:t>
      </w:r>
      <w:r w:rsidRPr="007E1C75">
        <w:rPr>
          <w:rFonts w:cstheme="minorHAnsi"/>
          <w:sz w:val="22"/>
          <w:szCs w:val="22"/>
        </w:rPr>
        <w:t xml:space="preserve"> </w:t>
      </w:r>
      <w:r w:rsidRPr="007E1C75">
        <w:rPr>
          <w:rFonts w:cstheme="minorHAnsi"/>
          <w:sz w:val="22"/>
          <w:szCs w:val="22"/>
          <w:lang w:val="en-US"/>
        </w:rPr>
        <w:t xml:space="preserve">As part of our detailed immediate action plan, one can meet with Kim, ask for legal aid, get ready for preliminary hearings, and investigate how the police behaved. Our main goal will still be to build a case that shows how Kim felt at the time of the event and calls into question any mistakes that were made that could hurt her rights. No matter what choice one makes about the trial mode, the pros, and cons of each must be carefully thought through </w:t>
      </w:r>
      <w:proofErr w:type="gramStart"/>
      <w:r w:rsidRPr="007E1C75">
        <w:rPr>
          <w:rFonts w:cstheme="minorHAnsi"/>
          <w:sz w:val="22"/>
          <w:szCs w:val="22"/>
          <w:lang w:val="en-US"/>
        </w:rPr>
        <w:t>in light of</w:t>
      </w:r>
      <w:proofErr w:type="gramEnd"/>
      <w:r w:rsidRPr="007E1C75">
        <w:rPr>
          <w:rFonts w:cstheme="minorHAnsi"/>
          <w:sz w:val="22"/>
          <w:szCs w:val="22"/>
          <w:lang w:val="en-US"/>
        </w:rPr>
        <w:t xml:space="preserve"> Kim's unique situation. Also, it's important to deal with complaints about fingerprinting and not being able to talk to a lawyer if people want to question how fair the police process is and maybe even change proof that can be used in court. Our goal is to make sure Kim gets a fair hearing and that everyone knows her side of the story. They will look at both the law and her feelings. One may do this by carefully planning and organizing our efforts.</w:t>
      </w:r>
    </w:p>
    <w:p w14:paraId="2A0CF08E" w14:textId="4D754B81" w:rsidR="007E1C75" w:rsidRDefault="007E1C75" w:rsidP="007E1C75">
      <w:pPr>
        <w:spacing w:line="360" w:lineRule="auto"/>
        <w:jc w:val="both"/>
        <w:rPr>
          <w:rFonts w:cstheme="minorHAnsi"/>
          <w:sz w:val="22"/>
          <w:szCs w:val="22"/>
          <w:lang w:val="en-US"/>
        </w:rPr>
      </w:pPr>
    </w:p>
    <w:p w14:paraId="457118AC" w14:textId="77777777" w:rsidR="007E1C75" w:rsidRPr="007E1C75" w:rsidRDefault="007E1C75" w:rsidP="007E1C75">
      <w:pPr>
        <w:pStyle w:val="Heading1"/>
        <w:spacing w:line="360" w:lineRule="auto"/>
        <w:rPr>
          <w:rFonts w:asciiTheme="minorHAnsi" w:hAnsiTheme="minorHAnsi" w:cstheme="minorHAnsi"/>
          <w:b/>
          <w:bCs/>
          <w:color w:val="000000" w:themeColor="text1"/>
          <w:sz w:val="22"/>
          <w:szCs w:val="22"/>
          <w:lang w:val="en-US"/>
        </w:rPr>
      </w:pPr>
      <w:bookmarkStart w:id="7" w:name="_Toc160736026"/>
      <w:r w:rsidRPr="007E1C75">
        <w:rPr>
          <w:rFonts w:asciiTheme="minorHAnsi" w:hAnsiTheme="minorHAnsi" w:cstheme="minorHAnsi"/>
          <w:b/>
          <w:bCs/>
          <w:color w:val="000000" w:themeColor="text1"/>
          <w:sz w:val="22"/>
          <w:szCs w:val="22"/>
          <w:lang w:val="en-US"/>
        </w:rPr>
        <w:t>References</w:t>
      </w:r>
      <w:bookmarkEnd w:id="7"/>
    </w:p>
    <w:p w14:paraId="1ECC5029"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 xml:space="preserve">Ashworth, A., &amp; </w:t>
      </w:r>
      <w:proofErr w:type="spellStart"/>
      <w:r w:rsidRPr="007E1C75">
        <w:rPr>
          <w:rFonts w:cstheme="minorHAnsi"/>
          <w:sz w:val="22"/>
          <w:szCs w:val="22"/>
          <w:lang w:val="en-US"/>
        </w:rPr>
        <w:t>Horder</w:t>
      </w:r>
      <w:proofErr w:type="spellEnd"/>
      <w:r w:rsidRPr="007E1C75">
        <w:rPr>
          <w:rFonts w:cstheme="minorHAnsi"/>
          <w:sz w:val="22"/>
          <w:szCs w:val="22"/>
          <w:lang w:val="en-US"/>
        </w:rPr>
        <w:t>, J. (2020). Principles of Criminal Law. Oxford University Press.</w:t>
      </w:r>
    </w:p>
    <w:p w14:paraId="1F2BE7EC"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Blackwell, C. (2022). "The Jury's Empathy: Emotional Narratives in Criminal Trials." Criminology and Emotion, 4(1), 45-60.</w:t>
      </w:r>
    </w:p>
    <w:p w14:paraId="726D16F5"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Brown, L. (2019). "Evaluating the Costs of Legal Proceedings in Crown Court." Financial Aspects of Law, 15(2), 112-129.</w:t>
      </w:r>
    </w:p>
    <w:p w14:paraId="5E16A71E"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Cottrell, J. &amp; Wesson, K. (2023) 'Legal Aid and Access to Justice in Criminal Proceedings', Journal of Legal Studies, 45(2), pp. 234-255.</w:t>
      </w:r>
    </w:p>
    <w:p w14:paraId="26161C51"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Doe, J. (2021). "Defendant Strategies in Crown Court Trials: An Analytical Perspective." Legal Strategy Review, 8(2), 112-129.</w:t>
      </w:r>
    </w:p>
    <w:p w14:paraId="394910EA"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Herring, J. (2020). Criminal Law: Text, Cases, and Materials. Oxford University Press.</w:t>
      </w:r>
    </w:p>
    <w:p w14:paraId="431AB168" w14:textId="77777777" w:rsidR="007E1C75" w:rsidRPr="007E1C75" w:rsidRDefault="007E1C75" w:rsidP="007E1C75">
      <w:pPr>
        <w:spacing w:line="360" w:lineRule="auto"/>
        <w:jc w:val="both"/>
        <w:rPr>
          <w:rFonts w:cstheme="minorHAnsi"/>
          <w:sz w:val="22"/>
          <w:szCs w:val="22"/>
          <w:lang w:val="en-US"/>
        </w:rPr>
      </w:pPr>
      <w:r w:rsidRPr="007E1C75">
        <w:rPr>
          <w:rFonts w:cstheme="minorHAnsi"/>
          <w:sz w:val="22"/>
          <w:szCs w:val="22"/>
          <w:lang w:val="en-US"/>
        </w:rPr>
        <w:t>Jones, D., &amp; Patel, R. (2021). "The Impact of Emotional Evidence in Jury Trials." Criminal Law Review, 57(6), 448-463.</w:t>
      </w:r>
    </w:p>
    <w:p w14:paraId="7214B8CC" w14:textId="77777777" w:rsidR="007E1C75" w:rsidRPr="007E1C75" w:rsidRDefault="007E1C75" w:rsidP="007E1C75">
      <w:pPr>
        <w:spacing w:line="360" w:lineRule="auto"/>
        <w:rPr>
          <w:rFonts w:cstheme="minorHAnsi"/>
          <w:sz w:val="22"/>
          <w:szCs w:val="22"/>
          <w:lang w:val="en-US"/>
        </w:rPr>
      </w:pPr>
      <w:proofErr w:type="spellStart"/>
      <w:r w:rsidRPr="007E1C75">
        <w:rPr>
          <w:rFonts w:cstheme="minorHAnsi"/>
          <w:sz w:val="22"/>
          <w:szCs w:val="22"/>
          <w:lang w:val="en-US"/>
        </w:rPr>
        <w:lastRenderedPageBreak/>
        <w:t>Lawshelf</w:t>
      </w:r>
      <w:proofErr w:type="spellEnd"/>
      <w:r w:rsidRPr="007E1C75">
        <w:rPr>
          <w:rFonts w:cstheme="minorHAnsi"/>
          <w:sz w:val="22"/>
          <w:szCs w:val="22"/>
          <w:lang w:val="en-US"/>
        </w:rPr>
        <w:t xml:space="preserve">, (2020). </w:t>
      </w:r>
      <w:proofErr w:type="spellStart"/>
      <w:r w:rsidRPr="007E1C75">
        <w:rPr>
          <w:rFonts w:cstheme="minorHAnsi"/>
          <w:sz w:val="22"/>
          <w:szCs w:val="22"/>
          <w:lang w:val="en-US"/>
        </w:rPr>
        <w:t>Mens</w:t>
      </w:r>
      <w:proofErr w:type="spellEnd"/>
      <w:r w:rsidRPr="007E1C75">
        <w:rPr>
          <w:rFonts w:cstheme="minorHAnsi"/>
          <w:sz w:val="22"/>
          <w:szCs w:val="22"/>
          <w:lang w:val="en-US"/>
        </w:rPr>
        <w:t xml:space="preserve"> Rea: The Criminal State of Mind. [Online] available at: </w:t>
      </w:r>
      <w:hyperlink r:id="rId4" w:history="1">
        <w:r w:rsidRPr="007E1C75">
          <w:rPr>
            <w:rStyle w:val="Hyperlink"/>
            <w:rFonts w:cstheme="minorHAnsi"/>
            <w:sz w:val="22"/>
            <w:szCs w:val="22"/>
            <w:lang w:val="en-US"/>
          </w:rPr>
          <w:t>https://www.lawshelf.com/shortvideoscontentview/mens-rea-the-criminal-state-of-mind/</w:t>
        </w:r>
      </w:hyperlink>
      <w:r w:rsidRPr="007E1C75">
        <w:rPr>
          <w:rFonts w:cstheme="minorHAnsi"/>
          <w:sz w:val="22"/>
          <w:szCs w:val="22"/>
          <w:lang w:val="en-US"/>
        </w:rPr>
        <w:t xml:space="preserve"> [Accessed on 7</w:t>
      </w:r>
      <w:r w:rsidRPr="007E1C75">
        <w:rPr>
          <w:rFonts w:cstheme="minorHAnsi"/>
          <w:sz w:val="22"/>
          <w:szCs w:val="22"/>
          <w:vertAlign w:val="superscript"/>
          <w:lang w:val="en-US"/>
        </w:rPr>
        <w:t>th</w:t>
      </w:r>
      <w:r w:rsidRPr="007E1C75">
        <w:rPr>
          <w:rFonts w:cstheme="minorHAnsi"/>
          <w:sz w:val="22"/>
          <w:szCs w:val="22"/>
          <w:lang w:val="en-US"/>
        </w:rPr>
        <w:t xml:space="preserve"> </w:t>
      </w:r>
      <w:proofErr w:type="gramStart"/>
      <w:r w:rsidRPr="007E1C75">
        <w:rPr>
          <w:rFonts w:cstheme="minorHAnsi"/>
          <w:sz w:val="22"/>
          <w:szCs w:val="22"/>
          <w:lang w:val="en-US"/>
        </w:rPr>
        <w:t>March,</w:t>
      </w:r>
      <w:proofErr w:type="gramEnd"/>
      <w:r w:rsidRPr="007E1C75">
        <w:rPr>
          <w:rFonts w:cstheme="minorHAnsi"/>
          <w:sz w:val="22"/>
          <w:szCs w:val="22"/>
          <w:lang w:val="en-US"/>
        </w:rPr>
        <w:t xml:space="preserve"> 2024]</w:t>
      </w:r>
    </w:p>
    <w:p w14:paraId="20025808"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Ormerod, D., &amp; Laird, K. (2018). Smith and Hogan's Criminal Law. Oxford University Press.</w:t>
      </w:r>
    </w:p>
    <w:p w14:paraId="14F7F05E"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Ormerod, D., Smith, J. C., &amp; Hogan, B. (2019). Smith &amp; Hogan's Criminal Law. Oxford University Press.</w:t>
      </w:r>
    </w:p>
    <w:p w14:paraId="06CD083D"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 xml:space="preserve">SlideShare, (2024). Actus reus. [Online] available at: </w:t>
      </w:r>
      <w:hyperlink r:id="rId5" w:history="1">
        <w:r w:rsidRPr="007E1C75">
          <w:rPr>
            <w:rStyle w:val="Hyperlink"/>
            <w:rFonts w:cstheme="minorHAnsi"/>
            <w:sz w:val="22"/>
            <w:szCs w:val="22"/>
            <w:lang w:val="en-US"/>
          </w:rPr>
          <w:t>https://www.slideshare.net/kirstyallison27/actus-reus</w:t>
        </w:r>
      </w:hyperlink>
      <w:r w:rsidRPr="007E1C75">
        <w:rPr>
          <w:rFonts w:cstheme="minorHAnsi"/>
          <w:sz w:val="22"/>
          <w:szCs w:val="22"/>
          <w:lang w:val="en-US"/>
        </w:rPr>
        <w:t xml:space="preserve">  [Accessed on 7th </w:t>
      </w:r>
      <w:proofErr w:type="gramStart"/>
      <w:r w:rsidRPr="007E1C75">
        <w:rPr>
          <w:rFonts w:cstheme="minorHAnsi"/>
          <w:sz w:val="22"/>
          <w:szCs w:val="22"/>
          <w:lang w:val="en-US"/>
        </w:rPr>
        <w:t>March,</w:t>
      </w:r>
      <w:proofErr w:type="gramEnd"/>
      <w:r w:rsidRPr="007E1C75">
        <w:rPr>
          <w:rFonts w:cstheme="minorHAnsi"/>
          <w:sz w:val="22"/>
          <w:szCs w:val="22"/>
          <w:lang w:val="en-US"/>
        </w:rPr>
        <w:t xml:space="preserve"> 2024]</w:t>
      </w:r>
    </w:p>
    <w:p w14:paraId="02C1C795"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Smith, A. (2020). "Jury Empathy and Criminal Trials." Legal Studies Journal, 40(3), 234-250.</w:t>
      </w:r>
    </w:p>
    <w:p w14:paraId="5F12542D"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Smith, A., &amp; Jones, B. (2020). "Navigating Trial Allocations: Strategy and Procedure." Journal of Criminal Law and Practice, 15(4), 234-250.</w:t>
      </w:r>
    </w:p>
    <w:p w14:paraId="5D343344"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Taylor, S. (2022). "Speed and Efficiency in Magistrates' Courts: A Comparative Analysis." Judiciary Quarterly, 29(1), 54-70.</w:t>
      </w:r>
    </w:p>
    <w:p w14:paraId="369F9E48"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White, D. (2019). "Magistrates' Court Trials: Expediency and Sentencing Trends." Journal of Legal Studies, 22(3), 345-367.</w:t>
      </w:r>
    </w:p>
    <w:p w14:paraId="2487FD2F" w14:textId="77777777" w:rsidR="007E1C75" w:rsidRPr="007E1C75" w:rsidRDefault="007E1C75" w:rsidP="007E1C75">
      <w:pPr>
        <w:spacing w:line="360" w:lineRule="auto"/>
        <w:rPr>
          <w:rFonts w:cstheme="minorHAnsi"/>
          <w:sz w:val="22"/>
          <w:szCs w:val="22"/>
          <w:lang w:val="en-US"/>
        </w:rPr>
      </w:pPr>
      <w:r w:rsidRPr="007E1C75">
        <w:rPr>
          <w:rFonts w:cstheme="minorHAnsi"/>
          <w:sz w:val="22"/>
          <w:szCs w:val="22"/>
          <w:lang w:val="en-US"/>
        </w:rPr>
        <w:t>Wilson, H. (2023). "The Role of Emotion in Magistrates' Decisions." Criminal Psychology Review, 17(4), 401-420</w:t>
      </w:r>
    </w:p>
    <w:p w14:paraId="27DE7E7D" w14:textId="77777777" w:rsidR="007E1C75" w:rsidRPr="007E1C75" w:rsidRDefault="007E1C75" w:rsidP="007E1C75">
      <w:pPr>
        <w:spacing w:line="360" w:lineRule="auto"/>
        <w:rPr>
          <w:rFonts w:cstheme="minorHAnsi"/>
          <w:sz w:val="22"/>
          <w:szCs w:val="22"/>
          <w:lang w:val="en-US"/>
        </w:rPr>
      </w:pPr>
    </w:p>
    <w:p w14:paraId="631B8B5F" w14:textId="77777777" w:rsidR="007E1C75" w:rsidRPr="00D16428" w:rsidRDefault="007E1C75" w:rsidP="00D16428">
      <w:pPr>
        <w:spacing w:line="360" w:lineRule="auto"/>
        <w:jc w:val="both"/>
        <w:rPr>
          <w:rFonts w:cstheme="minorHAnsi"/>
          <w:sz w:val="22"/>
          <w:szCs w:val="22"/>
          <w:lang w:val="en-US"/>
        </w:rPr>
      </w:pPr>
    </w:p>
    <w:p w14:paraId="0324E0D2" w14:textId="77777777" w:rsidR="00D16428" w:rsidRPr="00D16428" w:rsidRDefault="00D16428" w:rsidP="00D16428">
      <w:pPr>
        <w:spacing w:line="360" w:lineRule="auto"/>
        <w:jc w:val="both"/>
        <w:rPr>
          <w:rFonts w:cstheme="minorHAnsi"/>
          <w:sz w:val="22"/>
          <w:szCs w:val="22"/>
          <w:lang w:val="en-US"/>
        </w:rPr>
      </w:pPr>
    </w:p>
    <w:p w14:paraId="309C3D0B" w14:textId="77777777" w:rsidR="00D16428" w:rsidRPr="00D16428" w:rsidRDefault="00D16428" w:rsidP="00D16428">
      <w:pPr>
        <w:spacing w:line="360" w:lineRule="auto"/>
        <w:jc w:val="both"/>
        <w:rPr>
          <w:rFonts w:cstheme="minorHAnsi"/>
          <w:sz w:val="22"/>
          <w:szCs w:val="22"/>
          <w:lang w:val="en-US"/>
        </w:rPr>
      </w:pPr>
    </w:p>
    <w:p w14:paraId="09D75D1C" w14:textId="77777777" w:rsidR="00D16428" w:rsidRPr="00D16428" w:rsidRDefault="00D16428" w:rsidP="00D16428">
      <w:pPr>
        <w:spacing w:line="360" w:lineRule="auto"/>
        <w:jc w:val="both"/>
        <w:rPr>
          <w:rFonts w:cstheme="minorHAnsi"/>
          <w:sz w:val="22"/>
          <w:szCs w:val="22"/>
          <w:lang w:val="en-US"/>
        </w:rPr>
      </w:pPr>
    </w:p>
    <w:p w14:paraId="5F9EF8BC" w14:textId="77777777" w:rsidR="00D16428" w:rsidRDefault="00D16428" w:rsidP="00D16428">
      <w:pPr>
        <w:spacing w:line="360" w:lineRule="auto"/>
        <w:jc w:val="both"/>
        <w:rPr>
          <w:rFonts w:cstheme="minorHAnsi"/>
          <w:sz w:val="22"/>
          <w:szCs w:val="22"/>
          <w:lang w:val="en-US"/>
        </w:rPr>
      </w:pPr>
    </w:p>
    <w:p w14:paraId="65C8DF77" w14:textId="6631C2C7" w:rsidR="00D16428" w:rsidRDefault="00D16428" w:rsidP="00D16428">
      <w:pPr>
        <w:spacing w:line="360" w:lineRule="auto"/>
        <w:jc w:val="both"/>
        <w:rPr>
          <w:rFonts w:cstheme="minorHAnsi"/>
          <w:sz w:val="22"/>
          <w:szCs w:val="22"/>
          <w:lang w:val="en-US"/>
        </w:rPr>
      </w:pPr>
    </w:p>
    <w:p w14:paraId="1E0A3160" w14:textId="77777777" w:rsidR="00D16428" w:rsidRPr="00D16428" w:rsidRDefault="00D16428" w:rsidP="00D16428">
      <w:pPr>
        <w:spacing w:line="360" w:lineRule="auto"/>
        <w:jc w:val="both"/>
        <w:rPr>
          <w:rFonts w:cstheme="minorHAnsi"/>
          <w:sz w:val="22"/>
          <w:szCs w:val="22"/>
          <w:lang w:val="en-US"/>
        </w:rPr>
      </w:pPr>
    </w:p>
    <w:p w14:paraId="489240BF" w14:textId="77777777" w:rsidR="00D16428" w:rsidRDefault="00D16428" w:rsidP="00D16428">
      <w:pPr>
        <w:spacing w:line="360" w:lineRule="auto"/>
        <w:jc w:val="both"/>
        <w:rPr>
          <w:rFonts w:cstheme="minorHAnsi"/>
          <w:sz w:val="22"/>
          <w:szCs w:val="22"/>
        </w:rPr>
      </w:pPr>
    </w:p>
    <w:p w14:paraId="51612A16" w14:textId="77777777" w:rsidR="00D16428" w:rsidRPr="00D16428" w:rsidRDefault="00D16428" w:rsidP="00D16428">
      <w:pPr>
        <w:spacing w:line="360" w:lineRule="auto"/>
        <w:jc w:val="both"/>
        <w:rPr>
          <w:rFonts w:cstheme="minorHAnsi"/>
          <w:sz w:val="22"/>
          <w:szCs w:val="22"/>
        </w:rPr>
      </w:pPr>
    </w:p>
    <w:p w14:paraId="181F5313" w14:textId="77777777" w:rsidR="00D16428" w:rsidRPr="00DC2802" w:rsidRDefault="00D16428" w:rsidP="00DC2802">
      <w:pPr>
        <w:spacing w:line="360" w:lineRule="auto"/>
        <w:jc w:val="both"/>
        <w:rPr>
          <w:sz w:val="22"/>
          <w:szCs w:val="22"/>
          <w:lang w:val="en-US"/>
        </w:rPr>
      </w:pPr>
    </w:p>
    <w:p w14:paraId="4BEF4894" w14:textId="77777777" w:rsidR="00DC2802" w:rsidRDefault="00DC2802" w:rsidP="00DC2802">
      <w:pPr>
        <w:spacing w:line="360" w:lineRule="auto"/>
        <w:jc w:val="both"/>
        <w:rPr>
          <w:b/>
          <w:bCs/>
          <w:u w:val="single"/>
          <w:lang w:val="en-US"/>
        </w:rPr>
      </w:pPr>
    </w:p>
    <w:p w14:paraId="6EB2784F" w14:textId="77777777" w:rsidR="00DC2802" w:rsidRPr="00DC2802" w:rsidRDefault="00DC2802" w:rsidP="00DC2802">
      <w:pPr>
        <w:pStyle w:val="NormalWeb"/>
        <w:rPr>
          <w:rFonts w:asciiTheme="minorHAnsi" w:hAnsiTheme="minorHAnsi" w:cstheme="minorHAnsi"/>
        </w:rPr>
      </w:pPr>
    </w:p>
    <w:p w14:paraId="31327DC5" w14:textId="75B067F9" w:rsidR="00DC2802" w:rsidRPr="00DC2802" w:rsidRDefault="00DC2802">
      <w:pPr>
        <w:rPr>
          <w:sz w:val="22"/>
          <w:szCs w:val="22"/>
        </w:rPr>
      </w:pPr>
    </w:p>
    <w:sectPr w:rsidR="00DC2802" w:rsidRPr="00DC28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802"/>
    <w:rsid w:val="007401B0"/>
    <w:rsid w:val="007E1C75"/>
    <w:rsid w:val="00D16428"/>
    <w:rsid w:val="00DC2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5A940D"/>
  <w15:chartTrackingRefBased/>
  <w15:docId w15:val="{F6C12FD0-C76E-3B43-96FC-16BD2FEEC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428"/>
    <w:pPr>
      <w:keepNext/>
      <w:keepLines/>
      <w:spacing w:before="240"/>
      <w:outlineLvl w:val="0"/>
    </w:pPr>
    <w:rPr>
      <w:rFonts w:asciiTheme="majorHAnsi" w:eastAsiaTheme="majorEastAsia" w:hAnsiTheme="majorHAnsi" w:cs="Times New Roman"/>
      <w:color w:val="2F5496" w:themeColor="accent1" w:themeShade="BF"/>
      <w:sz w:val="32"/>
      <w:lang w:eastAsia="en-GB"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280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16428"/>
    <w:rPr>
      <w:rFonts w:asciiTheme="majorHAnsi" w:eastAsiaTheme="majorEastAsia" w:hAnsiTheme="majorHAnsi" w:cs="Times New Roman"/>
      <w:color w:val="2F5496" w:themeColor="accent1" w:themeShade="BF"/>
      <w:sz w:val="32"/>
      <w:lang w:eastAsia="en-GB" w:bidi="bn-IN"/>
    </w:rPr>
  </w:style>
  <w:style w:type="character" w:styleId="Hyperlink">
    <w:name w:val="Hyperlink"/>
    <w:basedOn w:val="DefaultParagraphFont"/>
    <w:uiPriority w:val="99"/>
    <w:unhideWhenUsed/>
    <w:rsid w:val="007E1C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523204">
      <w:bodyDiv w:val="1"/>
      <w:marLeft w:val="0"/>
      <w:marRight w:val="0"/>
      <w:marTop w:val="0"/>
      <w:marBottom w:val="0"/>
      <w:divBdr>
        <w:top w:val="none" w:sz="0" w:space="0" w:color="auto"/>
        <w:left w:val="none" w:sz="0" w:space="0" w:color="auto"/>
        <w:bottom w:val="none" w:sz="0" w:space="0" w:color="auto"/>
        <w:right w:val="none" w:sz="0" w:space="0" w:color="auto"/>
      </w:divBdr>
      <w:divsChild>
        <w:div w:id="578828868">
          <w:marLeft w:val="0"/>
          <w:marRight w:val="0"/>
          <w:marTop w:val="0"/>
          <w:marBottom w:val="0"/>
          <w:divBdr>
            <w:top w:val="none" w:sz="0" w:space="0" w:color="auto"/>
            <w:left w:val="none" w:sz="0" w:space="0" w:color="auto"/>
            <w:bottom w:val="none" w:sz="0" w:space="0" w:color="auto"/>
            <w:right w:val="none" w:sz="0" w:space="0" w:color="auto"/>
          </w:divBdr>
          <w:divsChild>
            <w:div w:id="1348600449">
              <w:marLeft w:val="0"/>
              <w:marRight w:val="0"/>
              <w:marTop w:val="0"/>
              <w:marBottom w:val="0"/>
              <w:divBdr>
                <w:top w:val="none" w:sz="0" w:space="0" w:color="auto"/>
                <w:left w:val="none" w:sz="0" w:space="0" w:color="auto"/>
                <w:bottom w:val="none" w:sz="0" w:space="0" w:color="auto"/>
                <w:right w:val="none" w:sz="0" w:space="0" w:color="auto"/>
              </w:divBdr>
              <w:divsChild>
                <w:div w:id="130103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lideshare.net/kirstyallison27/actus-reus" TargetMode="External"/><Relationship Id="rId4" Type="http://schemas.openxmlformats.org/officeDocument/2006/relationships/hyperlink" Target="https://www.lawshelf.com/shortvideoscontentview/mens-rea-the-criminal-state-of-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1674</Words>
  <Characters>9543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Tokarova</dc:creator>
  <cp:keywords/>
  <dc:description/>
  <cp:lastModifiedBy>Natalia Tokarova</cp:lastModifiedBy>
  <cp:revision>3</cp:revision>
  <dcterms:created xsi:type="dcterms:W3CDTF">2024-03-12T20:16:00Z</dcterms:created>
  <dcterms:modified xsi:type="dcterms:W3CDTF">2024-03-12T20:19:00Z</dcterms:modified>
</cp:coreProperties>
</file>