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61A753" w14:textId="77777777" w:rsidR="005A25BB" w:rsidRDefault="005A25BB">
      <w:pPr>
        <w:spacing w:after="0" w:line="480" w:lineRule="auto"/>
        <w:ind w:firstLine="720"/>
        <w:jc w:val="center"/>
        <w:rPr>
          <w:rFonts w:ascii="Times New Roman" w:eastAsia="Times New Roman" w:hAnsi="Times New Roman" w:cs="Times New Roman"/>
          <w:b/>
          <w:bCs/>
          <w:kern w:val="0"/>
          <w:sz w:val="24"/>
          <w:szCs w:val="24"/>
          <w14:ligatures w14:val="none"/>
        </w:rPr>
      </w:pPr>
    </w:p>
    <w:p w14:paraId="515CDC44" w14:textId="77777777" w:rsidR="005A25BB" w:rsidRDefault="005A25BB">
      <w:pPr>
        <w:spacing w:after="0" w:line="480" w:lineRule="auto"/>
        <w:ind w:firstLine="720"/>
        <w:jc w:val="center"/>
        <w:rPr>
          <w:rFonts w:ascii="Times New Roman" w:eastAsia="Times New Roman" w:hAnsi="Times New Roman" w:cs="Times New Roman"/>
          <w:b/>
          <w:bCs/>
          <w:kern w:val="0"/>
          <w:sz w:val="24"/>
          <w:szCs w:val="24"/>
          <w14:ligatures w14:val="none"/>
        </w:rPr>
      </w:pPr>
    </w:p>
    <w:p w14:paraId="727AF09F" w14:textId="77777777" w:rsidR="005A25BB" w:rsidRDefault="005A25BB">
      <w:pPr>
        <w:spacing w:after="0" w:line="480" w:lineRule="auto"/>
        <w:ind w:firstLine="720"/>
        <w:jc w:val="center"/>
        <w:rPr>
          <w:rFonts w:ascii="Times New Roman" w:eastAsia="Times New Roman" w:hAnsi="Times New Roman" w:cs="Times New Roman"/>
          <w:b/>
          <w:bCs/>
          <w:kern w:val="0"/>
          <w:sz w:val="24"/>
          <w:szCs w:val="24"/>
          <w14:ligatures w14:val="none"/>
        </w:rPr>
      </w:pPr>
    </w:p>
    <w:p w14:paraId="716DEE62" w14:textId="77777777" w:rsidR="005A25BB" w:rsidRDefault="005A25BB">
      <w:pPr>
        <w:spacing w:after="0" w:line="480" w:lineRule="auto"/>
        <w:ind w:firstLine="720"/>
        <w:jc w:val="center"/>
        <w:rPr>
          <w:rFonts w:ascii="Times New Roman" w:eastAsia="Times New Roman" w:hAnsi="Times New Roman" w:cs="Times New Roman"/>
          <w:b/>
          <w:bCs/>
          <w:kern w:val="0"/>
          <w:sz w:val="24"/>
          <w:szCs w:val="24"/>
          <w14:ligatures w14:val="none"/>
        </w:rPr>
      </w:pPr>
    </w:p>
    <w:p w14:paraId="215F11BA" w14:textId="77777777" w:rsidR="005A25BB" w:rsidRDefault="0023049F">
      <w:pPr>
        <w:spacing w:after="0" w:line="480" w:lineRule="auto"/>
        <w:ind w:firstLine="720"/>
        <w:rPr>
          <w:b/>
          <w:bCs/>
          <w:sz w:val="28"/>
          <w:szCs w:val="28"/>
        </w:rPr>
      </w:pPr>
      <w:r>
        <w:rPr>
          <w:b/>
          <w:bCs/>
          <w:sz w:val="28"/>
          <w:szCs w:val="28"/>
        </w:rPr>
        <w:t>The Factors that Led to the Creation and Development of the Trust</w:t>
      </w:r>
    </w:p>
    <w:p w14:paraId="5737C43E" w14:textId="77777777" w:rsidR="005A25BB" w:rsidRDefault="005A25BB">
      <w:pPr>
        <w:spacing w:after="0" w:line="480" w:lineRule="auto"/>
        <w:ind w:firstLine="720"/>
        <w:jc w:val="center"/>
        <w:rPr>
          <w:rFonts w:ascii="Times New Roman" w:eastAsia="Times New Roman" w:hAnsi="Times New Roman" w:cs="Times New Roman"/>
          <w:bCs/>
          <w:kern w:val="0"/>
          <w:sz w:val="24"/>
          <w:szCs w:val="24"/>
          <w14:ligatures w14:val="none"/>
        </w:rPr>
      </w:pPr>
    </w:p>
    <w:p w14:paraId="117056CB" w14:textId="77777777" w:rsidR="005A25BB" w:rsidRDefault="005A25BB">
      <w:pPr>
        <w:spacing w:after="0" w:line="480" w:lineRule="auto"/>
        <w:ind w:firstLine="720"/>
        <w:jc w:val="center"/>
        <w:rPr>
          <w:rFonts w:ascii="Times New Roman" w:eastAsia="Times New Roman" w:hAnsi="Times New Roman" w:cs="Times New Roman"/>
          <w:bCs/>
          <w:kern w:val="0"/>
          <w:sz w:val="24"/>
          <w:szCs w:val="24"/>
          <w14:ligatures w14:val="none"/>
        </w:rPr>
      </w:pPr>
    </w:p>
    <w:p w14:paraId="1DBE5C2D" w14:textId="77777777" w:rsidR="005A25BB" w:rsidRDefault="0023049F">
      <w:pPr>
        <w:spacing w:after="0" w:line="480" w:lineRule="auto"/>
        <w:ind w:firstLine="720"/>
        <w:jc w:val="center"/>
        <w:rPr>
          <w:rFonts w:ascii="Times New Roman" w:eastAsia="Times New Roman" w:hAnsi="Times New Roman" w:cs="Times New Roman"/>
          <w:bCs/>
          <w:kern w:val="0"/>
          <w:sz w:val="24"/>
          <w:szCs w:val="24"/>
          <w14:ligatures w14:val="none"/>
        </w:rPr>
      </w:pPr>
      <w:r>
        <w:rPr>
          <w:rFonts w:ascii="Times New Roman" w:eastAsia="Times New Roman" w:hAnsi="Times New Roman" w:cs="Times New Roman"/>
          <w:bCs/>
          <w:kern w:val="0"/>
          <w:sz w:val="24"/>
          <w:szCs w:val="24"/>
          <w14:ligatures w14:val="none"/>
        </w:rPr>
        <w:t>Faisal Shamsdin</w:t>
      </w:r>
    </w:p>
    <w:p w14:paraId="2AE2E731" w14:textId="77777777" w:rsidR="005A25BB" w:rsidRDefault="0023049F">
      <w:pPr>
        <w:spacing w:after="0" w:line="480" w:lineRule="auto"/>
        <w:ind w:firstLine="720"/>
        <w:jc w:val="center"/>
        <w:rPr>
          <w:rFonts w:ascii="Times New Roman" w:eastAsia="Times New Roman" w:hAnsi="Times New Roman" w:cs="Times New Roman"/>
          <w:bCs/>
          <w:kern w:val="0"/>
          <w:sz w:val="24"/>
          <w:szCs w:val="24"/>
          <w14:ligatures w14:val="none"/>
        </w:rPr>
      </w:pPr>
      <w:r>
        <w:rPr>
          <w:rFonts w:ascii="Times New Roman" w:eastAsia="Times New Roman" w:hAnsi="Times New Roman" w:cs="Times New Roman"/>
          <w:bCs/>
          <w:kern w:val="0"/>
          <w:sz w:val="24"/>
          <w:szCs w:val="24"/>
          <w14:ligatures w14:val="none"/>
        </w:rPr>
        <w:t>for Sian Turvey</w:t>
      </w:r>
    </w:p>
    <w:p w14:paraId="5DCC0928" w14:textId="77777777" w:rsidR="005A25BB" w:rsidRDefault="0023049F">
      <w:pPr>
        <w:spacing w:after="0" w:line="480" w:lineRule="auto"/>
        <w:ind w:firstLine="720"/>
        <w:jc w:val="center"/>
        <w:rPr>
          <w:rFonts w:ascii="Times New Roman" w:eastAsia="Times New Roman" w:hAnsi="Times New Roman" w:cs="Times New Roman"/>
          <w:bCs/>
          <w:kern w:val="0"/>
          <w:sz w:val="24"/>
          <w:szCs w:val="24"/>
          <w14:ligatures w14:val="none"/>
        </w:rPr>
      </w:pPr>
      <w:r>
        <w:rPr>
          <w:rFonts w:ascii="Times New Roman" w:eastAsia="Times New Roman" w:hAnsi="Times New Roman" w:cs="Times New Roman"/>
          <w:bCs/>
          <w:kern w:val="0"/>
          <w:sz w:val="24"/>
          <w:szCs w:val="24"/>
          <w14:ligatures w14:val="none"/>
        </w:rPr>
        <w:t>Equity and Trusts</w:t>
      </w:r>
    </w:p>
    <w:p w14:paraId="778832DF" w14:textId="77777777" w:rsidR="005A25BB" w:rsidRDefault="005A25BB">
      <w:pPr>
        <w:spacing w:after="0" w:line="480" w:lineRule="auto"/>
        <w:ind w:firstLine="720"/>
        <w:rPr>
          <w:rFonts w:ascii="Times New Roman" w:eastAsia="Times New Roman" w:hAnsi="Times New Roman" w:cs="Times New Roman"/>
          <w:bCs/>
          <w:kern w:val="0"/>
          <w:sz w:val="24"/>
          <w:szCs w:val="24"/>
          <w14:ligatures w14:val="none"/>
        </w:rPr>
      </w:pPr>
    </w:p>
    <w:p w14:paraId="3F149211" w14:textId="77777777" w:rsidR="005A25BB" w:rsidRDefault="005A25BB">
      <w:pPr>
        <w:spacing w:after="0" w:line="480" w:lineRule="auto"/>
        <w:ind w:firstLine="720"/>
        <w:jc w:val="center"/>
        <w:rPr>
          <w:rFonts w:ascii="Times New Roman" w:eastAsia="Times New Roman" w:hAnsi="Times New Roman" w:cs="Times New Roman"/>
          <w:b/>
          <w:bCs/>
          <w:kern w:val="0"/>
          <w:sz w:val="24"/>
          <w:szCs w:val="24"/>
          <w14:ligatures w14:val="none"/>
        </w:rPr>
      </w:pPr>
    </w:p>
    <w:p w14:paraId="13347629" w14:textId="77777777" w:rsidR="005A25BB" w:rsidRDefault="005A25BB">
      <w:pPr>
        <w:spacing w:after="0" w:line="480" w:lineRule="auto"/>
        <w:ind w:firstLine="720"/>
        <w:jc w:val="center"/>
        <w:rPr>
          <w:rFonts w:ascii="Times New Roman" w:eastAsia="Times New Roman" w:hAnsi="Times New Roman" w:cs="Times New Roman"/>
          <w:b/>
          <w:bCs/>
          <w:kern w:val="0"/>
          <w:sz w:val="24"/>
          <w:szCs w:val="24"/>
          <w14:ligatures w14:val="none"/>
        </w:rPr>
      </w:pPr>
    </w:p>
    <w:p w14:paraId="5EA5D085" w14:textId="77777777" w:rsidR="005A25BB" w:rsidRDefault="005A25BB">
      <w:pPr>
        <w:spacing w:after="0" w:line="480" w:lineRule="auto"/>
        <w:ind w:firstLine="720"/>
        <w:jc w:val="center"/>
        <w:rPr>
          <w:rFonts w:ascii="Times New Roman" w:eastAsia="Times New Roman" w:hAnsi="Times New Roman" w:cs="Times New Roman"/>
          <w:b/>
          <w:bCs/>
          <w:kern w:val="0"/>
          <w:sz w:val="24"/>
          <w:szCs w:val="24"/>
          <w14:ligatures w14:val="none"/>
        </w:rPr>
      </w:pPr>
    </w:p>
    <w:p w14:paraId="1A3D5F0D" w14:textId="77777777" w:rsidR="005A25BB" w:rsidRDefault="005A25BB">
      <w:pPr>
        <w:spacing w:after="0" w:line="480" w:lineRule="auto"/>
        <w:ind w:firstLine="720"/>
        <w:jc w:val="center"/>
        <w:rPr>
          <w:rFonts w:ascii="Times New Roman" w:eastAsia="Times New Roman" w:hAnsi="Times New Roman" w:cs="Times New Roman"/>
          <w:b/>
          <w:bCs/>
          <w:kern w:val="0"/>
          <w:sz w:val="24"/>
          <w:szCs w:val="24"/>
          <w14:ligatures w14:val="none"/>
        </w:rPr>
      </w:pPr>
    </w:p>
    <w:p w14:paraId="3F743C4E" w14:textId="77777777" w:rsidR="005A25BB" w:rsidRDefault="005A25BB">
      <w:pPr>
        <w:spacing w:after="0" w:line="480" w:lineRule="auto"/>
        <w:ind w:firstLine="720"/>
        <w:jc w:val="center"/>
        <w:rPr>
          <w:rFonts w:ascii="Times New Roman" w:eastAsia="Times New Roman" w:hAnsi="Times New Roman" w:cs="Times New Roman"/>
          <w:b/>
          <w:bCs/>
          <w:kern w:val="0"/>
          <w:sz w:val="24"/>
          <w:szCs w:val="24"/>
          <w14:ligatures w14:val="none"/>
        </w:rPr>
      </w:pPr>
    </w:p>
    <w:p w14:paraId="693A5A38" w14:textId="77777777" w:rsidR="005A25BB" w:rsidRDefault="005A25BB">
      <w:pPr>
        <w:spacing w:after="0" w:line="480" w:lineRule="auto"/>
        <w:ind w:firstLine="720"/>
        <w:jc w:val="center"/>
        <w:rPr>
          <w:rFonts w:ascii="Times New Roman" w:eastAsia="Times New Roman" w:hAnsi="Times New Roman" w:cs="Times New Roman"/>
          <w:b/>
          <w:bCs/>
          <w:kern w:val="0"/>
          <w:sz w:val="24"/>
          <w:szCs w:val="24"/>
          <w14:ligatures w14:val="none"/>
        </w:rPr>
      </w:pPr>
    </w:p>
    <w:p w14:paraId="7EA40708" w14:textId="77777777" w:rsidR="005A25BB" w:rsidRDefault="005A25BB">
      <w:pPr>
        <w:spacing w:after="0" w:line="480" w:lineRule="auto"/>
        <w:ind w:firstLine="720"/>
        <w:jc w:val="center"/>
        <w:rPr>
          <w:rFonts w:ascii="Times New Roman" w:eastAsia="Times New Roman" w:hAnsi="Times New Roman" w:cs="Times New Roman"/>
          <w:b/>
          <w:bCs/>
          <w:kern w:val="0"/>
          <w:sz w:val="24"/>
          <w:szCs w:val="24"/>
          <w14:ligatures w14:val="none"/>
        </w:rPr>
      </w:pPr>
    </w:p>
    <w:p w14:paraId="75AEC54C" w14:textId="77777777" w:rsidR="005A25BB" w:rsidRDefault="005A25BB">
      <w:pPr>
        <w:spacing w:after="0" w:line="480" w:lineRule="auto"/>
        <w:ind w:firstLine="720"/>
        <w:jc w:val="center"/>
        <w:rPr>
          <w:rFonts w:ascii="Times New Roman" w:eastAsia="Times New Roman" w:hAnsi="Times New Roman" w:cs="Times New Roman"/>
          <w:b/>
          <w:bCs/>
          <w:kern w:val="0"/>
          <w:sz w:val="24"/>
          <w:szCs w:val="24"/>
          <w14:ligatures w14:val="none"/>
        </w:rPr>
      </w:pPr>
    </w:p>
    <w:p w14:paraId="4CD3FD81" w14:textId="77777777" w:rsidR="005A25BB" w:rsidRDefault="005A25BB">
      <w:pPr>
        <w:spacing w:after="0" w:line="480" w:lineRule="auto"/>
        <w:ind w:firstLine="720"/>
        <w:jc w:val="center"/>
        <w:rPr>
          <w:rFonts w:ascii="Times New Roman" w:eastAsia="Times New Roman" w:hAnsi="Times New Roman" w:cs="Times New Roman"/>
          <w:b/>
          <w:bCs/>
          <w:kern w:val="0"/>
          <w:sz w:val="24"/>
          <w:szCs w:val="24"/>
          <w14:ligatures w14:val="none"/>
        </w:rPr>
      </w:pPr>
    </w:p>
    <w:p w14:paraId="7BB1124E" w14:textId="77777777" w:rsidR="005A25BB" w:rsidRDefault="005A25BB">
      <w:pPr>
        <w:spacing w:after="0" w:line="480" w:lineRule="auto"/>
        <w:ind w:firstLine="720"/>
        <w:jc w:val="center"/>
        <w:rPr>
          <w:rFonts w:ascii="Times New Roman" w:eastAsia="Times New Roman" w:hAnsi="Times New Roman" w:cs="Times New Roman"/>
          <w:b/>
          <w:bCs/>
          <w:kern w:val="0"/>
          <w:sz w:val="24"/>
          <w:szCs w:val="24"/>
          <w14:ligatures w14:val="none"/>
        </w:rPr>
      </w:pPr>
    </w:p>
    <w:p w14:paraId="53182F60" w14:textId="77777777" w:rsidR="005A25BB" w:rsidRDefault="005A25BB">
      <w:pPr>
        <w:spacing w:after="0" w:line="480" w:lineRule="auto"/>
        <w:ind w:firstLine="720"/>
        <w:jc w:val="center"/>
        <w:rPr>
          <w:rFonts w:ascii="Times New Roman" w:eastAsia="Times New Roman" w:hAnsi="Times New Roman" w:cs="Times New Roman"/>
          <w:b/>
          <w:bCs/>
          <w:kern w:val="0"/>
          <w:sz w:val="24"/>
          <w:szCs w:val="24"/>
          <w14:ligatures w14:val="none"/>
        </w:rPr>
      </w:pPr>
    </w:p>
    <w:p w14:paraId="61DE4539" w14:textId="77777777" w:rsidR="005A25BB" w:rsidRDefault="005A25BB">
      <w:pPr>
        <w:spacing w:after="0" w:line="480" w:lineRule="auto"/>
        <w:ind w:firstLine="720"/>
        <w:jc w:val="center"/>
        <w:rPr>
          <w:rFonts w:ascii="Times New Roman" w:eastAsia="Times New Roman" w:hAnsi="Times New Roman" w:cs="Times New Roman"/>
          <w:b/>
          <w:bCs/>
          <w:kern w:val="0"/>
          <w:sz w:val="24"/>
          <w:szCs w:val="24"/>
          <w14:ligatures w14:val="none"/>
        </w:rPr>
      </w:pPr>
    </w:p>
    <w:p w14:paraId="27128343" w14:textId="77777777" w:rsidR="005A25BB" w:rsidRDefault="005A25BB">
      <w:pPr>
        <w:spacing w:after="0" w:line="480" w:lineRule="auto"/>
        <w:ind w:firstLine="720"/>
        <w:jc w:val="center"/>
        <w:rPr>
          <w:rFonts w:ascii="Times New Roman" w:eastAsia="Times New Roman" w:hAnsi="Times New Roman" w:cs="Times New Roman"/>
          <w:b/>
          <w:bCs/>
          <w:kern w:val="0"/>
          <w:sz w:val="24"/>
          <w:szCs w:val="24"/>
          <w14:ligatures w14:val="none"/>
        </w:rPr>
      </w:pPr>
    </w:p>
    <w:p w14:paraId="0C4255DE" w14:textId="77777777" w:rsidR="005A25BB" w:rsidRDefault="0023049F">
      <w:pPr>
        <w:spacing w:after="0" w:line="480" w:lineRule="auto"/>
        <w:ind w:firstLine="720"/>
        <w:rPr>
          <w:b/>
          <w:bCs/>
          <w:sz w:val="28"/>
          <w:szCs w:val="28"/>
        </w:rPr>
      </w:pPr>
      <w:bookmarkStart w:id="0" w:name="_Hlk129234768"/>
      <w:r>
        <w:rPr>
          <w:b/>
          <w:bCs/>
          <w:sz w:val="28"/>
          <w:szCs w:val="28"/>
        </w:rPr>
        <w:t>The Factors that Led to the Creation and Development of the Trust</w:t>
      </w:r>
    </w:p>
    <w:bookmarkEnd w:id="0"/>
    <w:p w14:paraId="67E4E5C9" w14:textId="77777777" w:rsidR="005A25BB" w:rsidRDefault="0023049F">
      <w:pPr>
        <w:spacing w:after="0" w:line="480" w:lineRule="auto"/>
        <w:ind w:firstLine="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English law of trust creation and </w:t>
      </w:r>
      <w:r>
        <w:rPr>
          <w:rFonts w:ascii="Times New Roman" w:eastAsia="Times New Roman" w:hAnsi="Times New Roman" w:cs="Times New Roman"/>
          <w:kern w:val="0"/>
          <w:sz w:val="24"/>
          <w:szCs w:val="24"/>
          <w14:ligatures w14:val="none"/>
        </w:rPr>
        <w:t xml:space="preserve">development has a long history. Its creation and development sought to deal with the inadequacies that were noticeable in common law. Whereas the development is attributable to commonwealth countries, other ancient countries such as Greece also had a fair </w:t>
      </w:r>
      <w:r>
        <w:rPr>
          <w:rFonts w:ascii="Times New Roman" w:eastAsia="Times New Roman" w:hAnsi="Times New Roman" w:cs="Times New Roman"/>
          <w:kern w:val="0"/>
          <w:sz w:val="24"/>
          <w:szCs w:val="24"/>
          <w14:ligatures w14:val="none"/>
        </w:rPr>
        <w:t>share of the contribution that they made in the creation and development of the trust law. The rigidity of common law that was being applied in courts made litigants;-both the lawyers and non-lawyers feel discouraged since they could not get the justice th</w:t>
      </w:r>
      <w:r>
        <w:rPr>
          <w:rFonts w:ascii="Times New Roman" w:eastAsia="Times New Roman" w:hAnsi="Times New Roman" w:cs="Times New Roman"/>
          <w:kern w:val="0"/>
          <w:sz w:val="24"/>
          <w:szCs w:val="24"/>
          <w14:ligatures w14:val="none"/>
        </w:rPr>
        <w:t>at deemed deserving to meet their several needs. It is on the backdrop of this that it became necessary to formulate an alternative thought would be expansive enough to address majority of the issues that afflicted the litigants in their day to day engagem</w:t>
      </w:r>
      <w:r>
        <w:rPr>
          <w:rFonts w:ascii="Times New Roman" w:eastAsia="Times New Roman" w:hAnsi="Times New Roman" w:cs="Times New Roman"/>
          <w:kern w:val="0"/>
          <w:sz w:val="24"/>
          <w:szCs w:val="24"/>
          <w14:ligatures w14:val="none"/>
        </w:rPr>
        <w:t>ents. As early as 11</w:t>
      </w:r>
      <w:r>
        <w:rPr>
          <w:rFonts w:ascii="Times New Roman" w:eastAsia="Times New Roman" w:hAnsi="Times New Roman" w:cs="Times New Roman"/>
          <w:kern w:val="0"/>
          <w:sz w:val="24"/>
          <w:szCs w:val="24"/>
          <w:vertAlign w:val="superscript"/>
          <w14:ligatures w14:val="none"/>
        </w:rPr>
        <w:t>th</w:t>
      </w:r>
      <w:r>
        <w:rPr>
          <w:rFonts w:ascii="Times New Roman" w:eastAsia="Times New Roman" w:hAnsi="Times New Roman" w:cs="Times New Roman"/>
          <w:kern w:val="0"/>
          <w:sz w:val="24"/>
          <w:szCs w:val="24"/>
          <w14:ligatures w14:val="none"/>
        </w:rPr>
        <w:t xml:space="preserve"> century England and Wales have started engaging in such practices that could be deemed as having laid foundation to the trust law that is widely used in these two regions. Litigants who were aggrieved by the limited common law remedi</w:t>
      </w:r>
      <w:r>
        <w:rPr>
          <w:rFonts w:ascii="Times New Roman" w:eastAsia="Times New Roman" w:hAnsi="Times New Roman" w:cs="Times New Roman"/>
          <w:kern w:val="0"/>
          <w:sz w:val="24"/>
          <w:szCs w:val="24"/>
          <w14:ligatures w14:val="none"/>
        </w:rPr>
        <w:t xml:space="preserve">es were in the forefront of championing for development of an alternative principles that would give them the reprieve that they were seeking in the justice system (Rosevear et al. 2022). Likewise, the UK parliament saw the essence of harmonizing the wide </w:t>
      </w:r>
      <w:r>
        <w:rPr>
          <w:rFonts w:ascii="Times New Roman" w:eastAsia="Times New Roman" w:hAnsi="Times New Roman" w:cs="Times New Roman"/>
          <w:kern w:val="0"/>
          <w:sz w:val="24"/>
          <w:szCs w:val="24"/>
          <w14:ligatures w14:val="none"/>
        </w:rPr>
        <w:t xml:space="preserve">range of trust principles through the various reforms that have been undertaken in England and Wales. Essentially, creation and development of trust laws in England and Wales has historical underpinnings. </w:t>
      </w:r>
    </w:p>
    <w:p w14:paraId="53503C71" w14:textId="77777777" w:rsidR="005A25BB" w:rsidRDefault="0023049F">
      <w:pPr>
        <w:spacing w:after="0" w:line="480" w:lineRule="auto"/>
        <w:ind w:firstLine="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 By definition, a trust implies a legal relationship where the holder of a right gives it to another person for the purpose pf exercise it to the benefit of another person. Therefore, in trust it is deemed that others will act in the interest of another pe</w:t>
      </w:r>
      <w:r>
        <w:rPr>
          <w:rFonts w:ascii="Times New Roman" w:eastAsia="Times New Roman" w:hAnsi="Times New Roman" w:cs="Times New Roman"/>
          <w:kern w:val="0"/>
          <w:sz w:val="24"/>
          <w:szCs w:val="24"/>
          <w14:ligatures w14:val="none"/>
        </w:rPr>
        <w:t xml:space="preserve">rson. The law of trusts was formulated as part of Equity, which connotes principles that emanated from the Courts of Chancery. The </w:t>
      </w:r>
      <w:r>
        <w:rPr>
          <w:rFonts w:ascii="Times New Roman" w:eastAsia="Times New Roman" w:hAnsi="Times New Roman" w:cs="Times New Roman"/>
          <w:kern w:val="0"/>
          <w:sz w:val="24"/>
          <w:szCs w:val="24"/>
          <w14:ligatures w14:val="none"/>
        </w:rPr>
        <w:lastRenderedPageBreak/>
        <w:t>main rationale for formulating these principles was to correct the strictness that was imminent in the common law. Whereas, i</w:t>
      </w:r>
      <w:r>
        <w:rPr>
          <w:rFonts w:ascii="Times New Roman" w:eastAsia="Times New Roman" w:hAnsi="Times New Roman" w:cs="Times New Roman"/>
          <w:kern w:val="0"/>
          <w:sz w:val="24"/>
          <w:szCs w:val="24"/>
          <w14:ligatures w14:val="none"/>
        </w:rPr>
        <w:t>n the original sense, trust law was meant to benefit only the English dwellers it was later to spread to commonwealth countries as well as the United States when litigants saw its role in mitigating on the rigor that presented in the common law doctrines(F</w:t>
      </w:r>
      <w:r>
        <w:rPr>
          <w:rFonts w:ascii="Times New Roman" w:eastAsia="Times New Roman" w:hAnsi="Times New Roman" w:cs="Times New Roman"/>
          <w:kern w:val="0"/>
          <w:sz w:val="24"/>
          <w:szCs w:val="24"/>
          <w14:ligatures w14:val="none"/>
        </w:rPr>
        <w:t>anego et al. 2017). By its design and nature, English trust law is largely predicated on indigenous development in England and Wales that commenced during the Middle Ages of between the 11</w:t>
      </w:r>
      <w:r>
        <w:rPr>
          <w:rFonts w:ascii="Times New Roman" w:eastAsia="Times New Roman" w:hAnsi="Times New Roman" w:cs="Times New Roman"/>
          <w:kern w:val="0"/>
          <w:sz w:val="24"/>
          <w:szCs w:val="24"/>
          <w:vertAlign w:val="superscript"/>
          <w14:ligatures w14:val="none"/>
        </w:rPr>
        <w:t>th</w:t>
      </w:r>
      <w:r>
        <w:rPr>
          <w:rFonts w:ascii="Times New Roman" w:eastAsia="Times New Roman" w:hAnsi="Times New Roman" w:cs="Times New Roman"/>
          <w:kern w:val="0"/>
          <w:sz w:val="24"/>
          <w:szCs w:val="24"/>
          <w14:ligatures w14:val="none"/>
        </w:rPr>
        <w:t xml:space="preserve"> and 12</w:t>
      </w:r>
      <w:r>
        <w:rPr>
          <w:rFonts w:ascii="Times New Roman" w:eastAsia="Times New Roman" w:hAnsi="Times New Roman" w:cs="Times New Roman"/>
          <w:kern w:val="0"/>
          <w:sz w:val="24"/>
          <w:szCs w:val="24"/>
          <w:vertAlign w:val="superscript"/>
          <w14:ligatures w14:val="none"/>
        </w:rPr>
        <w:t>th</w:t>
      </w:r>
      <w:r>
        <w:rPr>
          <w:rFonts w:ascii="Times New Roman" w:eastAsia="Times New Roman" w:hAnsi="Times New Roman" w:cs="Times New Roman"/>
          <w:kern w:val="0"/>
          <w:sz w:val="24"/>
          <w:szCs w:val="24"/>
          <w14:ligatures w14:val="none"/>
        </w:rPr>
        <w:t xml:space="preserve"> Century (Avini 1995). The trusts law sought to deal with</w:t>
      </w:r>
      <w:r>
        <w:rPr>
          <w:rFonts w:ascii="Times New Roman" w:eastAsia="Times New Roman" w:hAnsi="Times New Roman" w:cs="Times New Roman"/>
          <w:kern w:val="0"/>
          <w:sz w:val="24"/>
          <w:szCs w:val="24"/>
          <w14:ligatures w14:val="none"/>
        </w:rPr>
        <w:t xml:space="preserve"> the inadequacies that were exhibited in the doctrines of common law that inhibited people from accessing justice. Common law was created when William the Conqueror ascended to the throne and King of England in 1066. </w:t>
      </w:r>
    </w:p>
    <w:p w14:paraId="482B8E85" w14:textId="77777777" w:rsidR="005A25BB" w:rsidRDefault="0023049F">
      <w:pPr>
        <w:spacing w:after="0" w:line="480" w:lineRule="auto"/>
        <w:ind w:firstLine="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As noted by many litigants common law </w:t>
      </w:r>
      <w:r>
        <w:rPr>
          <w:rFonts w:ascii="Times New Roman" w:eastAsia="Times New Roman" w:hAnsi="Times New Roman" w:cs="Times New Roman"/>
          <w:kern w:val="0"/>
          <w:sz w:val="24"/>
          <w:szCs w:val="24"/>
          <w14:ligatures w14:val="none"/>
        </w:rPr>
        <w:t>had its inadequacies and its application did not favour them or address their needs adequately. Common law regarded property as indivisible entity just like it had been the concept with Roman law that largely relied on the civil law. During the period of w</w:t>
      </w:r>
      <w:r>
        <w:rPr>
          <w:rFonts w:ascii="Times New Roman" w:eastAsia="Times New Roman" w:hAnsi="Times New Roman" w:cs="Times New Roman"/>
          <w:kern w:val="0"/>
          <w:sz w:val="24"/>
          <w:szCs w:val="24"/>
          <w14:ligatures w14:val="none"/>
        </w:rPr>
        <w:t xml:space="preserve">ar, land owners who went to fight would leave their lands in the hands of other people with the expectations that they would get them back when they return from the feudal services. However, as the fate would have it, majority would refuse to transfer the </w:t>
      </w:r>
      <w:r>
        <w:rPr>
          <w:rFonts w:ascii="Times New Roman" w:eastAsia="Times New Roman" w:hAnsi="Times New Roman" w:cs="Times New Roman"/>
          <w:kern w:val="0"/>
          <w:sz w:val="24"/>
          <w:szCs w:val="24"/>
          <w14:ligatures w14:val="none"/>
        </w:rPr>
        <w:t>title back to the original owners. In such an arrangement it was hard to invoke the doctrines of common law which did not recognize that another person apart from the one bearing the Title Deed would enjoy the Title Deeds (Partington 2021). This made the l</w:t>
      </w:r>
      <w:r>
        <w:rPr>
          <w:rFonts w:ascii="Times New Roman" w:eastAsia="Times New Roman" w:hAnsi="Times New Roman" w:cs="Times New Roman"/>
          <w:kern w:val="0"/>
          <w:sz w:val="24"/>
          <w:szCs w:val="24"/>
          <w14:ligatures w14:val="none"/>
        </w:rPr>
        <w:t>itigants feel agitated and consequently they started petitioning the king to sidestep the application of the common law doctrines. Exercising his powers, the king delegated the petition to be heard by his Lord Chancellor who in turn established the Court o</w:t>
      </w:r>
      <w:r>
        <w:rPr>
          <w:rFonts w:ascii="Times New Roman" w:eastAsia="Times New Roman" w:hAnsi="Times New Roman" w:cs="Times New Roman"/>
          <w:kern w:val="0"/>
          <w:sz w:val="24"/>
          <w:szCs w:val="24"/>
          <w14:ligatures w14:val="none"/>
        </w:rPr>
        <w:t xml:space="preserve">f Chancery. The establishment of the Court of Chancery was necessitated by the rising petitions forwarded to the king on the inadequacies of </w:t>
      </w:r>
      <w:r>
        <w:rPr>
          <w:rFonts w:ascii="Times New Roman" w:eastAsia="Times New Roman" w:hAnsi="Times New Roman" w:cs="Times New Roman"/>
          <w:kern w:val="0"/>
          <w:sz w:val="24"/>
          <w:szCs w:val="24"/>
          <w14:ligatures w14:val="none"/>
        </w:rPr>
        <w:lastRenderedPageBreak/>
        <w:t>the common law doctrines. Whereas, from the face of it looked inequitable allowing someone with legal title hold un</w:t>
      </w:r>
      <w:r>
        <w:rPr>
          <w:rFonts w:ascii="Times New Roman" w:eastAsia="Times New Roman" w:hAnsi="Times New Roman" w:cs="Times New Roman"/>
          <w:kern w:val="0"/>
          <w:sz w:val="24"/>
          <w:szCs w:val="24"/>
          <w14:ligatures w14:val="none"/>
        </w:rPr>
        <w:t xml:space="preserve">to the land, the Lord Chancellor could declare that the equitable owner was another person(Grinliton, 2017). </w:t>
      </w:r>
    </w:p>
    <w:p w14:paraId="4A076B7E" w14:textId="77777777" w:rsidR="005A25BB" w:rsidRDefault="0023049F">
      <w:pPr>
        <w:spacing w:after="0" w:line="480" w:lineRule="auto"/>
        <w:ind w:firstLine="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The Court of Chancery came up with the concept of </w:t>
      </w:r>
      <w:hyperlink r:id="rId7" w:tooltip="Feoffee" w:history="1">
        <w:r>
          <w:rPr>
            <w:rStyle w:val="Hyperlink"/>
            <w:rFonts w:ascii="Times New Roman" w:eastAsia="Times New Roman" w:hAnsi="Times New Roman" w:cs="Times New Roman"/>
            <w:color w:val="auto"/>
            <w:kern w:val="0"/>
            <w:sz w:val="24"/>
            <w:szCs w:val="24"/>
            <w14:ligatures w14:val="none"/>
          </w:rPr>
          <w:t>feoffee</w:t>
        </w:r>
      </w:hyperlink>
      <w:r>
        <w:rPr>
          <w:rFonts w:ascii="Times New Roman" w:eastAsia="Times New Roman" w:hAnsi="Times New Roman" w:cs="Times New Roman"/>
          <w:kern w:val="0"/>
          <w:sz w:val="24"/>
          <w:szCs w:val="24"/>
          <w14:ligatures w14:val="none"/>
        </w:rPr>
        <w:t xml:space="preserve"> who held </w:t>
      </w:r>
      <w:hyperlink r:id="rId8" w:tooltip="Seisin" w:history="1">
        <w:r>
          <w:rPr>
            <w:rStyle w:val="Hyperlink"/>
            <w:rFonts w:ascii="Times New Roman" w:eastAsia="Times New Roman" w:hAnsi="Times New Roman" w:cs="Times New Roman"/>
            <w:color w:val="auto"/>
            <w:kern w:val="0"/>
            <w:sz w:val="24"/>
            <w:szCs w:val="24"/>
            <w14:ligatures w14:val="none"/>
          </w:rPr>
          <w:t>seisin</w:t>
        </w:r>
      </w:hyperlink>
      <w:r>
        <w:rPr>
          <w:rFonts w:ascii="Times New Roman" w:eastAsia="Times New Roman" w:hAnsi="Times New Roman" w:cs="Times New Roman"/>
          <w:kern w:val="0"/>
          <w:sz w:val="24"/>
          <w:szCs w:val="24"/>
          <w14:ligatures w14:val="none"/>
        </w:rPr>
        <w:t xml:space="preserve">, where a holder of land could sometimes be not concluded as the real owner of the property. This was addressed by the emergence of the principle of </w:t>
      </w:r>
      <w:hyperlink r:id="rId9" w:tooltip="Cestui que use" w:history="1">
        <w:r>
          <w:rPr>
            <w:rStyle w:val="Hyperlink"/>
            <w:rFonts w:ascii="Times New Roman" w:eastAsia="Times New Roman" w:hAnsi="Times New Roman" w:cs="Times New Roman"/>
            <w:i/>
            <w:iCs/>
            <w:color w:val="auto"/>
            <w:kern w:val="0"/>
            <w:sz w:val="24"/>
            <w:szCs w:val="24"/>
            <w14:ligatures w14:val="none"/>
          </w:rPr>
          <w:t>cestui que use</w:t>
        </w:r>
      </w:hyperlink>
      <w:r>
        <w:rPr>
          <w:rFonts w:ascii="Times New Roman" w:eastAsia="Times New Roman" w:hAnsi="Times New Roman" w:cs="Times New Roman"/>
          <w:kern w:val="0"/>
          <w:sz w:val="24"/>
          <w:szCs w:val="24"/>
          <w14:ligatures w14:val="none"/>
        </w:rPr>
        <w:t xml:space="preserve"> which recognized the split between the legal and equitable owner. Under the maxim, it became recognizable that land would be split between a legal and equitable owner (Matthews 2013). Legal owner </w:t>
      </w:r>
      <w:r>
        <w:rPr>
          <w:rFonts w:ascii="Times New Roman" w:eastAsia="Times New Roman" w:hAnsi="Times New Roman" w:cs="Times New Roman"/>
          <w:kern w:val="0"/>
          <w:sz w:val="24"/>
          <w:szCs w:val="24"/>
          <w14:ligatures w14:val="none"/>
        </w:rPr>
        <w:t>denotes an individual controlling the title while the equitable owner relates to the person who will benefit from the land that is being held by that person. Similar concept was also used by the Franciscan friars who transferred the title of land to others</w:t>
      </w:r>
      <w:r>
        <w:rPr>
          <w:rFonts w:ascii="Times New Roman" w:eastAsia="Times New Roman" w:hAnsi="Times New Roman" w:cs="Times New Roman"/>
          <w:kern w:val="0"/>
          <w:sz w:val="24"/>
          <w:szCs w:val="24"/>
          <w14:ligatures w14:val="none"/>
        </w:rPr>
        <w:t xml:space="preserve"> while at the same time they were precluded from holding property by the vows that they had taken that were to live in poverty and abandon worldly riches. Whenever the court said that it was possible that a person could be entrusted with a property for the</w:t>
      </w:r>
      <w:r>
        <w:rPr>
          <w:rFonts w:ascii="Times New Roman" w:eastAsia="Times New Roman" w:hAnsi="Times New Roman" w:cs="Times New Roman"/>
          <w:kern w:val="0"/>
          <w:sz w:val="24"/>
          <w:szCs w:val="24"/>
          <w14:ligatures w14:val="none"/>
        </w:rPr>
        <w:t xml:space="preserve"> benefit of another person, then that concept amounted to the doctrine of trusts. Therefore, the law of trusts was created with the main aim being a recognition that a person could hold title in property for the purpose of benefitting another person in the</w:t>
      </w:r>
      <w:r>
        <w:rPr>
          <w:rFonts w:ascii="Times New Roman" w:eastAsia="Times New Roman" w:hAnsi="Times New Roman" w:cs="Times New Roman"/>
          <w:kern w:val="0"/>
          <w:sz w:val="24"/>
          <w:szCs w:val="24"/>
          <w14:ligatures w14:val="none"/>
        </w:rPr>
        <w:t xml:space="preserve"> later days. </w:t>
      </w:r>
    </w:p>
    <w:p w14:paraId="19B39F30" w14:textId="77777777" w:rsidR="005A25BB" w:rsidRDefault="0023049F">
      <w:pPr>
        <w:spacing w:after="0" w:line="480" w:lineRule="auto"/>
        <w:ind w:firstLine="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As time went by, the concept of uses or trusts started being employed as a way of avoiding payment of feudal taxation. In the period of 15</w:t>
      </w:r>
      <w:r>
        <w:rPr>
          <w:rFonts w:ascii="Times New Roman" w:eastAsia="Times New Roman" w:hAnsi="Times New Roman" w:cs="Times New Roman"/>
          <w:kern w:val="0"/>
          <w:sz w:val="24"/>
          <w:szCs w:val="24"/>
          <w:vertAlign w:val="superscript"/>
          <w14:ligatures w14:val="none"/>
        </w:rPr>
        <w:t>th</w:t>
      </w:r>
      <w:r>
        <w:rPr>
          <w:rFonts w:ascii="Times New Roman" w:eastAsia="Times New Roman" w:hAnsi="Times New Roman" w:cs="Times New Roman"/>
          <w:kern w:val="0"/>
          <w:sz w:val="24"/>
          <w:szCs w:val="24"/>
          <w14:ligatures w14:val="none"/>
        </w:rPr>
        <w:t xml:space="preserve"> and 16</w:t>
      </w:r>
      <w:r>
        <w:rPr>
          <w:rFonts w:ascii="Times New Roman" w:eastAsia="Times New Roman" w:hAnsi="Times New Roman" w:cs="Times New Roman"/>
          <w:kern w:val="0"/>
          <w:sz w:val="24"/>
          <w:szCs w:val="24"/>
          <w:vertAlign w:val="superscript"/>
          <w14:ligatures w14:val="none"/>
        </w:rPr>
        <w:t>th</w:t>
      </w:r>
      <w:r>
        <w:rPr>
          <w:rFonts w:ascii="Times New Roman" w:eastAsia="Times New Roman" w:hAnsi="Times New Roman" w:cs="Times New Roman"/>
          <w:kern w:val="0"/>
          <w:sz w:val="24"/>
          <w:szCs w:val="24"/>
          <w14:ligatures w14:val="none"/>
        </w:rPr>
        <w:t xml:space="preserve"> century, when a person died , the law provided that a landlord was entitled to money before </w:t>
      </w:r>
      <w:r>
        <w:rPr>
          <w:rFonts w:ascii="Times New Roman" w:eastAsia="Times New Roman" w:hAnsi="Times New Roman" w:cs="Times New Roman"/>
          <w:kern w:val="0"/>
          <w:sz w:val="24"/>
          <w:szCs w:val="24"/>
          <w14:ligatures w14:val="none"/>
        </w:rPr>
        <w:t>the land passed to an heir, and the landlord got all of the property under the doctrine of escheat if there were no heirs. When the title was transferred to a group of people for the purposes for common use, then it became impossible for the landlord to ta</w:t>
      </w:r>
      <w:r>
        <w:rPr>
          <w:rFonts w:ascii="Times New Roman" w:eastAsia="Times New Roman" w:hAnsi="Times New Roman" w:cs="Times New Roman"/>
          <w:kern w:val="0"/>
          <w:sz w:val="24"/>
          <w:szCs w:val="24"/>
          <w14:ligatures w14:val="none"/>
        </w:rPr>
        <w:t xml:space="preserve">ke possession of this land (Bogert 1921). This is because, it was very unlikely for all the people to die at the same time so as to extinguish the concept of trusts. </w:t>
      </w:r>
      <w:r>
        <w:rPr>
          <w:rFonts w:ascii="Times New Roman" w:eastAsia="Times New Roman" w:hAnsi="Times New Roman" w:cs="Times New Roman"/>
          <w:kern w:val="0"/>
          <w:sz w:val="24"/>
          <w:szCs w:val="24"/>
          <w14:ligatures w14:val="none"/>
        </w:rPr>
        <w:lastRenderedPageBreak/>
        <w:t>King Henry VIII, viewed this as an improper application of law as deprived Crown the antic</w:t>
      </w:r>
      <w:r>
        <w:rPr>
          <w:rFonts w:ascii="Times New Roman" w:eastAsia="Times New Roman" w:hAnsi="Times New Roman" w:cs="Times New Roman"/>
          <w:kern w:val="0"/>
          <w:sz w:val="24"/>
          <w:szCs w:val="24"/>
          <w14:ligatures w14:val="none"/>
        </w:rPr>
        <w:t xml:space="preserve">ipated revenues and therefore championed for the enactment of Statute of Uses in 1535 (Smith 1966). The Statute attempted to prohibit uses, stipulating all land belonged in fact to the </w:t>
      </w:r>
      <w:hyperlink r:id="rId10" w:tooltip="Cestui que use" w:history="1">
        <w:r>
          <w:rPr>
            <w:rStyle w:val="Hyperlink"/>
            <w:rFonts w:ascii="Times New Roman" w:eastAsia="Times New Roman" w:hAnsi="Times New Roman" w:cs="Times New Roman"/>
            <w:i/>
            <w:iCs/>
            <w:color w:val="auto"/>
            <w:kern w:val="0"/>
            <w:sz w:val="24"/>
            <w:szCs w:val="24"/>
            <w14:ligatures w14:val="none"/>
          </w:rPr>
          <w:t>cestui que use</w:t>
        </w:r>
      </w:hyperlink>
      <w:r>
        <w:rPr>
          <w:rFonts w:ascii="Times New Roman" w:eastAsia="Times New Roman" w:hAnsi="Times New Roman" w:cs="Times New Roman"/>
          <w:kern w:val="0"/>
          <w:sz w:val="24"/>
          <w:szCs w:val="24"/>
          <w14:ligatures w14:val="none"/>
        </w:rPr>
        <w:t>. Likewise, King Henry empowered the Court of Star Chambers and gave it criminal jurisdiction over those who were seen as political dissidents. However, upon the expiry of the term of King Henry, t</w:t>
      </w:r>
      <w:r>
        <w:rPr>
          <w:rFonts w:ascii="Times New Roman" w:eastAsia="Times New Roman" w:hAnsi="Times New Roman" w:cs="Times New Roman"/>
          <w:kern w:val="0"/>
          <w:sz w:val="24"/>
          <w:szCs w:val="24"/>
          <w14:ligatures w14:val="none"/>
        </w:rPr>
        <w:t xml:space="preserve">he Court of Chancery held that the Statute of Uses 1535 was not applicable to where the land was leased. </w:t>
      </w:r>
    </w:p>
    <w:p w14:paraId="1AEEA2D2" w14:textId="77777777" w:rsidR="005A25BB" w:rsidRDefault="0023049F">
      <w:pPr>
        <w:spacing w:after="0" w:line="480" w:lineRule="auto"/>
        <w:ind w:firstLine="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With the evolution of time, trusts were becoming widely acceptable and the Crown started tolerating it even though it deprived the Crown the huge marg</w:t>
      </w:r>
      <w:r>
        <w:rPr>
          <w:rFonts w:ascii="Times New Roman" w:eastAsia="Times New Roman" w:hAnsi="Times New Roman" w:cs="Times New Roman"/>
          <w:kern w:val="0"/>
          <w:sz w:val="24"/>
          <w:szCs w:val="24"/>
          <w14:ligatures w14:val="none"/>
        </w:rPr>
        <w:t>ins of revenues as was the case with the common law. The Crown could not get immense revenue from the feudal dues when the trusts started taking shape in English Law. By the early 18</w:t>
      </w:r>
      <w:r>
        <w:rPr>
          <w:rFonts w:ascii="Times New Roman" w:eastAsia="Times New Roman" w:hAnsi="Times New Roman" w:cs="Times New Roman"/>
          <w:kern w:val="0"/>
          <w:sz w:val="24"/>
          <w:szCs w:val="24"/>
          <w:vertAlign w:val="superscript"/>
          <w14:ligatures w14:val="none"/>
        </w:rPr>
        <w:t>th</w:t>
      </w:r>
      <w:r>
        <w:rPr>
          <w:rFonts w:ascii="Times New Roman" w:eastAsia="Times New Roman" w:hAnsi="Times New Roman" w:cs="Times New Roman"/>
          <w:kern w:val="0"/>
          <w:sz w:val="24"/>
          <w:szCs w:val="24"/>
          <w14:ligatures w14:val="none"/>
        </w:rPr>
        <w:t xml:space="preserve"> century, the practices had crystalized into trust law were the Courts o</w:t>
      </w:r>
      <w:r>
        <w:rPr>
          <w:rFonts w:ascii="Times New Roman" w:eastAsia="Times New Roman" w:hAnsi="Times New Roman" w:cs="Times New Roman"/>
          <w:kern w:val="0"/>
          <w:sz w:val="24"/>
          <w:szCs w:val="24"/>
          <w14:ligatures w14:val="none"/>
        </w:rPr>
        <w:t xml:space="preserve">f Chancery started recognizing the beneficiary of the trust as the true owner within the doctrines of equity law. Several remarks were being made regarding the nature of the trusts law with the remarkable one being the one that was made but John Selden, a </w:t>
      </w:r>
      <w:r>
        <w:rPr>
          <w:rFonts w:ascii="Times New Roman" w:eastAsia="Times New Roman" w:hAnsi="Times New Roman" w:cs="Times New Roman"/>
          <w:kern w:val="0"/>
          <w:sz w:val="24"/>
          <w:szCs w:val="24"/>
          <w14:ligatures w14:val="none"/>
        </w:rPr>
        <w:t xml:space="preserve">jurist who indicated that equitable rules and trusts laws were as long as the size of the Chancellors foot. Whereas the parliament was not moving at speed in formulating Statutes that legislated on the trusts law, the courts continued with the formulation </w:t>
      </w:r>
      <w:r>
        <w:rPr>
          <w:rFonts w:ascii="Times New Roman" w:eastAsia="Times New Roman" w:hAnsi="Times New Roman" w:cs="Times New Roman"/>
          <w:kern w:val="0"/>
          <w:sz w:val="24"/>
          <w:szCs w:val="24"/>
          <w14:ligatures w14:val="none"/>
        </w:rPr>
        <w:t>of such principles that showed that they were embracing the equitable principles. The tenure of the various judges who were at the helm of the Court of Chancery developed their own principles relating to the application of trusts law. In his writing, the f</w:t>
      </w:r>
      <w:r>
        <w:rPr>
          <w:rFonts w:ascii="Times New Roman" w:eastAsia="Times New Roman" w:hAnsi="Times New Roman" w:cs="Times New Roman"/>
          <w:kern w:val="0"/>
          <w:sz w:val="24"/>
          <w:szCs w:val="24"/>
          <w14:ligatures w14:val="none"/>
        </w:rPr>
        <w:t xml:space="preserve">irst Professor of English Law, William Blackstone wrote in his Commentaries on the Laws of England that equity should not be seen as a distinct body of rules, separate from the other laws of England (Wibier 2011). He indicated that all </w:t>
      </w:r>
      <w:r>
        <w:rPr>
          <w:rFonts w:ascii="Times New Roman" w:eastAsia="Times New Roman" w:hAnsi="Times New Roman" w:cs="Times New Roman"/>
          <w:kern w:val="0"/>
          <w:sz w:val="24"/>
          <w:szCs w:val="24"/>
          <w14:ligatures w14:val="none"/>
        </w:rPr>
        <w:lastRenderedPageBreak/>
        <w:t xml:space="preserve">systems of law were </w:t>
      </w:r>
      <w:r>
        <w:rPr>
          <w:rFonts w:ascii="Times New Roman" w:eastAsia="Times New Roman" w:hAnsi="Times New Roman" w:cs="Times New Roman"/>
          <w:kern w:val="0"/>
          <w:sz w:val="24"/>
          <w:szCs w:val="24"/>
          <w14:ligatures w14:val="none"/>
        </w:rPr>
        <w:t xml:space="preserve">driven towards one end gal being to deliver justice while following the concepts that have been outlined in the positive law. </w:t>
      </w:r>
    </w:p>
    <w:p w14:paraId="4FE91679" w14:textId="77777777" w:rsidR="005A25BB" w:rsidRDefault="0023049F">
      <w:pPr>
        <w:spacing w:after="0" w:line="480" w:lineRule="auto"/>
        <w:ind w:firstLine="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In 19</w:t>
      </w:r>
      <w:r>
        <w:rPr>
          <w:rFonts w:ascii="Times New Roman" w:eastAsia="Times New Roman" w:hAnsi="Times New Roman" w:cs="Times New Roman"/>
          <w:kern w:val="0"/>
          <w:sz w:val="24"/>
          <w:szCs w:val="24"/>
          <w:vertAlign w:val="superscript"/>
          <w14:ligatures w14:val="none"/>
        </w:rPr>
        <w:t>th</w:t>
      </w:r>
      <w:r>
        <w:rPr>
          <w:rFonts w:ascii="Times New Roman" w:eastAsia="Times New Roman" w:hAnsi="Times New Roman" w:cs="Times New Roman"/>
          <w:kern w:val="0"/>
          <w:sz w:val="24"/>
          <w:szCs w:val="24"/>
          <w14:ligatures w14:val="none"/>
        </w:rPr>
        <w:t xml:space="preserve"> Century, several court decisions were made in total regard of the trusts law. In the case of </w:t>
      </w:r>
      <w:hyperlink r:id="rId11" w:tooltip="Gee v Pritchard" w:history="1">
        <w:r>
          <w:rPr>
            <w:rStyle w:val="Hyperlink"/>
            <w:rFonts w:ascii="Times New Roman" w:eastAsia="Times New Roman" w:hAnsi="Times New Roman" w:cs="Times New Roman"/>
            <w:i/>
            <w:iCs/>
            <w:color w:val="auto"/>
            <w:kern w:val="0"/>
            <w:sz w:val="24"/>
            <w:szCs w:val="24"/>
            <w14:ligatures w14:val="none"/>
          </w:rPr>
          <w:t>Gee v Pritchard</w:t>
        </w:r>
      </w:hyperlink>
      <w:r>
        <w:rPr>
          <w:rFonts w:ascii="Times New Roman" w:eastAsia="Times New Roman" w:hAnsi="Times New Roman" w:cs="Times New Roman"/>
          <w:kern w:val="0"/>
          <w:sz w:val="24"/>
          <w:szCs w:val="24"/>
          <w14:ligatures w14:val="none"/>
        </w:rPr>
        <w:t xml:space="preserve">, referring to </w:t>
      </w:r>
      <w:hyperlink r:id="rId12" w:tooltip="John Selden" w:history="1">
        <w:r>
          <w:rPr>
            <w:rStyle w:val="Hyperlink"/>
            <w:rFonts w:ascii="Times New Roman" w:eastAsia="Times New Roman" w:hAnsi="Times New Roman" w:cs="Times New Roman"/>
            <w:color w:val="auto"/>
            <w:kern w:val="0"/>
            <w:sz w:val="24"/>
            <w:szCs w:val="24"/>
            <w:u w:val="none"/>
            <w14:ligatures w14:val="none"/>
          </w:rPr>
          <w:t>John Selden</w:t>
        </w:r>
      </w:hyperlink>
      <w:r>
        <w:rPr>
          <w:rFonts w:ascii="Times New Roman" w:eastAsia="Times New Roman" w:hAnsi="Times New Roman" w:cs="Times New Roman"/>
          <w:kern w:val="0"/>
          <w:sz w:val="24"/>
          <w:szCs w:val="24"/>
          <w14:ligatures w14:val="none"/>
        </w:rPr>
        <w:t xml:space="preserve">'s quip, </w:t>
      </w:r>
      <w:hyperlink r:id="rId13" w:tooltip="John Scott, 1st Earl of Eldon" w:history="1">
        <w:r>
          <w:rPr>
            <w:rStyle w:val="Hyperlink"/>
            <w:rFonts w:ascii="Times New Roman" w:eastAsia="Times New Roman" w:hAnsi="Times New Roman" w:cs="Times New Roman"/>
            <w:color w:val="auto"/>
            <w:kern w:val="0"/>
            <w:sz w:val="24"/>
            <w:szCs w:val="24"/>
            <w:u w:val="none"/>
            <w14:ligatures w14:val="none"/>
          </w:rPr>
          <w:t>Lord Eldon</w:t>
        </w:r>
      </w:hyperlink>
      <w:r>
        <w:rPr>
          <w:rFonts w:ascii="Times New Roman" w:eastAsia="Times New Roman" w:hAnsi="Times New Roman" w:cs="Times New Roman"/>
          <w:kern w:val="0"/>
          <w:sz w:val="24"/>
          <w:szCs w:val="24"/>
          <w14:ligatures w14:val="none"/>
        </w:rPr>
        <w:t xml:space="preserve"> (1801–1827) said </w:t>
      </w:r>
      <w:r>
        <w:rPr>
          <w:rFonts w:ascii="Times New Roman" w:eastAsia="Times New Roman" w:hAnsi="Times New Roman" w:cs="Times New Roman"/>
          <w:i/>
          <w:kern w:val="0"/>
          <w:sz w:val="24"/>
          <w:szCs w:val="24"/>
          <w14:ligatures w14:val="none"/>
        </w:rPr>
        <w:t>'Nothing would inflict upon me greater pain in quitting this place than the recol</w:t>
      </w:r>
      <w:r>
        <w:rPr>
          <w:rFonts w:ascii="Times New Roman" w:eastAsia="Times New Roman" w:hAnsi="Times New Roman" w:cs="Times New Roman"/>
          <w:i/>
          <w:kern w:val="0"/>
          <w:sz w:val="24"/>
          <w:szCs w:val="24"/>
          <w14:ligatures w14:val="none"/>
        </w:rPr>
        <w:t>lection that I had done anything to justify the reproach that the equity of this court varies like the Chancellor's foot.</w:t>
      </w:r>
      <w:r>
        <w:rPr>
          <w:rFonts w:ascii="Times New Roman" w:eastAsia="Times New Roman" w:hAnsi="Times New Roman" w:cs="Times New Roman"/>
          <w:kern w:val="0"/>
          <w:sz w:val="24"/>
          <w:szCs w:val="24"/>
          <w14:ligatures w14:val="none"/>
        </w:rPr>
        <w:t>' The Parliament also saw the essence of enacting laws that would give deeper recognition to the principles and concepts that the Court</w:t>
      </w:r>
      <w:r>
        <w:rPr>
          <w:rFonts w:ascii="Times New Roman" w:eastAsia="Times New Roman" w:hAnsi="Times New Roman" w:cs="Times New Roman"/>
          <w:kern w:val="0"/>
          <w:sz w:val="24"/>
          <w:szCs w:val="24"/>
          <w14:ligatures w14:val="none"/>
        </w:rPr>
        <w:t xml:space="preserve"> of Chancery had formulated in support of the trusts law. One of the most outstanding law that the parliament enacted in support of the trusts law is Judicature Act 1873(Seipp 2011). The Act provided that whenever a conflict prevailed between the applicati</w:t>
      </w:r>
      <w:r>
        <w:rPr>
          <w:rFonts w:ascii="Times New Roman" w:eastAsia="Times New Roman" w:hAnsi="Times New Roman" w:cs="Times New Roman"/>
          <w:kern w:val="0"/>
          <w:sz w:val="24"/>
          <w:szCs w:val="24"/>
          <w14:ligatures w14:val="none"/>
        </w:rPr>
        <w:t>on of the common law and the equitable law, equitable law would always prevail. In the 20</w:t>
      </w:r>
      <w:r>
        <w:rPr>
          <w:rFonts w:ascii="Times New Roman" w:eastAsia="Times New Roman" w:hAnsi="Times New Roman" w:cs="Times New Roman"/>
          <w:kern w:val="0"/>
          <w:sz w:val="24"/>
          <w:szCs w:val="24"/>
          <w:vertAlign w:val="superscript"/>
          <w14:ligatures w14:val="none"/>
        </w:rPr>
        <w:t>th</w:t>
      </w:r>
      <w:r>
        <w:rPr>
          <w:rFonts w:ascii="Times New Roman" w:eastAsia="Times New Roman" w:hAnsi="Times New Roman" w:cs="Times New Roman"/>
          <w:kern w:val="0"/>
          <w:sz w:val="24"/>
          <w:szCs w:val="24"/>
          <w14:ligatures w14:val="none"/>
        </w:rPr>
        <w:t xml:space="preserve"> Century, the Parliament moved towards amending the Old Age Pensions Act 1908, which sought to harmonize the application of trusts law to individuals and entities. I</w:t>
      </w:r>
      <w:r>
        <w:rPr>
          <w:rFonts w:ascii="Times New Roman" w:eastAsia="Times New Roman" w:hAnsi="Times New Roman" w:cs="Times New Roman"/>
          <w:kern w:val="0"/>
          <w:sz w:val="24"/>
          <w:szCs w:val="24"/>
          <w14:ligatures w14:val="none"/>
        </w:rPr>
        <w:t>ncreasingly, the courts started embracing the application of trusts law. Some courts were of the view that application of trusts law served as a reflection of the need to do justice while others were of the view that application of trusts served as a refle</w:t>
      </w:r>
      <w:r>
        <w:rPr>
          <w:rFonts w:ascii="Times New Roman" w:eastAsia="Times New Roman" w:hAnsi="Times New Roman" w:cs="Times New Roman"/>
          <w:kern w:val="0"/>
          <w:sz w:val="24"/>
          <w:szCs w:val="24"/>
          <w14:ligatures w14:val="none"/>
        </w:rPr>
        <w:t xml:space="preserve">ction of an implicit common intention. </w:t>
      </w:r>
    </w:p>
    <w:p w14:paraId="3C100509" w14:textId="77777777" w:rsidR="005A25BB" w:rsidRDefault="0023049F">
      <w:pPr>
        <w:spacing w:after="0" w:line="480" w:lineRule="auto"/>
        <w:ind w:firstLine="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As it is evident from the path that has been taken in the creation and development of the trusts law, the rigor that presented in the common law was the greatest push in developing trusts law. The litigants had label</w:t>
      </w:r>
      <w:r>
        <w:rPr>
          <w:rFonts w:ascii="Times New Roman" w:eastAsia="Times New Roman" w:hAnsi="Times New Roman" w:cs="Times New Roman"/>
          <w:kern w:val="0"/>
          <w:sz w:val="24"/>
          <w:szCs w:val="24"/>
          <w14:ligatures w14:val="none"/>
        </w:rPr>
        <w:t>ed early doctrines of common law as ones that were marred with rigidity (Hayton 2011). The strict application of common law principles proved to be hard in some circumstances and therefore it was imperative to come up with an alternative that evaluated cas</w:t>
      </w:r>
      <w:r>
        <w:rPr>
          <w:rFonts w:ascii="Times New Roman" w:eastAsia="Times New Roman" w:hAnsi="Times New Roman" w:cs="Times New Roman"/>
          <w:kern w:val="0"/>
          <w:sz w:val="24"/>
          <w:szCs w:val="24"/>
          <w14:ligatures w14:val="none"/>
        </w:rPr>
        <w:t xml:space="preserve">e based on the prevailing and individual circumstances. The elites in common law would use rules to their own advantage while oppressing those who were clueless about the application of </w:t>
      </w:r>
      <w:r>
        <w:rPr>
          <w:rFonts w:ascii="Times New Roman" w:eastAsia="Times New Roman" w:hAnsi="Times New Roman" w:cs="Times New Roman"/>
          <w:kern w:val="0"/>
          <w:sz w:val="24"/>
          <w:szCs w:val="24"/>
          <w14:ligatures w14:val="none"/>
        </w:rPr>
        <w:lastRenderedPageBreak/>
        <w:t>these rigid laws. The chancellor’s jurisdiction, therefore in developi</w:t>
      </w:r>
      <w:r>
        <w:rPr>
          <w:rFonts w:ascii="Times New Roman" w:eastAsia="Times New Roman" w:hAnsi="Times New Roman" w:cs="Times New Roman"/>
          <w:kern w:val="0"/>
          <w:sz w:val="24"/>
          <w:szCs w:val="24"/>
          <w14:ligatures w14:val="none"/>
        </w:rPr>
        <w:t>ng trusts was geared towards mitigating the harshness that presented in the common law principles. For instance, the fiduciary relationships that were majorly anchored in common law doctrine got a better meaning with the emergence of trusts law that sought</w:t>
      </w:r>
      <w:r>
        <w:rPr>
          <w:rFonts w:ascii="Times New Roman" w:eastAsia="Times New Roman" w:hAnsi="Times New Roman" w:cs="Times New Roman"/>
          <w:kern w:val="0"/>
          <w:sz w:val="24"/>
          <w:szCs w:val="24"/>
          <w14:ligatures w14:val="none"/>
        </w:rPr>
        <w:t xml:space="preserve"> to harmonize how fiduciary relationships were created, protected and actualized. </w:t>
      </w:r>
    </w:p>
    <w:p w14:paraId="4D9E0562" w14:textId="77777777" w:rsidR="005A25BB" w:rsidRDefault="0023049F">
      <w:pPr>
        <w:spacing w:after="0" w:line="480" w:lineRule="auto"/>
        <w:ind w:firstLine="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The varying laws in the common law doctrines gave an impression that common law was geared towards the benefit of the elites. It was therefore devise for the shrewd, savvy s</w:t>
      </w:r>
      <w:r>
        <w:rPr>
          <w:rFonts w:ascii="Times New Roman" w:eastAsia="Times New Roman" w:hAnsi="Times New Roman" w:cs="Times New Roman"/>
          <w:kern w:val="0"/>
          <w:sz w:val="24"/>
          <w:szCs w:val="24"/>
          <w14:ligatures w14:val="none"/>
        </w:rPr>
        <w:t>chemers who were conversant with the laws and knew how they applied, in their strict sense. For the fools who bestowed trust on their neighbors to look after their property, they had to look outside the provisions of the common law if at all they were ambi</w:t>
      </w:r>
      <w:r>
        <w:rPr>
          <w:rFonts w:ascii="Times New Roman" w:eastAsia="Times New Roman" w:hAnsi="Times New Roman" w:cs="Times New Roman"/>
          <w:kern w:val="0"/>
          <w:sz w:val="24"/>
          <w:szCs w:val="24"/>
          <w14:ligatures w14:val="none"/>
        </w:rPr>
        <w:t>tious of getting good bargain out of such kind of arrangement. Notably, this gave the impression that the common law resembles the “bad man’s view” of the law put forward by Oliver Wendell Holmes, Jr. in his speech, The Path of the Law, delivered at Boston</w:t>
      </w:r>
      <w:r>
        <w:rPr>
          <w:rFonts w:ascii="Times New Roman" w:eastAsia="Times New Roman" w:hAnsi="Times New Roman" w:cs="Times New Roman"/>
          <w:kern w:val="0"/>
          <w:sz w:val="24"/>
          <w:szCs w:val="24"/>
          <w14:ligatures w14:val="none"/>
        </w:rPr>
        <w:t xml:space="preserve"> University School of Law in 1897 (Holmes 1997). From the bad man’s perspective, it was not upon him to fulfil the promises made in the contract, but rather it only gave him the option of fulfilling his promises or being compelled to pay damages if sued in</w:t>
      </w:r>
      <w:r>
        <w:rPr>
          <w:rFonts w:ascii="Times New Roman" w:eastAsia="Times New Roman" w:hAnsi="Times New Roman" w:cs="Times New Roman"/>
          <w:kern w:val="0"/>
          <w:sz w:val="24"/>
          <w:szCs w:val="24"/>
          <w14:ligatures w14:val="none"/>
        </w:rPr>
        <w:t xml:space="preserve"> the common law court. Another problem with the common law presented in the Early English criminal law where crimes such as robbery and burglary were deemed as being committed by the strangers through the use of force and violence. It did not recognize the</w:t>
      </w:r>
      <w:r>
        <w:rPr>
          <w:rFonts w:ascii="Times New Roman" w:eastAsia="Times New Roman" w:hAnsi="Times New Roman" w:cs="Times New Roman"/>
          <w:kern w:val="0"/>
          <w:sz w:val="24"/>
          <w:szCs w:val="24"/>
          <w14:ligatures w14:val="none"/>
        </w:rPr>
        <w:t xml:space="preserve"> possibility of having other crimes that would be committed from fiduciary relationships such as embezzlement, forgery and fraud (Nolan et al., 2022). The trusts law made it possible to have these actions recognized under penal law and the offendors could </w:t>
      </w:r>
      <w:r>
        <w:rPr>
          <w:rFonts w:ascii="Times New Roman" w:eastAsia="Times New Roman" w:hAnsi="Times New Roman" w:cs="Times New Roman"/>
          <w:kern w:val="0"/>
          <w:sz w:val="24"/>
          <w:szCs w:val="24"/>
          <w14:ligatures w14:val="none"/>
        </w:rPr>
        <w:t xml:space="preserve">be taken to courts of law. As such, those who were aggrieved could get the reprieve that they could not get in the common law courts. </w:t>
      </w:r>
    </w:p>
    <w:p w14:paraId="424155A5" w14:textId="77777777" w:rsidR="005A25BB" w:rsidRDefault="0023049F">
      <w:pPr>
        <w:spacing w:after="0" w:line="480" w:lineRule="auto"/>
        <w:ind w:firstLine="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lastRenderedPageBreak/>
        <w:t>Additionally, the doctrines of common law were majorly predicated on procedures. For one to benefit from the doctrines of</w:t>
      </w:r>
      <w:r>
        <w:rPr>
          <w:rFonts w:ascii="Times New Roman" w:eastAsia="Times New Roman" w:hAnsi="Times New Roman" w:cs="Times New Roman"/>
          <w:kern w:val="0"/>
          <w:sz w:val="24"/>
          <w:szCs w:val="24"/>
          <w14:ligatures w14:val="none"/>
        </w:rPr>
        <w:t xml:space="preserve"> common law, one had to comply with the procedural, jurisdictional, and evidentiary rules that were in common law principles. This implied that those who missed a step in creating any form of relationship could not get the reprieve that they sought in the </w:t>
      </w:r>
      <w:r>
        <w:rPr>
          <w:rFonts w:ascii="Times New Roman" w:eastAsia="Times New Roman" w:hAnsi="Times New Roman" w:cs="Times New Roman"/>
          <w:kern w:val="0"/>
          <w:sz w:val="24"/>
          <w:szCs w:val="24"/>
          <w14:ligatures w14:val="none"/>
        </w:rPr>
        <w:t>common law courts (Metzger 2011). The benefit would only be to those who were acquainted with the rules, procedures and technicalities of how such a relationship would be created. However, as trusts would prove it, the court’s primary inference would be th</w:t>
      </w:r>
      <w:r>
        <w:rPr>
          <w:rFonts w:ascii="Times New Roman" w:eastAsia="Times New Roman" w:hAnsi="Times New Roman" w:cs="Times New Roman"/>
          <w:kern w:val="0"/>
          <w:sz w:val="24"/>
          <w:szCs w:val="24"/>
          <w14:ligatures w14:val="none"/>
        </w:rPr>
        <w:t>e existence of the relationship rather than the manner in which it was created (Hogue 1966). This meant that in trusts law, litigants would in an easier way prove the existence of fiduciary relationship even though they did not adhere to the strict legal p</w:t>
      </w:r>
      <w:r>
        <w:rPr>
          <w:rFonts w:ascii="Times New Roman" w:eastAsia="Times New Roman" w:hAnsi="Times New Roman" w:cs="Times New Roman"/>
          <w:kern w:val="0"/>
          <w:sz w:val="24"/>
          <w:szCs w:val="24"/>
          <w14:ligatures w14:val="none"/>
        </w:rPr>
        <w:t xml:space="preserve">rovisions that called for the formation of such kind of a relationship. </w:t>
      </w:r>
    </w:p>
    <w:p w14:paraId="5F7F7AFF" w14:textId="77777777" w:rsidR="005A25BB" w:rsidRDefault="0023049F">
      <w:pPr>
        <w:spacing w:after="0" w:line="480" w:lineRule="auto"/>
        <w:ind w:firstLine="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As the jurisprudence in the area of trusts law grows, courts have made such pronouncement that reflects, the path that has paved way for the necessary reforms in the statutory provisi</w:t>
      </w:r>
      <w:r>
        <w:rPr>
          <w:rFonts w:ascii="Times New Roman" w:eastAsia="Times New Roman" w:hAnsi="Times New Roman" w:cs="Times New Roman"/>
          <w:kern w:val="0"/>
          <w:sz w:val="24"/>
          <w:szCs w:val="24"/>
          <w14:ligatures w14:val="none"/>
        </w:rPr>
        <w:t>ons that relate to creation, protection and execution of trusts. In the modern dispensation, there has been a number of notable decisions that are geared towards giving a definitive description relating to trusts law (Studer 2016).</w:t>
      </w:r>
    </w:p>
    <w:p w14:paraId="389E8398" w14:textId="77777777" w:rsidR="005A25BB" w:rsidRDefault="0023049F">
      <w:pPr>
        <w:spacing w:after="0" w:line="480" w:lineRule="auto"/>
        <w:ind w:firstLine="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However, despite the rem</w:t>
      </w:r>
      <w:r>
        <w:rPr>
          <w:rFonts w:ascii="Times New Roman" w:eastAsia="Times New Roman" w:hAnsi="Times New Roman" w:cs="Times New Roman"/>
          <w:kern w:val="0"/>
          <w:sz w:val="24"/>
          <w:szCs w:val="24"/>
          <w14:ligatures w14:val="none"/>
        </w:rPr>
        <w:t>arkable strides that have been made in the area of trusts law, there is a common challenge in most court rooms that apply trusts law in England and Wales. Majority of the litigants are approaching the court by relying on the principles of trusts law and th</w:t>
      </w:r>
      <w:r>
        <w:rPr>
          <w:rFonts w:ascii="Times New Roman" w:eastAsia="Times New Roman" w:hAnsi="Times New Roman" w:cs="Times New Roman"/>
          <w:kern w:val="0"/>
          <w:sz w:val="24"/>
          <w:szCs w:val="24"/>
          <w14:ligatures w14:val="none"/>
        </w:rPr>
        <w:t xml:space="preserve">is has led to increasing backlog. On its part, the parliament has been reluctant to amend or enact such laws that would aid in expedient resolution of disputes that have a bearing in trusts law. It is therefore the high time that the Parliament moves with </w:t>
      </w:r>
      <w:r>
        <w:rPr>
          <w:rFonts w:ascii="Times New Roman" w:eastAsia="Times New Roman" w:hAnsi="Times New Roman" w:cs="Times New Roman"/>
          <w:kern w:val="0"/>
          <w:sz w:val="24"/>
          <w:szCs w:val="24"/>
          <w14:ligatures w14:val="none"/>
        </w:rPr>
        <w:t xml:space="preserve">speed towards getting a resolution of the impediments that may impair the application of the law of trusts. </w:t>
      </w:r>
    </w:p>
    <w:p w14:paraId="342B3AD5" w14:textId="77777777" w:rsidR="005A25BB" w:rsidRDefault="0023049F">
      <w:pPr>
        <w:spacing w:after="0" w:line="480" w:lineRule="auto"/>
        <w:ind w:firstLine="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lastRenderedPageBreak/>
        <w:t xml:space="preserve">Essentially, the trusts law principles that are applied in England and Wales in the modern day have a long history. The agitation by the litigants </w:t>
      </w:r>
      <w:r>
        <w:rPr>
          <w:rFonts w:ascii="Times New Roman" w:eastAsia="Times New Roman" w:hAnsi="Times New Roman" w:cs="Times New Roman"/>
          <w:kern w:val="0"/>
          <w:sz w:val="24"/>
          <w:szCs w:val="24"/>
          <w14:ligatures w14:val="none"/>
        </w:rPr>
        <w:t xml:space="preserve">to have a system that mitigated against the harsh realities manifested in common law led to the formulation of trusts law. Over the time, the trusts law has gotten acceptability and is now largely referred to when fiduciary relationships are being created </w:t>
      </w:r>
      <w:r>
        <w:rPr>
          <w:rFonts w:ascii="Times New Roman" w:eastAsia="Times New Roman" w:hAnsi="Times New Roman" w:cs="Times New Roman"/>
          <w:kern w:val="0"/>
          <w:sz w:val="24"/>
          <w:szCs w:val="24"/>
          <w14:ligatures w14:val="none"/>
        </w:rPr>
        <w:t xml:space="preserve">as opposed to the common law doctrines. </w:t>
      </w:r>
    </w:p>
    <w:p w14:paraId="797CC455" w14:textId="77777777" w:rsidR="005A25BB" w:rsidRDefault="005A25BB">
      <w:pPr>
        <w:spacing w:after="0" w:line="480" w:lineRule="auto"/>
        <w:ind w:firstLine="720"/>
        <w:jc w:val="both"/>
        <w:rPr>
          <w:rFonts w:ascii="Times New Roman" w:eastAsia="Times New Roman" w:hAnsi="Times New Roman" w:cs="Times New Roman"/>
          <w:kern w:val="0"/>
          <w:sz w:val="24"/>
          <w:szCs w:val="24"/>
          <w14:ligatures w14:val="none"/>
        </w:rPr>
      </w:pPr>
    </w:p>
    <w:p w14:paraId="4284F19B" w14:textId="77777777" w:rsidR="005A25BB" w:rsidRDefault="005A25BB">
      <w:pPr>
        <w:spacing w:after="0" w:line="480" w:lineRule="auto"/>
        <w:ind w:firstLine="720"/>
        <w:jc w:val="both"/>
        <w:rPr>
          <w:rFonts w:ascii="Times New Roman" w:eastAsia="Times New Roman" w:hAnsi="Times New Roman" w:cs="Times New Roman"/>
          <w:kern w:val="0"/>
          <w:sz w:val="24"/>
          <w:szCs w:val="24"/>
          <w14:ligatures w14:val="none"/>
        </w:rPr>
      </w:pPr>
    </w:p>
    <w:p w14:paraId="0135A38D" w14:textId="77777777" w:rsidR="005A25BB" w:rsidRDefault="005A25BB">
      <w:pPr>
        <w:spacing w:after="0" w:line="480" w:lineRule="auto"/>
        <w:ind w:firstLine="720"/>
        <w:jc w:val="both"/>
        <w:rPr>
          <w:rFonts w:ascii="Times New Roman" w:eastAsia="Times New Roman" w:hAnsi="Times New Roman" w:cs="Times New Roman"/>
          <w:kern w:val="0"/>
          <w:sz w:val="24"/>
          <w:szCs w:val="24"/>
          <w14:ligatures w14:val="none"/>
        </w:rPr>
      </w:pPr>
    </w:p>
    <w:p w14:paraId="01CFFC58" w14:textId="77777777" w:rsidR="005A25BB" w:rsidRDefault="005A25BB">
      <w:pPr>
        <w:spacing w:after="0" w:line="480" w:lineRule="auto"/>
        <w:ind w:firstLine="720"/>
        <w:jc w:val="both"/>
        <w:rPr>
          <w:rFonts w:ascii="Times New Roman" w:eastAsia="Times New Roman" w:hAnsi="Times New Roman" w:cs="Times New Roman"/>
          <w:kern w:val="0"/>
          <w:sz w:val="24"/>
          <w:szCs w:val="24"/>
          <w14:ligatures w14:val="none"/>
        </w:rPr>
      </w:pPr>
    </w:p>
    <w:p w14:paraId="23105E37" w14:textId="77777777" w:rsidR="005A25BB" w:rsidRDefault="005A25BB">
      <w:pPr>
        <w:spacing w:after="0" w:line="480" w:lineRule="auto"/>
        <w:ind w:firstLine="720"/>
        <w:jc w:val="both"/>
        <w:rPr>
          <w:rFonts w:ascii="Times New Roman" w:eastAsia="Times New Roman" w:hAnsi="Times New Roman" w:cs="Times New Roman"/>
          <w:kern w:val="0"/>
          <w:sz w:val="24"/>
          <w:szCs w:val="24"/>
          <w14:ligatures w14:val="none"/>
        </w:rPr>
      </w:pPr>
    </w:p>
    <w:p w14:paraId="45FB2354" w14:textId="77777777" w:rsidR="005A25BB" w:rsidRDefault="005A25BB">
      <w:pPr>
        <w:spacing w:after="0" w:line="480" w:lineRule="auto"/>
        <w:ind w:firstLine="720"/>
        <w:jc w:val="both"/>
        <w:rPr>
          <w:rFonts w:ascii="Times New Roman" w:eastAsia="Times New Roman" w:hAnsi="Times New Roman" w:cs="Times New Roman"/>
          <w:kern w:val="0"/>
          <w:sz w:val="24"/>
          <w:szCs w:val="24"/>
          <w14:ligatures w14:val="none"/>
        </w:rPr>
      </w:pPr>
    </w:p>
    <w:p w14:paraId="4E8739AD" w14:textId="77777777" w:rsidR="005A25BB" w:rsidRDefault="005A25BB">
      <w:pPr>
        <w:spacing w:after="0" w:line="480" w:lineRule="auto"/>
        <w:ind w:firstLine="720"/>
        <w:jc w:val="both"/>
        <w:rPr>
          <w:rFonts w:ascii="Times New Roman" w:eastAsia="Times New Roman" w:hAnsi="Times New Roman" w:cs="Times New Roman"/>
          <w:kern w:val="0"/>
          <w:sz w:val="24"/>
          <w:szCs w:val="24"/>
          <w14:ligatures w14:val="none"/>
        </w:rPr>
      </w:pPr>
    </w:p>
    <w:p w14:paraId="34BC7013" w14:textId="77777777" w:rsidR="005A25BB" w:rsidRDefault="005A25BB">
      <w:pPr>
        <w:spacing w:after="0" w:line="480" w:lineRule="auto"/>
        <w:ind w:firstLine="720"/>
        <w:jc w:val="both"/>
        <w:rPr>
          <w:rFonts w:ascii="Times New Roman" w:eastAsia="Times New Roman" w:hAnsi="Times New Roman" w:cs="Times New Roman"/>
          <w:kern w:val="0"/>
          <w:sz w:val="24"/>
          <w:szCs w:val="24"/>
          <w14:ligatures w14:val="none"/>
        </w:rPr>
      </w:pPr>
    </w:p>
    <w:p w14:paraId="3C2454A8" w14:textId="77777777" w:rsidR="005A25BB" w:rsidRDefault="005A25BB">
      <w:pPr>
        <w:spacing w:after="0" w:line="480" w:lineRule="auto"/>
        <w:ind w:firstLine="720"/>
        <w:jc w:val="both"/>
        <w:rPr>
          <w:rFonts w:ascii="Times New Roman" w:eastAsia="Times New Roman" w:hAnsi="Times New Roman" w:cs="Times New Roman"/>
          <w:kern w:val="0"/>
          <w:sz w:val="24"/>
          <w:szCs w:val="24"/>
          <w14:ligatures w14:val="none"/>
        </w:rPr>
      </w:pPr>
    </w:p>
    <w:p w14:paraId="58D07D02" w14:textId="77777777" w:rsidR="005A25BB" w:rsidRDefault="005A25BB">
      <w:pPr>
        <w:spacing w:after="0" w:line="480" w:lineRule="auto"/>
        <w:ind w:firstLine="720"/>
        <w:jc w:val="both"/>
        <w:rPr>
          <w:rFonts w:ascii="Times New Roman" w:eastAsia="Times New Roman" w:hAnsi="Times New Roman" w:cs="Times New Roman"/>
          <w:kern w:val="0"/>
          <w:sz w:val="24"/>
          <w:szCs w:val="24"/>
          <w14:ligatures w14:val="none"/>
        </w:rPr>
      </w:pPr>
    </w:p>
    <w:p w14:paraId="5158969C" w14:textId="77777777" w:rsidR="005A25BB" w:rsidRDefault="005A25BB">
      <w:pPr>
        <w:spacing w:after="0" w:line="480" w:lineRule="auto"/>
        <w:ind w:firstLine="720"/>
        <w:jc w:val="both"/>
        <w:rPr>
          <w:rFonts w:ascii="Times New Roman" w:eastAsia="Times New Roman" w:hAnsi="Times New Roman" w:cs="Times New Roman"/>
          <w:kern w:val="0"/>
          <w:sz w:val="24"/>
          <w:szCs w:val="24"/>
          <w14:ligatures w14:val="none"/>
        </w:rPr>
      </w:pPr>
    </w:p>
    <w:p w14:paraId="4E96B331" w14:textId="77777777" w:rsidR="005A25BB" w:rsidRDefault="005A25BB">
      <w:pPr>
        <w:spacing w:after="0" w:line="480" w:lineRule="auto"/>
        <w:ind w:firstLine="720"/>
        <w:jc w:val="both"/>
        <w:rPr>
          <w:rFonts w:ascii="Times New Roman" w:eastAsia="Times New Roman" w:hAnsi="Times New Roman" w:cs="Times New Roman"/>
          <w:kern w:val="0"/>
          <w:sz w:val="24"/>
          <w:szCs w:val="24"/>
          <w14:ligatures w14:val="none"/>
        </w:rPr>
      </w:pPr>
    </w:p>
    <w:p w14:paraId="06653473" w14:textId="77777777" w:rsidR="005A25BB" w:rsidRDefault="005A25BB">
      <w:pPr>
        <w:spacing w:after="0" w:line="480" w:lineRule="auto"/>
        <w:ind w:firstLine="720"/>
        <w:jc w:val="both"/>
        <w:rPr>
          <w:rFonts w:ascii="Times New Roman" w:eastAsia="Times New Roman" w:hAnsi="Times New Roman" w:cs="Times New Roman"/>
          <w:kern w:val="0"/>
          <w:sz w:val="24"/>
          <w:szCs w:val="24"/>
          <w14:ligatures w14:val="none"/>
        </w:rPr>
      </w:pPr>
    </w:p>
    <w:p w14:paraId="7399C47D" w14:textId="77777777" w:rsidR="005A25BB" w:rsidRDefault="005A25BB">
      <w:pPr>
        <w:spacing w:after="0" w:line="480" w:lineRule="auto"/>
        <w:ind w:firstLine="720"/>
        <w:jc w:val="both"/>
        <w:rPr>
          <w:rFonts w:ascii="Times New Roman" w:eastAsia="Times New Roman" w:hAnsi="Times New Roman" w:cs="Times New Roman"/>
          <w:kern w:val="0"/>
          <w:sz w:val="24"/>
          <w:szCs w:val="24"/>
          <w14:ligatures w14:val="none"/>
        </w:rPr>
      </w:pPr>
    </w:p>
    <w:p w14:paraId="6D13EFC3" w14:textId="77777777" w:rsidR="005A25BB" w:rsidRDefault="005A25BB">
      <w:pPr>
        <w:spacing w:after="0" w:line="480" w:lineRule="auto"/>
        <w:ind w:firstLine="720"/>
        <w:jc w:val="both"/>
        <w:rPr>
          <w:rFonts w:ascii="Times New Roman" w:eastAsia="Times New Roman" w:hAnsi="Times New Roman" w:cs="Times New Roman"/>
          <w:kern w:val="0"/>
          <w:sz w:val="24"/>
          <w:szCs w:val="24"/>
          <w14:ligatures w14:val="none"/>
        </w:rPr>
      </w:pPr>
    </w:p>
    <w:p w14:paraId="30E1EB86" w14:textId="77777777" w:rsidR="005A25BB" w:rsidRDefault="005A25BB">
      <w:pPr>
        <w:spacing w:after="0" w:line="480" w:lineRule="auto"/>
        <w:ind w:firstLine="720"/>
        <w:jc w:val="both"/>
        <w:rPr>
          <w:rFonts w:ascii="Times New Roman" w:eastAsia="Times New Roman" w:hAnsi="Times New Roman" w:cs="Times New Roman"/>
          <w:kern w:val="0"/>
          <w:sz w:val="24"/>
          <w:szCs w:val="24"/>
          <w14:ligatures w14:val="none"/>
        </w:rPr>
      </w:pPr>
    </w:p>
    <w:p w14:paraId="66154BDE" w14:textId="77777777" w:rsidR="005A25BB" w:rsidRDefault="005A25BB">
      <w:pPr>
        <w:spacing w:after="0" w:line="480" w:lineRule="auto"/>
        <w:ind w:firstLine="720"/>
        <w:jc w:val="center"/>
        <w:rPr>
          <w:rFonts w:ascii="Times New Roman" w:eastAsia="Times New Roman" w:hAnsi="Times New Roman" w:cs="Times New Roman"/>
          <w:b/>
          <w:kern w:val="0"/>
          <w:sz w:val="24"/>
          <w:szCs w:val="24"/>
          <w14:ligatures w14:val="none"/>
        </w:rPr>
      </w:pPr>
    </w:p>
    <w:p w14:paraId="5A0C7BD5" w14:textId="77777777" w:rsidR="005A25BB" w:rsidRDefault="005A25BB">
      <w:pPr>
        <w:spacing w:after="0" w:line="480" w:lineRule="auto"/>
        <w:ind w:firstLine="720"/>
        <w:jc w:val="center"/>
        <w:rPr>
          <w:rFonts w:ascii="Times New Roman" w:eastAsia="Times New Roman" w:hAnsi="Times New Roman" w:cs="Times New Roman"/>
          <w:b/>
          <w:kern w:val="0"/>
          <w:sz w:val="24"/>
          <w:szCs w:val="24"/>
          <w14:ligatures w14:val="none"/>
        </w:rPr>
      </w:pPr>
    </w:p>
    <w:p w14:paraId="2BF781B5" w14:textId="77777777" w:rsidR="005A25BB" w:rsidRDefault="005A25BB">
      <w:pPr>
        <w:spacing w:after="0" w:line="480" w:lineRule="auto"/>
        <w:ind w:firstLine="720"/>
        <w:jc w:val="center"/>
        <w:rPr>
          <w:rFonts w:ascii="Times New Roman" w:eastAsia="Times New Roman" w:hAnsi="Times New Roman" w:cs="Times New Roman"/>
          <w:b/>
          <w:kern w:val="0"/>
          <w:sz w:val="24"/>
          <w:szCs w:val="24"/>
          <w14:ligatures w14:val="none"/>
        </w:rPr>
      </w:pPr>
    </w:p>
    <w:p w14:paraId="5137C2BC" w14:textId="77777777" w:rsidR="005A25BB" w:rsidRDefault="0023049F">
      <w:pPr>
        <w:spacing w:after="0" w:line="480" w:lineRule="auto"/>
        <w:ind w:firstLine="720"/>
        <w:jc w:val="center"/>
        <w:rPr>
          <w:rFonts w:ascii="Times New Roman" w:eastAsia="Times New Roman" w:hAnsi="Times New Roman" w:cs="Times New Roman"/>
          <w:b/>
          <w:kern w:val="0"/>
          <w:sz w:val="24"/>
          <w:szCs w:val="24"/>
          <w14:ligatures w14:val="none"/>
        </w:rPr>
      </w:pPr>
      <w:r>
        <w:rPr>
          <w:rFonts w:ascii="Times New Roman" w:eastAsia="Times New Roman" w:hAnsi="Times New Roman" w:cs="Times New Roman"/>
          <w:b/>
          <w:kern w:val="0"/>
          <w:sz w:val="24"/>
          <w:szCs w:val="24"/>
          <w14:ligatures w14:val="none"/>
        </w:rPr>
        <w:t>List of References</w:t>
      </w:r>
    </w:p>
    <w:p w14:paraId="63369929" w14:textId="77777777" w:rsidR="005A25BB" w:rsidRDefault="0023049F">
      <w:pPr>
        <w:spacing w:after="0" w:line="480" w:lineRule="auto"/>
        <w:ind w:left="720" w:hanging="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Avini, A., 1995. Origins of the modern english trust revisited. </w:t>
      </w:r>
      <w:r>
        <w:rPr>
          <w:rFonts w:ascii="Times New Roman" w:eastAsia="Times New Roman" w:hAnsi="Times New Roman" w:cs="Times New Roman"/>
          <w:i/>
          <w:iCs/>
          <w:kern w:val="0"/>
          <w:sz w:val="24"/>
          <w:szCs w:val="24"/>
          <w14:ligatures w14:val="none"/>
        </w:rPr>
        <w:t>Tul. L. Rev.</w:t>
      </w:r>
      <w:r>
        <w:rPr>
          <w:rFonts w:ascii="Times New Roman" w:eastAsia="Times New Roman" w:hAnsi="Times New Roman" w:cs="Times New Roman"/>
          <w:kern w:val="0"/>
          <w:sz w:val="24"/>
          <w:szCs w:val="24"/>
          <w14:ligatures w14:val="none"/>
        </w:rPr>
        <w:t xml:space="preserve">, </w:t>
      </w:r>
      <w:r>
        <w:rPr>
          <w:rFonts w:ascii="Times New Roman" w:eastAsia="Times New Roman" w:hAnsi="Times New Roman" w:cs="Times New Roman"/>
          <w:i/>
          <w:iCs/>
          <w:kern w:val="0"/>
          <w:sz w:val="24"/>
          <w:szCs w:val="24"/>
          <w14:ligatures w14:val="none"/>
        </w:rPr>
        <w:t>70</w:t>
      </w:r>
      <w:r>
        <w:rPr>
          <w:rFonts w:ascii="Times New Roman" w:eastAsia="Times New Roman" w:hAnsi="Times New Roman" w:cs="Times New Roman"/>
          <w:kern w:val="0"/>
          <w:sz w:val="24"/>
          <w:szCs w:val="24"/>
          <w14:ligatures w14:val="none"/>
        </w:rPr>
        <w:t>, p.1139.</w:t>
      </w:r>
      <w:r>
        <w:rPr>
          <w:rFonts w:ascii="Times New Roman" w:hAnsi="Times New Roman" w:cs="Times New Roman"/>
          <w:sz w:val="24"/>
          <w:szCs w:val="24"/>
        </w:rPr>
        <w:t xml:space="preserve"> </w:t>
      </w:r>
      <w:hyperlink r:id="rId14" w:history="1">
        <w:r>
          <w:rPr>
            <w:rStyle w:val="Hyperlink"/>
            <w:rFonts w:ascii="Times New Roman" w:eastAsia="Times New Roman" w:hAnsi="Times New Roman" w:cs="Times New Roman"/>
            <w:kern w:val="0"/>
            <w:sz w:val="24"/>
            <w:szCs w:val="24"/>
            <w14:ligatures w14:val="none"/>
          </w:rPr>
          <w:t>https://www.tulanelawreview.org/pub/volume70/issue4/the-origins-of-the-modern-english-trust-revisited</w:t>
        </w:r>
      </w:hyperlink>
      <w:r>
        <w:rPr>
          <w:rFonts w:ascii="Times New Roman" w:eastAsia="Times New Roman" w:hAnsi="Times New Roman" w:cs="Times New Roman"/>
          <w:kern w:val="0"/>
          <w:sz w:val="24"/>
          <w:szCs w:val="24"/>
          <w14:ligatures w14:val="none"/>
        </w:rPr>
        <w:t xml:space="preserve"> </w:t>
      </w:r>
    </w:p>
    <w:p w14:paraId="409EA531" w14:textId="77777777" w:rsidR="005A25BB" w:rsidRDefault="0023049F">
      <w:pPr>
        <w:spacing w:after="0" w:line="480" w:lineRule="auto"/>
        <w:ind w:left="720" w:hanging="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Bogert, G.G., 1921. </w:t>
      </w:r>
      <w:r>
        <w:rPr>
          <w:rFonts w:ascii="Times New Roman" w:eastAsia="Times New Roman" w:hAnsi="Times New Roman" w:cs="Times New Roman"/>
          <w:i/>
          <w:iCs/>
          <w:kern w:val="0"/>
          <w:sz w:val="24"/>
          <w:szCs w:val="24"/>
          <w14:ligatures w14:val="none"/>
        </w:rPr>
        <w:t>Handbook of the Law of Trusts</w:t>
      </w:r>
      <w:r>
        <w:rPr>
          <w:rFonts w:ascii="Times New Roman" w:eastAsia="Times New Roman" w:hAnsi="Times New Roman" w:cs="Times New Roman"/>
          <w:kern w:val="0"/>
          <w:sz w:val="24"/>
          <w:szCs w:val="24"/>
          <w14:ligatures w14:val="none"/>
        </w:rPr>
        <w:t>. West Publishing Company.</w:t>
      </w:r>
      <w:r>
        <w:rPr>
          <w:rFonts w:ascii="Times New Roman" w:hAnsi="Times New Roman" w:cs="Times New Roman"/>
          <w:sz w:val="24"/>
          <w:szCs w:val="24"/>
        </w:rPr>
        <w:t xml:space="preserve"> </w:t>
      </w:r>
      <w:hyperlink r:id="rId15" w:history="1">
        <w:r>
          <w:rPr>
            <w:rStyle w:val="Hyperlink"/>
            <w:rFonts w:ascii="Times New Roman" w:eastAsia="Times New Roman" w:hAnsi="Times New Roman" w:cs="Times New Roman"/>
            <w:kern w:val="0"/>
            <w:sz w:val="24"/>
            <w:szCs w:val="24"/>
            <w14:ligatures w14:val="none"/>
          </w:rPr>
          <w:t>https://openlibrary.org/books/OL6637216M/Handbook_of_the_law_of_trusts</w:t>
        </w:r>
      </w:hyperlink>
      <w:r>
        <w:rPr>
          <w:rFonts w:ascii="Times New Roman" w:eastAsia="Times New Roman" w:hAnsi="Times New Roman" w:cs="Times New Roman"/>
          <w:kern w:val="0"/>
          <w:sz w:val="24"/>
          <w:szCs w:val="24"/>
          <w14:ligatures w14:val="none"/>
        </w:rPr>
        <w:t xml:space="preserve"> </w:t>
      </w:r>
    </w:p>
    <w:p w14:paraId="213426D7" w14:textId="77777777" w:rsidR="005A25BB" w:rsidRDefault="0023049F">
      <w:pPr>
        <w:spacing w:after="0" w:line="480" w:lineRule="auto"/>
        <w:ind w:left="720" w:hanging="720"/>
        <w:rPr>
          <w:rFonts w:ascii="Times New Roman" w:hAnsi="Times New Roman" w:cs="Times New Roman"/>
          <w:sz w:val="24"/>
          <w:szCs w:val="24"/>
        </w:rPr>
      </w:pPr>
      <w:r>
        <w:rPr>
          <w:rFonts w:ascii="Times New Roman" w:eastAsia="Times New Roman" w:hAnsi="Times New Roman" w:cs="Times New Roman"/>
          <w:kern w:val="0"/>
          <w:sz w:val="24"/>
          <w:szCs w:val="24"/>
          <w14:ligatures w14:val="none"/>
        </w:rPr>
        <w:t>Fanego, T., Rodríguez-Puente, P., López-Couso, M.J., Méndez-Naya, B., Núñez-Pertejo, P., Blanco-García, C. and Tamaredo, I., 2017. The Corpus of Historical English Law Reports 1535–1999 (CHELAR): A resource for analysing the development of E</w:t>
      </w:r>
      <w:r>
        <w:rPr>
          <w:rFonts w:ascii="Times New Roman" w:eastAsia="Times New Roman" w:hAnsi="Times New Roman" w:cs="Times New Roman"/>
          <w:kern w:val="0"/>
          <w:sz w:val="24"/>
          <w:szCs w:val="24"/>
          <w14:ligatures w14:val="none"/>
        </w:rPr>
        <w:t xml:space="preserve">nglish legal discourse. </w:t>
      </w:r>
      <w:r>
        <w:rPr>
          <w:rFonts w:ascii="Times New Roman" w:eastAsia="Times New Roman" w:hAnsi="Times New Roman" w:cs="Times New Roman"/>
          <w:i/>
          <w:iCs/>
          <w:kern w:val="0"/>
          <w:sz w:val="24"/>
          <w:szCs w:val="24"/>
          <w14:ligatures w14:val="none"/>
        </w:rPr>
        <w:t>ICAME journal</w:t>
      </w:r>
      <w:r>
        <w:rPr>
          <w:rFonts w:ascii="Times New Roman" w:eastAsia="Times New Roman" w:hAnsi="Times New Roman" w:cs="Times New Roman"/>
          <w:kern w:val="0"/>
          <w:sz w:val="24"/>
          <w:szCs w:val="24"/>
          <w14:ligatures w14:val="none"/>
        </w:rPr>
        <w:t xml:space="preserve">, </w:t>
      </w:r>
      <w:r>
        <w:rPr>
          <w:rFonts w:ascii="Times New Roman" w:eastAsia="Times New Roman" w:hAnsi="Times New Roman" w:cs="Times New Roman"/>
          <w:i/>
          <w:iCs/>
          <w:kern w:val="0"/>
          <w:sz w:val="24"/>
          <w:szCs w:val="24"/>
          <w14:ligatures w14:val="none"/>
        </w:rPr>
        <w:t>41</w:t>
      </w:r>
      <w:r>
        <w:rPr>
          <w:rFonts w:ascii="Times New Roman" w:eastAsia="Times New Roman" w:hAnsi="Times New Roman" w:cs="Times New Roman"/>
          <w:kern w:val="0"/>
          <w:sz w:val="24"/>
          <w:szCs w:val="24"/>
          <w14:ligatures w14:val="none"/>
        </w:rPr>
        <w:t>(1), pp.53-82.</w:t>
      </w:r>
      <w:r>
        <w:rPr>
          <w:rFonts w:ascii="Times New Roman" w:hAnsi="Times New Roman" w:cs="Times New Roman"/>
          <w:sz w:val="24"/>
          <w:szCs w:val="24"/>
        </w:rPr>
        <w:t xml:space="preserve"> </w:t>
      </w:r>
      <w:hyperlink r:id="rId16" w:history="1">
        <w:r>
          <w:rPr>
            <w:rStyle w:val="Hyperlink"/>
            <w:rFonts w:ascii="Times New Roman" w:eastAsia="Times New Roman" w:hAnsi="Times New Roman" w:cs="Times New Roman"/>
            <w:kern w:val="0"/>
            <w:sz w:val="24"/>
            <w:szCs w:val="24"/>
            <w14:ligatures w14:val="none"/>
          </w:rPr>
          <w:t>https://sciendo.com/pdf/10.1515/icame-2017-0003</w:t>
        </w:r>
      </w:hyperlink>
      <w:r>
        <w:rPr>
          <w:rFonts w:ascii="Times New Roman" w:eastAsia="Times New Roman" w:hAnsi="Times New Roman" w:cs="Times New Roman"/>
          <w:kern w:val="0"/>
          <w:sz w:val="24"/>
          <w:szCs w:val="24"/>
          <w14:ligatures w14:val="none"/>
        </w:rPr>
        <w:t xml:space="preserve"> </w:t>
      </w:r>
    </w:p>
    <w:p w14:paraId="68C2B801" w14:textId="77777777" w:rsidR="005A25BB" w:rsidRDefault="0023049F">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Grinlinton, D., 2017. The continuing relevance of c</w:t>
      </w:r>
      <w:r>
        <w:rPr>
          <w:rFonts w:ascii="Times New Roman" w:hAnsi="Times New Roman" w:cs="Times New Roman"/>
          <w:sz w:val="24"/>
          <w:szCs w:val="24"/>
        </w:rPr>
        <w:t>ommon law property rights and remedies in addressing environmental challenges. </w:t>
      </w:r>
      <w:r>
        <w:rPr>
          <w:rFonts w:ascii="Times New Roman" w:hAnsi="Times New Roman" w:cs="Times New Roman"/>
          <w:i/>
          <w:iCs/>
          <w:sz w:val="24"/>
          <w:szCs w:val="24"/>
        </w:rPr>
        <w:t>McGill Law Journal</w:t>
      </w:r>
      <w:r>
        <w:rPr>
          <w:rFonts w:ascii="Times New Roman" w:hAnsi="Times New Roman" w:cs="Times New Roman"/>
          <w:sz w:val="24"/>
          <w:szCs w:val="24"/>
        </w:rPr>
        <w:t>, </w:t>
      </w:r>
      <w:r>
        <w:rPr>
          <w:rFonts w:ascii="Times New Roman" w:hAnsi="Times New Roman" w:cs="Times New Roman"/>
          <w:i/>
          <w:iCs/>
          <w:sz w:val="24"/>
          <w:szCs w:val="24"/>
        </w:rPr>
        <w:t>62</w:t>
      </w:r>
      <w:r>
        <w:rPr>
          <w:rFonts w:ascii="Times New Roman" w:hAnsi="Times New Roman" w:cs="Times New Roman"/>
          <w:sz w:val="24"/>
          <w:szCs w:val="24"/>
        </w:rPr>
        <w:t xml:space="preserve">(3), pp.633-686. </w:t>
      </w:r>
      <w:hyperlink r:id="rId17" w:history="1">
        <w:r>
          <w:rPr>
            <w:rStyle w:val="Hyperlink"/>
            <w:rFonts w:ascii="Times New Roman" w:hAnsi="Times New Roman" w:cs="Times New Roman"/>
            <w:sz w:val="24"/>
            <w:szCs w:val="24"/>
          </w:rPr>
          <w:t>https://www.erudit.org/en/journals/mlj/1900-v1</w:t>
        </w:r>
        <w:r>
          <w:rPr>
            <w:rStyle w:val="Hyperlink"/>
            <w:rFonts w:ascii="Times New Roman" w:hAnsi="Times New Roman" w:cs="Times New Roman"/>
            <w:sz w:val="24"/>
            <w:szCs w:val="24"/>
          </w:rPr>
          <w:t>-n1-mlj03344/1042771ar/abstract/</w:t>
        </w:r>
      </w:hyperlink>
      <w:r>
        <w:rPr>
          <w:rFonts w:ascii="Times New Roman" w:hAnsi="Times New Roman" w:cs="Times New Roman"/>
          <w:sz w:val="24"/>
          <w:szCs w:val="24"/>
        </w:rPr>
        <w:t xml:space="preserve"> </w:t>
      </w:r>
    </w:p>
    <w:p w14:paraId="1119FD85" w14:textId="77777777" w:rsidR="005A25BB" w:rsidRDefault="0023049F">
      <w:pPr>
        <w:spacing w:after="0" w:line="480" w:lineRule="auto"/>
        <w:ind w:left="720" w:hanging="720"/>
        <w:rPr>
          <w:rFonts w:ascii="Times New Roman" w:hAnsi="Times New Roman" w:cs="Times New Roman"/>
          <w:color w:val="222222"/>
          <w:sz w:val="24"/>
          <w:szCs w:val="24"/>
          <w:shd w:val="clear" w:color="auto" w:fill="FFFFFF"/>
        </w:rPr>
      </w:pPr>
      <w:r>
        <w:rPr>
          <w:rFonts w:ascii="Times New Roman" w:eastAsia="Times New Roman" w:hAnsi="Times New Roman" w:cs="Times New Roman"/>
          <w:kern w:val="0"/>
          <w:sz w:val="24"/>
          <w:szCs w:val="24"/>
          <w14:ligatures w14:val="none"/>
        </w:rPr>
        <w:t xml:space="preserve">Hayton, D.J. ed., 2011. </w:t>
      </w:r>
      <w:r>
        <w:rPr>
          <w:rFonts w:ascii="Times New Roman" w:eastAsia="Times New Roman" w:hAnsi="Times New Roman" w:cs="Times New Roman"/>
          <w:i/>
          <w:iCs/>
          <w:kern w:val="0"/>
          <w:sz w:val="24"/>
          <w:szCs w:val="24"/>
          <w14:ligatures w14:val="none"/>
        </w:rPr>
        <w:t>The International Trust</w:t>
      </w:r>
      <w:r>
        <w:rPr>
          <w:rFonts w:ascii="Times New Roman" w:eastAsia="Times New Roman" w:hAnsi="Times New Roman" w:cs="Times New Roman"/>
          <w:kern w:val="0"/>
          <w:sz w:val="24"/>
          <w:szCs w:val="24"/>
          <w14:ligatures w14:val="none"/>
        </w:rPr>
        <w:t>. Bristol: Jordans.</w:t>
      </w:r>
      <w:r>
        <w:rPr>
          <w:rFonts w:ascii="Times New Roman" w:hAnsi="Times New Roman" w:cs="Times New Roman"/>
          <w:sz w:val="24"/>
          <w:szCs w:val="24"/>
        </w:rPr>
        <w:t xml:space="preserve"> </w:t>
      </w:r>
      <w:hyperlink r:id="rId18" w:history="1">
        <w:r>
          <w:rPr>
            <w:rStyle w:val="Hyperlink"/>
            <w:rFonts w:ascii="Times New Roman" w:eastAsia="Times New Roman" w:hAnsi="Times New Roman" w:cs="Times New Roman"/>
            <w:kern w:val="0"/>
            <w:sz w:val="24"/>
            <w:szCs w:val="24"/>
            <w14:ligatures w14:val="none"/>
          </w:rPr>
          <w:t>https://warwick.rl.talis.com/lists/465816BB-7C02-24B8-B99D-BA32BF722866/bibliography.html?style=bmj</w:t>
        </w:r>
      </w:hyperlink>
      <w:r>
        <w:rPr>
          <w:rFonts w:ascii="Times New Roman" w:eastAsia="Times New Roman" w:hAnsi="Times New Roman" w:cs="Times New Roman"/>
          <w:kern w:val="0"/>
          <w:sz w:val="24"/>
          <w:szCs w:val="24"/>
          <w14:ligatures w14:val="none"/>
        </w:rPr>
        <w:t xml:space="preserve"> </w:t>
      </w:r>
    </w:p>
    <w:p w14:paraId="2D1F9429" w14:textId="77777777" w:rsidR="005A25BB" w:rsidRDefault="0023049F">
      <w:pPr>
        <w:spacing w:after="0" w:line="480" w:lineRule="auto"/>
        <w:ind w:left="720" w:hanging="720"/>
        <w:rPr>
          <w:rFonts w:ascii="Times New Roman" w:hAnsi="Times New Roman" w:cs="Times New Roman"/>
          <w:sz w:val="24"/>
          <w:szCs w:val="24"/>
        </w:rPr>
      </w:pPr>
      <w:r>
        <w:rPr>
          <w:rFonts w:ascii="Times New Roman" w:hAnsi="Times New Roman" w:cs="Times New Roman"/>
          <w:color w:val="222222"/>
          <w:sz w:val="24"/>
          <w:szCs w:val="24"/>
          <w:shd w:val="clear" w:color="auto" w:fill="FFFFFF"/>
        </w:rPr>
        <w:t>Hog</w:t>
      </w:r>
      <w:r>
        <w:rPr>
          <w:rFonts w:ascii="Times New Roman" w:hAnsi="Times New Roman" w:cs="Times New Roman"/>
          <w:color w:val="222222"/>
          <w:sz w:val="24"/>
          <w:szCs w:val="24"/>
          <w:shd w:val="clear" w:color="auto" w:fill="FFFFFF"/>
        </w:rPr>
        <w:t>ue, A.R., 1966. </w:t>
      </w:r>
      <w:r>
        <w:rPr>
          <w:rFonts w:ascii="Times New Roman" w:hAnsi="Times New Roman" w:cs="Times New Roman"/>
          <w:i/>
          <w:iCs/>
          <w:color w:val="222222"/>
          <w:sz w:val="24"/>
          <w:szCs w:val="24"/>
          <w:shd w:val="clear" w:color="auto" w:fill="FFFFFF"/>
        </w:rPr>
        <w:t>Origins of the common law</w:t>
      </w:r>
      <w:r>
        <w:rPr>
          <w:rFonts w:ascii="Times New Roman" w:hAnsi="Times New Roman" w:cs="Times New Roman"/>
          <w:color w:val="222222"/>
          <w:sz w:val="24"/>
          <w:szCs w:val="24"/>
          <w:shd w:val="clear" w:color="auto" w:fill="FFFFFF"/>
        </w:rPr>
        <w:t> (p. 5). Bloomington: Indiana University Press.</w:t>
      </w:r>
      <w:hyperlink r:id="rId19" w:history="1">
        <w:r>
          <w:rPr>
            <w:rStyle w:val="Hyperlink"/>
            <w:rFonts w:ascii="Times New Roman" w:hAnsi="Times New Roman" w:cs="Times New Roman"/>
            <w:sz w:val="24"/>
            <w:szCs w:val="24"/>
          </w:rPr>
          <w:t>https://files8.webydo.com/9583616/UploadedFiles/D112527F-E1BE-805E</w:t>
        </w:r>
        <w:r>
          <w:rPr>
            <w:rStyle w:val="Hyperlink"/>
            <w:rFonts w:ascii="Times New Roman" w:hAnsi="Times New Roman" w:cs="Times New Roman"/>
            <w:sz w:val="24"/>
            <w:szCs w:val="24"/>
          </w:rPr>
          <w:t>-94E7-B6D28151B317.pdf</w:t>
        </w:r>
      </w:hyperlink>
      <w:r>
        <w:rPr>
          <w:rFonts w:ascii="Times New Roman" w:hAnsi="Times New Roman" w:cs="Times New Roman"/>
          <w:sz w:val="24"/>
          <w:szCs w:val="24"/>
        </w:rPr>
        <w:t xml:space="preserve"> </w:t>
      </w:r>
    </w:p>
    <w:p w14:paraId="2F83AF41" w14:textId="77777777" w:rsidR="005A25BB" w:rsidRDefault="0023049F">
      <w:pPr>
        <w:spacing w:after="0" w:line="480" w:lineRule="auto"/>
        <w:ind w:left="720" w:hanging="720"/>
        <w:jc w:val="both"/>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Holmes, O.W., 1997. The path of the law. </w:t>
      </w:r>
      <w:r>
        <w:rPr>
          <w:rFonts w:ascii="Times New Roman" w:eastAsia="Times New Roman" w:hAnsi="Times New Roman" w:cs="Times New Roman"/>
          <w:i/>
          <w:iCs/>
          <w:kern w:val="0"/>
          <w:sz w:val="24"/>
          <w:szCs w:val="24"/>
          <w14:ligatures w14:val="none"/>
        </w:rPr>
        <w:t>Harvard Law Review</w:t>
      </w:r>
      <w:r>
        <w:rPr>
          <w:rFonts w:ascii="Times New Roman" w:eastAsia="Times New Roman" w:hAnsi="Times New Roman" w:cs="Times New Roman"/>
          <w:kern w:val="0"/>
          <w:sz w:val="24"/>
          <w:szCs w:val="24"/>
          <w14:ligatures w14:val="none"/>
        </w:rPr>
        <w:t xml:space="preserve">, </w:t>
      </w:r>
      <w:r>
        <w:rPr>
          <w:rFonts w:ascii="Times New Roman" w:eastAsia="Times New Roman" w:hAnsi="Times New Roman" w:cs="Times New Roman"/>
          <w:i/>
          <w:iCs/>
          <w:kern w:val="0"/>
          <w:sz w:val="24"/>
          <w:szCs w:val="24"/>
          <w14:ligatures w14:val="none"/>
        </w:rPr>
        <w:t>110</w:t>
      </w:r>
      <w:r>
        <w:rPr>
          <w:rFonts w:ascii="Times New Roman" w:eastAsia="Times New Roman" w:hAnsi="Times New Roman" w:cs="Times New Roman"/>
          <w:kern w:val="0"/>
          <w:sz w:val="24"/>
          <w:szCs w:val="24"/>
          <w14:ligatures w14:val="none"/>
        </w:rPr>
        <w:t>(5), pp.991-1009.</w:t>
      </w:r>
      <w:r>
        <w:rPr>
          <w:rFonts w:ascii="Times New Roman" w:hAnsi="Times New Roman" w:cs="Times New Roman"/>
          <w:sz w:val="24"/>
          <w:szCs w:val="24"/>
        </w:rPr>
        <w:t xml:space="preserve"> </w:t>
      </w:r>
      <w:hyperlink r:id="rId20" w:history="1">
        <w:r>
          <w:rPr>
            <w:rStyle w:val="Hyperlink"/>
            <w:rFonts w:ascii="Times New Roman" w:eastAsia="Times New Roman" w:hAnsi="Times New Roman" w:cs="Times New Roman"/>
            <w:kern w:val="0"/>
            <w:sz w:val="24"/>
            <w:szCs w:val="24"/>
            <w14:ligatures w14:val="none"/>
          </w:rPr>
          <w:t>http://moglen.law.columbia.edu/LCS/palaw.pdf</w:t>
        </w:r>
      </w:hyperlink>
      <w:r>
        <w:rPr>
          <w:rFonts w:ascii="Times New Roman" w:eastAsia="Times New Roman" w:hAnsi="Times New Roman" w:cs="Times New Roman"/>
          <w:kern w:val="0"/>
          <w:sz w:val="24"/>
          <w:szCs w:val="24"/>
          <w14:ligatures w14:val="none"/>
        </w:rPr>
        <w:t xml:space="preserve">  </w:t>
      </w:r>
    </w:p>
    <w:p w14:paraId="69E71997" w14:textId="77777777" w:rsidR="005A25BB" w:rsidRDefault="0023049F">
      <w:pPr>
        <w:spacing w:after="0" w:line="480" w:lineRule="auto"/>
        <w:ind w:left="720" w:hanging="720"/>
        <w:rPr>
          <w:rFonts w:ascii="Times New Roman" w:hAnsi="Times New Roman" w:cs="Times New Roman"/>
          <w:color w:val="222222"/>
          <w:sz w:val="24"/>
          <w:szCs w:val="24"/>
          <w:shd w:val="clear" w:color="auto" w:fill="FFFFFF"/>
        </w:rPr>
      </w:pPr>
      <w:r>
        <w:rPr>
          <w:rFonts w:ascii="Times New Roman" w:eastAsia="Times New Roman" w:hAnsi="Times New Roman" w:cs="Times New Roman"/>
          <w:kern w:val="0"/>
          <w:sz w:val="24"/>
          <w:szCs w:val="24"/>
          <w14:ligatures w14:val="none"/>
        </w:rPr>
        <w:lastRenderedPageBreak/>
        <w:t xml:space="preserve">Matthews, P., 2013. The place of the trust in English law and in English life. </w:t>
      </w:r>
      <w:r>
        <w:rPr>
          <w:rFonts w:ascii="Times New Roman" w:eastAsia="Times New Roman" w:hAnsi="Times New Roman" w:cs="Times New Roman"/>
          <w:i/>
          <w:iCs/>
          <w:kern w:val="0"/>
          <w:sz w:val="24"/>
          <w:szCs w:val="24"/>
          <w14:ligatures w14:val="none"/>
        </w:rPr>
        <w:t>Trusts &amp; Trustees</w:t>
      </w:r>
      <w:r>
        <w:rPr>
          <w:rFonts w:ascii="Times New Roman" w:eastAsia="Times New Roman" w:hAnsi="Times New Roman" w:cs="Times New Roman"/>
          <w:kern w:val="0"/>
          <w:sz w:val="24"/>
          <w:szCs w:val="24"/>
          <w14:ligatures w14:val="none"/>
        </w:rPr>
        <w:t xml:space="preserve">, </w:t>
      </w:r>
      <w:r>
        <w:rPr>
          <w:rFonts w:ascii="Times New Roman" w:eastAsia="Times New Roman" w:hAnsi="Times New Roman" w:cs="Times New Roman"/>
          <w:i/>
          <w:iCs/>
          <w:kern w:val="0"/>
          <w:sz w:val="24"/>
          <w:szCs w:val="24"/>
          <w14:ligatures w14:val="none"/>
        </w:rPr>
        <w:t>19</w:t>
      </w:r>
      <w:r>
        <w:rPr>
          <w:rFonts w:ascii="Times New Roman" w:eastAsia="Times New Roman" w:hAnsi="Times New Roman" w:cs="Times New Roman"/>
          <w:kern w:val="0"/>
          <w:sz w:val="24"/>
          <w:szCs w:val="24"/>
          <w14:ligatures w14:val="none"/>
        </w:rPr>
        <w:t>(3-4), pp.24</w:t>
      </w:r>
      <w:r>
        <w:rPr>
          <w:rFonts w:ascii="Times New Roman" w:eastAsia="Times New Roman" w:hAnsi="Times New Roman" w:cs="Times New Roman"/>
          <w:kern w:val="0"/>
          <w:sz w:val="24"/>
          <w:szCs w:val="24"/>
          <w14:ligatures w14:val="none"/>
        </w:rPr>
        <w:t>2-254.</w:t>
      </w:r>
      <w:r>
        <w:rPr>
          <w:rFonts w:ascii="Times New Roman" w:hAnsi="Times New Roman" w:cs="Times New Roman"/>
          <w:sz w:val="24"/>
          <w:szCs w:val="24"/>
        </w:rPr>
        <w:t xml:space="preserve"> </w:t>
      </w:r>
      <w:hyperlink r:id="rId21" w:history="1">
        <w:r>
          <w:rPr>
            <w:rStyle w:val="Hyperlink"/>
            <w:rFonts w:ascii="Times New Roman" w:eastAsia="Times New Roman" w:hAnsi="Times New Roman" w:cs="Times New Roman"/>
            <w:kern w:val="0"/>
            <w:sz w:val="24"/>
            <w:szCs w:val="24"/>
            <w14:ligatures w14:val="none"/>
          </w:rPr>
          <w:t>https://kent.rl.talis.com/lists/AC30FEC3-9CDC-541D-E314-4CD523B69E3C/bibliography.html?style=ieee-with-url</w:t>
        </w:r>
      </w:hyperlink>
      <w:r>
        <w:rPr>
          <w:rFonts w:ascii="Times New Roman" w:eastAsia="Times New Roman" w:hAnsi="Times New Roman" w:cs="Times New Roman"/>
          <w:kern w:val="0"/>
          <w:sz w:val="24"/>
          <w:szCs w:val="24"/>
          <w14:ligatures w14:val="none"/>
        </w:rPr>
        <w:t xml:space="preserve"> </w:t>
      </w:r>
    </w:p>
    <w:p w14:paraId="61CDB2E9" w14:textId="77777777" w:rsidR="005A25BB" w:rsidRDefault="0023049F">
      <w:pPr>
        <w:spacing w:after="0"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Metzger, G.E., 2011. Embracing administrative common law. </w:t>
      </w:r>
      <w:r>
        <w:rPr>
          <w:rFonts w:ascii="Times New Roman" w:hAnsi="Times New Roman" w:cs="Times New Roman"/>
          <w:i/>
          <w:iCs/>
          <w:color w:val="222222"/>
          <w:sz w:val="24"/>
          <w:szCs w:val="24"/>
          <w:shd w:val="clear" w:color="auto" w:fill="FFFFFF"/>
        </w:rPr>
        <w:t>Geo. Wash. L. Rev.</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80</w:t>
      </w:r>
      <w:r>
        <w:rPr>
          <w:rFonts w:ascii="Times New Roman" w:hAnsi="Times New Roman" w:cs="Times New Roman"/>
          <w:color w:val="222222"/>
          <w:sz w:val="24"/>
          <w:szCs w:val="24"/>
          <w:shd w:val="clear" w:color="auto" w:fill="FFFFFF"/>
        </w:rPr>
        <w:t>, p.1293.</w:t>
      </w:r>
      <w:r>
        <w:rPr>
          <w:rFonts w:ascii="Times New Roman" w:hAnsi="Times New Roman" w:cs="Times New Roman"/>
          <w:sz w:val="24"/>
          <w:szCs w:val="24"/>
        </w:rPr>
        <w:t xml:space="preserve"> </w:t>
      </w:r>
      <w:hyperlink r:id="rId22" w:history="1">
        <w:r>
          <w:rPr>
            <w:rStyle w:val="Hyperlink"/>
            <w:rFonts w:ascii="Times New Roman" w:hAnsi="Times New Roman" w:cs="Times New Roman"/>
            <w:sz w:val="24"/>
            <w:szCs w:val="24"/>
            <w:shd w:val="clear" w:color="auto" w:fill="FFFFFF"/>
          </w:rPr>
          <w:t>https://heinonline.org/HOL/LandingPage?handle=hein.journals/gwlr80&amp;div=38&amp;id=&amp;page=</w:t>
        </w:r>
      </w:hyperlink>
      <w:r>
        <w:rPr>
          <w:rFonts w:ascii="Times New Roman" w:hAnsi="Times New Roman" w:cs="Times New Roman"/>
          <w:color w:val="222222"/>
          <w:sz w:val="24"/>
          <w:szCs w:val="24"/>
          <w:shd w:val="clear" w:color="auto" w:fill="FFFFFF"/>
        </w:rPr>
        <w:t xml:space="preserve"> </w:t>
      </w:r>
    </w:p>
    <w:p w14:paraId="2B55748E" w14:textId="77777777" w:rsidR="005A25BB" w:rsidRDefault="0023049F">
      <w:pPr>
        <w:spacing w:after="0" w:line="480" w:lineRule="auto"/>
        <w:ind w:left="720" w:hanging="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Nolan, R., Tang, H.W. and Yip, M. eds., 2022. </w:t>
      </w:r>
      <w:r>
        <w:rPr>
          <w:rFonts w:ascii="Times New Roman" w:eastAsia="Times New Roman" w:hAnsi="Times New Roman" w:cs="Times New Roman"/>
          <w:i/>
          <w:iCs/>
          <w:kern w:val="0"/>
          <w:sz w:val="24"/>
          <w:szCs w:val="24"/>
          <w14:ligatures w14:val="none"/>
        </w:rPr>
        <w:t>Trusts and Private Wealth Management</w:t>
      </w:r>
      <w:r>
        <w:rPr>
          <w:rFonts w:ascii="Times New Roman" w:eastAsia="Times New Roman" w:hAnsi="Times New Roman" w:cs="Times New Roman"/>
          <w:kern w:val="0"/>
          <w:sz w:val="24"/>
          <w:szCs w:val="24"/>
          <w14:ligatures w14:val="none"/>
        </w:rPr>
        <w:t>. Cambridge University Press.</w:t>
      </w:r>
      <w:r>
        <w:rPr>
          <w:rFonts w:ascii="Times New Roman" w:hAnsi="Times New Roman" w:cs="Times New Roman"/>
          <w:sz w:val="24"/>
          <w:szCs w:val="24"/>
        </w:rPr>
        <w:t xml:space="preserve"> </w:t>
      </w:r>
      <w:hyperlink r:id="rId23" w:history="1">
        <w:r>
          <w:rPr>
            <w:rStyle w:val="Hyperlink"/>
            <w:rFonts w:ascii="Times New Roman" w:eastAsia="Times New Roman" w:hAnsi="Times New Roman" w:cs="Times New Roman"/>
            <w:kern w:val="0"/>
            <w:sz w:val="24"/>
            <w:szCs w:val="24"/>
            <w14:ligatures w14:val="none"/>
          </w:rPr>
          <w:t>https://www.law.cam.ac.uk/trusts-and-private-wealth-management-developments-and-directions</w:t>
        </w:r>
      </w:hyperlink>
      <w:r>
        <w:rPr>
          <w:rFonts w:ascii="Times New Roman" w:eastAsia="Times New Roman" w:hAnsi="Times New Roman" w:cs="Times New Roman"/>
          <w:kern w:val="0"/>
          <w:sz w:val="24"/>
          <w:szCs w:val="24"/>
          <w14:ligatures w14:val="none"/>
        </w:rPr>
        <w:t xml:space="preserve"> </w:t>
      </w:r>
    </w:p>
    <w:p w14:paraId="0865323F" w14:textId="77777777" w:rsidR="005A25BB" w:rsidRDefault="0023049F">
      <w:pPr>
        <w:spacing w:after="0" w:line="480" w:lineRule="auto"/>
        <w:ind w:left="720" w:hanging="720"/>
        <w:rPr>
          <w:rFonts w:ascii="Times New Roman" w:hAnsi="Times New Roman" w:cs="Times New Roman"/>
          <w:color w:val="222222"/>
          <w:sz w:val="24"/>
          <w:szCs w:val="24"/>
          <w:shd w:val="clear" w:color="auto" w:fill="FFFFFF"/>
        </w:rPr>
      </w:pPr>
      <w:r>
        <w:rPr>
          <w:rFonts w:ascii="Times New Roman" w:eastAsia="Times New Roman" w:hAnsi="Times New Roman" w:cs="Times New Roman"/>
          <w:kern w:val="0"/>
          <w:sz w:val="24"/>
          <w:szCs w:val="24"/>
          <w14:ligatures w14:val="none"/>
        </w:rPr>
        <w:t xml:space="preserve">Partington, M., 2021. </w:t>
      </w:r>
      <w:r>
        <w:rPr>
          <w:rFonts w:ascii="Times New Roman" w:eastAsia="Times New Roman" w:hAnsi="Times New Roman" w:cs="Times New Roman"/>
          <w:i/>
          <w:iCs/>
          <w:kern w:val="0"/>
          <w:sz w:val="24"/>
          <w:szCs w:val="24"/>
          <w14:ligatures w14:val="none"/>
        </w:rPr>
        <w:t>Introduction to the E</w:t>
      </w:r>
      <w:r>
        <w:rPr>
          <w:rFonts w:ascii="Times New Roman" w:eastAsia="Times New Roman" w:hAnsi="Times New Roman" w:cs="Times New Roman"/>
          <w:i/>
          <w:iCs/>
          <w:kern w:val="0"/>
          <w:sz w:val="24"/>
          <w:szCs w:val="24"/>
          <w14:ligatures w14:val="none"/>
        </w:rPr>
        <w:t>nglish legal system</w:t>
      </w:r>
      <w:r>
        <w:rPr>
          <w:rFonts w:ascii="Times New Roman" w:eastAsia="Times New Roman" w:hAnsi="Times New Roman" w:cs="Times New Roman"/>
          <w:kern w:val="0"/>
          <w:sz w:val="24"/>
          <w:szCs w:val="24"/>
          <w14:ligatures w14:val="none"/>
        </w:rPr>
        <w:t>. Oxford University Press.</w:t>
      </w:r>
      <w:r>
        <w:rPr>
          <w:rFonts w:ascii="Times New Roman" w:hAnsi="Times New Roman" w:cs="Times New Roman"/>
          <w:sz w:val="24"/>
          <w:szCs w:val="24"/>
        </w:rPr>
        <w:t xml:space="preserve"> </w:t>
      </w:r>
      <w:hyperlink r:id="rId24" w:history="1">
        <w:r>
          <w:rPr>
            <w:rStyle w:val="Hyperlink"/>
            <w:rFonts w:ascii="Times New Roman" w:eastAsia="Times New Roman" w:hAnsi="Times New Roman" w:cs="Times New Roman"/>
            <w:kern w:val="0"/>
            <w:sz w:val="24"/>
            <w:szCs w:val="24"/>
            <w14:ligatures w14:val="none"/>
          </w:rPr>
          <w:t>https://global.oup.com/ukhe/product/introduction-to-the-english-legal-system-9780198852926?</w:t>
        </w:r>
        <w:r>
          <w:rPr>
            <w:rStyle w:val="Hyperlink"/>
            <w:rFonts w:ascii="Times New Roman" w:eastAsia="Times New Roman" w:hAnsi="Times New Roman" w:cs="Times New Roman"/>
            <w:kern w:val="0"/>
            <w:sz w:val="24"/>
            <w:szCs w:val="24"/>
            <w14:ligatures w14:val="none"/>
          </w:rPr>
          <w:t>cc=ke&amp;lang=en&amp;</w:t>
        </w:r>
      </w:hyperlink>
      <w:r>
        <w:rPr>
          <w:rFonts w:ascii="Times New Roman" w:eastAsia="Times New Roman" w:hAnsi="Times New Roman" w:cs="Times New Roman"/>
          <w:kern w:val="0"/>
          <w:sz w:val="24"/>
          <w:szCs w:val="24"/>
          <w14:ligatures w14:val="none"/>
        </w:rPr>
        <w:t xml:space="preserve"> </w:t>
      </w:r>
    </w:p>
    <w:p w14:paraId="2D455961" w14:textId="77777777" w:rsidR="005A25BB" w:rsidRDefault="0023049F">
      <w:pPr>
        <w:spacing w:after="0"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Rosevear, A., Bogart, D. and Shaw-Taylor, L., 2022. </w:t>
      </w:r>
      <w:r>
        <w:rPr>
          <w:rFonts w:ascii="Times New Roman" w:hAnsi="Times New Roman" w:cs="Times New Roman"/>
          <w:i/>
          <w:iCs/>
          <w:color w:val="222222"/>
          <w:sz w:val="24"/>
          <w:szCs w:val="24"/>
          <w:shd w:val="clear" w:color="auto" w:fill="FFFFFF"/>
        </w:rPr>
        <w:t>Government, trusts, and the making of better roads in early nineteenth century England and Wales</w:t>
      </w:r>
      <w:r>
        <w:rPr>
          <w:rFonts w:ascii="Times New Roman" w:hAnsi="Times New Roman" w:cs="Times New Roman"/>
          <w:color w:val="222222"/>
          <w:sz w:val="24"/>
          <w:szCs w:val="24"/>
          <w:shd w:val="clear" w:color="auto" w:fill="FFFFFF"/>
        </w:rPr>
        <w:t xml:space="preserve">. Working papers, 22–23-01, UCI Department of </w:t>
      </w:r>
      <w:r>
        <w:rPr>
          <w:rFonts w:ascii="Times New Roman" w:hAnsi="Times New Roman" w:cs="Times New Roman"/>
          <w:color w:val="222222"/>
          <w:sz w:val="24"/>
          <w:szCs w:val="24"/>
          <w:shd w:val="clear" w:color="auto" w:fill="FFFFFF"/>
        </w:rPr>
        <w:t>Economics.</w:t>
      </w:r>
      <w:r>
        <w:rPr>
          <w:rFonts w:ascii="Times New Roman" w:hAnsi="Times New Roman" w:cs="Times New Roman"/>
          <w:sz w:val="24"/>
          <w:szCs w:val="24"/>
        </w:rPr>
        <w:t xml:space="preserve"> </w:t>
      </w:r>
      <w:hyperlink r:id="rId25" w:history="1">
        <w:r>
          <w:rPr>
            <w:rStyle w:val="Hyperlink"/>
            <w:rFonts w:ascii="Times New Roman" w:hAnsi="Times New Roman" w:cs="Times New Roman"/>
            <w:sz w:val="24"/>
            <w:szCs w:val="24"/>
            <w:shd w:val="clear" w:color="auto" w:fill="FFFFFF"/>
          </w:rPr>
          <w:t>https://sites.socsci.uci.edu/~dbogart/Turnpike%20Road%20Quality%20after%201800%20draft%20paper%2031%20Aug%2</w:t>
        </w:r>
        <w:r>
          <w:rPr>
            <w:rStyle w:val="Hyperlink"/>
            <w:rFonts w:ascii="Times New Roman" w:hAnsi="Times New Roman" w:cs="Times New Roman"/>
            <w:sz w:val="24"/>
            <w:szCs w:val="24"/>
            <w:shd w:val="clear" w:color="auto" w:fill="FFFFFF"/>
          </w:rPr>
          <w:t>02022%20FINAL.pdf</w:t>
        </w:r>
      </w:hyperlink>
      <w:r>
        <w:rPr>
          <w:rFonts w:ascii="Times New Roman" w:hAnsi="Times New Roman" w:cs="Times New Roman"/>
          <w:color w:val="222222"/>
          <w:sz w:val="24"/>
          <w:szCs w:val="24"/>
          <w:shd w:val="clear" w:color="auto" w:fill="FFFFFF"/>
        </w:rPr>
        <w:t xml:space="preserve"> </w:t>
      </w:r>
    </w:p>
    <w:p w14:paraId="5882A472" w14:textId="77777777" w:rsidR="005A25BB" w:rsidRDefault="0023049F">
      <w:pPr>
        <w:spacing w:after="0" w:line="480" w:lineRule="auto"/>
        <w:ind w:left="720" w:hanging="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Seipp, D.J., 2011. Trust and fiduciary duty in the early common law. </w:t>
      </w:r>
      <w:r>
        <w:rPr>
          <w:rFonts w:ascii="Times New Roman" w:eastAsia="Times New Roman" w:hAnsi="Times New Roman" w:cs="Times New Roman"/>
          <w:i/>
          <w:iCs/>
          <w:kern w:val="0"/>
          <w:sz w:val="24"/>
          <w:szCs w:val="24"/>
          <w14:ligatures w14:val="none"/>
        </w:rPr>
        <w:t>BUL Rev.</w:t>
      </w:r>
      <w:r>
        <w:rPr>
          <w:rFonts w:ascii="Times New Roman" w:eastAsia="Times New Roman" w:hAnsi="Times New Roman" w:cs="Times New Roman"/>
          <w:kern w:val="0"/>
          <w:sz w:val="24"/>
          <w:szCs w:val="24"/>
          <w14:ligatures w14:val="none"/>
        </w:rPr>
        <w:t xml:space="preserve">, </w:t>
      </w:r>
      <w:r>
        <w:rPr>
          <w:rFonts w:ascii="Times New Roman" w:eastAsia="Times New Roman" w:hAnsi="Times New Roman" w:cs="Times New Roman"/>
          <w:i/>
          <w:iCs/>
          <w:kern w:val="0"/>
          <w:sz w:val="24"/>
          <w:szCs w:val="24"/>
          <w14:ligatures w14:val="none"/>
        </w:rPr>
        <w:t>91</w:t>
      </w:r>
      <w:r>
        <w:rPr>
          <w:rFonts w:ascii="Times New Roman" w:eastAsia="Times New Roman" w:hAnsi="Times New Roman" w:cs="Times New Roman"/>
          <w:kern w:val="0"/>
          <w:sz w:val="24"/>
          <w:szCs w:val="24"/>
          <w14:ligatures w14:val="none"/>
        </w:rPr>
        <w:t>, p.1011.</w:t>
      </w:r>
      <w:r>
        <w:rPr>
          <w:rFonts w:ascii="Times New Roman" w:hAnsi="Times New Roman" w:cs="Times New Roman"/>
          <w:sz w:val="24"/>
          <w:szCs w:val="24"/>
        </w:rPr>
        <w:t xml:space="preserve"> </w:t>
      </w:r>
      <w:hyperlink r:id="rId26" w:history="1">
        <w:r>
          <w:rPr>
            <w:rStyle w:val="Hyperlink"/>
            <w:rFonts w:ascii="Times New Roman" w:eastAsia="Times New Roman" w:hAnsi="Times New Roman" w:cs="Times New Roman"/>
            <w:kern w:val="0"/>
            <w:sz w:val="24"/>
            <w:szCs w:val="24"/>
            <w14:ligatures w14:val="none"/>
          </w:rPr>
          <w:t>https://www.bu.edu/law/journal</w:t>
        </w:r>
        <w:r>
          <w:rPr>
            <w:rStyle w:val="Hyperlink"/>
            <w:rFonts w:ascii="Times New Roman" w:eastAsia="Times New Roman" w:hAnsi="Times New Roman" w:cs="Times New Roman"/>
            <w:kern w:val="0"/>
            <w:sz w:val="24"/>
            <w:szCs w:val="24"/>
            <w14:ligatures w14:val="none"/>
          </w:rPr>
          <w:t>s-archive/bulr/documents/seipp.pdf</w:t>
        </w:r>
      </w:hyperlink>
      <w:r>
        <w:rPr>
          <w:rFonts w:ascii="Times New Roman" w:eastAsia="Times New Roman" w:hAnsi="Times New Roman" w:cs="Times New Roman"/>
          <w:kern w:val="0"/>
          <w:sz w:val="24"/>
          <w:szCs w:val="24"/>
          <w14:ligatures w14:val="none"/>
        </w:rPr>
        <w:t xml:space="preserve"> </w:t>
      </w:r>
    </w:p>
    <w:p w14:paraId="26EB8AD3" w14:textId="77777777" w:rsidR="005A25BB" w:rsidRDefault="0023049F">
      <w:pPr>
        <w:spacing w:after="0" w:line="480" w:lineRule="auto"/>
        <w:ind w:left="720" w:hanging="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Smith, D.T., 1966. The statute of uses: A look at its historical evolution and demise. </w:t>
      </w:r>
      <w:r>
        <w:rPr>
          <w:rFonts w:ascii="Times New Roman" w:eastAsia="Times New Roman" w:hAnsi="Times New Roman" w:cs="Times New Roman"/>
          <w:i/>
          <w:iCs/>
          <w:kern w:val="0"/>
          <w:sz w:val="24"/>
          <w:szCs w:val="24"/>
          <w14:ligatures w14:val="none"/>
        </w:rPr>
        <w:t>W. Res. L. Rev.</w:t>
      </w:r>
      <w:r>
        <w:rPr>
          <w:rFonts w:ascii="Times New Roman" w:eastAsia="Times New Roman" w:hAnsi="Times New Roman" w:cs="Times New Roman"/>
          <w:kern w:val="0"/>
          <w:sz w:val="24"/>
          <w:szCs w:val="24"/>
          <w14:ligatures w14:val="none"/>
        </w:rPr>
        <w:t xml:space="preserve">, </w:t>
      </w:r>
      <w:r>
        <w:rPr>
          <w:rFonts w:ascii="Times New Roman" w:eastAsia="Times New Roman" w:hAnsi="Times New Roman" w:cs="Times New Roman"/>
          <w:i/>
          <w:iCs/>
          <w:kern w:val="0"/>
          <w:sz w:val="24"/>
          <w:szCs w:val="24"/>
          <w14:ligatures w14:val="none"/>
        </w:rPr>
        <w:t>18</w:t>
      </w:r>
      <w:r>
        <w:rPr>
          <w:rFonts w:ascii="Times New Roman" w:eastAsia="Times New Roman" w:hAnsi="Times New Roman" w:cs="Times New Roman"/>
          <w:kern w:val="0"/>
          <w:sz w:val="24"/>
          <w:szCs w:val="24"/>
          <w14:ligatures w14:val="none"/>
        </w:rPr>
        <w:t>, p.40.</w:t>
      </w:r>
      <w:r>
        <w:rPr>
          <w:rFonts w:ascii="Times New Roman" w:hAnsi="Times New Roman" w:cs="Times New Roman"/>
          <w:sz w:val="24"/>
          <w:szCs w:val="24"/>
        </w:rPr>
        <w:t xml:space="preserve"> </w:t>
      </w:r>
      <w:hyperlink r:id="rId27" w:history="1">
        <w:r>
          <w:rPr>
            <w:rStyle w:val="Hyperlink"/>
            <w:rFonts w:ascii="Times New Roman" w:eastAsia="Times New Roman" w:hAnsi="Times New Roman" w:cs="Times New Roman"/>
            <w:kern w:val="0"/>
            <w:sz w:val="24"/>
            <w:szCs w:val="24"/>
            <w14:ligatures w14:val="none"/>
          </w:rPr>
          <w:t>https://scholarlycommons.law.case.edu/cgi/viewcontent.cgi?article=4446&amp;context=caselrev</w:t>
        </w:r>
      </w:hyperlink>
      <w:r>
        <w:rPr>
          <w:rFonts w:ascii="Times New Roman" w:eastAsia="Times New Roman" w:hAnsi="Times New Roman" w:cs="Times New Roman"/>
          <w:kern w:val="0"/>
          <w:sz w:val="24"/>
          <w:szCs w:val="24"/>
          <w14:ligatures w14:val="none"/>
        </w:rPr>
        <w:t xml:space="preserve"> </w:t>
      </w:r>
    </w:p>
    <w:p w14:paraId="35397939" w14:textId="77777777" w:rsidR="005A25BB" w:rsidRDefault="0023049F">
      <w:pPr>
        <w:spacing w:after="0" w:line="480" w:lineRule="auto"/>
        <w:ind w:left="720" w:hanging="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lastRenderedPageBreak/>
        <w:t xml:space="preserve">Studer, M., 2016. Recent trust cases of interest. </w:t>
      </w:r>
      <w:r>
        <w:rPr>
          <w:rFonts w:ascii="Times New Roman" w:eastAsia="Times New Roman" w:hAnsi="Times New Roman" w:cs="Times New Roman"/>
          <w:i/>
          <w:iCs/>
          <w:kern w:val="0"/>
          <w:sz w:val="24"/>
          <w:szCs w:val="24"/>
          <w14:ligatures w14:val="none"/>
        </w:rPr>
        <w:t>Trusts &amp; Trustees</w:t>
      </w:r>
      <w:r>
        <w:rPr>
          <w:rFonts w:ascii="Times New Roman" w:eastAsia="Times New Roman" w:hAnsi="Times New Roman" w:cs="Times New Roman"/>
          <w:kern w:val="0"/>
          <w:sz w:val="24"/>
          <w:szCs w:val="24"/>
          <w14:ligatures w14:val="none"/>
        </w:rPr>
        <w:t xml:space="preserve">, </w:t>
      </w:r>
      <w:r>
        <w:rPr>
          <w:rFonts w:ascii="Times New Roman" w:eastAsia="Times New Roman" w:hAnsi="Times New Roman" w:cs="Times New Roman"/>
          <w:i/>
          <w:iCs/>
          <w:kern w:val="0"/>
          <w:sz w:val="24"/>
          <w:szCs w:val="24"/>
          <w14:ligatures w14:val="none"/>
        </w:rPr>
        <w:t>22</w:t>
      </w:r>
      <w:r>
        <w:rPr>
          <w:rFonts w:ascii="Times New Roman" w:eastAsia="Times New Roman" w:hAnsi="Times New Roman" w:cs="Times New Roman"/>
          <w:kern w:val="0"/>
          <w:sz w:val="24"/>
          <w:szCs w:val="24"/>
          <w14:ligatures w14:val="none"/>
        </w:rPr>
        <w:t>(9), pp.1024-1037.</w:t>
      </w:r>
    </w:p>
    <w:p w14:paraId="78EC5EDD" w14:textId="77777777" w:rsidR="005A25BB" w:rsidRDefault="0023049F">
      <w:pPr>
        <w:spacing w:after="0" w:line="480" w:lineRule="auto"/>
        <w:ind w:left="720" w:hanging="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Wibier, R., 2011. Can a modern legal system do without the trust?. </w:t>
      </w:r>
      <w:r>
        <w:rPr>
          <w:rFonts w:ascii="Times New Roman" w:eastAsia="Times New Roman" w:hAnsi="Times New Roman" w:cs="Times New Roman"/>
          <w:i/>
          <w:iCs/>
          <w:kern w:val="0"/>
          <w:sz w:val="24"/>
          <w:szCs w:val="24"/>
          <w14:ligatures w14:val="none"/>
        </w:rPr>
        <w:t>Law and Financial Markets Review</w:t>
      </w:r>
      <w:r>
        <w:rPr>
          <w:rFonts w:ascii="Times New Roman" w:eastAsia="Times New Roman" w:hAnsi="Times New Roman" w:cs="Times New Roman"/>
          <w:kern w:val="0"/>
          <w:sz w:val="24"/>
          <w:szCs w:val="24"/>
          <w14:ligatures w14:val="none"/>
        </w:rPr>
        <w:t xml:space="preserve">, </w:t>
      </w:r>
      <w:r>
        <w:rPr>
          <w:rFonts w:ascii="Times New Roman" w:eastAsia="Times New Roman" w:hAnsi="Times New Roman" w:cs="Times New Roman"/>
          <w:i/>
          <w:iCs/>
          <w:kern w:val="0"/>
          <w:sz w:val="24"/>
          <w:szCs w:val="24"/>
          <w14:ligatures w14:val="none"/>
        </w:rPr>
        <w:t>5</w:t>
      </w:r>
      <w:r>
        <w:rPr>
          <w:rFonts w:ascii="Times New Roman" w:eastAsia="Times New Roman" w:hAnsi="Times New Roman" w:cs="Times New Roman"/>
          <w:kern w:val="0"/>
          <w:sz w:val="24"/>
          <w:szCs w:val="24"/>
          <w14:ligatures w14:val="none"/>
        </w:rPr>
        <w:t>(1), pp.37-45.</w:t>
      </w:r>
      <w:r>
        <w:rPr>
          <w:rFonts w:ascii="Times New Roman" w:hAnsi="Times New Roman" w:cs="Times New Roman"/>
          <w:sz w:val="24"/>
          <w:szCs w:val="24"/>
        </w:rPr>
        <w:t xml:space="preserve"> </w:t>
      </w:r>
      <w:hyperlink r:id="rId28" w:history="1">
        <w:r>
          <w:rPr>
            <w:rStyle w:val="Hyperlink"/>
            <w:rFonts w:ascii="Times New Roman" w:eastAsia="Times New Roman" w:hAnsi="Times New Roman" w:cs="Times New Roman"/>
            <w:kern w:val="0"/>
            <w:sz w:val="24"/>
            <w:szCs w:val="24"/>
            <w14:ligatures w14:val="none"/>
          </w:rPr>
          <w:t>https://www.clmr.unsw.edu.au/resources_view?field_category_tid=All&amp;field_resource_tid=All&amp;field_region_tid=52&amp;items_per_page=40</w:t>
        </w:r>
      </w:hyperlink>
      <w:r>
        <w:rPr>
          <w:rFonts w:ascii="Times New Roman" w:eastAsia="Times New Roman" w:hAnsi="Times New Roman" w:cs="Times New Roman"/>
          <w:kern w:val="0"/>
          <w:sz w:val="24"/>
          <w:szCs w:val="24"/>
          <w14:ligatures w14:val="none"/>
        </w:rPr>
        <w:t xml:space="preserve"> </w:t>
      </w:r>
    </w:p>
    <w:p w14:paraId="1F00385A" w14:textId="77777777" w:rsidR="005A25BB" w:rsidRDefault="005A25BB"/>
    <w:p w14:paraId="667E961B" w14:textId="77777777" w:rsidR="005A25BB" w:rsidRDefault="005A25BB">
      <w:pPr>
        <w:spacing w:after="0" w:line="480" w:lineRule="auto"/>
        <w:ind w:left="720" w:hanging="720"/>
        <w:rPr>
          <w:rFonts w:ascii="Times New Roman" w:eastAsia="Times New Roman" w:hAnsi="Times New Roman" w:cs="Times New Roman"/>
          <w:kern w:val="0"/>
          <w:sz w:val="24"/>
          <w:szCs w:val="24"/>
          <w14:ligatures w14:val="none"/>
        </w:rPr>
      </w:pPr>
    </w:p>
    <w:sectPr w:rsidR="005A25BB">
      <w:head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B4F257" w14:textId="77777777" w:rsidR="00000000" w:rsidRDefault="0023049F">
      <w:pPr>
        <w:spacing w:after="0" w:line="240" w:lineRule="auto"/>
      </w:pPr>
      <w:r>
        <w:separator/>
      </w:r>
    </w:p>
  </w:endnote>
  <w:endnote w:type="continuationSeparator" w:id="0">
    <w:p w14:paraId="79BA90B6" w14:textId="77777777" w:rsidR="00000000" w:rsidRDefault="002304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51799B" w14:textId="77777777" w:rsidR="00000000" w:rsidRDefault="0023049F">
      <w:pPr>
        <w:spacing w:after="0" w:line="240" w:lineRule="auto"/>
      </w:pPr>
      <w:r>
        <w:separator/>
      </w:r>
    </w:p>
  </w:footnote>
  <w:footnote w:type="continuationSeparator" w:id="0">
    <w:p w14:paraId="62BE8A2C" w14:textId="77777777" w:rsidR="00000000" w:rsidRDefault="002304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0F4EF3" w14:textId="77777777" w:rsidR="005A25BB" w:rsidRDefault="0023049F">
    <w:pPr>
      <w:pStyle w:val="Header"/>
      <w:spacing w:line="480" w:lineRule="auto"/>
      <w:jc w:val="right"/>
    </w:pPr>
    <w:r>
      <w:rPr>
        <w:rFonts w:ascii="Times New Roman" w:hAnsi="Times New Roman" w:cs="Times New Roman"/>
        <w:sz w:val="24"/>
        <w:szCs w:val="24"/>
      </w:rPr>
      <w:t xml:space="preserve">TRUST LAWS IN ENGLISH LEGAL SYSTEM: CREATION AND DEVELOPMENT </w:t>
    </w:r>
    <w:r>
      <w:t xml:space="preserve"> </w:t>
    </w:r>
    <w:r>
      <w:fldChar w:fldCharType="begin"/>
    </w:r>
    <w:r>
      <w:instrText xml:space="preserve"> PAGE   \* MERGEFORMAT </w:instrText>
    </w:r>
    <w:r>
      <w:fldChar w:fldCharType="separate"/>
    </w:r>
    <w:r>
      <w:rPr>
        <w:noProof/>
      </w:rPr>
      <w:t>10</w:t>
    </w:r>
    <w:r>
      <w:rPr>
        <w:noProof/>
      </w:rPr>
      <w:fldChar w:fldCharType="end"/>
    </w:r>
  </w:p>
  <w:p w14:paraId="33549D0A" w14:textId="77777777" w:rsidR="005A25BB" w:rsidRDefault="005A25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multiLevelType w:val="multilevel"/>
    <w:tmpl w:val="F17A6080"/>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num w:numId="1" w16cid:durableId="12733936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25BB"/>
    <w:rsid w:val="0023049F"/>
    <w:rsid w:val="005A25B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902A8"/>
  <w15:docId w15:val="{EBBF7383-D2A8-428B-986C-ADE4A52F7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Pr>
      <w:color w:val="0563C1"/>
      <w:u w:val="single"/>
    </w:rPr>
  </w:style>
  <w:style w:type="character" w:customStyle="1" w:styleId="UnresolvedMention1">
    <w:name w:val="Unresolved Mention1"/>
    <w:basedOn w:val="DefaultParagraphFont"/>
    <w:uiPriority w:val="99"/>
    <w:rPr>
      <w:color w:val="605E5C"/>
      <w:shd w:val="clear" w:color="auto" w:fill="E1DFDD"/>
    </w:rPr>
  </w:style>
  <w:style w:type="paragraph" w:styleId="Header">
    <w:name w:val="header"/>
    <w:basedOn w:val="Normal"/>
    <w:link w:val="HeaderChar"/>
    <w:uiPriority w:val="99"/>
    <w:pPr>
      <w:tabs>
        <w:tab w:val="center" w:pos="4513"/>
        <w:tab w:val="right" w:pos="9026"/>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513"/>
        <w:tab w:val="right" w:pos="9026"/>
      </w:tabs>
      <w:spacing w:after="0" w:line="240" w:lineRule="auto"/>
    </w:pPr>
  </w:style>
  <w:style w:type="character" w:customStyle="1" w:styleId="FooterChar">
    <w:name w:val="Footer Char"/>
    <w:basedOn w:val="DefaultParagraphFont"/>
    <w:link w:val="Footer"/>
    <w:uiPriority w:val="99"/>
  </w:style>
  <w:style w:type="character" w:styleId="CommentReference">
    <w:name w:val="annotation reference"/>
    <w:basedOn w:val="DefaultParagraphFont"/>
    <w:uiPriority w:val="99"/>
    <w:rPr>
      <w:sz w:val="16"/>
      <w:szCs w:val="16"/>
    </w:rPr>
  </w:style>
  <w:style w:type="paragraph" w:styleId="CommentText">
    <w:name w:val="annotation text"/>
    <w:basedOn w:val="Normal"/>
    <w:link w:val="CommentTextChar"/>
    <w:uiPriority w:val="99"/>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paragraph" w:styleId="CommentSubject">
    <w:name w:val="annotation subject"/>
    <w:basedOn w:val="CommentText"/>
    <w:next w:val="CommentText"/>
    <w:link w:val="CommentSubjectChar"/>
    <w:uiPriority w:val="99"/>
    <w:rPr>
      <w:b/>
      <w:bCs/>
    </w:rPr>
  </w:style>
  <w:style w:type="character" w:customStyle="1" w:styleId="CommentSubjectChar">
    <w:name w:val="Comment Subject Char"/>
    <w:basedOn w:val="CommentTextChar"/>
    <w:link w:val="CommentSubject"/>
    <w:uiPriority w:val="99"/>
    <w:rPr>
      <w:b/>
      <w:bCs/>
      <w:sz w:val="20"/>
      <w:szCs w:val="20"/>
    </w:rPr>
  </w:style>
  <w:style w:type="character" w:customStyle="1" w:styleId="UnresolvedMention2">
    <w:name w:val="Unresolved Mention2"/>
    <w:basedOn w:val="DefaultParagraphFont"/>
    <w:uiPriority w:val="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en.wikipedia.org/wiki/Seisin" TargetMode="External"/><Relationship Id="rId13" Type="http://schemas.openxmlformats.org/officeDocument/2006/relationships/hyperlink" Target="https://en.wikipedia.org/wiki/John_Scott,_1st_Earl_of_Eldon" TargetMode="External"/><Relationship Id="rId18" Type="http://schemas.openxmlformats.org/officeDocument/2006/relationships/hyperlink" Target="https://warwick.rl.talis.com/lists/465816BB-7C02-24B8-B99D-BA32BF722866/bibliography.html?style=bmj" TargetMode="External"/><Relationship Id="rId26" Type="http://schemas.openxmlformats.org/officeDocument/2006/relationships/hyperlink" Target="https://www.bu.edu/law/journals-archive/bulr/documents/seipp.pdf" TargetMode="External"/><Relationship Id="rId3" Type="http://schemas.openxmlformats.org/officeDocument/2006/relationships/settings" Target="settings.xml"/><Relationship Id="rId21" Type="http://schemas.openxmlformats.org/officeDocument/2006/relationships/hyperlink" Target="https://kent.rl.talis.com/lists/AC30FEC3-9CDC-541D-E314-4CD523B69E3C/bibliography.html?style=ieee-with-url" TargetMode="External"/><Relationship Id="rId7" Type="http://schemas.openxmlformats.org/officeDocument/2006/relationships/hyperlink" Target="https://en.wikipedia.org/wiki/Feoffee" TargetMode="External"/><Relationship Id="rId12" Type="http://schemas.openxmlformats.org/officeDocument/2006/relationships/hyperlink" Target="https://en.wikipedia.org/wiki/John_Selden" TargetMode="External"/><Relationship Id="rId17" Type="http://schemas.openxmlformats.org/officeDocument/2006/relationships/hyperlink" Target="https://www.erudit.org/en/journals/mlj/1900-v1-n1-mlj03344/1042771ar/abstract/" TargetMode="External"/><Relationship Id="rId25" Type="http://schemas.openxmlformats.org/officeDocument/2006/relationships/hyperlink" Target="https://sites.socsci.uci.edu/~dbogart/Turnpike%20Road%20Quality%20after%201800%20draft%20paper%2031%20Aug%202022%20FINAL.pdf" TargetMode="External"/><Relationship Id="rId2" Type="http://schemas.openxmlformats.org/officeDocument/2006/relationships/styles" Target="styles.xml"/><Relationship Id="rId16" Type="http://schemas.openxmlformats.org/officeDocument/2006/relationships/hyperlink" Target="https://sciendo.com/pdf/10.1515/icame-2017-0003" TargetMode="External"/><Relationship Id="rId20" Type="http://schemas.openxmlformats.org/officeDocument/2006/relationships/hyperlink" Target="http://moglen.law.columbia.edu/LCS/palaw.pdf"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Gee_v_Pritchard" TargetMode="External"/><Relationship Id="rId24" Type="http://schemas.openxmlformats.org/officeDocument/2006/relationships/hyperlink" Target="https://global.oup.com/ukhe/product/introduction-to-the-english-legal-system-9780198852926?cc=ke&amp;lang=en&amp;" TargetMode="External"/><Relationship Id="rId5" Type="http://schemas.openxmlformats.org/officeDocument/2006/relationships/footnotes" Target="footnotes.xml"/><Relationship Id="rId15" Type="http://schemas.openxmlformats.org/officeDocument/2006/relationships/hyperlink" Target="https://openlibrary.org/books/OL6637216M/Handbook_of_the_law_of_trusts" TargetMode="External"/><Relationship Id="rId23" Type="http://schemas.openxmlformats.org/officeDocument/2006/relationships/hyperlink" Target="https://www.law.cam.ac.uk/trusts-and-private-wealth-management-developments-and-directions" TargetMode="External"/><Relationship Id="rId28" Type="http://schemas.openxmlformats.org/officeDocument/2006/relationships/hyperlink" Target="https://www.clmr.unsw.edu.au/resources_view?field_category_tid=All&amp;field_resource_tid=All&amp;field_region_tid=52&amp;items_per_page=40" TargetMode="External"/><Relationship Id="rId10" Type="http://schemas.openxmlformats.org/officeDocument/2006/relationships/hyperlink" Target="https://en.wikipedia.org/wiki/Cestui_que_use" TargetMode="External"/><Relationship Id="rId19" Type="http://schemas.openxmlformats.org/officeDocument/2006/relationships/hyperlink" Target="https://files8.webydo.com/9583616/UploadedFiles/D112527F-E1BE-805E-94E7-B6D28151B317.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en.wikipedia.org/wiki/Cestui_que_use" TargetMode="External"/><Relationship Id="rId14" Type="http://schemas.openxmlformats.org/officeDocument/2006/relationships/hyperlink" Target="https://www.tulanelawreview.org/pub/volume70/issue4/the-origins-of-the-modern-english-trust-revisited" TargetMode="External"/><Relationship Id="rId22" Type="http://schemas.openxmlformats.org/officeDocument/2006/relationships/hyperlink" Target="https://heinonline.org/HOL/LandingPage?handle=hein.journals/gwlr80&amp;div=38&amp;id=&amp;page=" TargetMode="External"/><Relationship Id="rId27" Type="http://schemas.openxmlformats.org/officeDocument/2006/relationships/hyperlink" Target="https://scholarlycommons.law.case.edu/cgi/viewcontent.cgi?article=4446&amp;context=caselrev"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12</Pages>
  <Words>3030</Words>
  <Characters>17271</Characters>
  <Application>Microsoft Office Word</Application>
  <DocSecurity>4</DocSecurity>
  <Lines>143</Lines>
  <Paragraphs>40</Paragraphs>
  <ScaleCrop>false</ScaleCrop>
  <Company/>
  <LinksUpToDate>false</LinksUpToDate>
  <CharactersWithSpaces>20261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Faisal Shamsdin</cp:lastModifiedBy>
  <cp:revision>2</cp:revision>
  <dcterms:created xsi:type="dcterms:W3CDTF">2023-03-10T10:17:00Z</dcterms:created>
  <dcterms:modified xsi:type="dcterms:W3CDTF">2023-03-10T10:17:00Z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8dfb1af0-2b54-412a-b042-ec1061d3bfa4</vt:lpwstr>
  </property>
  <property fmtid="{D5CDD505-2E9C-101B-9397-08002B2CF9AE}" pid="3" name="ICV">
    <vt:lpwstr>5d464d247950445f922828cda48278fc</vt:lpwstr>
  </property>
</Properties>
</file>