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766FB2" w14:textId="77777777" w:rsidR="00DD22E2" w:rsidRPr="008149E6" w:rsidRDefault="00DD22E2" w:rsidP="008149E6">
      <w:pPr>
        <w:rPr>
          <w:rFonts w:ascii="Times New Roman" w:hAnsi="Times New Roman" w:cs="Times New Roman"/>
          <w:b/>
          <w:sz w:val="36"/>
          <w:szCs w:val="36"/>
        </w:rPr>
      </w:pPr>
      <w:r w:rsidRPr="008149E6">
        <w:rPr>
          <w:rFonts w:ascii="Times New Roman" w:hAnsi="Times New Roman" w:cs="Times New Roman"/>
          <w:b/>
          <w:sz w:val="36"/>
          <w:szCs w:val="36"/>
        </w:rPr>
        <w:t>THE UK FINANCIAL REPORTING COUNCIL</w:t>
      </w:r>
    </w:p>
    <w:p w14:paraId="5A387A0A" w14:textId="77777777" w:rsidR="00DD22E2" w:rsidRPr="00603355" w:rsidRDefault="00DD22E2" w:rsidP="00603355">
      <w:pPr>
        <w:rPr>
          <w:sz w:val="24"/>
          <w:szCs w:val="24"/>
        </w:rPr>
      </w:pPr>
      <w:r w:rsidRPr="00603355">
        <w:rPr>
          <w:sz w:val="24"/>
          <w:szCs w:val="24"/>
        </w:rPr>
        <w:t>The FRC exercises its regulatory responsibilities in a proportionate and evidence-based way, informed by the expertise of market participants - company directors, accountants, actuaries and investors.  As the UK's independent regulator it focuses on promoting high levels of audit quality and contributes to the international debate on the future of the audit market.  It promotes high quality corporate reporting and governance, publishing Codes and Standards that companies, auditors, actuaries and accountants adopt.  The goal of the FRC's work is to foster a climate in which investment can flourish</w:t>
      </w:r>
    </w:p>
    <w:p w14:paraId="43AEB1D7" w14:textId="77777777" w:rsidR="0077337F" w:rsidRDefault="00DD22E2" w:rsidP="00603355">
      <w:pPr>
        <w:rPr>
          <w:sz w:val="24"/>
          <w:szCs w:val="24"/>
        </w:rPr>
      </w:pPr>
      <w:r w:rsidRPr="00603355">
        <w:rPr>
          <w:sz w:val="24"/>
          <w:szCs w:val="24"/>
        </w:rPr>
        <w:t xml:space="preserve">One role of the FRC is to issue accounting standards. It is recognised for that purpose under the Companies Act 1985. The FRC took over the role in July 2012 following its </w:t>
      </w:r>
      <w:proofErr w:type="spellStart"/>
      <w:r w:rsidRPr="00603355">
        <w:rPr>
          <w:sz w:val="24"/>
          <w:szCs w:val="24"/>
        </w:rPr>
        <w:t>reorganistion</w:t>
      </w:r>
      <w:proofErr w:type="spellEnd"/>
      <w:r w:rsidRPr="00603355">
        <w:rPr>
          <w:sz w:val="24"/>
          <w:szCs w:val="24"/>
        </w:rPr>
        <w:t xml:space="preserve"> from the ASB. The ASB took over the task of setting accounting standards from the Accounting Standards Committee (ASC) in 1990.</w:t>
      </w:r>
      <w:r w:rsidRPr="00603355">
        <w:rPr>
          <w:sz w:val="24"/>
          <w:szCs w:val="24"/>
        </w:rPr>
        <w:br/>
      </w:r>
      <w:r w:rsidRPr="00603355">
        <w:rPr>
          <w:sz w:val="24"/>
          <w:szCs w:val="24"/>
        </w:rPr>
        <w:br/>
        <w:t>The FRC also collaborates with accounting standard-setters from other countries and the International Accounting Standards Board (IASB) both in order to influence the development of international standards and in order to ensure that its standards are developed with due regard to international developments.</w:t>
      </w:r>
      <w:r w:rsidRPr="00603355">
        <w:rPr>
          <w:sz w:val="24"/>
          <w:szCs w:val="24"/>
        </w:rPr>
        <w:br/>
      </w:r>
      <w:r w:rsidRPr="00603355">
        <w:rPr>
          <w:sz w:val="24"/>
          <w:szCs w:val="24"/>
        </w:rPr>
        <w:br/>
        <w:t>The Accounting Council has up to ten part-time members who represent a variety of interests (see membership of Council). </w:t>
      </w:r>
      <w:r w:rsidRPr="00603355">
        <w:rPr>
          <w:sz w:val="24"/>
          <w:szCs w:val="24"/>
        </w:rPr>
        <w:br/>
      </w:r>
      <w:r w:rsidRPr="00603355">
        <w:rPr>
          <w:sz w:val="24"/>
          <w:szCs w:val="24"/>
        </w:rPr>
        <w:br/>
        <w:t>The Financial Reporting Council assumed responsibility for accounting standards on 2 July 2012</w:t>
      </w:r>
      <w:r w:rsidR="002664BC" w:rsidRPr="00603355">
        <w:rPr>
          <w:sz w:val="24"/>
          <w:szCs w:val="24"/>
        </w:rPr>
        <w:t xml:space="preserve">.  Accounting standards </w:t>
      </w:r>
      <w:r w:rsidRPr="00603355">
        <w:rPr>
          <w:sz w:val="24"/>
          <w:szCs w:val="24"/>
        </w:rPr>
        <w:t>formerly developed by the Accounting S</w:t>
      </w:r>
      <w:r w:rsidR="002664BC" w:rsidRPr="00603355">
        <w:rPr>
          <w:sz w:val="24"/>
          <w:szCs w:val="24"/>
        </w:rPr>
        <w:t xml:space="preserve">tandards Board are known as </w:t>
      </w:r>
      <w:r w:rsidRPr="00603355">
        <w:rPr>
          <w:sz w:val="24"/>
          <w:szCs w:val="24"/>
        </w:rPr>
        <w:t>'Financial Reporting Standards' (FRSs). Soon after it started its activities, the ASB adopted the standards issued by the ASC, so that they also fall within the legal definition of accounting standards. These are designated 'Statements of Standard Accounting Practice' (SSAPs). Whilst some of the SSAPs have been superseded by FRSs, some remain in force.</w:t>
      </w:r>
      <w:r w:rsidRPr="00603355">
        <w:rPr>
          <w:sz w:val="24"/>
          <w:szCs w:val="24"/>
        </w:rPr>
        <w:br/>
      </w:r>
      <w:r w:rsidRPr="00603355">
        <w:rPr>
          <w:sz w:val="24"/>
          <w:szCs w:val="24"/>
        </w:rPr>
        <w:br/>
        <w:t>Accounting standards apply to all companies, and other entities that prepare accounts that are intended to provide a true and fair view</w:t>
      </w:r>
    </w:p>
    <w:p w14:paraId="1FE967A3" w14:textId="77777777" w:rsidR="007446F6" w:rsidRDefault="007446F6" w:rsidP="00603355">
      <w:pPr>
        <w:rPr>
          <w:sz w:val="24"/>
          <w:szCs w:val="24"/>
        </w:rPr>
      </w:pPr>
    </w:p>
    <w:p w14:paraId="5839AC95" w14:textId="77777777" w:rsidR="007446F6" w:rsidRPr="007446F6" w:rsidRDefault="007446F6" w:rsidP="00603355">
      <w:pPr>
        <w:rPr>
          <w:b/>
          <w:sz w:val="24"/>
          <w:szCs w:val="24"/>
        </w:rPr>
      </w:pPr>
      <w:r>
        <w:rPr>
          <w:b/>
          <w:sz w:val="24"/>
          <w:szCs w:val="24"/>
        </w:rPr>
        <w:t>FRS 100,</w:t>
      </w:r>
      <w:r w:rsidRPr="007446F6">
        <w:rPr>
          <w:b/>
          <w:sz w:val="24"/>
          <w:szCs w:val="24"/>
        </w:rPr>
        <w:t xml:space="preserve"> 101 and 102</w:t>
      </w:r>
    </w:p>
    <w:p w14:paraId="379EBE33" w14:textId="77777777" w:rsidR="007446F6" w:rsidRPr="007446F6" w:rsidRDefault="007446F6" w:rsidP="007446F6">
      <w:pPr>
        <w:rPr>
          <w:sz w:val="24"/>
          <w:szCs w:val="24"/>
        </w:rPr>
      </w:pPr>
      <w:r w:rsidRPr="007446F6">
        <w:rPr>
          <w:sz w:val="24"/>
          <w:szCs w:val="24"/>
        </w:rPr>
        <w:t>From 1 January 2015 all existing FRS’s and SSAP’s were replaced by FRS 100, 101 and 102.</w:t>
      </w:r>
      <w:r w:rsidRPr="007446F6">
        <w:rPr>
          <w:rFonts w:cs="Times New Roman"/>
          <w:sz w:val="24"/>
          <w:szCs w:val="24"/>
        </w:rPr>
        <w:t>Together these standards make up what is commonly being referred to by accountants as new UK GAAP, which takes mandatory effect for accounting periods commencing on or after 1 January 2015.</w:t>
      </w:r>
    </w:p>
    <w:p w14:paraId="5FF37DD9" w14:textId="77777777" w:rsidR="007446F6" w:rsidRDefault="007446F6" w:rsidP="007446F6">
      <w:pPr>
        <w:rPr>
          <w:rFonts w:cs="Times New Roman"/>
          <w:sz w:val="24"/>
          <w:szCs w:val="24"/>
        </w:rPr>
      </w:pPr>
      <w:r w:rsidRPr="007446F6">
        <w:rPr>
          <w:rFonts w:cs="Times New Roman"/>
          <w:sz w:val="24"/>
          <w:szCs w:val="24"/>
        </w:rPr>
        <w:lastRenderedPageBreak/>
        <w:t>FRS 102 replaces almost 3000 pages of current UK and Ireland GAAP with just over 300. The main purpose is to make reporting requirements proportionate to the size of the entity, and it also includes changes to disclosure, measurement, and recognition</w:t>
      </w:r>
      <w:r>
        <w:rPr>
          <w:rFonts w:cs="Times New Roman"/>
          <w:sz w:val="24"/>
          <w:szCs w:val="24"/>
        </w:rPr>
        <w:t>.</w:t>
      </w:r>
    </w:p>
    <w:p w14:paraId="1B2FC713" w14:textId="24AEDA62" w:rsidR="007446F6" w:rsidRDefault="00CE63B5" w:rsidP="007446F6">
      <w:pPr>
        <w:rPr>
          <w:rFonts w:cs="Times New Roman"/>
          <w:sz w:val="24"/>
          <w:szCs w:val="24"/>
        </w:rPr>
      </w:pPr>
      <w:r>
        <w:rPr>
          <w:rFonts w:cs="Times New Roman"/>
          <w:sz w:val="24"/>
          <w:szCs w:val="24"/>
        </w:rPr>
        <w:t>The</w:t>
      </w:r>
      <w:r w:rsidR="007446F6">
        <w:rPr>
          <w:rFonts w:cs="Times New Roman"/>
          <w:sz w:val="24"/>
          <w:szCs w:val="24"/>
        </w:rPr>
        <w:t xml:space="preserve"> standards are:</w:t>
      </w:r>
    </w:p>
    <w:p w14:paraId="57E2FFCB" w14:textId="77777777" w:rsidR="007446F6" w:rsidRDefault="007446F6" w:rsidP="007446F6">
      <w:pPr>
        <w:rPr>
          <w:rFonts w:cs="Times New Roman"/>
          <w:sz w:val="24"/>
          <w:szCs w:val="24"/>
        </w:rPr>
      </w:pPr>
      <w:r>
        <w:rPr>
          <w:rFonts w:cs="Times New Roman"/>
          <w:sz w:val="24"/>
          <w:szCs w:val="24"/>
        </w:rPr>
        <w:t>FRS 100</w:t>
      </w:r>
      <w:r>
        <w:rPr>
          <w:rFonts w:cs="Times New Roman"/>
          <w:sz w:val="24"/>
          <w:szCs w:val="24"/>
        </w:rPr>
        <w:tab/>
      </w:r>
      <w:r w:rsidR="003823AC">
        <w:t>Application</w:t>
      </w:r>
      <w:r>
        <w:t xml:space="preserve"> of Financial Reporting Requirements</w:t>
      </w:r>
    </w:p>
    <w:p w14:paraId="3A7C0057" w14:textId="77777777" w:rsidR="007446F6" w:rsidRDefault="007446F6" w:rsidP="007446F6">
      <w:pPr>
        <w:rPr>
          <w:rFonts w:cs="Times New Roman"/>
          <w:sz w:val="24"/>
          <w:szCs w:val="24"/>
        </w:rPr>
      </w:pPr>
      <w:r>
        <w:rPr>
          <w:rFonts w:cs="Times New Roman"/>
          <w:sz w:val="24"/>
          <w:szCs w:val="24"/>
        </w:rPr>
        <w:t>FRS101</w:t>
      </w:r>
      <w:r>
        <w:rPr>
          <w:rFonts w:cs="Times New Roman"/>
          <w:sz w:val="24"/>
          <w:szCs w:val="24"/>
        </w:rPr>
        <w:tab/>
      </w:r>
      <w:r>
        <w:rPr>
          <w:rFonts w:cs="Times New Roman"/>
          <w:sz w:val="24"/>
          <w:szCs w:val="24"/>
        </w:rPr>
        <w:tab/>
      </w:r>
      <w:r>
        <w:t>The Reduced Disclosure Framework</w:t>
      </w:r>
    </w:p>
    <w:p w14:paraId="4225CB2B" w14:textId="77777777" w:rsidR="007446F6" w:rsidRDefault="007446F6" w:rsidP="007446F6">
      <w:r>
        <w:rPr>
          <w:rFonts w:cs="Times New Roman"/>
          <w:sz w:val="24"/>
          <w:szCs w:val="24"/>
        </w:rPr>
        <w:t>FRS102</w:t>
      </w:r>
      <w:r>
        <w:rPr>
          <w:rFonts w:cs="Times New Roman"/>
          <w:sz w:val="24"/>
          <w:szCs w:val="24"/>
        </w:rPr>
        <w:tab/>
      </w:r>
      <w:r>
        <w:rPr>
          <w:rFonts w:cs="Times New Roman"/>
          <w:sz w:val="24"/>
          <w:szCs w:val="24"/>
        </w:rPr>
        <w:tab/>
      </w:r>
      <w:r>
        <w:t xml:space="preserve">The Financial Reporting Standard Applicable in the UK and </w:t>
      </w:r>
      <w:hyperlink r:id="rId5" w:tooltip="Republic of Ireland" w:history="1">
        <w:r w:rsidRPr="007446F6">
          <w:rPr>
            <w:rStyle w:val="Hyperlink"/>
            <w:color w:val="auto"/>
            <w:u w:val="none"/>
          </w:rPr>
          <w:t>Republic of Ireland</w:t>
        </w:r>
      </w:hyperlink>
    </w:p>
    <w:p w14:paraId="5CFC3B21" w14:textId="77777777" w:rsidR="004E3567" w:rsidRDefault="004E3567" w:rsidP="007446F6">
      <w:pPr>
        <w:rPr>
          <w:rFonts w:cs="Times New Roman"/>
          <w:sz w:val="24"/>
          <w:szCs w:val="24"/>
        </w:rPr>
      </w:pPr>
      <w:r>
        <w:rPr>
          <w:rFonts w:cs="Times New Roman"/>
          <w:sz w:val="24"/>
          <w:szCs w:val="24"/>
        </w:rPr>
        <w:t>FRS 103</w:t>
      </w:r>
      <w:r>
        <w:rPr>
          <w:rFonts w:cs="Times New Roman"/>
          <w:sz w:val="24"/>
          <w:szCs w:val="24"/>
        </w:rPr>
        <w:tab/>
        <w:t>Insurance Contracts</w:t>
      </w:r>
    </w:p>
    <w:p w14:paraId="53754936" w14:textId="77777777" w:rsidR="004E3567" w:rsidRDefault="004E3567" w:rsidP="007446F6">
      <w:pPr>
        <w:rPr>
          <w:rFonts w:cs="Times New Roman"/>
          <w:sz w:val="24"/>
          <w:szCs w:val="24"/>
        </w:rPr>
      </w:pPr>
      <w:r>
        <w:rPr>
          <w:rFonts w:cs="Times New Roman"/>
          <w:sz w:val="24"/>
          <w:szCs w:val="24"/>
        </w:rPr>
        <w:t>FRS 104</w:t>
      </w:r>
      <w:r>
        <w:rPr>
          <w:rFonts w:cs="Times New Roman"/>
          <w:sz w:val="24"/>
          <w:szCs w:val="24"/>
        </w:rPr>
        <w:tab/>
        <w:t>Interim Financial Reporting</w:t>
      </w:r>
    </w:p>
    <w:p w14:paraId="55868FDB" w14:textId="77777777" w:rsidR="004E3567" w:rsidRDefault="004E3567" w:rsidP="007D6A15">
      <w:pPr>
        <w:ind w:left="1440" w:hanging="1440"/>
      </w:pPr>
      <w:r>
        <w:rPr>
          <w:rFonts w:cs="Times New Roman"/>
          <w:sz w:val="24"/>
          <w:szCs w:val="24"/>
        </w:rPr>
        <w:t xml:space="preserve">FRS 105 </w:t>
      </w:r>
      <w:r>
        <w:rPr>
          <w:rFonts w:cs="Times New Roman"/>
          <w:sz w:val="24"/>
          <w:szCs w:val="24"/>
        </w:rPr>
        <w:tab/>
      </w:r>
      <w:r>
        <w:t>The Financial Reporting Standard Applicable to the Micro Entities Regime</w:t>
      </w:r>
      <w:r w:rsidR="007D6A15">
        <w:t xml:space="preserve"> (supersedes the FRSSE)</w:t>
      </w:r>
    </w:p>
    <w:p w14:paraId="736528AB" w14:textId="77777777" w:rsidR="007D6A15" w:rsidRPr="007446F6" w:rsidRDefault="007D6A15" w:rsidP="007D6A15">
      <w:pPr>
        <w:ind w:left="1440" w:hanging="1440"/>
        <w:rPr>
          <w:rFonts w:cs="Times New Roman"/>
          <w:sz w:val="24"/>
          <w:szCs w:val="24"/>
        </w:rPr>
      </w:pPr>
      <w:bookmarkStart w:id="0" w:name="_GoBack"/>
      <w:bookmarkEnd w:id="0"/>
    </w:p>
    <w:p w14:paraId="0AD628A0" w14:textId="77777777" w:rsidR="00DD22E2" w:rsidRPr="00603355" w:rsidRDefault="00DD22E2" w:rsidP="00603355">
      <w:pPr>
        <w:rPr>
          <w:rFonts w:cs="Arial"/>
          <w:b/>
          <w:bCs/>
          <w:color w:val="000000"/>
          <w:sz w:val="24"/>
          <w:szCs w:val="24"/>
        </w:rPr>
      </w:pPr>
      <w:r w:rsidRPr="00603355">
        <w:rPr>
          <w:rFonts w:cs="Arial"/>
          <w:b/>
          <w:bCs/>
          <w:color w:val="000000"/>
          <w:sz w:val="24"/>
          <w:szCs w:val="24"/>
        </w:rPr>
        <w:t>The FRC Board</w:t>
      </w:r>
    </w:p>
    <w:p w14:paraId="54E14961" w14:textId="77777777" w:rsidR="00DD22E2" w:rsidRPr="00603355" w:rsidRDefault="00DD22E2" w:rsidP="00603355">
      <w:pPr>
        <w:rPr>
          <w:color w:val="000000"/>
          <w:sz w:val="24"/>
          <w:szCs w:val="24"/>
        </w:rPr>
      </w:pPr>
      <w:r w:rsidRPr="00603355">
        <w:rPr>
          <w:color w:val="000000"/>
          <w:sz w:val="24"/>
          <w:szCs w:val="24"/>
        </w:rPr>
        <w:t>The strategic direction of the FRC and key decisions on standards and how the organisation will discharge its responsibilities will be taken by the Board. The Board will be supported by three Committees: a Codes and Standards Committee, a</w:t>
      </w:r>
      <w:r w:rsidR="002664BC" w:rsidRPr="00603355">
        <w:rPr>
          <w:color w:val="000000"/>
          <w:sz w:val="24"/>
          <w:szCs w:val="24"/>
        </w:rPr>
        <w:t xml:space="preserve"> </w:t>
      </w:r>
      <w:r w:rsidRPr="00603355">
        <w:rPr>
          <w:color w:val="000000"/>
          <w:sz w:val="24"/>
          <w:szCs w:val="24"/>
        </w:rPr>
        <w:t>Conduct Committee, and an Executive Committee. In relation to codes, standard setting and policy questions the FRC will be advised by three Councils, on Accounting, Audit &amp; Assurance and Actuarial matters. Its C</w:t>
      </w:r>
      <w:r w:rsidR="002664BC" w:rsidRPr="00603355">
        <w:rPr>
          <w:color w:val="000000"/>
          <w:sz w:val="24"/>
          <w:szCs w:val="24"/>
        </w:rPr>
        <w:t xml:space="preserve">onduct </w:t>
      </w:r>
      <w:r w:rsidR="00962AB5" w:rsidRPr="00603355">
        <w:rPr>
          <w:color w:val="000000"/>
          <w:sz w:val="24"/>
          <w:szCs w:val="24"/>
        </w:rPr>
        <w:t>Committee</w:t>
      </w:r>
      <w:r w:rsidRPr="00603355">
        <w:rPr>
          <w:color w:val="000000"/>
          <w:sz w:val="24"/>
          <w:szCs w:val="24"/>
        </w:rPr>
        <w:t xml:space="preserve"> will be supported by two sub‐committees ‐ on its monitoring/supervisory work and on disciplinary matters.</w:t>
      </w:r>
    </w:p>
    <w:p w14:paraId="61C90479" w14:textId="77777777" w:rsidR="00DD22E2" w:rsidRPr="00603355" w:rsidRDefault="00DD22E2" w:rsidP="00603355">
      <w:pPr>
        <w:rPr>
          <w:color w:val="000000"/>
          <w:sz w:val="24"/>
          <w:szCs w:val="24"/>
        </w:rPr>
      </w:pPr>
      <w:r w:rsidRPr="00603355">
        <w:rPr>
          <w:color w:val="000000"/>
          <w:sz w:val="24"/>
          <w:szCs w:val="24"/>
        </w:rPr>
        <w:t>The FRC Board will ensure that the organisation as a whole fulfils its core mission and operates in the public interest in accordance with the principles of good regulation and its regulatory approach. Subject to the enactment of the proposed statutory instruments, it will exercise the statutory powers delegated by the Government. Specifically, it will set and amend UK accounting, audit and actuarial standards. It will also maintain the effectiveness of the UK Corporate Governance and Stewardship Codes. It will also set the annual Business Plan of the FRC and oversee the effectiveness of the executive.</w:t>
      </w:r>
    </w:p>
    <w:p w14:paraId="77BD87EB" w14:textId="77777777" w:rsidR="00DD22E2" w:rsidRPr="00603355" w:rsidRDefault="00DD22E2" w:rsidP="00603355">
      <w:pPr>
        <w:rPr>
          <w:color w:val="000000"/>
          <w:sz w:val="24"/>
          <w:szCs w:val="24"/>
        </w:rPr>
      </w:pPr>
      <w:r w:rsidRPr="00603355">
        <w:rPr>
          <w:color w:val="000000"/>
          <w:sz w:val="24"/>
          <w:szCs w:val="24"/>
        </w:rPr>
        <w:t>As much standard‐setting is conducted at international level, the Board will oversee the</w:t>
      </w:r>
      <w:r w:rsidR="00603355">
        <w:rPr>
          <w:color w:val="000000"/>
          <w:sz w:val="24"/>
          <w:szCs w:val="24"/>
        </w:rPr>
        <w:t xml:space="preserve"> </w:t>
      </w:r>
      <w:r w:rsidRPr="00603355">
        <w:rPr>
          <w:color w:val="000000"/>
          <w:sz w:val="24"/>
          <w:szCs w:val="24"/>
        </w:rPr>
        <w:t>FRC’s international work with appropriate members playing a significant role in representing it as the UK standard‐setter at major national standard‐setting and similar senior meetings. As European developments in corporate governance and reporting are likely to be of particular importance, the FRC will ensure that, where possible, it is appropriately represented on key decision making and influencing bodies.</w:t>
      </w:r>
    </w:p>
    <w:p w14:paraId="79B7DB3D" w14:textId="77777777" w:rsidR="007A2FCB" w:rsidRDefault="007A2FCB" w:rsidP="007A2FCB">
      <w:pPr>
        <w:shd w:val="clear" w:color="auto" w:fill="FFFFFF"/>
        <w:spacing w:after="0" w:line="240" w:lineRule="auto"/>
        <w:rPr>
          <w:rFonts w:ascii="Arial" w:eastAsia="Times New Roman" w:hAnsi="Arial" w:cs="Arial"/>
          <w:color w:val="666666"/>
          <w:sz w:val="20"/>
          <w:szCs w:val="20"/>
          <w:lang w:eastAsia="en-GB"/>
        </w:rPr>
      </w:pPr>
    </w:p>
    <w:p w14:paraId="1D62B7DC" w14:textId="77777777" w:rsidR="00603355" w:rsidRDefault="007A2FCB" w:rsidP="007A2FCB">
      <w:pPr>
        <w:shd w:val="clear" w:color="auto" w:fill="FFFFFF"/>
        <w:spacing w:after="0" w:line="240" w:lineRule="auto"/>
        <w:rPr>
          <w:rFonts w:ascii="Arial" w:eastAsia="Times New Roman" w:hAnsi="Arial" w:cs="Arial"/>
          <w:b/>
          <w:color w:val="666666"/>
          <w:sz w:val="24"/>
          <w:szCs w:val="24"/>
          <w:lang w:eastAsia="en-GB"/>
        </w:rPr>
      </w:pPr>
      <w:r w:rsidRPr="007A2FCB">
        <w:rPr>
          <w:rFonts w:ascii="Arial" w:eastAsia="Times New Roman" w:hAnsi="Arial" w:cs="Arial"/>
          <w:b/>
          <w:color w:val="666666"/>
          <w:sz w:val="24"/>
          <w:szCs w:val="24"/>
          <w:lang w:eastAsia="en-GB"/>
        </w:rPr>
        <w:lastRenderedPageBreak/>
        <w:t>THE STRUCTURE OF THE FRC</w:t>
      </w:r>
    </w:p>
    <w:p w14:paraId="6F3440C5" w14:textId="77777777" w:rsidR="00603355" w:rsidRDefault="00603355" w:rsidP="007A2FCB">
      <w:pPr>
        <w:shd w:val="clear" w:color="auto" w:fill="FFFFFF"/>
        <w:spacing w:after="0" w:line="240" w:lineRule="auto"/>
        <w:rPr>
          <w:rFonts w:ascii="Arial" w:eastAsia="Times New Roman" w:hAnsi="Arial" w:cs="Arial"/>
          <w:b/>
          <w:color w:val="666666"/>
          <w:sz w:val="24"/>
          <w:szCs w:val="24"/>
          <w:lang w:eastAsia="en-GB"/>
        </w:rPr>
      </w:pPr>
    </w:p>
    <w:p w14:paraId="42A5BB34" w14:textId="77777777" w:rsidR="007A2FCB" w:rsidRPr="007A2FCB" w:rsidRDefault="007A2FCB" w:rsidP="007A2FCB">
      <w:pPr>
        <w:shd w:val="clear" w:color="auto" w:fill="FFFFFF"/>
        <w:spacing w:after="0" w:line="240" w:lineRule="auto"/>
        <w:rPr>
          <w:rFonts w:ascii="Arial" w:eastAsia="Times New Roman" w:hAnsi="Arial" w:cs="Arial"/>
          <w:color w:val="666666"/>
          <w:sz w:val="20"/>
          <w:szCs w:val="20"/>
          <w:lang w:eastAsia="en-GB"/>
        </w:rPr>
      </w:pPr>
      <w:r w:rsidRPr="007A2FCB">
        <w:rPr>
          <w:rFonts w:ascii="Arial" w:eastAsia="Times New Roman" w:hAnsi="Arial" w:cs="Arial"/>
          <w:color w:val="666666"/>
          <w:sz w:val="20"/>
          <w:szCs w:val="20"/>
          <w:lang w:eastAsia="en-GB"/>
        </w:rPr>
        <w:br/>
      </w:r>
      <w:r>
        <w:rPr>
          <w:rFonts w:ascii="Arial" w:eastAsia="Times New Roman" w:hAnsi="Arial" w:cs="Arial"/>
          <w:noProof/>
          <w:color w:val="666666"/>
          <w:sz w:val="20"/>
          <w:szCs w:val="20"/>
          <w:lang w:eastAsia="en-GB"/>
        </w:rPr>
        <w:drawing>
          <wp:inline distT="0" distB="0" distL="0" distR="0" wp14:anchorId="3737B2B5" wp14:editId="6ECFA7C9">
            <wp:extent cx="4572000" cy="3333750"/>
            <wp:effectExtent l="19050" t="0" r="0" b="0"/>
            <wp:docPr id="1" name="Picture 1" descr="http://www.frc.org.uk/getmedia/0d5d150a-ace7-4715-8475-5af11d0c2d3f/FRC-structure.aspx?width=480&amp;height=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rc.org.uk/getmedia/0d5d150a-ace7-4715-8475-5af11d0c2d3f/FRC-structure.aspx?width=480&amp;height=350"/>
                    <pic:cNvPicPr>
                      <a:picLocks noChangeAspect="1" noChangeArrowheads="1"/>
                    </pic:cNvPicPr>
                  </pic:nvPicPr>
                  <pic:blipFill>
                    <a:blip r:embed="rId6" cstate="print"/>
                    <a:srcRect/>
                    <a:stretch>
                      <a:fillRect/>
                    </a:stretch>
                  </pic:blipFill>
                  <pic:spPr bwMode="auto">
                    <a:xfrm>
                      <a:off x="0" y="0"/>
                      <a:ext cx="4572000" cy="3333750"/>
                    </a:xfrm>
                    <a:prstGeom prst="rect">
                      <a:avLst/>
                    </a:prstGeom>
                    <a:noFill/>
                    <a:ln w="9525">
                      <a:noFill/>
                      <a:miter lim="800000"/>
                      <a:headEnd/>
                      <a:tailEnd/>
                    </a:ln>
                  </pic:spPr>
                </pic:pic>
              </a:graphicData>
            </a:graphic>
          </wp:inline>
        </w:drawing>
      </w:r>
    </w:p>
    <w:p w14:paraId="6B0B9A9F" w14:textId="77777777" w:rsidR="007A2FCB" w:rsidRPr="00DD22E2" w:rsidRDefault="007A2FCB" w:rsidP="00DD22E2">
      <w:pPr>
        <w:autoSpaceDE w:val="0"/>
        <w:autoSpaceDN w:val="0"/>
        <w:adjustRightInd w:val="0"/>
        <w:spacing w:after="0" w:line="240" w:lineRule="auto"/>
        <w:rPr>
          <w:rFonts w:ascii="Times New Roman" w:hAnsi="Times New Roman" w:cs="Times New Roman"/>
          <w:color w:val="000000"/>
          <w:sz w:val="24"/>
          <w:szCs w:val="24"/>
        </w:rPr>
      </w:pPr>
    </w:p>
    <w:sectPr w:rsidR="007A2FCB" w:rsidRPr="00DD22E2" w:rsidSect="007733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EA1272"/>
    <w:multiLevelType w:val="multilevel"/>
    <w:tmpl w:val="139471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D22E2"/>
    <w:rsid w:val="002664BC"/>
    <w:rsid w:val="002907CB"/>
    <w:rsid w:val="003823AC"/>
    <w:rsid w:val="004542EE"/>
    <w:rsid w:val="004D3104"/>
    <w:rsid w:val="004E3567"/>
    <w:rsid w:val="00603355"/>
    <w:rsid w:val="007446F6"/>
    <w:rsid w:val="0077337F"/>
    <w:rsid w:val="007A2FCB"/>
    <w:rsid w:val="007D6A15"/>
    <w:rsid w:val="008149E6"/>
    <w:rsid w:val="00962AB5"/>
    <w:rsid w:val="00AB7F59"/>
    <w:rsid w:val="00AC23EA"/>
    <w:rsid w:val="00CB01A8"/>
    <w:rsid w:val="00CE63B5"/>
    <w:rsid w:val="00D63464"/>
    <w:rsid w:val="00DD2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2613F"/>
  <w15:docId w15:val="{EC1FD43B-A6EC-44B6-9E76-44E9CB81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7337F"/>
  </w:style>
  <w:style w:type="paragraph" w:styleId="Heading1">
    <w:name w:val="heading 1"/>
    <w:basedOn w:val="Normal"/>
    <w:link w:val="Heading1Char"/>
    <w:uiPriority w:val="9"/>
    <w:qFormat/>
    <w:rsid w:val="007A2F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2FCB"/>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7A2F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2FCB"/>
    <w:rPr>
      <w:rFonts w:ascii="Tahoma" w:hAnsi="Tahoma" w:cs="Tahoma"/>
      <w:sz w:val="16"/>
      <w:szCs w:val="16"/>
    </w:rPr>
  </w:style>
  <w:style w:type="paragraph" w:styleId="NoSpacing">
    <w:name w:val="No Spacing"/>
    <w:uiPriority w:val="1"/>
    <w:qFormat/>
    <w:rsid w:val="00603355"/>
    <w:pPr>
      <w:spacing w:after="0" w:line="240" w:lineRule="auto"/>
    </w:pPr>
  </w:style>
  <w:style w:type="character" w:styleId="Hyperlink">
    <w:name w:val="Hyperlink"/>
    <w:basedOn w:val="DefaultParagraphFont"/>
    <w:uiPriority w:val="99"/>
    <w:semiHidden/>
    <w:unhideWhenUsed/>
    <w:rsid w:val="007446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4272971">
      <w:bodyDiv w:val="1"/>
      <w:marLeft w:val="0"/>
      <w:marRight w:val="0"/>
      <w:marTop w:val="0"/>
      <w:marBottom w:val="0"/>
      <w:divBdr>
        <w:top w:val="none" w:sz="0" w:space="0" w:color="auto"/>
        <w:left w:val="none" w:sz="0" w:space="0" w:color="auto"/>
        <w:bottom w:val="none" w:sz="0" w:space="0" w:color="auto"/>
        <w:right w:val="none" w:sz="0" w:space="0" w:color="auto"/>
      </w:divBdr>
      <w:divsChild>
        <w:div w:id="306665747">
          <w:marLeft w:val="0"/>
          <w:marRight w:val="0"/>
          <w:marTop w:val="0"/>
          <w:marBottom w:val="0"/>
          <w:divBdr>
            <w:top w:val="none" w:sz="0" w:space="0" w:color="auto"/>
            <w:left w:val="none" w:sz="0" w:space="0" w:color="auto"/>
            <w:bottom w:val="none" w:sz="0" w:space="0" w:color="auto"/>
            <w:right w:val="none" w:sz="0" w:space="0" w:color="auto"/>
          </w:divBdr>
          <w:divsChild>
            <w:div w:id="372659393">
              <w:marLeft w:val="0"/>
              <w:marRight w:val="0"/>
              <w:marTop w:val="0"/>
              <w:marBottom w:val="0"/>
              <w:divBdr>
                <w:top w:val="none" w:sz="0" w:space="0" w:color="auto"/>
                <w:left w:val="none" w:sz="0" w:space="0" w:color="auto"/>
                <w:bottom w:val="none" w:sz="0" w:space="0" w:color="auto"/>
                <w:right w:val="none" w:sz="0" w:space="0" w:color="auto"/>
              </w:divBdr>
              <w:divsChild>
                <w:div w:id="1936015328">
                  <w:marLeft w:val="0"/>
                  <w:marRight w:val="0"/>
                  <w:marTop w:val="0"/>
                  <w:marBottom w:val="0"/>
                  <w:divBdr>
                    <w:top w:val="none" w:sz="0" w:space="0" w:color="auto"/>
                    <w:left w:val="none" w:sz="0" w:space="0" w:color="auto"/>
                    <w:bottom w:val="none" w:sz="0" w:space="0" w:color="auto"/>
                    <w:right w:val="none" w:sz="0" w:space="0" w:color="auto"/>
                  </w:divBdr>
                  <w:divsChild>
                    <w:div w:id="944383802">
                      <w:marLeft w:val="90"/>
                      <w:marRight w:val="0"/>
                      <w:marTop w:val="0"/>
                      <w:marBottom w:val="0"/>
                      <w:divBdr>
                        <w:top w:val="none" w:sz="0" w:space="0" w:color="auto"/>
                        <w:left w:val="none" w:sz="0" w:space="0" w:color="auto"/>
                        <w:bottom w:val="none" w:sz="0" w:space="0" w:color="auto"/>
                        <w:right w:val="none" w:sz="0" w:space="0" w:color="auto"/>
                      </w:divBdr>
                      <w:divsChild>
                        <w:div w:id="751509951">
                          <w:marLeft w:val="0"/>
                          <w:marRight w:val="0"/>
                          <w:marTop w:val="0"/>
                          <w:marBottom w:val="0"/>
                          <w:divBdr>
                            <w:top w:val="none" w:sz="0" w:space="0" w:color="auto"/>
                            <w:left w:val="none" w:sz="0" w:space="0" w:color="auto"/>
                            <w:bottom w:val="none" w:sz="0" w:space="0" w:color="auto"/>
                            <w:right w:val="none" w:sz="0" w:space="0" w:color="auto"/>
                          </w:divBdr>
                          <w:divsChild>
                            <w:div w:id="1725372719">
                              <w:marLeft w:val="0"/>
                              <w:marRight w:val="0"/>
                              <w:marTop w:val="0"/>
                              <w:marBottom w:val="0"/>
                              <w:divBdr>
                                <w:top w:val="none" w:sz="0" w:space="0" w:color="auto"/>
                                <w:left w:val="none" w:sz="0" w:space="0" w:color="auto"/>
                                <w:bottom w:val="none" w:sz="0" w:space="0" w:color="auto"/>
                                <w:right w:val="none" w:sz="0" w:space="0" w:color="auto"/>
                              </w:divBdr>
                              <w:divsChild>
                                <w:div w:id="2146971537">
                                  <w:marLeft w:val="0"/>
                                  <w:marRight w:val="150"/>
                                  <w:marTop w:val="0"/>
                                  <w:marBottom w:val="0"/>
                                  <w:divBdr>
                                    <w:top w:val="none" w:sz="0" w:space="0" w:color="auto"/>
                                    <w:left w:val="none" w:sz="0" w:space="0" w:color="auto"/>
                                    <w:bottom w:val="none" w:sz="0" w:space="0" w:color="auto"/>
                                    <w:right w:val="none" w:sz="0" w:space="0" w:color="auto"/>
                                  </w:divBdr>
                                  <w:divsChild>
                                    <w:div w:id="678195961">
                                      <w:marLeft w:val="0"/>
                                      <w:marRight w:val="0"/>
                                      <w:marTop w:val="0"/>
                                      <w:marBottom w:val="0"/>
                                      <w:divBdr>
                                        <w:top w:val="none" w:sz="0" w:space="0" w:color="auto"/>
                                        <w:left w:val="none" w:sz="0" w:space="0" w:color="auto"/>
                                        <w:bottom w:val="none" w:sz="0" w:space="0" w:color="auto"/>
                                        <w:right w:val="none" w:sz="0" w:space="0" w:color="auto"/>
                                      </w:divBdr>
                                    </w:div>
                                    <w:div w:id="425810437">
                                      <w:marLeft w:val="0"/>
                                      <w:marRight w:val="0"/>
                                      <w:marTop w:val="0"/>
                                      <w:marBottom w:val="0"/>
                                      <w:divBdr>
                                        <w:top w:val="none" w:sz="0" w:space="0" w:color="auto"/>
                                        <w:left w:val="none" w:sz="0" w:space="0" w:color="auto"/>
                                        <w:bottom w:val="none" w:sz="0" w:space="0" w:color="auto"/>
                                        <w:right w:val="none" w:sz="0" w:space="0" w:color="auto"/>
                                      </w:divBdr>
                                    </w:div>
                                    <w:div w:id="38827887">
                                      <w:marLeft w:val="0"/>
                                      <w:marRight w:val="0"/>
                                      <w:marTop w:val="0"/>
                                      <w:marBottom w:val="0"/>
                                      <w:divBdr>
                                        <w:top w:val="none" w:sz="0" w:space="0" w:color="auto"/>
                                        <w:left w:val="none" w:sz="0" w:space="0" w:color="auto"/>
                                        <w:bottom w:val="none" w:sz="0" w:space="0" w:color="auto"/>
                                        <w:right w:val="none" w:sz="0" w:space="0" w:color="auto"/>
                                      </w:divBdr>
                                    </w:div>
                                  </w:divsChild>
                                </w:div>
                                <w:div w:id="710956424">
                                  <w:marLeft w:val="0"/>
                                  <w:marRight w:val="0"/>
                                  <w:marTop w:val="0"/>
                                  <w:marBottom w:val="0"/>
                                  <w:divBdr>
                                    <w:top w:val="none" w:sz="0" w:space="0" w:color="auto"/>
                                    <w:left w:val="none" w:sz="0" w:space="0" w:color="auto"/>
                                    <w:bottom w:val="none" w:sz="0" w:space="0" w:color="auto"/>
                                    <w:right w:val="none" w:sz="0" w:space="0" w:color="auto"/>
                                  </w:divBdr>
                                  <w:divsChild>
                                    <w:div w:id="145440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en.wikipedia.org/wiki/Republic_of_Irelan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3</Pages>
  <Words>717</Words>
  <Characters>4091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Dunstan</dc:creator>
  <cp:keywords/>
  <dc:description/>
  <cp:lastModifiedBy>Andrew Williams</cp:lastModifiedBy>
  <cp:revision>15</cp:revision>
  <cp:lastPrinted>2014-09-30T11:15:00Z</cp:lastPrinted>
  <dcterms:created xsi:type="dcterms:W3CDTF">2012-10-17T15:20:00Z</dcterms:created>
  <dcterms:modified xsi:type="dcterms:W3CDTF">2019-10-13T14:24:00Z</dcterms:modified>
</cp:coreProperties>
</file>