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FA441" w14:textId="77777777" w:rsidR="00EC48C2" w:rsidRDefault="00EC48C2" w:rsidP="00333227">
      <w:pPr>
        <w:pStyle w:val="Titlu"/>
      </w:pPr>
    </w:p>
    <w:p w14:paraId="62315777" w14:textId="77777777" w:rsidR="00EC48C2" w:rsidRDefault="00EC48C2" w:rsidP="00333227">
      <w:pPr>
        <w:pStyle w:val="Titlu"/>
      </w:pPr>
    </w:p>
    <w:p w14:paraId="77128491" w14:textId="207852C1" w:rsidR="00EC48C2" w:rsidRDefault="00EC48C2" w:rsidP="00333227">
      <w:pPr>
        <w:pStyle w:val="Titlu"/>
      </w:pPr>
      <w:r w:rsidRPr="00EC48C2">
        <w:t>Module code: LCBB4002</w:t>
      </w:r>
    </w:p>
    <w:p w14:paraId="20C6F492" w14:textId="511DFF22" w:rsidR="00327701" w:rsidRDefault="00EC48C2" w:rsidP="00333227">
      <w:pPr>
        <w:pStyle w:val="Titlu"/>
      </w:pPr>
      <w:r>
        <w:t>Module-</w:t>
      </w:r>
      <w:r w:rsidR="00333227" w:rsidRPr="00333227">
        <w:t>Community Engagement</w:t>
      </w:r>
    </w:p>
    <w:p w14:paraId="4714B102" w14:textId="2AE138E6" w:rsidR="00503D5F" w:rsidRDefault="00327701" w:rsidP="00327701">
      <w:r>
        <w:t xml:space="preserve">Words: </w:t>
      </w:r>
      <w:r w:rsidR="00FE4C7B">
        <w:t>2085</w:t>
      </w:r>
    </w:p>
    <w:p w14:paraId="3962C62B" w14:textId="280076B7" w:rsidR="00503D5F" w:rsidRDefault="00503D5F" w:rsidP="00327701">
      <w:r>
        <w:t xml:space="preserve">Student name: Razvan Mucenic </w:t>
      </w:r>
    </w:p>
    <w:p w14:paraId="3729EE0E" w14:textId="554B03B6" w:rsidR="00503D5F" w:rsidRDefault="00800C50" w:rsidP="00327701">
      <w:r>
        <w:t>Student Id: 2120426</w:t>
      </w:r>
    </w:p>
    <w:p w14:paraId="0261735B" w14:textId="37F64A3D" w:rsidR="00800C50" w:rsidRDefault="00800C50" w:rsidP="00327701">
      <w:r>
        <w:t xml:space="preserve">Module lecturer: Faizu Edu </w:t>
      </w:r>
    </w:p>
    <w:p w14:paraId="0A257492" w14:textId="77777777" w:rsidR="00503D5F" w:rsidRDefault="00503D5F" w:rsidP="00327701"/>
    <w:p w14:paraId="452155B1" w14:textId="77777777" w:rsidR="00503D5F" w:rsidRDefault="00503D5F" w:rsidP="00327701"/>
    <w:p w14:paraId="5FAD5F49" w14:textId="59F5C8B3" w:rsidR="00333227" w:rsidRDefault="00333227" w:rsidP="00327701">
      <w:pPr>
        <w:rPr>
          <w:sz w:val="32"/>
          <w:szCs w:val="32"/>
        </w:rPr>
      </w:pPr>
      <w:r>
        <w:br w:type="page"/>
      </w:r>
    </w:p>
    <w:p w14:paraId="5A5CED6A" w14:textId="435CF199" w:rsidR="00333227" w:rsidRDefault="00333227" w:rsidP="00333227">
      <w:pPr>
        <w:pStyle w:val="Titlu1"/>
        <w:jc w:val="center"/>
      </w:pPr>
      <w:r>
        <w:t>Reflection on the Community Engagement Project</w:t>
      </w:r>
    </w:p>
    <w:p w14:paraId="47BD13EB" w14:textId="644843C6" w:rsidR="006823C7" w:rsidRDefault="002C552F">
      <w:r>
        <w:t>Community engagement refers to community development through welfare activities. Community engagement projects are usually taken by humanitarian organisations in collaboration with government or local agencies. In the case of the current community engagement project, the community engagement project is based on the recent car-sharing scheme in Cardiff which was undertaken by the Cardiff council in with collaboration local businesses. The main purpose of this community engagement project is to provide sustainable solutions for the Cardiff community members</w:t>
      </w:r>
      <w:r w:rsidR="00333227">
        <w:t xml:space="preserve"> </w:t>
      </w:r>
      <w:r w:rsidR="00333227" w:rsidRPr="00333227">
        <w:t>(Goodman et al., 2017)</w:t>
      </w:r>
      <w:r>
        <w:t xml:space="preserve">. The project is aimed at reducing the transport problem of the local community which has to move around with a lot of baggage. The main problem from which this project idea arose was the lack of proper public transportation as a result people were finding it difficult to move from one place to another. As a community engagement practitioner, I have evaluated </w:t>
      </w:r>
      <w:r w:rsidR="00333227">
        <w:t>how</w:t>
      </w:r>
      <w:r>
        <w:t xml:space="preserve"> the community engagement project was implemented. In this reflective journal, I will reflect on my experience from the assessment of the project. I will reflect on what could have been done to make the project more reliable and sustainable for the local community and the environment. I will also evaluate and reflect on how social media engagement worked to increase social engagement and how fruitful impact alongside the best practices.</w:t>
      </w:r>
    </w:p>
    <w:p w14:paraId="4EDB844B" w14:textId="018B4DAF" w:rsidR="00333227" w:rsidRDefault="00333227" w:rsidP="002C552F">
      <w:r>
        <w:t xml:space="preserve">The car share community engagement project aimed to ensure that the transportation problem for the local community can be reduced as well as ensuring a sustainable solution to reduce the greenhouse gas for protecting the environment through reducing the number of car purchases. Still, now most of the cars run on petrol/diesel/octane. As per my evaluation, these vehicles emit a lot of CO2 gas which pollutes the air and thus pollutes the environment. The car-sharing scheme is aimed at keeping the number of cars or vehicles on the road in control so that carbon emissions can be reduced </w:t>
      </w:r>
      <w:r w:rsidRPr="00333227">
        <w:t xml:space="preserve">(Hoffner </w:t>
      </w:r>
      <w:r w:rsidR="00330A52">
        <w:t>and</w:t>
      </w:r>
      <w:r w:rsidRPr="00333227">
        <w:t xml:space="preserve"> Bond, 2022)</w:t>
      </w:r>
      <w:r>
        <w:t>. At the same time, the car-sharing scheme is also focused on reducing the transportation problem for the local community especially when people need transportation while moving from one place to another baggage. It is a very necessary step from the local community and the Cardiff council to ensure transportation accommodation for the local community and it will also ensure the sustainability of the environment through controlling carbon emission. From my point of view as a social engagement practitioner, the approach is very good and entirely focused on ensuring a sustainable solution for reducing the transportation problem as well as the carbon emissions. The stakeholders of the project are Cardiff community members, local businesses and the Cardiff council. It is very necessary for a social engagement project to ensure the benefit of all the stakeholders involved in the project.</w:t>
      </w:r>
    </w:p>
    <w:p w14:paraId="7DE7BC0E" w14:textId="5BD82A1C" w:rsidR="00333227" w:rsidRDefault="00333227" w:rsidP="002C552F">
      <w:r>
        <w:t xml:space="preserve">If I were to implement this project, I would have added some more key features of social or community engagement projects. As the care-sharing scheme is focused on reducing the transportation hassle and cost of the local community and sustainability at the same time, I would have promoted electric vehicles and solar-run vehicles which are more sustainable for the environment. It is also cost-effective for the community in the long run as the electric vehicles run on very minimal electricity and depending on electricity is a somewhat sustainable source compared to fossil fuels </w:t>
      </w:r>
      <w:r w:rsidRPr="00333227">
        <w:t>(Ledwith, 2020)</w:t>
      </w:r>
      <w:r>
        <w:t xml:space="preserve">. Also, It does not pollute air which is a plus point for using electric vehicles. So, it will serve both of the purposes that the project wants to establish through its care-sharing scheming. In that case, I would like to promote electric vehicles and solar vehicles which are sustainable options for both public transportation and reducing carbon emissions. As discussed before, the project was implemented with the active participation of all the stakeholders involved. The Cardiff community and council are the main stakeholders in this case. The Cardiff community with the help of Cardiff Council’s volunteers raised awareness about the scheme among the people. It was a fruitful approach as the Cardiff community was able to use the manpower of the Cardiff council to ensure the active participation of all the stakeholders. However, if I were to implement the project, as a community engagement practitioner, I could have involved more concerned persons in this regard </w:t>
      </w:r>
      <w:r w:rsidRPr="00333227">
        <w:t>(Marsh et al., 2021)</w:t>
      </w:r>
      <w:r>
        <w:t xml:space="preserve">. I would have involved the local police department of Cardiff to ensure the legal enclosures of the project. Police have a good image in the Cardiff community. Using the help of the Cardiff police department could have ensured more social engagement and awareness </w:t>
      </w:r>
      <w:r w:rsidRPr="00333227">
        <w:t>(Yi et al., 2019)</w:t>
      </w:r>
      <w:r>
        <w:t>. Also, engaging the cooperation of the traffic police department of Cardiff could have helped more to raise necessary awareness about the project. The local police department of Cardiff and the traffic police department are already indirect stakeholders of the car-sharing scheme regardless of their exclusion from the project. I would have used their help to reach more people.</w:t>
      </w:r>
    </w:p>
    <w:p w14:paraId="4455B16A" w14:textId="4A4C2717" w:rsidR="00333227" w:rsidRDefault="00333227" w:rsidP="00333227">
      <w:r>
        <w:t xml:space="preserve">In case of active participation of the concerned stakeholders, I would have involved the local authority such as the Mayor himself in the project to increase awareness about the project. It could have helped to get more attention from the public. While it is a community engagement project, it is necessary to put maximum effort into reaching more and more people. I will also try to align the project objectives and aims with the legal aspects and in that case, engaging the government in this issue is very necessary. As the UK government has set a sustainability target to achieve net zero emissions by 2050 and also reduce petrol/diesel-run vehicles by 2030, it would have been helpful to engage any government agency in the project </w:t>
      </w:r>
      <w:r w:rsidRPr="00333227">
        <w:t>(Matthews et al., 2018)</w:t>
      </w:r>
      <w:r>
        <w:t xml:space="preserve">. I would have come up with a proposal to introduce a carbon tax on vehicles to discourage people from buying diesel/petrol-run vehicles and shift their focus more to electric vehicles. The active consultation and stakeholders' participation played a crucial role in the success of the project. By involving the community members, local businesses, and Cardiff Council as key stakeholders, the project ensured that the car-sharing scheme addressed the specific needs and challenges faced by the residents. This inclusive approach allowed for a more comprehensive and effective solution to be developed </w:t>
      </w:r>
      <w:r w:rsidRPr="00333227">
        <w:t>(Mavlutova et al., 2021)</w:t>
      </w:r>
      <w:r>
        <w:t xml:space="preserve">. </w:t>
      </w:r>
      <w:r w:rsidRPr="00333227">
        <w:t>The active participation of stakeholders, including community members, local businesses, and the Cardiff Council, fostered a collaborative approach. This multi-agency collaboration ensured that the project had the necessary support, resources, and expertise for successful implementation and monitoring.</w:t>
      </w:r>
      <w:r>
        <w:t xml:space="preserve"> </w:t>
      </w:r>
    </w:p>
    <w:p w14:paraId="24D9ACC4" w14:textId="08CC2751" w:rsidR="00333227" w:rsidRDefault="00333227" w:rsidP="002C552F">
      <w:r>
        <w:t xml:space="preserve">In the case of the stakeholder mapping, the project implementation community divided the stakeholders into three groups the Cardiff community, the local businesses and the Cardiff council. The Cardiff community members are the direct beneficiaries of the car-sharing scheme as they get to have transportation facilities at a lot cost. They have a strong interest and strong power in the project. The Cardiff Council has a good impact or decision-making power in the project implementation as the volunteers of the Cardiff Council have actively contributed to the project implementation and awareness program. The local businesses here are also the beneficiaries as they will provide ride-sharing or car-sharing facilities for the local community at a very reasonable price </w:t>
      </w:r>
      <w:r w:rsidRPr="00333227">
        <w:t>(Knight et al., 2020)</w:t>
      </w:r>
      <w:r>
        <w:t xml:space="preserve">. If I were to implement this project, I could have engaged more important stakeholders who could have a more significant impact on the project implementation. The government, the local police and traffic department etc. could have a more significant impact on the car share scheme project and could have helped to raise awareness about the initiative. </w:t>
      </w:r>
    </w:p>
    <w:p w14:paraId="7A820A2C" w14:textId="5B826462" w:rsidR="00333227" w:rsidRDefault="00333227" w:rsidP="00333227">
      <w:r>
        <w:t>T</w:t>
      </w:r>
      <w:r w:rsidRPr="00333227">
        <w:t>he project demonstrated the importance of diversity and inclusion. By considering the needs of residents who lacked access to personal vehicles, the scheme aimed to provide equitable transportation opportunities for all community members. This inclusive approach not only addressed transportation challenges but also promoted social cohesion and accessibility to essential services.</w:t>
      </w:r>
      <w:r>
        <w:t xml:space="preserve"> In terms of communication, the project utilized public meetings to inform the residents about the objectives and benefits of the scheme </w:t>
      </w:r>
      <w:r w:rsidRPr="00333227">
        <w:t>(Knight et al., 2020)</w:t>
      </w:r>
      <w:r>
        <w:t xml:space="preserve">. This transparent communication approach enabled the community members to understand the purpose and potential advantages of the project. Additionally, the use of suggestion boxes provided an avenue for feedback and opinions, allowing for continuous improvement and adaptation of the scheme. The project's engagement through social media platforms also contributed to its impact. By utilizing these platforms, the project team could reach a wider audience and disseminate information more efficiently. This approach helped in raising awareness about the scheme and engaging with a diverse range of community members. The impacts of these practices were significant. The car-sharing scheme provided cost-effectiveness to the community members by eliminating the need for private car ownership and associated costs </w:t>
      </w:r>
      <w:r w:rsidRPr="00333227">
        <w:t>(Mavlutova et al., 2021)</w:t>
      </w:r>
      <w:r>
        <w:t>. It also addressed environmental concerns by reducing greenhouse gas emissions and decreasing reliance on private cars, which contributed to the overall sustainability of Cardiff.</w:t>
      </w:r>
    </w:p>
    <w:p w14:paraId="574790CF" w14:textId="3E2C6E55" w:rsidR="00333227" w:rsidRDefault="00333227" w:rsidP="002C552F">
      <w:r>
        <w:t xml:space="preserve">The active consultation and multi-agency collaborations ensured that the scheme was aligned with the community's needs and received support from various stakeholders. This collaborative approach enhanced the project's effectiveness and sustainability. </w:t>
      </w:r>
      <w:r w:rsidRPr="00333227">
        <w:t>The impact of social engagement through social media platforms was significant. By leveraging these platforms, the project team was able to reach a wider audience and engage with diverse stakeholders. It allowed for efficient dissemination of information, generating awareness and interest among the community members. Social media also provided a platform for ongoing communication and feedback, enabling continuous improvement of the project</w:t>
      </w:r>
      <w:r>
        <w:t xml:space="preserve"> </w:t>
      </w:r>
      <w:r w:rsidRPr="00333227">
        <w:t xml:space="preserve">(Bean </w:t>
      </w:r>
      <w:r w:rsidR="00330A52">
        <w:t>and</w:t>
      </w:r>
      <w:r w:rsidRPr="00333227">
        <w:t xml:space="preserve"> Melzer, 2021).</w:t>
      </w:r>
      <w:r>
        <w:t xml:space="preserve"> </w:t>
      </w:r>
      <w:r w:rsidRPr="00333227">
        <w:t>the project demonstrated the importance of diversity and inclusion. By considering the needs of residents who lacked access to personal vehicles, the scheme aimed to provide equitable transportation opportunities for all community members. This inclusive approach not only addressed transportation challenges but also promoted social cohesion and accessibility to essential services.</w:t>
      </w:r>
      <w:r>
        <w:t xml:space="preserve"> If I were to implement the project, I would have used digital media alongside the social media approach for advertisement purposes. I would have used big data to track the target audience and make them aware of the scheme </w:t>
      </w:r>
      <w:r w:rsidRPr="00333227">
        <w:t>(Nückles et al., 2020)</w:t>
      </w:r>
      <w:r>
        <w:t xml:space="preserve">. Also, in the case of social media marketing, I would have used video and content marketing to reach more audiences who needed to know about the community engagement project. Apart from these approaches, there are email marketing and other labelled approaches which can be useful in this case. I could have used content marketing to tell the audience about the various features of our project. Again, I could have promoted the government’s sustainability goals. While using digital or social media, there is unlimited scope to reach the target audiences. </w:t>
      </w:r>
    </w:p>
    <w:p w14:paraId="5AA873D6" w14:textId="7E65BADC" w:rsidR="00333227" w:rsidRDefault="00333227" w:rsidP="002C552F">
      <w:r>
        <w:t xml:space="preserve">Community engagement refers to community development through welfare activities. Community engagement projects are usually taken by humanitarian organisations in collaboration with government or local agencies. In the case of the current community engagement project, the community engagement project is based on the recent car-sharing scheme in Cardiff which was undertaken by the Cardiff council in with collaboration local businesses. The main purpose of this community engagement project is to provide sustainable solutions for the Cardiff community members. </w:t>
      </w:r>
      <w:r w:rsidRPr="00333227">
        <w:t>The analysis of the Cardiff Community Car Share Scheme project highlights the importance of active consultation, communication, stakeholder participation, diversity, and inclusion, as well as multi-agency collaborations in its success. Thorough research, including needs assessments, was conducted to understand the transportation needs of Cardiff residents. This ensured that the project was aligned with the actual needs of the community. Active consultation was carried out through public meetings and suggestion boxes, allowing residents to provide feedback and suggestions. Clear and transparent communication was maintained throughout the project, enhancing trust and credibility. Social media platforms were leveraged for social engagement, reaching a wider audience and facilitating ongoing communication and feedback. The active participation of stakeholders, including community members, local businesses, and the Cardiff Council, fostered a collaborative approach. This multi-agency collaboration provided the necessary support, resources, and expertise for successful implementation and monitoring. The project also focused on diversity and inclusion, aiming to provide equitable transportation opportunities for all community members.</w:t>
      </w:r>
      <w:r>
        <w:t xml:space="preserve"> The project is aimed at reducing the transport problem of the local community which has to move around with a lot of baggage. The main problem from which this project idea arose was the lack of proper public transportation as a result people were finding it difficult to move from one place to another. Reflective learning is very important. From this reflective analysis, I have got to see where I could have improved the project if I were to launch the project. I have learned a lot while I was studying the project and it has been a very fascinating journey.</w:t>
      </w:r>
    </w:p>
    <w:p w14:paraId="166890C4" w14:textId="3659D783" w:rsidR="00333227" w:rsidRDefault="00333227">
      <w:pPr>
        <w:spacing w:before="0" w:after="160" w:line="259" w:lineRule="auto"/>
        <w:jc w:val="left"/>
      </w:pPr>
      <w:r>
        <w:br w:type="page"/>
      </w:r>
    </w:p>
    <w:p w14:paraId="2FAD9947" w14:textId="74B958BD" w:rsidR="00333227" w:rsidRDefault="00333227" w:rsidP="00333227">
      <w:pPr>
        <w:pStyle w:val="Titlu1"/>
      </w:pPr>
      <w:r>
        <w:t>References</w:t>
      </w:r>
    </w:p>
    <w:p w14:paraId="7A01D760" w14:textId="77777777" w:rsidR="00A40371" w:rsidRPr="00333227" w:rsidRDefault="00A40371" w:rsidP="00A40371">
      <w:pPr>
        <w:ind w:left="576" w:hanging="576"/>
        <w:rPr>
          <w:shd w:val="clear" w:color="auto" w:fill="FFFFFF"/>
        </w:rPr>
      </w:pPr>
      <w:r w:rsidRPr="00333227">
        <w:rPr>
          <w:shd w:val="clear" w:color="auto" w:fill="FFFFFF"/>
        </w:rPr>
        <w:t xml:space="preserve">Balkrisna, S.J., </w:t>
      </w:r>
      <w:r>
        <w:rPr>
          <w:shd w:val="clear" w:color="auto" w:fill="FFFFFF"/>
        </w:rPr>
        <w:t>(</w:t>
      </w:r>
      <w:r w:rsidRPr="00333227">
        <w:rPr>
          <w:shd w:val="clear" w:color="auto" w:fill="FFFFFF"/>
        </w:rPr>
        <w:t>2022</w:t>
      </w:r>
      <w:r>
        <w:rPr>
          <w:shd w:val="clear" w:color="auto" w:fill="FFFFFF"/>
        </w:rPr>
        <w:t>)</w:t>
      </w:r>
      <w:r w:rsidRPr="00333227">
        <w:rPr>
          <w:shd w:val="clear" w:color="auto" w:fill="FFFFFF"/>
        </w:rPr>
        <w:t>. </w:t>
      </w:r>
      <w:r w:rsidRPr="00333227">
        <w:rPr>
          <w:i/>
          <w:iCs/>
          <w:shd w:val="clear" w:color="auto" w:fill="FFFFFF"/>
        </w:rPr>
        <w:t xml:space="preserve">Introspective </w:t>
      </w:r>
      <w:r>
        <w:rPr>
          <w:i/>
          <w:iCs/>
          <w:shd w:val="clear" w:color="auto" w:fill="FFFFFF"/>
        </w:rPr>
        <w:t>Writing An Automaker's</w:t>
      </w:r>
      <w:r w:rsidRPr="00333227">
        <w:rPr>
          <w:i/>
          <w:iCs/>
          <w:shd w:val="clear" w:color="auto" w:fill="FFFFFF"/>
        </w:rPr>
        <w:t xml:space="preserve"> sustainable growth trajectory and a self-reflective journal after engaging in an intensive three-week business simulation</w:t>
      </w:r>
      <w:r w:rsidRPr="00333227">
        <w:rPr>
          <w:shd w:val="clear" w:color="auto" w:fill="FFFFFF"/>
        </w:rPr>
        <w:t> (Doctoral dissertation).</w:t>
      </w:r>
    </w:p>
    <w:p w14:paraId="33B0668D" w14:textId="77777777" w:rsidR="00A40371" w:rsidRPr="00333227" w:rsidRDefault="00A40371" w:rsidP="00A40371">
      <w:pPr>
        <w:ind w:left="576" w:hanging="576"/>
      </w:pPr>
      <w:r w:rsidRPr="00333227">
        <w:rPr>
          <w:shd w:val="clear" w:color="auto" w:fill="FFFFFF"/>
        </w:rPr>
        <w:t xml:space="preserve">Bean, J.C. and Melzer, D., </w:t>
      </w:r>
      <w:r>
        <w:rPr>
          <w:shd w:val="clear" w:color="auto" w:fill="FFFFFF"/>
        </w:rPr>
        <w:t>(</w:t>
      </w:r>
      <w:r w:rsidRPr="00333227">
        <w:rPr>
          <w:shd w:val="clear" w:color="auto" w:fill="FFFFFF"/>
        </w:rPr>
        <w:t>2021</w:t>
      </w:r>
      <w:r>
        <w:rPr>
          <w:shd w:val="clear" w:color="auto" w:fill="FFFFFF"/>
        </w:rPr>
        <w:t>)</w:t>
      </w:r>
      <w:r w:rsidRPr="00333227">
        <w:rPr>
          <w:shd w:val="clear" w:color="auto" w:fill="FFFFFF"/>
        </w:rPr>
        <w:t>. </w:t>
      </w:r>
      <w:r w:rsidRPr="00333227">
        <w:rPr>
          <w:i/>
          <w:iCs/>
          <w:shd w:val="clear" w:color="auto" w:fill="FFFFFF"/>
        </w:rPr>
        <w:t>Engaging ideas: The professor's guide to integrating writing, critical thinking, and active learning in the classroom</w:t>
      </w:r>
      <w:r w:rsidRPr="00333227">
        <w:rPr>
          <w:shd w:val="clear" w:color="auto" w:fill="FFFFFF"/>
        </w:rPr>
        <w:t xml:space="preserve">. John Wiley </w:t>
      </w:r>
      <w:r>
        <w:rPr>
          <w:shd w:val="clear" w:color="auto" w:fill="FFFFFF"/>
        </w:rPr>
        <w:t>and</w:t>
      </w:r>
      <w:r w:rsidRPr="00333227">
        <w:rPr>
          <w:shd w:val="clear" w:color="auto" w:fill="FFFFFF"/>
        </w:rPr>
        <w:t xml:space="preserve"> Sons.</w:t>
      </w:r>
    </w:p>
    <w:p w14:paraId="115AFFA0" w14:textId="77777777" w:rsidR="00A40371" w:rsidRDefault="00A40371" w:rsidP="00A40371">
      <w:pPr>
        <w:ind w:left="576" w:hanging="576"/>
      </w:pPr>
      <w:r>
        <w:t>Goodman, M.S., Thompson, V.L.S., Arroyo Johnson, C., Gennarelli, R., Drake, B.F., Bajwa, P., Witherspoon, M. and Bowen, D. (2017). Evaluating community engagement in research: quantitative measure development. Journal of Community Psychology, 45(1), pp.17-32.</w:t>
      </w:r>
    </w:p>
    <w:p w14:paraId="6B0D4CC7" w14:textId="77777777" w:rsidR="00A40371" w:rsidRDefault="00A40371" w:rsidP="00A40371">
      <w:pPr>
        <w:ind w:left="576" w:hanging="576"/>
      </w:pPr>
      <w:r>
        <w:t>Hoffner, C.A. and Bond, B.J. (2022). Parasocial relationships, social media, and well-being. Current Opinion in Psychology, 45, p.101306.</w:t>
      </w:r>
    </w:p>
    <w:p w14:paraId="78475C36" w14:textId="77777777" w:rsidR="00A40371" w:rsidRPr="00333227" w:rsidRDefault="00A40371" w:rsidP="00A40371">
      <w:pPr>
        <w:ind w:left="576" w:hanging="576"/>
        <w:rPr>
          <w:shd w:val="clear" w:color="auto" w:fill="FFFFFF"/>
        </w:rPr>
      </w:pPr>
      <w:r w:rsidRPr="00333227">
        <w:rPr>
          <w:shd w:val="clear" w:color="auto" w:fill="FFFFFF"/>
        </w:rPr>
        <w:t xml:space="preserve">Knight, S., Shibani, A., Abel, S., Gibson, A., Ryan, P., Sutton, N., Wight, R., Lucas, C., Sandor, A., Kitto, K. and Liu, M., </w:t>
      </w:r>
      <w:r>
        <w:rPr>
          <w:shd w:val="clear" w:color="auto" w:fill="FFFFFF"/>
        </w:rPr>
        <w:t>(</w:t>
      </w:r>
      <w:r w:rsidRPr="00333227">
        <w:rPr>
          <w:shd w:val="clear" w:color="auto" w:fill="FFFFFF"/>
        </w:rPr>
        <w:t>2020</w:t>
      </w:r>
      <w:r>
        <w:rPr>
          <w:shd w:val="clear" w:color="auto" w:fill="FFFFFF"/>
        </w:rPr>
        <w:t>)</w:t>
      </w:r>
      <w:r w:rsidRPr="00333227">
        <w:rPr>
          <w:shd w:val="clear" w:color="auto" w:fill="FFFFFF"/>
        </w:rPr>
        <w:t>. AcaWriter: A learning analytics tool for formative feedback on academic writing.</w:t>
      </w:r>
    </w:p>
    <w:p w14:paraId="64A96F70" w14:textId="77777777" w:rsidR="00A40371" w:rsidRDefault="00A40371" w:rsidP="00A40371">
      <w:pPr>
        <w:ind w:left="576" w:hanging="576"/>
      </w:pPr>
      <w:r>
        <w:t>Ledwith, M. (2020). Community development: A critical approach. Policy Press.</w:t>
      </w:r>
    </w:p>
    <w:p w14:paraId="53250436" w14:textId="77777777" w:rsidR="00A40371" w:rsidRDefault="00A40371" w:rsidP="00A40371">
      <w:pPr>
        <w:ind w:left="576" w:hanging="576"/>
      </w:pPr>
      <w:r>
        <w:t>Marsh, E.E., Kappelman, M.D., Kost, R.G., Mudd-Martin, G., Shannon, J., Stark, L.A. and Carrasquillo, O. (2021). Community engagement during COVID: A field report from seven CTSAs. Journal of Clinical and Translational Science, 5(1), p.e104.</w:t>
      </w:r>
    </w:p>
    <w:p w14:paraId="4E1F745E" w14:textId="77777777" w:rsidR="00A40371" w:rsidRDefault="00A40371" w:rsidP="00A40371">
      <w:pPr>
        <w:ind w:left="576" w:hanging="576"/>
      </w:pPr>
      <w:r>
        <w:t>Matthews, A.K., Newman, S., Anderson, E.E., Castillo, A., Willis, M. and Choure, W. (2018). Development, implementation, and evaluation of a Community Engagement Advisory Board: strategies for maximizing success. Journal of Clinical and Translational Science, 2(1), pp.8-13.</w:t>
      </w:r>
    </w:p>
    <w:p w14:paraId="27C01171" w14:textId="77777777" w:rsidR="00A40371" w:rsidRDefault="00A40371" w:rsidP="00A40371">
      <w:pPr>
        <w:ind w:left="576" w:hanging="576"/>
      </w:pPr>
      <w:r>
        <w:t>Mavlutova, I., Kuzmina, J., Uvarova, I., Atstaja, D., Lesinskis, K., Mikelsone, E. and Brizga, J. (2021). Does car sharing contribute to urban sustainability from a user-motivation perspective? Sustainability, 13(19), p.10588.</w:t>
      </w:r>
    </w:p>
    <w:p w14:paraId="0E69E6FC" w14:textId="77777777" w:rsidR="00A40371" w:rsidRPr="00333227" w:rsidRDefault="00A40371" w:rsidP="00A40371">
      <w:pPr>
        <w:ind w:left="576" w:hanging="576"/>
        <w:rPr>
          <w:shd w:val="clear" w:color="auto" w:fill="FFFFFF"/>
        </w:rPr>
      </w:pPr>
      <w:r w:rsidRPr="00333227">
        <w:rPr>
          <w:shd w:val="clear" w:color="auto" w:fill="FFFFFF"/>
        </w:rPr>
        <w:t xml:space="preserve">Nückles, M., Roelle, J., Glogger-Frey, I., Waldeyer, J. and Renkl, A., </w:t>
      </w:r>
      <w:r>
        <w:rPr>
          <w:shd w:val="clear" w:color="auto" w:fill="FFFFFF"/>
        </w:rPr>
        <w:t>(</w:t>
      </w:r>
      <w:r w:rsidRPr="00333227">
        <w:rPr>
          <w:shd w:val="clear" w:color="auto" w:fill="FFFFFF"/>
        </w:rPr>
        <w:t>2020</w:t>
      </w:r>
      <w:r>
        <w:rPr>
          <w:shd w:val="clear" w:color="auto" w:fill="FFFFFF"/>
        </w:rPr>
        <w:t>)</w:t>
      </w:r>
      <w:r w:rsidRPr="00333227">
        <w:rPr>
          <w:shd w:val="clear" w:color="auto" w:fill="FFFFFF"/>
        </w:rPr>
        <w:t>. The self-regulation-view in writing-to-learn: Using journal writing to optimize cognitive load in self-regulated learning. </w:t>
      </w:r>
      <w:r w:rsidRPr="00333227">
        <w:rPr>
          <w:i/>
          <w:iCs/>
          <w:shd w:val="clear" w:color="auto" w:fill="FFFFFF"/>
        </w:rPr>
        <w:t>Educational Psychology Review</w:t>
      </w:r>
      <w:r w:rsidRPr="00333227">
        <w:rPr>
          <w:shd w:val="clear" w:color="auto" w:fill="FFFFFF"/>
        </w:rPr>
        <w:t>, </w:t>
      </w:r>
      <w:r w:rsidRPr="00333227">
        <w:rPr>
          <w:i/>
          <w:iCs/>
          <w:shd w:val="clear" w:color="auto" w:fill="FFFFFF"/>
        </w:rPr>
        <w:t>32</w:t>
      </w:r>
      <w:r w:rsidRPr="00333227">
        <w:rPr>
          <w:shd w:val="clear" w:color="auto" w:fill="FFFFFF"/>
        </w:rPr>
        <w:t>, pp.1089-1126.</w:t>
      </w:r>
    </w:p>
    <w:p w14:paraId="0FCEF73D" w14:textId="77777777" w:rsidR="00A40371" w:rsidRPr="00333227" w:rsidRDefault="00A40371" w:rsidP="00A40371">
      <w:pPr>
        <w:ind w:left="576" w:hanging="576"/>
        <w:rPr>
          <w:shd w:val="clear" w:color="auto" w:fill="FFFFFF"/>
        </w:rPr>
      </w:pPr>
      <w:r w:rsidRPr="00333227">
        <w:rPr>
          <w:shd w:val="clear" w:color="auto" w:fill="FFFFFF"/>
        </w:rPr>
        <w:t xml:space="preserve">Teng, L.S. and Zhang, L.J., </w:t>
      </w:r>
      <w:r>
        <w:rPr>
          <w:shd w:val="clear" w:color="auto" w:fill="FFFFFF"/>
        </w:rPr>
        <w:t>(</w:t>
      </w:r>
      <w:r w:rsidRPr="00333227">
        <w:rPr>
          <w:shd w:val="clear" w:color="auto" w:fill="FFFFFF"/>
        </w:rPr>
        <w:t>2020</w:t>
      </w:r>
      <w:r>
        <w:rPr>
          <w:shd w:val="clear" w:color="auto" w:fill="FFFFFF"/>
        </w:rPr>
        <w:t>)</w:t>
      </w:r>
      <w:r w:rsidRPr="00333227">
        <w:rPr>
          <w:shd w:val="clear" w:color="auto" w:fill="FFFFFF"/>
        </w:rPr>
        <w:t>. Empowering learners in the second/foreign language classroom: Can self-regulated learning strategies-based writing instruction make a difference</w:t>
      </w:r>
      <w:r>
        <w:rPr>
          <w:shd w:val="clear" w:color="auto" w:fill="FFFFFF"/>
        </w:rPr>
        <w:t>?</w:t>
      </w:r>
      <w:r w:rsidRPr="00333227">
        <w:rPr>
          <w:shd w:val="clear" w:color="auto" w:fill="FFFFFF"/>
        </w:rPr>
        <w:t> </w:t>
      </w:r>
      <w:r w:rsidRPr="00333227">
        <w:rPr>
          <w:i/>
          <w:iCs/>
          <w:shd w:val="clear" w:color="auto" w:fill="FFFFFF"/>
        </w:rPr>
        <w:t>Journal of Second Language Writing</w:t>
      </w:r>
      <w:r w:rsidRPr="00333227">
        <w:rPr>
          <w:shd w:val="clear" w:color="auto" w:fill="FFFFFF"/>
        </w:rPr>
        <w:t>, </w:t>
      </w:r>
      <w:r w:rsidRPr="00333227">
        <w:rPr>
          <w:i/>
          <w:iCs/>
          <w:shd w:val="clear" w:color="auto" w:fill="FFFFFF"/>
        </w:rPr>
        <w:t>48</w:t>
      </w:r>
      <w:r w:rsidRPr="00333227">
        <w:rPr>
          <w:shd w:val="clear" w:color="auto" w:fill="FFFFFF"/>
        </w:rPr>
        <w:t>, p.100701.</w:t>
      </w:r>
    </w:p>
    <w:p w14:paraId="11EFA0A7" w14:textId="77777777" w:rsidR="00A40371" w:rsidRPr="00333227" w:rsidRDefault="00A40371" w:rsidP="00A40371">
      <w:pPr>
        <w:ind w:left="576" w:hanging="576"/>
        <w:rPr>
          <w:shd w:val="clear" w:color="auto" w:fill="FFFFFF"/>
        </w:rPr>
      </w:pPr>
      <w:r w:rsidRPr="00333227">
        <w:rPr>
          <w:shd w:val="clear" w:color="auto" w:fill="FFFFFF"/>
        </w:rPr>
        <w:t xml:space="preserve">Yi, Y., Lu, X. and Leng, J., </w:t>
      </w:r>
      <w:r>
        <w:rPr>
          <w:shd w:val="clear" w:color="auto" w:fill="FFFFFF"/>
        </w:rPr>
        <w:t>(</w:t>
      </w:r>
      <w:r w:rsidRPr="00333227">
        <w:rPr>
          <w:shd w:val="clear" w:color="auto" w:fill="FFFFFF"/>
        </w:rPr>
        <w:t>2019</w:t>
      </w:r>
      <w:r>
        <w:rPr>
          <w:shd w:val="clear" w:color="auto" w:fill="FFFFFF"/>
        </w:rPr>
        <w:t>)</w:t>
      </w:r>
      <w:r w:rsidRPr="00333227">
        <w:rPr>
          <w:shd w:val="clear" w:color="auto" w:fill="FFFFFF"/>
        </w:rPr>
        <w:t>. Exploring the development of reflection among pre-service teachers in online collaborative writing: An epistemic network analysis. In </w:t>
      </w:r>
      <w:r w:rsidRPr="00333227">
        <w:rPr>
          <w:i/>
          <w:iCs/>
          <w:shd w:val="clear" w:color="auto" w:fill="FFFFFF"/>
        </w:rPr>
        <w:t>Advances in Quantitative Ethnography: First International Conference, ICQE 2019, Madison, WI, USA, October 20–22, 2019, Proceedings 1</w:t>
      </w:r>
      <w:r w:rsidRPr="00333227">
        <w:rPr>
          <w:shd w:val="clear" w:color="auto" w:fill="FFFFFF"/>
        </w:rPr>
        <w:t> (pp. 257-266). Springer International Publishing.</w:t>
      </w:r>
    </w:p>
    <w:p w14:paraId="21CDD58B" w14:textId="77777777" w:rsidR="00333227" w:rsidRPr="00333227" w:rsidRDefault="00333227" w:rsidP="00333227"/>
    <w:p w14:paraId="408F01EB" w14:textId="77777777" w:rsidR="00333227" w:rsidRDefault="00333227" w:rsidP="002C552F"/>
    <w:sectPr w:rsidR="003332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D3494" w14:textId="77777777" w:rsidR="0006778C" w:rsidRDefault="0006778C" w:rsidP="00990847">
      <w:pPr>
        <w:spacing w:before="0" w:after="0" w:line="240" w:lineRule="auto"/>
      </w:pPr>
      <w:r>
        <w:separator/>
      </w:r>
    </w:p>
  </w:endnote>
  <w:endnote w:type="continuationSeparator" w:id="0">
    <w:p w14:paraId="3AB0AC29" w14:textId="77777777" w:rsidR="0006778C" w:rsidRDefault="0006778C" w:rsidP="009908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19FFC" w14:textId="77777777" w:rsidR="0006778C" w:rsidRDefault="0006778C" w:rsidP="00990847">
      <w:pPr>
        <w:spacing w:before="0" w:after="0" w:line="240" w:lineRule="auto"/>
      </w:pPr>
      <w:r>
        <w:separator/>
      </w:r>
    </w:p>
  </w:footnote>
  <w:footnote w:type="continuationSeparator" w:id="0">
    <w:p w14:paraId="35A159E4" w14:textId="77777777" w:rsidR="0006778C" w:rsidRDefault="0006778C" w:rsidP="009908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C0746"/>
    <w:multiLevelType w:val="hybridMultilevel"/>
    <w:tmpl w:val="82B83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5690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hideSpellingErrors/>
  <w:hideGrammaticalErrors/>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wMTEyMbY0MjMwN7BQ0lEKTi0uzszPAykwqgUAh/P/oSwAAAA="/>
  </w:docVars>
  <w:rsids>
    <w:rsidRoot w:val="002C552F"/>
    <w:rsid w:val="0001309C"/>
    <w:rsid w:val="0006778C"/>
    <w:rsid w:val="001779B3"/>
    <w:rsid w:val="002C552F"/>
    <w:rsid w:val="00327701"/>
    <w:rsid w:val="00330A52"/>
    <w:rsid w:val="00333227"/>
    <w:rsid w:val="00503D5F"/>
    <w:rsid w:val="005457EF"/>
    <w:rsid w:val="005F0322"/>
    <w:rsid w:val="006823C7"/>
    <w:rsid w:val="007A1732"/>
    <w:rsid w:val="007D0192"/>
    <w:rsid w:val="00800C50"/>
    <w:rsid w:val="00845248"/>
    <w:rsid w:val="0087298C"/>
    <w:rsid w:val="008E288B"/>
    <w:rsid w:val="00990847"/>
    <w:rsid w:val="00A4003B"/>
    <w:rsid w:val="00A40371"/>
    <w:rsid w:val="00B856C8"/>
    <w:rsid w:val="00BE5C03"/>
    <w:rsid w:val="00C86E61"/>
    <w:rsid w:val="00CE756D"/>
    <w:rsid w:val="00D15DFF"/>
    <w:rsid w:val="00D512F4"/>
    <w:rsid w:val="00EC48C2"/>
    <w:rsid w:val="00F3038C"/>
    <w:rsid w:val="00FE4C7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1AD8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9B3"/>
    <w:pPr>
      <w:spacing w:before="120" w:after="120" w:line="360" w:lineRule="auto"/>
      <w:jc w:val="both"/>
    </w:pPr>
    <w:rPr>
      <w:rFonts w:ascii="Times New Roman" w:hAnsi="Times New Roman" w:cs="Times New Roman"/>
      <w:kern w:val="0"/>
      <w:sz w:val="24"/>
      <w:szCs w:val="24"/>
      <w:lang w:val="en-GB"/>
      <w14:ligatures w14:val="none"/>
    </w:rPr>
  </w:style>
  <w:style w:type="paragraph" w:styleId="Titlu1">
    <w:name w:val="heading 1"/>
    <w:basedOn w:val="Normal"/>
    <w:next w:val="Normal"/>
    <w:link w:val="Titlu1Caracter"/>
    <w:uiPriority w:val="9"/>
    <w:qFormat/>
    <w:rsid w:val="00F3038C"/>
    <w:pPr>
      <w:keepNext/>
      <w:keepLines/>
      <w:spacing w:before="240" w:line="480" w:lineRule="auto"/>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B856C8"/>
    <w:pPr>
      <w:keepNext/>
      <w:keepLines/>
      <w:spacing w:before="4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3038C"/>
    <w:rPr>
      <w:rFonts w:ascii="Times New Roman" w:eastAsiaTheme="majorEastAsia" w:hAnsi="Times New Roman" w:cstheme="majorBidi"/>
      <w:b/>
      <w:sz w:val="32"/>
      <w:szCs w:val="32"/>
      <w:lang w:val="en-GB"/>
    </w:rPr>
  </w:style>
  <w:style w:type="paragraph" w:styleId="Titlu">
    <w:name w:val="Title"/>
    <w:basedOn w:val="Normal"/>
    <w:next w:val="Normal"/>
    <w:link w:val="TitluCaracter"/>
    <w:autoRedefine/>
    <w:uiPriority w:val="10"/>
    <w:qFormat/>
    <w:rsid w:val="00333227"/>
    <w:pPr>
      <w:contextualSpacing/>
      <w:jc w:val="center"/>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333227"/>
    <w:rPr>
      <w:rFonts w:ascii="Times New Roman" w:eastAsiaTheme="majorEastAsia" w:hAnsi="Times New Roman" w:cstheme="majorBidi"/>
      <w:b/>
      <w:spacing w:val="-10"/>
      <w:kern w:val="28"/>
      <w:sz w:val="56"/>
      <w:szCs w:val="56"/>
      <w:lang w:val="en-GB"/>
      <w14:ligatures w14:val="none"/>
    </w:rPr>
  </w:style>
  <w:style w:type="character" w:customStyle="1" w:styleId="Titlu2Caracter">
    <w:name w:val="Titlu 2 Caracter"/>
    <w:basedOn w:val="Fontdeparagrafimplicit"/>
    <w:link w:val="Titlu2"/>
    <w:uiPriority w:val="9"/>
    <w:rsid w:val="00B856C8"/>
    <w:rPr>
      <w:rFonts w:ascii="Times New Roman" w:eastAsiaTheme="majorEastAsia" w:hAnsi="Times New Roman" w:cstheme="majorBidi"/>
      <w:b/>
      <w:sz w:val="28"/>
      <w:szCs w:val="26"/>
      <w:lang w:val="en-GB"/>
    </w:rPr>
  </w:style>
  <w:style w:type="paragraph" w:styleId="Listparagraf">
    <w:name w:val="List Paragraph"/>
    <w:basedOn w:val="Normal"/>
    <w:uiPriority w:val="34"/>
    <w:qFormat/>
    <w:rsid w:val="00333227"/>
    <w:pPr>
      <w:ind w:left="720"/>
      <w:contextualSpacing/>
    </w:pPr>
  </w:style>
  <w:style w:type="paragraph" w:styleId="Antet">
    <w:name w:val="header"/>
    <w:basedOn w:val="Normal"/>
    <w:link w:val="AntetCaracter"/>
    <w:uiPriority w:val="99"/>
    <w:unhideWhenUsed/>
    <w:rsid w:val="00990847"/>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990847"/>
    <w:rPr>
      <w:rFonts w:ascii="Times New Roman" w:hAnsi="Times New Roman" w:cs="Times New Roman"/>
      <w:kern w:val="0"/>
      <w:sz w:val="24"/>
      <w:szCs w:val="24"/>
      <w:lang w:val="en-GB"/>
      <w14:ligatures w14:val="none"/>
    </w:rPr>
  </w:style>
  <w:style w:type="paragraph" w:styleId="Subsol">
    <w:name w:val="footer"/>
    <w:basedOn w:val="Normal"/>
    <w:link w:val="SubsolCaracter"/>
    <w:uiPriority w:val="99"/>
    <w:unhideWhenUsed/>
    <w:rsid w:val="00990847"/>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990847"/>
    <w:rPr>
      <w:rFonts w:ascii="Times New Roman" w:hAnsi="Times New Roman" w:cs="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2464</Words>
  <Characters>14236</Characters>
  <Application>Microsoft Office Word</Application>
  <DocSecurity>0</DocSecurity>
  <Lines>118</Lines>
  <Paragraphs>33</Paragraphs>
  <ScaleCrop>false</ScaleCrop>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2023-12-22T11:15:00Z</dcterms:created>
  <dcterms:modified xsi:type="dcterms:W3CDTF">2023-12-22T11:15:00Z</dcterms:modified>
</cp:coreProperties>
</file>