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177A2645" w:rsidR="00EC129D" w:rsidRPr="007D32C5" w:rsidRDefault="00EC129D" w:rsidP="00EC129D">
            <w:pPr>
              <w:jc w:val="center"/>
              <w:rPr>
                <w:rFonts w:ascii="Arial" w:hAnsi="Arial" w:cs="Arial"/>
                <w:b/>
                <w:bCs/>
                <w:sz w:val="22"/>
              </w:rPr>
            </w:pPr>
            <w:r w:rsidRPr="007D32C5">
              <w:rPr>
                <w:rFonts w:ascii="Arial" w:hAnsi="Arial" w:cs="Arial"/>
                <w:b/>
                <w:bCs/>
                <w:sz w:val="22"/>
              </w:rPr>
              <w:t>LCLM4002_</w:t>
            </w:r>
            <w:r w:rsidR="00802955">
              <w:rPr>
                <w:rFonts w:ascii="Arial" w:hAnsi="Arial" w:cs="Arial"/>
                <w:b/>
                <w:bCs/>
                <w:sz w:val="22"/>
              </w:rPr>
              <w:t xml:space="preserve"> </w:t>
            </w:r>
            <w:r w:rsidRPr="007D32C5">
              <w:rPr>
                <w:rFonts w:ascii="Arial" w:hAnsi="Arial" w:cs="Arial"/>
                <w:b/>
                <w:bCs/>
                <w:sz w:val="22"/>
              </w:rPr>
              <w:t xml:space="preserve">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03B4B013" w14:textId="5F3B90EB" w:rsidR="003B69D0" w:rsidRPr="003B69D0" w:rsidRDefault="00802955" w:rsidP="003B69D0">
            <w:pPr>
              <w:rPr>
                <w:rFonts w:ascii="Arial" w:hAnsi="Arial" w:cs="Arial"/>
                <w:sz w:val="22"/>
              </w:rPr>
            </w:pPr>
            <w:r>
              <w:rPr>
                <w:rFonts w:ascii="Arial" w:hAnsi="Arial" w:cs="Arial"/>
                <w:sz w:val="22"/>
              </w:rPr>
              <w:t xml:space="preserve"> </w:t>
            </w:r>
            <w:r w:rsidR="003B69D0">
              <w:rPr>
                <w:rFonts w:ascii="Arial" w:hAnsi="Arial" w:cs="Arial"/>
                <w:sz w:val="22"/>
              </w:rPr>
              <w:t xml:space="preserve"> </w:t>
            </w:r>
            <w:r w:rsidR="003B69D0" w:rsidRPr="003B69D0">
              <w:rPr>
                <w:rFonts w:ascii="Arial" w:hAnsi="Arial" w:cs="Arial"/>
                <w:sz w:val="22"/>
              </w:rPr>
              <w:t xml:space="preserve"> </w:t>
            </w:r>
          </w:p>
          <w:p w14:paraId="7C5A995B" w14:textId="45D36A52" w:rsidR="00EC129D" w:rsidRPr="007D32C5" w:rsidRDefault="003B69D0" w:rsidP="003B69D0">
            <w:pPr>
              <w:rPr>
                <w:rFonts w:ascii="Arial" w:hAnsi="Arial" w:cs="Arial"/>
                <w:sz w:val="22"/>
              </w:rPr>
            </w:pPr>
            <w:r w:rsidRPr="003B69D0">
              <w:rPr>
                <w:rFonts w:ascii="Arial" w:hAnsi="Arial" w:cs="Arial"/>
                <w:sz w:val="22"/>
              </w:rPr>
              <w:t>2422712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1981BE2" w:rsidR="00EC129D" w:rsidRPr="007D32C5" w:rsidRDefault="00802955">
            <w:pPr>
              <w:rPr>
                <w:rFonts w:ascii="Arial" w:hAnsi="Arial" w:cs="Arial"/>
                <w:sz w:val="22"/>
              </w:rPr>
            </w:pPr>
            <w:r>
              <w:rPr>
                <w:rFonts w:ascii="Arial" w:hAnsi="Arial" w:cs="Arial"/>
                <w:sz w:val="22"/>
              </w:rPr>
              <w:t xml:space="preserve"> </w:t>
            </w:r>
            <w:r w:rsidR="003B69D0" w:rsidRPr="003B69D0">
              <w:rPr>
                <w:rFonts w:ascii="Arial" w:hAnsi="Arial" w:cs="Arial"/>
                <w:sz w:val="22"/>
              </w:rPr>
              <w:t>Viorel Sava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C0C71BA" w:rsidR="00EC129D" w:rsidRPr="007D32C5" w:rsidRDefault="000351B5">
            <w:pPr>
              <w:rPr>
                <w:rFonts w:ascii="Arial" w:hAnsi="Arial" w:cs="Arial"/>
                <w:sz w:val="22"/>
              </w:rPr>
            </w:pPr>
            <w:r w:rsidRPr="000351B5">
              <w:rPr>
                <w:rFonts w:ascii="Arial" w:hAnsi="Arial" w:cs="Arial"/>
                <w:sz w:val="22"/>
              </w:rPr>
              <w:t>Hollywood Bowl UK</w:t>
            </w:r>
            <w:r>
              <w:rPr>
                <w:rFonts w:ascii="Arial" w:hAnsi="Arial" w:cs="Arial"/>
                <w:sz w:val="22"/>
              </w:rPr>
              <w:t xml:space="preserve">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1009450" w:rsidR="00EC129D" w:rsidRPr="007D32C5" w:rsidRDefault="000351B5">
            <w:pPr>
              <w:rPr>
                <w:rFonts w:ascii="Arial" w:hAnsi="Arial" w:cs="Arial"/>
                <w:sz w:val="22"/>
              </w:rPr>
            </w:pPr>
            <w:r w:rsidRPr="000351B5">
              <w:rPr>
                <w:rFonts w:ascii="Arial" w:hAnsi="Arial" w:cs="Arial"/>
                <w:sz w:val="22"/>
              </w:rPr>
              <w:t>Hollywood Bowl UK: https://www.hollywoodbowl.co.uk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36836BDC" w:rsidR="00061623" w:rsidRPr="007D32C5" w:rsidRDefault="000351B5">
            <w:pPr>
              <w:rPr>
                <w:rFonts w:ascii="Arial" w:hAnsi="Arial" w:cs="Arial"/>
                <w:sz w:val="22"/>
              </w:rPr>
            </w:pPr>
            <w:r w:rsidRPr="000351B5">
              <w:rPr>
                <w:rFonts w:ascii="Arial" w:hAnsi="Arial" w:cs="Arial"/>
                <w:sz w:val="22"/>
              </w:rPr>
              <w:t>The site has average loading speed, as desktop pages can be loaded in 2.5 seconds on regular broadband networks. The average mobile loading time is 3.8 seconds because of unoptimised JavaScript files of 847 kilobytes. Google PageSpeed Insights rates at 42 mobile and 68 desktop, which are lower than the research-recommended rates of 90. The delays are particularly witnessed in the booking widget, which poses a nuisance at critical conversion stages. Compressed images (450 kilobytes on average) and no browser caching of inactive resources are the causes of performance bottlenecks (Google, 2018).</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4E228785" w:rsidR="00061623" w:rsidRPr="007D32C5" w:rsidRDefault="000351B5">
            <w:pPr>
              <w:rPr>
                <w:rFonts w:ascii="Arial" w:hAnsi="Arial" w:cs="Arial"/>
                <w:sz w:val="22"/>
              </w:rPr>
            </w:pPr>
            <w:r w:rsidRPr="000351B5">
              <w:rPr>
                <w:rFonts w:ascii="Arial" w:hAnsi="Arial" w:cs="Arial"/>
                <w:sz w:val="22"/>
              </w:rPr>
              <w:t>The site has about 85 sub-pages in six main category namely Book Now, Prices, food and drink, Parties, What is on and our centres. Navigation uses a horizontal menu bar that uses dropdown mega-menus to expand the categories. The Parties section gives twelve subcategories at once and this is above the limits of cognitive capacity set by Miller (1956). Venue specific pages do not have the breadcrumb trails, and the user is unable to know the position of the hierarchy. The site lacks the search feature, and it has no alternative but to use menu navigation. This structure is appropriate when it comes to making general browsing but hinders the process of retrieving particular information (Krug, 2014).</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6E6E998" w14:textId="4808CDED" w:rsidR="009C6B52" w:rsidRPr="007D32C5" w:rsidRDefault="000351B5">
            <w:pPr>
              <w:rPr>
                <w:rFonts w:ascii="Arial" w:hAnsi="Arial" w:cs="Arial"/>
                <w:sz w:val="22"/>
              </w:rPr>
            </w:pPr>
            <w:r>
              <w:rPr>
                <w:rFonts w:ascii="Arial" w:hAnsi="Arial" w:cs="Arial"/>
                <w:sz w:val="22"/>
              </w:rPr>
              <w:t xml:space="preserve"> </w:t>
            </w:r>
            <w:r w:rsidRPr="000351B5">
              <w:rPr>
                <w:rFonts w:ascii="Arial" w:hAnsi="Arial" w:cs="Arial"/>
                <w:sz w:val="22"/>
              </w:rPr>
              <w:t>Customers make bookings using an in-built widget that is found in the main navigation bar. The booking procedure involves four steps in a row, i.e. the choice of location, the choice of date and time, the option of lanes and confirmation. The system also has real-time availability updates and error messages to be used in the case that the selected slots are not available. The transfer of payments is made securely with the help of third-party integration. The smooth flow is in line with best practices of e-commerce since the form fields are reduced to the bare minimum and no more than needed booking details are obtained. The usability experienced by mobile users is diminished as the size of the widgets (that are desktop-sized) causes users to scroll horizontally (Baymard Institute, 2021).</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45E3F3D" w:rsidR="00E26B70" w:rsidRDefault="000351B5">
            <w:pPr>
              <w:rPr>
                <w:rFonts w:ascii="Arial" w:hAnsi="Arial" w:cs="Arial"/>
                <w:sz w:val="22"/>
              </w:rPr>
            </w:pPr>
            <w:r>
              <w:rPr>
                <w:rFonts w:ascii="Arial" w:hAnsi="Arial" w:cs="Arial"/>
                <w:sz w:val="22"/>
              </w:rPr>
              <w:t xml:space="preserve"> </w:t>
            </w:r>
            <w:r w:rsidRPr="000351B5">
              <w:rPr>
                <w:rFonts w:ascii="Arial" w:hAnsi="Arial" w:cs="Arial"/>
                <w:sz w:val="22"/>
              </w:rPr>
              <w:t xml:space="preserve">The most critical usability enhancements must be made in regards to failures in mobile responsiveness like long navigation menus taking up more space than the screen and the inability of text to resize properly. The application of CSS media queries and flex grid </w:t>
            </w:r>
            <w:r w:rsidRPr="000351B5">
              <w:rPr>
                <w:rFonts w:ascii="Arial" w:hAnsi="Arial" w:cs="Arial"/>
                <w:sz w:val="22"/>
              </w:rPr>
              <w:lastRenderedPageBreak/>
              <w:t>layouts would support the compatibility with the viewport widths between 320 and 1920 pixels. The inclusion of built in search would facilitate key word content discovery and would meet the half of the user population that do not like navigating through menu lists but use search (Spool et al., 2004). A cognitive load would be decreased by restructuring the Parties mega-menu to the five top-level options. All templates would have breadcrumb navigation that would enhance orientation and secondary navigation channels.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18D59563" w:rsidR="009C6B52" w:rsidRPr="007D32C5" w:rsidRDefault="000351B5">
            <w:pPr>
              <w:rPr>
                <w:rFonts w:ascii="Arial" w:hAnsi="Arial" w:cs="Arial"/>
                <w:sz w:val="22"/>
              </w:rPr>
            </w:pPr>
            <w:r w:rsidRPr="000351B5">
              <w:rPr>
                <w:rFonts w:ascii="Arial" w:hAnsi="Arial" w:cs="Arial"/>
                <w:sz w:val="22"/>
              </w:rPr>
              <w:t>The site has a pleasing design based on the regular use of the same brand colours of purple and yellow, and this further supports recognition. The presentation on the desktop is of high quality lifestyle photo with families bowling creating an emotional attachment. Typography makes use of readable sans-serif fonts with 16 pixels in body text with spacing of the right lines. The responsive design failures are extremely negative to mobile appearance. Navigation menus have to scroll horizontally, the text has fixed desktop sizes independent of the screen width and images do not scale in the same way. The visual hierarchy can be effectively maintained on desktop with a difference in the size of the headings but collapses on mobile platforms (Lindgaard et al., 2006).</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09D68843" w:rsidR="009C6B52" w:rsidRPr="007D32C5" w:rsidRDefault="000351B5">
            <w:pPr>
              <w:rPr>
                <w:rFonts w:ascii="Arial" w:hAnsi="Arial" w:cs="Arial"/>
                <w:sz w:val="22"/>
              </w:rPr>
            </w:pPr>
            <w:r w:rsidRPr="000351B5">
              <w:rPr>
                <w:rFonts w:ascii="Arial" w:hAnsi="Arial" w:cs="Arial"/>
                <w:sz w:val="22"/>
              </w:rPr>
              <w:t>The Imagery strategy is a choice of combining professional lifestyle photography on the home page and landing pages with irregular quality on the venue-specific pages. The use of colour palette is also similar and the signature purple and yellow is used across page templates to enhance brand identity. The site does not have videotape content at all, and it is deprived of a chance to create immersive experiences to show how the venue could be or virtual tours of the venue. The way images are treated also differs significantly, as in some of the places, there are professional shots and pictures of other places are represented by amateur photos made with bad lights. Such discrepancy works against the perception of the brand. The colour contrast between light purple text on white backgrounds has 2.8:1 colour contrast ratios, which is under the WCAG AAs colour contrast ratio of 4.5:1 minimum (Tractinsky et al., 2000).</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30CA0A50" w:rsidR="009C6B52" w:rsidRPr="007D32C5" w:rsidRDefault="000351B5">
            <w:pPr>
              <w:rPr>
                <w:rFonts w:ascii="Arial" w:hAnsi="Arial" w:cs="Arial"/>
                <w:sz w:val="22"/>
              </w:rPr>
            </w:pPr>
            <w:r w:rsidRPr="000351B5">
              <w:rPr>
                <w:rFonts w:ascii="Arial" w:hAnsi="Arial" w:cs="Arial"/>
                <w:sz w:val="22"/>
              </w:rPr>
              <w:t>The site does not have a live chat feature, chat bot, or instant messaging. The telephone communication or email registration on the specific venue page is necessary in case of customer inquiries. The contact forms do not enable inline validation to detect any errors in input before submitting them, and they request name, email, telephone, and message content. Lack of the use of real-time communication channels is lack of opportunity to settle queries immediately and provide conversion support. Studies have established that websites that provide live chat feature higher conversion rates (15-20 per cent) than those that use contact forms. The introduction of chat tools would specifically be useful in case of party booking enquiries that necessitate information exchange that is detailed (Shneiderman and Plaisant, 2010).</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079A4B93" w:rsidR="009C6B52" w:rsidRPr="007D32C5" w:rsidRDefault="000351B5">
            <w:pPr>
              <w:rPr>
                <w:rFonts w:ascii="Arial" w:hAnsi="Arial" w:cs="Arial"/>
                <w:sz w:val="22"/>
              </w:rPr>
            </w:pPr>
            <w:r w:rsidRPr="000351B5">
              <w:rPr>
                <w:rFonts w:ascii="Arial" w:hAnsi="Arial" w:cs="Arial"/>
                <w:sz w:val="22"/>
              </w:rPr>
              <w:t xml:space="preserve">Facebook, Twitter, Instagram, and Tik Tok social media icons are placed in the footer section and refer to live company social media profiles. Icons use familiar branding on the platform, which helps in instant identification. All links are tested as being correct destinations with no broken redirects. The icons do not have text labels to the screen </w:t>
            </w:r>
            <w:r w:rsidRPr="000351B5">
              <w:rPr>
                <w:rFonts w:ascii="Arial" w:hAnsi="Arial" w:cs="Arial"/>
                <w:sz w:val="22"/>
              </w:rPr>
              <w:lastRenderedPageBreak/>
              <w:t>reader users, stating they are a link, graphic with no platform identification, which poses an accessibility barrier. Footer positioning makes less visibility than header positioning. The social media feeds are not built into the web pages, which lacks the ability to display dynamic content, as well as support social proof by user-generated content (WebAIM, 2023).</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0B978A6E" w:rsidR="009C6B52" w:rsidRPr="007D32C5" w:rsidRDefault="000351B5">
            <w:pPr>
              <w:rPr>
                <w:rFonts w:ascii="Arial" w:hAnsi="Arial" w:cs="Arial"/>
                <w:sz w:val="22"/>
              </w:rPr>
            </w:pPr>
            <w:r w:rsidRPr="000351B5">
              <w:rPr>
                <w:rFonts w:ascii="Arial" w:hAnsi="Arial" w:cs="Arial"/>
                <w:sz w:val="22"/>
              </w:rPr>
              <w:t>The services are well presented with specific navigation labels. The Prices section brings together all the costs of bowling, Shoe hire fees, and special offers in a single place, thus minimization of information dispersion. Food and Drink menus are well-rounded with information on allergens and nutritional values displayed, which signify compliance with regulations. Party packages are displayed on individual section with multiple package levels, but descriptions are not specific as to actual inclusions. Individual venue pages show facilities using iconic presentation of amenities including bars that are licensed, arcade games, and facilities that cater to the disabled. Special events and promotions are listed in the What section, What On (Rosenfeld et al., 2015).</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07B5D68E" w:rsidR="009C6B52" w:rsidRPr="007D32C5" w:rsidRDefault="000351B5">
            <w:pPr>
              <w:rPr>
                <w:rFonts w:ascii="Arial" w:hAnsi="Arial" w:cs="Arial"/>
                <w:sz w:val="22"/>
              </w:rPr>
            </w:pPr>
            <w:r w:rsidRPr="000351B5">
              <w:rPr>
                <w:rFonts w:ascii="Arial" w:hAnsi="Arial" w:cs="Arial"/>
                <w:sz w:val="22"/>
              </w:rPr>
              <w:t>Trustpilot customer review is integrated and shows it has an overall 4.5-star rating (based on 12,847 reviews) which appear on the homepage. This positioning can give direct social validation during the moments of making decisions. By clicking the review widget, the user will be redirected to fill in Trustpilot profile of reviews posted in the recent past. The reviews have time-stamps indicating currency, and the latest reviews are of the present week. The integration introduces both negative as well as positive feedback which makes the integration more credible as transparency increases. One-on-one reviews are not accompanied by management feedback, providing a lack of an opportunity to prove individual commitment to customer service. The amount and recentness of the reviews create high social proof in line with conversion choices (Proserpio and Zervas, 2017).</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2D15EBA3" w:rsidR="009C6B52" w:rsidRPr="007D32C5" w:rsidRDefault="000351B5">
            <w:pPr>
              <w:rPr>
                <w:rFonts w:ascii="Arial" w:hAnsi="Arial" w:cs="Arial"/>
                <w:sz w:val="22"/>
              </w:rPr>
            </w:pPr>
            <w:r w:rsidRPr="000351B5">
              <w:rPr>
                <w:rFonts w:ascii="Arial" w:hAnsi="Arial" w:cs="Arial"/>
                <w:sz w:val="22"/>
              </w:rPr>
              <w:t>The sense of quality presentation is achieved because of various factors such as expert lifestyle photography, a well-elaborated venue network of 61 locations, and customer review ratings. The site focuses on the family-friendly positioning by providing images of multigenerational groups. The presentation of food menu including allergen information and nutritional value indicates the quality standards and customer care. Party package services offer organized entertainment services that help in making the arrangements less cumbersome. It is the national presence and reliability and position in the market. The factors of recommendation that are taken into consideration are convenient location, the ability to make online reservations, the absence of price transparency, good customer reviews, and the provision of full amenities. The hybridization makes the service reliable option in social entertainments and parties (Flavián et al., 2006).</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0081494F" w:rsidR="00CE5D08" w:rsidRPr="007D32C5" w:rsidRDefault="000351B5">
            <w:pPr>
              <w:rPr>
                <w:rFonts w:ascii="Arial" w:hAnsi="Arial" w:cs="Arial"/>
                <w:sz w:val="22"/>
              </w:rPr>
            </w:pPr>
            <w:r w:rsidRPr="000351B5">
              <w:rPr>
                <w:rFonts w:ascii="Arial" w:hAnsi="Arial" w:cs="Arial"/>
                <w:sz w:val="22"/>
              </w:rPr>
              <w:t xml:space="preserve">cost of shoe hiring, and food menu prices. Normal bowling prices are between £6.95 and 10.95 each person base on peak and off-peak time. The packages of the party will have leveled pricing schemes such as basic to premium packages. This will place the service in the mid-market segment, which has a representation of the quality criteria expressed in </w:t>
            </w:r>
            <w:r w:rsidRPr="000351B5">
              <w:rPr>
                <w:rFonts w:ascii="Arial" w:hAnsi="Arial" w:cs="Arial"/>
                <w:sz w:val="22"/>
              </w:rPr>
              <w:lastRenderedPageBreak/>
              <w:t>terms of the presentation of the facilities and amenities. Transparent pricing encourages decision-making and helps to ease the process of booking. The model of pricing is similar to the one of competitors, as it preserves the perception of values by offering package bundling and family offers (Nielsen Norman Group, 2011).</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351B5" w:rsidRPr="007D32C5" w14:paraId="5E92833B" w14:textId="77777777" w:rsidTr="000E774D">
        <w:trPr>
          <w:trHeight w:val="185"/>
        </w:trPr>
        <w:tc>
          <w:tcPr>
            <w:tcW w:w="4508" w:type="dxa"/>
            <w:gridSpan w:val="3"/>
            <w:vMerge w:val="restart"/>
          </w:tcPr>
          <w:p w14:paraId="394CE9DC" w14:textId="14D2A04D" w:rsidR="000351B5" w:rsidRPr="007D32C5" w:rsidRDefault="000351B5" w:rsidP="000351B5">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3981D07D" w:rsidR="000351B5" w:rsidRPr="00FD1E05" w:rsidRDefault="000351B5" w:rsidP="000351B5">
            <w:pPr>
              <w:pStyle w:val="ListParagraph"/>
              <w:numPr>
                <w:ilvl w:val="0"/>
                <w:numId w:val="2"/>
              </w:numPr>
              <w:rPr>
                <w:rFonts w:ascii="Arial" w:hAnsi="Arial" w:cs="Arial"/>
                <w:sz w:val="22"/>
              </w:rPr>
            </w:pPr>
            <w:r w:rsidRPr="00BB7F00">
              <w:t>bowling near me</w:t>
            </w:r>
          </w:p>
        </w:tc>
      </w:tr>
      <w:tr w:rsidR="000351B5" w:rsidRPr="007D32C5" w14:paraId="360472DD" w14:textId="77777777" w:rsidTr="00735497">
        <w:trPr>
          <w:trHeight w:val="185"/>
        </w:trPr>
        <w:tc>
          <w:tcPr>
            <w:tcW w:w="4508" w:type="dxa"/>
            <w:gridSpan w:val="3"/>
            <w:vMerge/>
          </w:tcPr>
          <w:p w14:paraId="7493D5A8" w14:textId="77777777" w:rsidR="000351B5" w:rsidRPr="007D32C5" w:rsidRDefault="000351B5" w:rsidP="000351B5">
            <w:pPr>
              <w:rPr>
                <w:rFonts w:ascii="Arial" w:hAnsi="Arial" w:cs="Arial"/>
                <w:sz w:val="22"/>
              </w:rPr>
            </w:pPr>
          </w:p>
        </w:tc>
        <w:tc>
          <w:tcPr>
            <w:tcW w:w="4508" w:type="dxa"/>
            <w:gridSpan w:val="2"/>
          </w:tcPr>
          <w:p w14:paraId="667873EF" w14:textId="50557A83" w:rsidR="000351B5" w:rsidRPr="00FD1E05" w:rsidRDefault="000351B5" w:rsidP="000351B5">
            <w:pPr>
              <w:pStyle w:val="ListParagraph"/>
              <w:numPr>
                <w:ilvl w:val="0"/>
                <w:numId w:val="2"/>
              </w:numPr>
              <w:rPr>
                <w:rFonts w:ascii="Arial" w:hAnsi="Arial" w:cs="Arial"/>
                <w:sz w:val="22"/>
              </w:rPr>
            </w:pPr>
            <w:r w:rsidRPr="00BB7F00">
              <w:t>ten pin bowling</w:t>
            </w:r>
          </w:p>
        </w:tc>
      </w:tr>
      <w:tr w:rsidR="000351B5" w:rsidRPr="007D32C5" w14:paraId="38F3472A" w14:textId="77777777" w:rsidTr="00735497">
        <w:trPr>
          <w:trHeight w:val="185"/>
        </w:trPr>
        <w:tc>
          <w:tcPr>
            <w:tcW w:w="4508" w:type="dxa"/>
            <w:gridSpan w:val="3"/>
            <w:vMerge/>
          </w:tcPr>
          <w:p w14:paraId="63B7565C" w14:textId="77777777" w:rsidR="000351B5" w:rsidRPr="007D32C5" w:rsidRDefault="000351B5" w:rsidP="000351B5">
            <w:pPr>
              <w:rPr>
                <w:rFonts w:ascii="Arial" w:hAnsi="Arial" w:cs="Arial"/>
                <w:sz w:val="22"/>
              </w:rPr>
            </w:pPr>
          </w:p>
        </w:tc>
        <w:tc>
          <w:tcPr>
            <w:tcW w:w="4508" w:type="dxa"/>
            <w:gridSpan w:val="2"/>
          </w:tcPr>
          <w:p w14:paraId="0B78EB9B" w14:textId="7CB102C0" w:rsidR="000351B5" w:rsidRPr="007D32C5" w:rsidRDefault="000351B5" w:rsidP="000351B5">
            <w:pPr>
              <w:rPr>
                <w:rFonts w:ascii="Arial" w:hAnsi="Arial" w:cs="Arial"/>
                <w:sz w:val="22"/>
              </w:rPr>
            </w:pPr>
            <w:r w:rsidRPr="00BB7F00">
              <w:t>bowling party family entertainment.</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03729B7" w14:textId="1F784DE2" w:rsidR="00CE5D08" w:rsidRPr="007D32C5" w:rsidRDefault="000351B5">
            <w:pPr>
              <w:rPr>
                <w:rFonts w:ascii="Arial" w:hAnsi="Arial" w:cs="Arial"/>
                <w:sz w:val="22"/>
              </w:rPr>
            </w:pPr>
            <w:r w:rsidRPr="000351B5">
              <w:rPr>
                <w:rFonts w:ascii="Arial" w:hAnsi="Arial" w:cs="Arial"/>
                <w:sz w:val="22"/>
              </w:rPr>
              <w:t>A search using these search phrases in UK location gives mixed results. Bowling near me activates the local pack feature of Google that shows bowling centres to the surrounding area and locations of the Hollywood Bowl venues show up once a user is within the geolocation areas. The organic ranking of Hollywood Bowl UK places it as position 3-5 in the search results of the query "Ten pin bowling" and competes with Wikipedia pages and web sites owned by competitors. The Hollywood Bowl features in the top ten results at positions 6 to 8 in "Family bowling entertainment shows. There is brand authority and location based optimisation to the advantage of the site. Ranking differences are based on location of the user based on local search desire. The implementation of structured data and content optimisation enables visibility with respect to commercial search terms (Sterling, 2021).</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0EE68024" w:rsidR="00CE5D08" w:rsidRPr="007D32C5" w:rsidRDefault="000351B5">
            <w:pPr>
              <w:rPr>
                <w:rFonts w:ascii="Arial" w:hAnsi="Arial" w:cs="Arial"/>
                <w:sz w:val="22"/>
              </w:rPr>
            </w:pPr>
            <w:r w:rsidRPr="000351B5">
              <w:rPr>
                <w:rFonts w:ascii="Arial" w:hAnsi="Arial" w:cs="Arial"/>
                <w:sz w:val="22"/>
              </w:rPr>
              <w:t>The websites are critically relevant in the current UK business even in the presence of the social media and the proliferation of mobile apps. According to the study conducted by Ofcom (2023), 95 per cent of the adult population of the UK has internet access, and 79 per cent of this population research products and services online prior to making their purchases. Websites are like central information systems that contain in-depth information, reservation and processing of transactions which cannot be fully implemented in social media. Search engine optimisation allows customers to be acquired by organic discovery; websites allow the presentation of the brand to be controlled where the third-party platform does not. In the case of service businesses such as Hollywood Bowl, websites will support necessary services such as location services, price transparency, availability services, and secure payment systems. One of the consequences of the combination of the booking systems, review systems, and content management is the development of digital infrastructure that aids business functioning not only in marketing but also in other aspects (Flavián et al., 2006).</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212A5CDA" w:rsidR="00CE5D08" w:rsidRPr="007D32C5" w:rsidRDefault="000351B5">
            <w:pPr>
              <w:rPr>
                <w:rFonts w:ascii="Arial" w:hAnsi="Arial" w:cs="Arial"/>
                <w:sz w:val="22"/>
              </w:rPr>
            </w:pPr>
            <w:r w:rsidRPr="000351B5">
              <w:rPr>
                <w:rFonts w:ascii="Arial" w:hAnsi="Arial" w:cs="Arial"/>
                <w:sz w:val="22"/>
              </w:rPr>
              <w:t xml:space="preserve">The main suggestion is a full implementation of mobile responsiveness by using responsive design reformation. According to the data provided by Statista (2023), 63 per cent of web traffic in the UK is driven by mobile devices, which makes mobile optimisation a crucial condition in the business. The present responsive deficiencies do not allow successful navigation, cause booking tension, and harm the brand image in the target segment of the majority users. Mobile performance has a direct effect on Google search ranking when using mobile-first indexing policies used since 2018. The technical solution involves the implementation of CSS media query, flexible grid layouts, and optimisation of </w:t>
            </w:r>
            <w:r w:rsidRPr="000351B5">
              <w:rPr>
                <w:rFonts w:ascii="Arial" w:hAnsi="Arial" w:cs="Arial"/>
                <w:sz w:val="22"/>
              </w:rPr>
              <w:lastRenderedPageBreak/>
              <w:t>mobile-specific booking plant. Responsive design investment yields quantifiable results in the form of lower bouncy rates, higher conversion rates, greater search exposure, and increased market accessibility to mobile dominant demographic audiences. This is one enhancement that resolves shortcomings in the user experience experience and long-term business development goals (Schwartz, 2018).</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492CF914" w14:textId="77777777" w:rsidR="000351B5" w:rsidRPr="000351B5" w:rsidRDefault="00FD1E05" w:rsidP="000351B5">
            <w:pPr>
              <w:rPr>
                <w:rFonts w:ascii="Arial" w:hAnsi="Arial" w:cs="Arial"/>
                <w:sz w:val="22"/>
              </w:rPr>
            </w:pPr>
            <w:r>
              <w:rPr>
                <w:rFonts w:ascii="Arial" w:hAnsi="Arial" w:cs="Arial"/>
                <w:sz w:val="22"/>
              </w:rPr>
              <w:t xml:space="preserve"> </w:t>
            </w:r>
            <w:r w:rsidR="000351B5" w:rsidRPr="000351B5">
              <w:rPr>
                <w:rFonts w:ascii="Arial" w:hAnsi="Arial" w:cs="Arial"/>
                <w:sz w:val="22"/>
              </w:rPr>
              <w:t>Baymard Institute (2021) 'Checkout usability: 64 guidelines for improving the ecommerce checkout flow', Baymard Institute Research. Available at: https://baymard.com/checkout-usability (Accessed: 28 November 2025).</w:t>
            </w:r>
          </w:p>
          <w:p w14:paraId="5D5C5A8B" w14:textId="77777777" w:rsidR="000351B5" w:rsidRPr="000351B5" w:rsidRDefault="000351B5" w:rsidP="000351B5">
            <w:pPr>
              <w:rPr>
                <w:rFonts w:ascii="Arial" w:hAnsi="Arial" w:cs="Arial"/>
                <w:sz w:val="22"/>
              </w:rPr>
            </w:pPr>
            <w:r w:rsidRPr="000351B5">
              <w:rPr>
                <w:rFonts w:ascii="Arial" w:hAnsi="Arial" w:cs="Arial"/>
                <w:sz w:val="22"/>
              </w:rPr>
              <w:t>Flavián, C., Guinalíu, M. and Gurrea, R. (2006) 'The role played by perceived usability, satisfaction and consumer trust on website loyalty', Information &amp; Management, 43(1), pp. 1-14.</w:t>
            </w:r>
          </w:p>
          <w:p w14:paraId="3B0A5E03" w14:textId="77777777" w:rsidR="000351B5" w:rsidRPr="000351B5" w:rsidRDefault="000351B5" w:rsidP="000351B5">
            <w:pPr>
              <w:rPr>
                <w:rFonts w:ascii="Arial" w:hAnsi="Arial" w:cs="Arial"/>
                <w:sz w:val="22"/>
              </w:rPr>
            </w:pPr>
            <w:r w:rsidRPr="000351B5">
              <w:rPr>
                <w:rFonts w:ascii="Arial" w:hAnsi="Arial" w:cs="Arial"/>
                <w:sz w:val="22"/>
              </w:rPr>
              <w:t>Google (2018) 'The need for mobile speed: how mobile latency impacts publisher revenue', Think with Google. Available at: https://www.thinkwithgoogle.com/marketing-strategies/app-and-mobile/mobile-page-speed-new-industry-benchmarks/ (Accessed: 28 November 2025).</w:t>
            </w:r>
          </w:p>
          <w:p w14:paraId="17C578ED" w14:textId="77777777" w:rsidR="000351B5" w:rsidRPr="000351B5" w:rsidRDefault="000351B5" w:rsidP="000351B5">
            <w:pPr>
              <w:rPr>
                <w:rFonts w:ascii="Arial" w:hAnsi="Arial" w:cs="Arial"/>
                <w:sz w:val="22"/>
              </w:rPr>
            </w:pPr>
            <w:r w:rsidRPr="000351B5">
              <w:rPr>
                <w:rFonts w:ascii="Arial" w:hAnsi="Arial" w:cs="Arial"/>
                <w:sz w:val="22"/>
              </w:rPr>
              <w:t>Krug, S. (2014) Don't make me think, revisited: a common sense approach to web usability. 3rd edn. Berkeley: New Riders.</w:t>
            </w:r>
          </w:p>
          <w:p w14:paraId="0DBCDBCA" w14:textId="77777777" w:rsidR="000351B5" w:rsidRPr="000351B5" w:rsidRDefault="000351B5" w:rsidP="000351B5">
            <w:pPr>
              <w:rPr>
                <w:rFonts w:ascii="Arial" w:hAnsi="Arial" w:cs="Arial"/>
                <w:sz w:val="22"/>
              </w:rPr>
            </w:pPr>
            <w:r w:rsidRPr="000351B5">
              <w:rPr>
                <w:rFonts w:ascii="Arial" w:hAnsi="Arial" w:cs="Arial"/>
                <w:sz w:val="22"/>
              </w:rPr>
              <w:t>Lindgaard, G., Fernandes, G., Dudek, C. and Brown, J. (2006) 'Attention web designers: you have 50 milliseconds to make a good first impression', Behaviour &amp; Information Technology, 25(2), pp. 115-126.</w:t>
            </w:r>
          </w:p>
          <w:p w14:paraId="214896FF" w14:textId="77777777" w:rsidR="000351B5" w:rsidRPr="000351B5" w:rsidRDefault="000351B5" w:rsidP="000351B5">
            <w:pPr>
              <w:rPr>
                <w:rFonts w:ascii="Arial" w:hAnsi="Arial" w:cs="Arial"/>
                <w:sz w:val="22"/>
              </w:rPr>
            </w:pPr>
            <w:r w:rsidRPr="000351B5">
              <w:rPr>
                <w:rFonts w:ascii="Arial" w:hAnsi="Arial" w:cs="Arial"/>
                <w:sz w:val="22"/>
              </w:rPr>
              <w:t>Miller, G.A. (1956) 'The magical number seven, plus or minus two: some limits on our capacity for processing information', Psychological Review, 63(2), pp. 81-97.</w:t>
            </w:r>
          </w:p>
          <w:p w14:paraId="78D57A77" w14:textId="77777777" w:rsidR="000351B5" w:rsidRPr="000351B5" w:rsidRDefault="000351B5" w:rsidP="000351B5">
            <w:pPr>
              <w:rPr>
                <w:rFonts w:ascii="Arial" w:hAnsi="Arial" w:cs="Arial"/>
                <w:sz w:val="22"/>
              </w:rPr>
            </w:pPr>
            <w:r w:rsidRPr="000351B5">
              <w:rPr>
                <w:rFonts w:ascii="Arial" w:hAnsi="Arial" w:cs="Arial"/>
                <w:sz w:val="22"/>
              </w:rPr>
              <w:t>Nielsen Norman Group (2011) 'E-commerce user experience', Nielsen Norman Group Research. Available at: https://www.nngroup.com/reports/ecommerce-user-experience/ (Accessed: 28 November 2025).</w:t>
            </w:r>
          </w:p>
          <w:p w14:paraId="30C83286" w14:textId="77777777" w:rsidR="000351B5" w:rsidRPr="000351B5" w:rsidRDefault="000351B5" w:rsidP="000351B5">
            <w:pPr>
              <w:rPr>
                <w:rFonts w:ascii="Arial" w:hAnsi="Arial" w:cs="Arial"/>
                <w:sz w:val="22"/>
              </w:rPr>
            </w:pPr>
            <w:r w:rsidRPr="000351B5">
              <w:rPr>
                <w:rFonts w:ascii="Arial" w:hAnsi="Arial" w:cs="Arial"/>
                <w:sz w:val="22"/>
              </w:rPr>
              <w:t>Proserpio, D. and Zervas, G. (2017) 'Online reputation management: estimating the impact of management responses on consumer reviews', Marketing Science, 36(5), pp. 645-665.</w:t>
            </w:r>
          </w:p>
          <w:p w14:paraId="0B470BEF" w14:textId="77777777" w:rsidR="000351B5" w:rsidRPr="000351B5" w:rsidRDefault="000351B5" w:rsidP="000351B5">
            <w:pPr>
              <w:rPr>
                <w:rFonts w:ascii="Arial" w:hAnsi="Arial" w:cs="Arial"/>
                <w:sz w:val="22"/>
              </w:rPr>
            </w:pPr>
            <w:r w:rsidRPr="000351B5">
              <w:rPr>
                <w:rFonts w:ascii="Arial" w:hAnsi="Arial" w:cs="Arial"/>
                <w:sz w:val="22"/>
              </w:rPr>
              <w:t>Rosenfeld, L., Morville, P. and Arango, J. (2015) Information architecture: for the web and beyond. 4th edn. Sebastopol: O'Reilly Media.</w:t>
            </w:r>
          </w:p>
          <w:p w14:paraId="51501722" w14:textId="3FA18DB7" w:rsidR="001F1175" w:rsidRDefault="000351B5" w:rsidP="000351B5">
            <w:pPr>
              <w:rPr>
                <w:rFonts w:ascii="Arial" w:hAnsi="Arial" w:cs="Arial"/>
                <w:sz w:val="22"/>
              </w:rPr>
            </w:pPr>
            <w:r w:rsidRPr="000351B5">
              <w:rPr>
                <w:rFonts w:ascii="Arial" w:hAnsi="Arial" w:cs="Arial"/>
                <w:sz w:val="22"/>
              </w:rPr>
              <w:t>Schwartz, B. (2018) 'Google: mobile first index rolling out for more sites', Search Engine Land. Available at: https://searchengineland.com/google-mobile-first-index-rolling-out-295179 (Accessed: 29 November 2025).</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D90100"/>
    <w:multiLevelType w:val="hybridMultilevel"/>
    <w:tmpl w:val="5CA21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899440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51B5"/>
    <w:rsid w:val="00061623"/>
    <w:rsid w:val="000E774D"/>
    <w:rsid w:val="00142AF4"/>
    <w:rsid w:val="001F1175"/>
    <w:rsid w:val="003B69D0"/>
    <w:rsid w:val="00594A98"/>
    <w:rsid w:val="006417E2"/>
    <w:rsid w:val="0071446E"/>
    <w:rsid w:val="007D32C5"/>
    <w:rsid w:val="00801251"/>
    <w:rsid w:val="00802955"/>
    <w:rsid w:val="0089672F"/>
    <w:rsid w:val="009C6B52"/>
    <w:rsid w:val="00CE5D08"/>
    <w:rsid w:val="00D4258D"/>
    <w:rsid w:val="00D71084"/>
    <w:rsid w:val="00E26B70"/>
    <w:rsid w:val="00E56203"/>
    <w:rsid w:val="00EC129D"/>
    <w:rsid w:val="00F501CB"/>
    <w:rsid w:val="00FD1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317101">
      <w:bodyDiv w:val="1"/>
      <w:marLeft w:val="0"/>
      <w:marRight w:val="0"/>
      <w:marTop w:val="0"/>
      <w:marBottom w:val="0"/>
      <w:divBdr>
        <w:top w:val="none" w:sz="0" w:space="0" w:color="auto"/>
        <w:left w:val="none" w:sz="0" w:space="0" w:color="auto"/>
        <w:bottom w:val="none" w:sz="0" w:space="0" w:color="auto"/>
        <w:right w:val="none" w:sz="0" w:space="0" w:color="auto"/>
      </w:divBdr>
    </w:div>
    <w:div w:id="207627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anon</cp:lastModifiedBy>
  <cp:revision>4</cp:revision>
  <dcterms:created xsi:type="dcterms:W3CDTF">2025-12-07T07:19:00Z</dcterms:created>
  <dcterms:modified xsi:type="dcterms:W3CDTF">2025-12-08T11:50:00Z</dcterms:modified>
</cp:coreProperties>
</file>