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574B6F" w14:textId="77777777" w:rsidR="009E5ECC" w:rsidRPr="009225E6" w:rsidRDefault="009E5ECC" w:rsidP="007F7024">
      <w:pPr>
        <w:jc w:val="center"/>
        <w:rPr>
          <w:rFonts w:ascii="Times New Roman" w:eastAsia="Times New Roman" w:hAnsi="Times New Roman" w:cs="Times New Roman"/>
          <w:b/>
          <w:bCs/>
          <w:sz w:val="32"/>
          <w:szCs w:val="36"/>
        </w:rPr>
      </w:pPr>
      <w:r w:rsidRPr="009225E6">
        <w:rPr>
          <w:rFonts w:ascii="Times New Roman" w:hAnsi="Times New Roman" w:cs="Times New Roman"/>
          <w:noProof/>
          <w:lang w:val="en-US"/>
        </w:rPr>
        <w:t xml:space="preserve"> </w:t>
      </w:r>
      <w:r w:rsidR="007F7024" w:rsidRPr="009225E6">
        <w:rPr>
          <w:rFonts w:ascii="Times New Roman" w:eastAsia="Times New Roman" w:hAnsi="Times New Roman" w:cs="Times New Roman"/>
          <w:b/>
          <w:bCs/>
          <w:sz w:val="32"/>
          <w:szCs w:val="36"/>
        </w:rPr>
        <w:t>University of Wales Trinity Saint David</w:t>
      </w:r>
    </w:p>
    <w:p w14:paraId="42F5BE9C" w14:textId="77777777" w:rsidR="007F7024" w:rsidRPr="009225E6" w:rsidRDefault="007F7024" w:rsidP="000E3733">
      <w:pPr>
        <w:spacing w:line="360" w:lineRule="auto"/>
        <w:jc w:val="center"/>
        <w:rPr>
          <w:rFonts w:ascii="Times New Roman" w:eastAsia="Times New Roman" w:hAnsi="Times New Roman" w:cs="Times New Roman"/>
          <w:b/>
          <w:bCs/>
          <w:sz w:val="32"/>
          <w:szCs w:val="36"/>
        </w:rPr>
      </w:pPr>
      <w:r w:rsidRPr="009225E6">
        <w:rPr>
          <w:rFonts w:ascii="Times New Roman" w:hAnsi="Times New Roman" w:cs="Times New Roman"/>
          <w:noProof/>
          <w:lang w:val="en-US"/>
        </w:rPr>
        <w:drawing>
          <wp:anchor distT="0" distB="0" distL="114300" distR="114300" simplePos="0" relativeHeight="251664384" behindDoc="0" locked="0" layoutInCell="1" allowOverlap="1" wp14:anchorId="3DB8C2E1" wp14:editId="741915EA">
            <wp:simplePos x="0" y="0"/>
            <wp:positionH relativeFrom="column">
              <wp:posOffset>1718310</wp:posOffset>
            </wp:positionH>
            <wp:positionV relativeFrom="paragraph">
              <wp:posOffset>75565</wp:posOffset>
            </wp:positionV>
            <wp:extent cx="2633345" cy="1057275"/>
            <wp:effectExtent l="0" t="0" r="0"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633345" cy="1057275"/>
                    </a:xfrm>
                    <a:prstGeom prst="rect">
                      <a:avLst/>
                    </a:prstGeom>
                  </pic:spPr>
                </pic:pic>
              </a:graphicData>
            </a:graphic>
            <wp14:sizeRelH relativeFrom="page">
              <wp14:pctWidth>0</wp14:pctWidth>
            </wp14:sizeRelH>
            <wp14:sizeRelV relativeFrom="page">
              <wp14:pctHeight>0</wp14:pctHeight>
            </wp14:sizeRelV>
          </wp:anchor>
        </w:drawing>
      </w:r>
    </w:p>
    <w:p w14:paraId="689E45FA" w14:textId="77777777" w:rsidR="007F7024" w:rsidRPr="009225E6" w:rsidRDefault="007F7024" w:rsidP="0065412B">
      <w:pPr>
        <w:spacing w:line="360" w:lineRule="auto"/>
        <w:jc w:val="center"/>
        <w:rPr>
          <w:rFonts w:ascii="Times New Roman" w:eastAsia="Times New Roman" w:hAnsi="Times New Roman" w:cs="Times New Roman"/>
          <w:b/>
          <w:bCs/>
          <w:sz w:val="28"/>
          <w:szCs w:val="24"/>
        </w:rPr>
      </w:pPr>
    </w:p>
    <w:p w14:paraId="1AEF89D3" w14:textId="77777777" w:rsidR="007F7024" w:rsidRDefault="007F7024" w:rsidP="0065412B">
      <w:pPr>
        <w:spacing w:line="360" w:lineRule="auto"/>
        <w:jc w:val="center"/>
        <w:rPr>
          <w:rFonts w:ascii="Times New Roman" w:eastAsia="Times New Roman" w:hAnsi="Times New Roman" w:cs="Times New Roman"/>
          <w:b/>
          <w:bCs/>
          <w:sz w:val="28"/>
          <w:szCs w:val="24"/>
        </w:rPr>
      </w:pPr>
    </w:p>
    <w:p w14:paraId="72871CBF" w14:textId="77777777" w:rsidR="00112EEF" w:rsidRPr="00FE6F22" w:rsidRDefault="00112EEF" w:rsidP="0065412B">
      <w:pPr>
        <w:spacing w:line="360" w:lineRule="auto"/>
        <w:jc w:val="center"/>
        <w:rPr>
          <w:rFonts w:ascii="Arial" w:eastAsia="Times New Roman" w:hAnsi="Arial" w:cs="Arial"/>
          <w:b/>
          <w:bCs/>
          <w:sz w:val="24"/>
          <w:szCs w:val="24"/>
        </w:rPr>
      </w:pPr>
      <w:r w:rsidRPr="00FE6F22">
        <w:rPr>
          <w:rFonts w:ascii="Arial" w:hAnsi="Arial" w:cs="Arial"/>
          <w:b/>
          <w:sz w:val="24"/>
          <w:szCs w:val="24"/>
        </w:rPr>
        <w:t>Title: Assessment component - Individual report</w:t>
      </w:r>
    </w:p>
    <w:tbl>
      <w:tblPr>
        <w:tblStyle w:val="TableGrid"/>
        <w:tblW w:w="9367" w:type="dxa"/>
        <w:tblLook w:val="04A0" w:firstRow="1" w:lastRow="0" w:firstColumn="1" w:lastColumn="0" w:noHBand="0" w:noVBand="1"/>
      </w:tblPr>
      <w:tblGrid>
        <w:gridCol w:w="3638"/>
        <w:gridCol w:w="5729"/>
      </w:tblGrid>
      <w:tr w:rsidR="00A3264A" w:rsidRPr="00FE6F22" w14:paraId="3073D653" w14:textId="77777777" w:rsidTr="006738CC">
        <w:trPr>
          <w:trHeight w:val="395"/>
        </w:trPr>
        <w:tc>
          <w:tcPr>
            <w:tcW w:w="3638" w:type="dxa"/>
            <w:shd w:val="clear" w:color="auto" w:fill="A5A5A5" w:themeFill="accent3"/>
          </w:tcPr>
          <w:p w14:paraId="4466B4F6" w14:textId="77777777" w:rsidR="00A3264A" w:rsidRPr="00FE6F22" w:rsidRDefault="00A3264A" w:rsidP="000E3733">
            <w:pPr>
              <w:spacing w:line="480" w:lineRule="auto"/>
              <w:rPr>
                <w:rFonts w:ascii="Arial" w:eastAsia="Times New Roman" w:hAnsi="Arial" w:cs="Arial"/>
                <w:b/>
                <w:bCs/>
                <w:sz w:val="24"/>
                <w:szCs w:val="24"/>
              </w:rPr>
            </w:pPr>
            <w:r w:rsidRPr="00FE6F22">
              <w:rPr>
                <w:rFonts w:ascii="Arial" w:eastAsia="Times New Roman" w:hAnsi="Arial" w:cs="Arial"/>
                <w:b/>
                <w:bCs/>
                <w:sz w:val="24"/>
                <w:szCs w:val="24"/>
              </w:rPr>
              <w:t>Item</w:t>
            </w:r>
          </w:p>
        </w:tc>
        <w:tc>
          <w:tcPr>
            <w:tcW w:w="5729" w:type="dxa"/>
            <w:shd w:val="clear" w:color="auto" w:fill="A5A5A5" w:themeFill="accent3"/>
          </w:tcPr>
          <w:p w14:paraId="333918A9" w14:textId="77777777" w:rsidR="00A3264A" w:rsidRPr="00FE6F22" w:rsidRDefault="00A3264A" w:rsidP="000E3733">
            <w:pPr>
              <w:spacing w:line="480" w:lineRule="auto"/>
              <w:rPr>
                <w:rFonts w:ascii="Arial" w:eastAsia="Times New Roman" w:hAnsi="Arial" w:cs="Arial"/>
                <w:b/>
                <w:bCs/>
                <w:sz w:val="24"/>
                <w:szCs w:val="24"/>
              </w:rPr>
            </w:pPr>
            <w:r w:rsidRPr="00FE6F22">
              <w:rPr>
                <w:rFonts w:ascii="Arial" w:eastAsia="Times New Roman" w:hAnsi="Arial" w:cs="Arial"/>
                <w:b/>
                <w:bCs/>
                <w:sz w:val="24"/>
                <w:szCs w:val="24"/>
              </w:rPr>
              <w:t>Description</w:t>
            </w:r>
          </w:p>
        </w:tc>
      </w:tr>
      <w:tr w:rsidR="00A3264A" w:rsidRPr="00FE6F22" w14:paraId="03A93D6D" w14:textId="77777777" w:rsidTr="0047085A">
        <w:trPr>
          <w:trHeight w:hRule="exact" w:val="460"/>
        </w:trPr>
        <w:tc>
          <w:tcPr>
            <w:tcW w:w="3638" w:type="dxa"/>
            <w:shd w:val="clear" w:color="auto" w:fill="E2EFD9" w:themeFill="accent6" w:themeFillTint="33"/>
          </w:tcPr>
          <w:p w14:paraId="66F1FA34" w14:textId="77777777" w:rsidR="00A3264A" w:rsidRPr="00FE6F22" w:rsidRDefault="00A3264A" w:rsidP="000E3733">
            <w:pPr>
              <w:spacing w:line="480" w:lineRule="auto"/>
              <w:rPr>
                <w:rFonts w:ascii="Arial" w:eastAsia="Times New Roman" w:hAnsi="Arial" w:cs="Arial"/>
                <w:b/>
                <w:bCs/>
                <w:sz w:val="24"/>
                <w:szCs w:val="24"/>
              </w:rPr>
            </w:pPr>
            <w:r w:rsidRPr="00FE6F22">
              <w:rPr>
                <w:rFonts w:ascii="Arial" w:eastAsia="Times New Roman" w:hAnsi="Arial" w:cs="Arial"/>
                <w:b/>
                <w:bCs/>
                <w:sz w:val="24"/>
                <w:szCs w:val="24"/>
              </w:rPr>
              <w:t>Student Name:</w:t>
            </w:r>
          </w:p>
        </w:tc>
        <w:tc>
          <w:tcPr>
            <w:tcW w:w="5729" w:type="dxa"/>
            <w:shd w:val="clear" w:color="auto" w:fill="E2EFD9" w:themeFill="accent6" w:themeFillTint="33"/>
          </w:tcPr>
          <w:p w14:paraId="6C1884BD" w14:textId="77777777" w:rsidR="00A3264A" w:rsidRPr="00FE6F22" w:rsidRDefault="00A3264A" w:rsidP="000E3733">
            <w:pPr>
              <w:spacing w:line="480" w:lineRule="auto"/>
              <w:rPr>
                <w:rFonts w:ascii="Arial" w:eastAsia="Times New Roman" w:hAnsi="Arial" w:cs="Arial"/>
                <w:b/>
                <w:bCs/>
                <w:sz w:val="24"/>
                <w:szCs w:val="24"/>
              </w:rPr>
            </w:pPr>
            <w:r w:rsidRPr="00FE6F22">
              <w:rPr>
                <w:rFonts w:ascii="Arial" w:eastAsia="Times New Roman" w:hAnsi="Arial" w:cs="Arial"/>
                <w:b/>
                <w:bCs/>
                <w:sz w:val="24"/>
                <w:szCs w:val="24"/>
              </w:rPr>
              <w:t xml:space="preserve">Salah Mheidean </w:t>
            </w:r>
          </w:p>
        </w:tc>
      </w:tr>
      <w:tr w:rsidR="00A3264A" w:rsidRPr="00FE6F22" w14:paraId="3AB63642" w14:textId="77777777" w:rsidTr="0047085A">
        <w:trPr>
          <w:trHeight w:hRule="exact" w:val="468"/>
        </w:trPr>
        <w:tc>
          <w:tcPr>
            <w:tcW w:w="3638" w:type="dxa"/>
            <w:shd w:val="clear" w:color="auto" w:fill="E2EFD9" w:themeFill="accent6" w:themeFillTint="33"/>
          </w:tcPr>
          <w:p w14:paraId="0EA62E55" w14:textId="77777777" w:rsidR="00A3264A" w:rsidRPr="00FE6F22" w:rsidRDefault="00A3264A" w:rsidP="000E3733">
            <w:pPr>
              <w:spacing w:line="480" w:lineRule="auto"/>
              <w:rPr>
                <w:rFonts w:ascii="Arial" w:eastAsia="Times New Roman" w:hAnsi="Arial" w:cs="Arial"/>
                <w:b/>
                <w:bCs/>
                <w:sz w:val="24"/>
                <w:szCs w:val="24"/>
              </w:rPr>
            </w:pPr>
            <w:r w:rsidRPr="00FE6F22">
              <w:rPr>
                <w:rFonts w:ascii="Arial" w:eastAsia="Times New Roman" w:hAnsi="Arial" w:cs="Arial"/>
                <w:b/>
                <w:bCs/>
                <w:sz w:val="24"/>
                <w:szCs w:val="24"/>
              </w:rPr>
              <w:t>Student ID:</w:t>
            </w:r>
          </w:p>
        </w:tc>
        <w:tc>
          <w:tcPr>
            <w:tcW w:w="5729" w:type="dxa"/>
            <w:shd w:val="clear" w:color="auto" w:fill="E2EFD9" w:themeFill="accent6" w:themeFillTint="33"/>
          </w:tcPr>
          <w:p w14:paraId="184C1B0B" w14:textId="77777777" w:rsidR="00A3264A" w:rsidRPr="00FE6F22" w:rsidRDefault="00A3264A" w:rsidP="000E3733">
            <w:pPr>
              <w:spacing w:line="480" w:lineRule="auto"/>
              <w:rPr>
                <w:rFonts w:ascii="Arial" w:eastAsia="Times New Roman" w:hAnsi="Arial" w:cs="Arial"/>
                <w:b/>
                <w:bCs/>
                <w:sz w:val="24"/>
                <w:szCs w:val="24"/>
              </w:rPr>
            </w:pPr>
            <w:r w:rsidRPr="00FE6F22">
              <w:rPr>
                <w:rFonts w:ascii="Arial" w:eastAsia="Times New Roman" w:hAnsi="Arial" w:cs="Arial"/>
                <w:b/>
                <w:bCs/>
                <w:sz w:val="24"/>
                <w:szCs w:val="24"/>
              </w:rPr>
              <w:t>2109425</w:t>
            </w:r>
          </w:p>
        </w:tc>
      </w:tr>
      <w:tr w:rsidR="00A3264A" w:rsidRPr="00FE6F22" w14:paraId="31EF3359" w14:textId="77777777" w:rsidTr="0047085A">
        <w:trPr>
          <w:trHeight w:hRule="exact" w:val="538"/>
        </w:trPr>
        <w:tc>
          <w:tcPr>
            <w:tcW w:w="3638" w:type="dxa"/>
            <w:shd w:val="clear" w:color="auto" w:fill="E2EFD9" w:themeFill="accent6" w:themeFillTint="33"/>
          </w:tcPr>
          <w:p w14:paraId="7B4C63D4" w14:textId="77777777" w:rsidR="00A3264A" w:rsidRPr="00FE6F22" w:rsidRDefault="00A3264A" w:rsidP="000E3733">
            <w:pPr>
              <w:spacing w:line="480" w:lineRule="auto"/>
              <w:rPr>
                <w:rFonts w:ascii="Arial" w:eastAsia="Times New Roman" w:hAnsi="Arial" w:cs="Arial"/>
                <w:b/>
                <w:bCs/>
                <w:sz w:val="24"/>
                <w:szCs w:val="24"/>
              </w:rPr>
            </w:pPr>
            <w:r w:rsidRPr="00FE6F22">
              <w:rPr>
                <w:rFonts w:ascii="Arial" w:eastAsia="Times New Roman" w:hAnsi="Arial" w:cs="Arial"/>
                <w:b/>
                <w:bCs/>
                <w:sz w:val="24"/>
                <w:szCs w:val="24"/>
              </w:rPr>
              <w:t>Module:</w:t>
            </w:r>
          </w:p>
        </w:tc>
        <w:tc>
          <w:tcPr>
            <w:tcW w:w="5729" w:type="dxa"/>
            <w:shd w:val="clear" w:color="auto" w:fill="E2EFD9" w:themeFill="accent6" w:themeFillTint="33"/>
          </w:tcPr>
          <w:p w14:paraId="3C9EC4C3" w14:textId="77777777" w:rsidR="00A3264A" w:rsidRPr="00FE6F22" w:rsidRDefault="00112EEF" w:rsidP="0047085A">
            <w:pPr>
              <w:spacing w:line="480" w:lineRule="auto"/>
              <w:rPr>
                <w:rFonts w:ascii="Arial" w:eastAsia="Times New Roman" w:hAnsi="Arial" w:cs="Arial"/>
                <w:b/>
                <w:bCs/>
                <w:sz w:val="24"/>
                <w:szCs w:val="24"/>
              </w:rPr>
            </w:pPr>
            <w:r w:rsidRPr="00FE6F22">
              <w:rPr>
                <w:rFonts w:ascii="Arial" w:eastAsia="Times New Roman" w:hAnsi="Arial" w:cs="Arial"/>
                <w:b/>
                <w:bCs/>
                <w:sz w:val="24"/>
                <w:szCs w:val="24"/>
              </w:rPr>
              <w:t>Strategic Management</w:t>
            </w:r>
          </w:p>
        </w:tc>
      </w:tr>
      <w:tr w:rsidR="00A3264A" w:rsidRPr="00FE6F22" w14:paraId="5592B8AF" w14:textId="77777777" w:rsidTr="0047085A">
        <w:trPr>
          <w:trHeight w:hRule="exact" w:val="538"/>
        </w:trPr>
        <w:tc>
          <w:tcPr>
            <w:tcW w:w="3638" w:type="dxa"/>
            <w:shd w:val="clear" w:color="auto" w:fill="E2EFD9" w:themeFill="accent6" w:themeFillTint="33"/>
          </w:tcPr>
          <w:p w14:paraId="4091B440" w14:textId="77777777" w:rsidR="00A3264A" w:rsidRPr="00FE6F22" w:rsidRDefault="00A3264A" w:rsidP="000E3733">
            <w:pPr>
              <w:spacing w:line="480" w:lineRule="auto"/>
              <w:rPr>
                <w:rFonts w:ascii="Arial" w:eastAsia="Times New Roman" w:hAnsi="Arial" w:cs="Arial"/>
                <w:b/>
                <w:bCs/>
                <w:sz w:val="24"/>
                <w:szCs w:val="24"/>
              </w:rPr>
            </w:pPr>
            <w:r w:rsidRPr="00FE6F22">
              <w:rPr>
                <w:rFonts w:ascii="Arial" w:eastAsia="Times New Roman" w:hAnsi="Arial" w:cs="Arial"/>
                <w:b/>
                <w:bCs/>
                <w:sz w:val="24"/>
                <w:szCs w:val="24"/>
              </w:rPr>
              <w:t>Module Code:</w:t>
            </w:r>
          </w:p>
        </w:tc>
        <w:tc>
          <w:tcPr>
            <w:tcW w:w="5729" w:type="dxa"/>
            <w:shd w:val="clear" w:color="auto" w:fill="E2EFD9" w:themeFill="accent6" w:themeFillTint="33"/>
          </w:tcPr>
          <w:p w14:paraId="30BCC9B4" w14:textId="77777777" w:rsidR="00A3264A" w:rsidRPr="00FE6F22" w:rsidRDefault="00112EEF" w:rsidP="000E3733">
            <w:pPr>
              <w:spacing w:line="480" w:lineRule="auto"/>
              <w:rPr>
                <w:rFonts w:ascii="Arial" w:eastAsia="Times New Roman" w:hAnsi="Arial" w:cs="Arial"/>
                <w:b/>
                <w:bCs/>
                <w:sz w:val="24"/>
                <w:szCs w:val="24"/>
              </w:rPr>
            </w:pPr>
            <w:r w:rsidRPr="00FE6F22">
              <w:rPr>
                <w:rFonts w:ascii="Arial" w:eastAsia="Times New Roman" w:hAnsi="Arial" w:cs="Arial"/>
                <w:b/>
                <w:bCs/>
                <w:sz w:val="24"/>
                <w:szCs w:val="24"/>
              </w:rPr>
              <w:t>LCLM7003</w:t>
            </w:r>
          </w:p>
        </w:tc>
      </w:tr>
      <w:tr w:rsidR="00A3264A" w:rsidRPr="00FE6F22" w14:paraId="58946584" w14:textId="77777777" w:rsidTr="00DB483C">
        <w:trPr>
          <w:trHeight w:hRule="exact" w:val="811"/>
        </w:trPr>
        <w:tc>
          <w:tcPr>
            <w:tcW w:w="3638" w:type="dxa"/>
            <w:shd w:val="clear" w:color="auto" w:fill="E2EFD9" w:themeFill="accent6" w:themeFillTint="33"/>
          </w:tcPr>
          <w:p w14:paraId="78C3F78C" w14:textId="77777777" w:rsidR="00A3264A" w:rsidRPr="00FE6F22" w:rsidRDefault="00A3264A" w:rsidP="000E3733">
            <w:pPr>
              <w:spacing w:line="480" w:lineRule="auto"/>
              <w:rPr>
                <w:rFonts w:ascii="Arial" w:eastAsia="Times New Roman" w:hAnsi="Arial" w:cs="Arial"/>
                <w:b/>
                <w:bCs/>
                <w:sz w:val="24"/>
                <w:szCs w:val="24"/>
              </w:rPr>
            </w:pPr>
            <w:r w:rsidRPr="00FE6F22">
              <w:rPr>
                <w:rFonts w:ascii="Arial" w:eastAsia="Times New Roman" w:hAnsi="Arial" w:cs="Arial"/>
                <w:b/>
                <w:bCs/>
                <w:sz w:val="24"/>
                <w:szCs w:val="24"/>
              </w:rPr>
              <w:t>Lecturer:</w:t>
            </w:r>
          </w:p>
        </w:tc>
        <w:tc>
          <w:tcPr>
            <w:tcW w:w="5729" w:type="dxa"/>
            <w:shd w:val="clear" w:color="auto" w:fill="E2EFD9" w:themeFill="accent6" w:themeFillTint="33"/>
          </w:tcPr>
          <w:p w14:paraId="4B1AA763" w14:textId="033B3C83" w:rsidR="00DB483C" w:rsidRPr="00FE6F22" w:rsidRDefault="00FE6F22" w:rsidP="00FE6F22">
            <w:pPr>
              <w:spacing w:before="120" w:after="120"/>
              <w:rPr>
                <w:rFonts w:ascii="Arial" w:hAnsi="Arial" w:cs="Arial"/>
                <w:b/>
                <w:sz w:val="24"/>
                <w:szCs w:val="24"/>
              </w:rPr>
            </w:pPr>
            <w:r w:rsidRPr="00FE6F22">
              <w:rPr>
                <w:rFonts w:ascii="Arial" w:hAnsi="Arial" w:cs="Arial"/>
                <w:b/>
                <w:sz w:val="24"/>
                <w:szCs w:val="24"/>
              </w:rPr>
              <w:t xml:space="preserve">Ejike Udeogu </w:t>
            </w:r>
          </w:p>
        </w:tc>
      </w:tr>
      <w:tr w:rsidR="00A3264A" w:rsidRPr="00FE6F22" w14:paraId="6693A0A4" w14:textId="77777777" w:rsidTr="00DB483C">
        <w:trPr>
          <w:trHeight w:hRule="exact" w:val="802"/>
        </w:trPr>
        <w:tc>
          <w:tcPr>
            <w:tcW w:w="3638" w:type="dxa"/>
            <w:shd w:val="clear" w:color="auto" w:fill="E2EFD9" w:themeFill="accent6" w:themeFillTint="33"/>
          </w:tcPr>
          <w:p w14:paraId="50077003" w14:textId="77777777" w:rsidR="00A3264A" w:rsidRPr="00FE6F22" w:rsidRDefault="00A3264A" w:rsidP="000E3733">
            <w:pPr>
              <w:spacing w:line="480" w:lineRule="auto"/>
              <w:rPr>
                <w:rFonts w:ascii="Arial" w:eastAsia="Times New Roman" w:hAnsi="Arial" w:cs="Arial"/>
                <w:b/>
                <w:bCs/>
                <w:sz w:val="24"/>
                <w:szCs w:val="24"/>
              </w:rPr>
            </w:pPr>
            <w:r w:rsidRPr="00FE6F22">
              <w:rPr>
                <w:rFonts w:ascii="Arial" w:eastAsia="Times New Roman" w:hAnsi="Arial" w:cs="Arial"/>
                <w:b/>
                <w:bCs/>
                <w:sz w:val="24"/>
                <w:szCs w:val="24"/>
              </w:rPr>
              <w:t xml:space="preserve">Internal Verifier: </w:t>
            </w:r>
          </w:p>
        </w:tc>
        <w:tc>
          <w:tcPr>
            <w:tcW w:w="5729" w:type="dxa"/>
            <w:shd w:val="clear" w:color="auto" w:fill="E2EFD9" w:themeFill="accent6" w:themeFillTint="33"/>
          </w:tcPr>
          <w:p w14:paraId="486114FB" w14:textId="77777777" w:rsidR="00DB483C" w:rsidRPr="00FE6F22" w:rsidRDefault="00DB483C" w:rsidP="00DB483C">
            <w:pPr>
              <w:spacing w:before="120" w:after="120"/>
              <w:rPr>
                <w:rFonts w:ascii="Arial" w:hAnsi="Arial" w:cs="Arial"/>
                <w:b/>
                <w:sz w:val="24"/>
                <w:szCs w:val="24"/>
              </w:rPr>
            </w:pPr>
            <w:r w:rsidRPr="00FE6F22">
              <w:rPr>
                <w:rFonts w:ascii="Arial" w:hAnsi="Arial" w:cs="Arial"/>
                <w:b/>
                <w:sz w:val="24"/>
                <w:szCs w:val="24"/>
              </w:rPr>
              <w:t xml:space="preserve">Vasilios </w:t>
            </w:r>
            <w:proofErr w:type="spellStart"/>
            <w:r w:rsidRPr="00FE6F22">
              <w:rPr>
                <w:rFonts w:ascii="Arial" w:hAnsi="Arial" w:cs="Arial"/>
                <w:b/>
                <w:sz w:val="24"/>
                <w:szCs w:val="24"/>
              </w:rPr>
              <w:t>Tavlaridis</w:t>
            </w:r>
            <w:proofErr w:type="spellEnd"/>
            <w:r w:rsidRPr="00FE6F22">
              <w:rPr>
                <w:rFonts w:ascii="Arial" w:hAnsi="Arial" w:cs="Arial"/>
                <w:b/>
                <w:sz w:val="24"/>
                <w:szCs w:val="24"/>
              </w:rPr>
              <w:t xml:space="preserve"> </w:t>
            </w:r>
          </w:p>
          <w:p w14:paraId="4F6EBE9E" w14:textId="77777777" w:rsidR="00A3264A" w:rsidRPr="00FE6F22" w:rsidRDefault="00DB483C" w:rsidP="00DB483C">
            <w:pPr>
              <w:spacing w:line="480" w:lineRule="auto"/>
              <w:rPr>
                <w:rFonts w:ascii="Arial" w:eastAsia="Times New Roman" w:hAnsi="Arial" w:cs="Arial"/>
                <w:b/>
                <w:bCs/>
                <w:sz w:val="24"/>
                <w:szCs w:val="24"/>
              </w:rPr>
            </w:pPr>
            <w:r w:rsidRPr="00FE6F22">
              <w:rPr>
                <w:rFonts w:ascii="Arial" w:hAnsi="Arial" w:cs="Arial"/>
                <w:b/>
                <w:sz w:val="24"/>
                <w:szCs w:val="24"/>
              </w:rPr>
              <w:t>Hoang Nguyen</w:t>
            </w:r>
          </w:p>
        </w:tc>
      </w:tr>
      <w:tr w:rsidR="00A3264A" w:rsidRPr="00FE6F22" w14:paraId="38E2CA4F" w14:textId="77777777" w:rsidTr="0047085A">
        <w:trPr>
          <w:trHeight w:hRule="exact" w:val="476"/>
        </w:trPr>
        <w:tc>
          <w:tcPr>
            <w:tcW w:w="3638" w:type="dxa"/>
            <w:shd w:val="clear" w:color="auto" w:fill="E2EFD9" w:themeFill="accent6" w:themeFillTint="33"/>
          </w:tcPr>
          <w:p w14:paraId="4886AD56" w14:textId="1A2D070C" w:rsidR="00A3264A" w:rsidRPr="00FE6F22" w:rsidRDefault="00FE6F22" w:rsidP="000E3733">
            <w:pPr>
              <w:spacing w:line="480" w:lineRule="auto"/>
              <w:rPr>
                <w:rFonts w:ascii="Arial" w:eastAsia="Times New Roman" w:hAnsi="Arial" w:cs="Arial"/>
                <w:b/>
                <w:bCs/>
                <w:sz w:val="24"/>
                <w:szCs w:val="24"/>
              </w:rPr>
            </w:pPr>
            <w:r w:rsidRPr="00FE6F22">
              <w:rPr>
                <w:rFonts w:ascii="Arial" w:eastAsia="Times New Roman" w:hAnsi="Arial" w:cs="Arial"/>
                <w:b/>
                <w:bCs/>
                <w:sz w:val="24"/>
                <w:szCs w:val="24"/>
              </w:rPr>
              <w:t>Title</w:t>
            </w:r>
          </w:p>
        </w:tc>
        <w:tc>
          <w:tcPr>
            <w:tcW w:w="5729" w:type="dxa"/>
            <w:shd w:val="clear" w:color="auto" w:fill="E2EFD9" w:themeFill="accent6" w:themeFillTint="33"/>
          </w:tcPr>
          <w:p w14:paraId="487A028B" w14:textId="29EE8317" w:rsidR="00FE6F22" w:rsidRPr="00FE6F22" w:rsidRDefault="00FE6F22" w:rsidP="00FE6F22">
            <w:pPr>
              <w:spacing w:line="360" w:lineRule="auto"/>
              <w:rPr>
                <w:rFonts w:ascii="Arial" w:eastAsia="Times New Roman" w:hAnsi="Arial" w:cs="Arial"/>
                <w:b/>
                <w:bCs/>
                <w:sz w:val="24"/>
                <w:szCs w:val="24"/>
              </w:rPr>
            </w:pPr>
            <w:r w:rsidRPr="00FE6F22">
              <w:rPr>
                <w:rFonts w:ascii="Arial" w:hAnsi="Arial" w:cs="Arial"/>
                <w:b/>
                <w:sz w:val="24"/>
                <w:szCs w:val="24"/>
              </w:rPr>
              <w:t>Assessment component - Individual report</w:t>
            </w:r>
          </w:p>
          <w:p w14:paraId="71B49C73" w14:textId="3E511AB2" w:rsidR="00A3264A" w:rsidRPr="00FE6F22" w:rsidRDefault="00A3264A" w:rsidP="0087586E">
            <w:pPr>
              <w:spacing w:line="480" w:lineRule="auto"/>
              <w:jc w:val="both"/>
              <w:rPr>
                <w:rFonts w:ascii="Arial" w:eastAsia="Times New Roman" w:hAnsi="Arial" w:cs="Arial"/>
                <w:b/>
                <w:bCs/>
                <w:sz w:val="24"/>
                <w:szCs w:val="24"/>
              </w:rPr>
            </w:pPr>
          </w:p>
        </w:tc>
      </w:tr>
    </w:tbl>
    <w:p w14:paraId="244E9984" w14:textId="77777777" w:rsidR="00216B03" w:rsidRPr="009225E6" w:rsidRDefault="00FD0388">
      <w:pPr>
        <w:rPr>
          <w:rFonts w:ascii="Times New Roman" w:hAnsi="Times New Roman" w:cs="Times New Roman"/>
          <w:b/>
          <w:sz w:val="24"/>
        </w:rPr>
      </w:pPr>
      <w:r w:rsidRPr="009225E6">
        <w:rPr>
          <w:rFonts w:ascii="Times New Roman" w:hAnsi="Times New Roman" w:cs="Times New Roman"/>
          <w:b/>
          <w:sz w:val="24"/>
        </w:rPr>
        <w:br w:type="page"/>
      </w:r>
    </w:p>
    <w:sdt>
      <w:sdtPr>
        <w:rPr>
          <w:rFonts w:ascii="Arial" w:eastAsiaTheme="minorHAnsi" w:hAnsi="Arial" w:cs="Arial"/>
          <w:b w:val="0"/>
          <w:bCs w:val="0"/>
          <w:color w:val="auto"/>
          <w:sz w:val="24"/>
          <w:szCs w:val="24"/>
          <w:lang w:val="en-GB" w:eastAsia="en-US"/>
        </w:rPr>
        <w:id w:val="1720093859"/>
        <w:docPartObj>
          <w:docPartGallery w:val="Table of Contents"/>
          <w:docPartUnique/>
        </w:docPartObj>
      </w:sdtPr>
      <w:sdtEndPr>
        <w:rPr>
          <w:noProof/>
        </w:rPr>
      </w:sdtEndPr>
      <w:sdtContent>
        <w:p w14:paraId="76641871" w14:textId="77777777" w:rsidR="00FD0388" w:rsidRPr="00FE6F22" w:rsidRDefault="00FD0388" w:rsidP="00FE6F22">
          <w:pPr>
            <w:pStyle w:val="TOCHeading"/>
            <w:tabs>
              <w:tab w:val="left" w:pos="1575"/>
            </w:tabs>
            <w:spacing w:line="360" w:lineRule="auto"/>
            <w:jc w:val="both"/>
            <w:rPr>
              <w:rFonts w:ascii="Arial" w:hAnsi="Arial" w:cs="Arial"/>
              <w:sz w:val="24"/>
              <w:szCs w:val="24"/>
            </w:rPr>
          </w:pPr>
          <w:r w:rsidRPr="00FE6F22">
            <w:rPr>
              <w:rFonts w:ascii="Arial" w:hAnsi="Arial" w:cs="Arial"/>
              <w:sz w:val="24"/>
              <w:szCs w:val="24"/>
            </w:rPr>
            <w:t>Contents</w:t>
          </w:r>
          <w:r w:rsidR="005F69B8" w:rsidRPr="00FE6F22">
            <w:rPr>
              <w:rFonts w:ascii="Arial" w:hAnsi="Arial" w:cs="Arial"/>
              <w:sz w:val="24"/>
              <w:szCs w:val="24"/>
            </w:rPr>
            <w:tab/>
          </w:r>
        </w:p>
        <w:p w14:paraId="790AAFCB" w14:textId="77777777" w:rsidR="002C29F5" w:rsidRPr="00FE6F22" w:rsidRDefault="00FD0388" w:rsidP="00FE6F22">
          <w:pPr>
            <w:pStyle w:val="TOC1"/>
            <w:tabs>
              <w:tab w:val="right" w:leader="dot" w:pos="9016"/>
            </w:tabs>
            <w:spacing w:line="360" w:lineRule="auto"/>
            <w:rPr>
              <w:rFonts w:ascii="Arial" w:eastAsiaTheme="minorEastAsia" w:hAnsi="Arial" w:cs="Arial"/>
              <w:noProof/>
              <w:sz w:val="24"/>
              <w:szCs w:val="24"/>
              <w:lang w:val="en-US"/>
            </w:rPr>
          </w:pPr>
          <w:r w:rsidRPr="00FE6F22">
            <w:rPr>
              <w:rFonts w:ascii="Arial" w:hAnsi="Arial" w:cs="Arial"/>
              <w:sz w:val="24"/>
              <w:szCs w:val="24"/>
            </w:rPr>
            <w:fldChar w:fldCharType="begin"/>
          </w:r>
          <w:r w:rsidRPr="00FE6F22">
            <w:rPr>
              <w:rFonts w:ascii="Arial" w:hAnsi="Arial" w:cs="Arial"/>
              <w:sz w:val="24"/>
              <w:szCs w:val="24"/>
            </w:rPr>
            <w:instrText xml:space="preserve"> TOC \o "1-3" \h \z \u </w:instrText>
          </w:r>
          <w:r w:rsidRPr="00FE6F22">
            <w:rPr>
              <w:rFonts w:ascii="Arial" w:hAnsi="Arial" w:cs="Arial"/>
              <w:sz w:val="24"/>
              <w:szCs w:val="24"/>
            </w:rPr>
            <w:fldChar w:fldCharType="separate"/>
          </w:r>
          <w:hyperlink w:anchor="_Toc225456770" w:history="1">
            <w:r w:rsidR="002C29F5" w:rsidRPr="00FE6F22">
              <w:rPr>
                <w:rStyle w:val="Hyperlink"/>
                <w:rFonts w:ascii="Arial" w:hAnsi="Arial" w:cs="Arial"/>
                <w:noProof/>
                <w:sz w:val="24"/>
                <w:szCs w:val="24"/>
              </w:rPr>
              <w:t>Section 1:</w:t>
            </w:r>
            <w:r w:rsidR="002C29F5" w:rsidRPr="00FE6F22">
              <w:rPr>
                <w:rFonts w:ascii="Arial" w:hAnsi="Arial" w:cs="Arial"/>
                <w:noProof/>
                <w:webHidden/>
                <w:sz w:val="24"/>
                <w:szCs w:val="24"/>
              </w:rPr>
              <w:tab/>
            </w:r>
            <w:r w:rsidR="002C29F5" w:rsidRPr="00FE6F22">
              <w:rPr>
                <w:rFonts w:ascii="Arial" w:hAnsi="Arial" w:cs="Arial"/>
                <w:noProof/>
                <w:webHidden/>
                <w:sz w:val="24"/>
                <w:szCs w:val="24"/>
              </w:rPr>
              <w:fldChar w:fldCharType="begin"/>
            </w:r>
            <w:r w:rsidR="002C29F5" w:rsidRPr="00FE6F22">
              <w:rPr>
                <w:rFonts w:ascii="Arial" w:hAnsi="Arial" w:cs="Arial"/>
                <w:noProof/>
                <w:webHidden/>
                <w:sz w:val="24"/>
                <w:szCs w:val="24"/>
              </w:rPr>
              <w:instrText xml:space="preserve"> PAGEREF _Toc225456770 \h </w:instrText>
            </w:r>
            <w:r w:rsidR="002C29F5" w:rsidRPr="00FE6F22">
              <w:rPr>
                <w:rFonts w:ascii="Arial" w:hAnsi="Arial" w:cs="Arial"/>
                <w:noProof/>
                <w:webHidden/>
                <w:sz w:val="24"/>
                <w:szCs w:val="24"/>
              </w:rPr>
            </w:r>
            <w:r w:rsidR="002C29F5" w:rsidRPr="00FE6F22">
              <w:rPr>
                <w:rFonts w:ascii="Arial" w:hAnsi="Arial" w:cs="Arial"/>
                <w:noProof/>
                <w:webHidden/>
                <w:sz w:val="24"/>
                <w:szCs w:val="24"/>
              </w:rPr>
              <w:fldChar w:fldCharType="separate"/>
            </w:r>
            <w:r w:rsidR="002C29F5" w:rsidRPr="00FE6F22">
              <w:rPr>
                <w:rFonts w:ascii="Arial" w:hAnsi="Arial" w:cs="Arial"/>
                <w:noProof/>
                <w:webHidden/>
                <w:sz w:val="24"/>
                <w:szCs w:val="24"/>
              </w:rPr>
              <w:t>1</w:t>
            </w:r>
            <w:r w:rsidR="002C29F5" w:rsidRPr="00FE6F22">
              <w:rPr>
                <w:rFonts w:ascii="Arial" w:hAnsi="Arial" w:cs="Arial"/>
                <w:noProof/>
                <w:webHidden/>
                <w:sz w:val="24"/>
                <w:szCs w:val="24"/>
              </w:rPr>
              <w:fldChar w:fldCharType="end"/>
            </w:r>
          </w:hyperlink>
        </w:p>
        <w:p w14:paraId="2A06EB9E" w14:textId="77777777" w:rsidR="002C29F5" w:rsidRPr="00FE6F22" w:rsidRDefault="00000000" w:rsidP="00FE6F22">
          <w:pPr>
            <w:pStyle w:val="TOC1"/>
            <w:tabs>
              <w:tab w:val="left" w:pos="440"/>
              <w:tab w:val="right" w:leader="dot" w:pos="9016"/>
            </w:tabs>
            <w:spacing w:line="360" w:lineRule="auto"/>
            <w:rPr>
              <w:rFonts w:ascii="Arial" w:eastAsiaTheme="minorEastAsia" w:hAnsi="Arial" w:cs="Arial"/>
              <w:noProof/>
              <w:sz w:val="24"/>
              <w:szCs w:val="24"/>
              <w:lang w:val="en-US"/>
            </w:rPr>
          </w:pPr>
          <w:hyperlink w:anchor="_Toc225456771" w:history="1">
            <w:r w:rsidR="002C29F5" w:rsidRPr="00FE6F22">
              <w:rPr>
                <w:rStyle w:val="Hyperlink"/>
                <w:rFonts w:ascii="Arial" w:hAnsi="Arial" w:cs="Arial"/>
                <w:noProof/>
                <w:sz w:val="24"/>
                <w:szCs w:val="24"/>
                <w:lang w:val="en-US"/>
              </w:rPr>
              <w:t>1.</w:t>
            </w:r>
            <w:r w:rsidR="002C29F5" w:rsidRPr="00FE6F22">
              <w:rPr>
                <w:rFonts w:ascii="Arial" w:eastAsiaTheme="minorEastAsia" w:hAnsi="Arial" w:cs="Arial"/>
                <w:noProof/>
                <w:sz w:val="24"/>
                <w:szCs w:val="24"/>
                <w:lang w:val="en-US"/>
              </w:rPr>
              <w:tab/>
            </w:r>
            <w:r w:rsidR="002C29F5" w:rsidRPr="00FE6F22">
              <w:rPr>
                <w:rStyle w:val="Hyperlink"/>
                <w:rFonts w:ascii="Arial" w:hAnsi="Arial" w:cs="Arial"/>
                <w:noProof/>
                <w:sz w:val="24"/>
                <w:szCs w:val="24"/>
                <w:lang w:val="en-US"/>
              </w:rPr>
              <w:t>Organizational Context and Overview</w:t>
            </w:r>
            <w:r w:rsidR="002C29F5" w:rsidRPr="00FE6F22">
              <w:rPr>
                <w:rFonts w:ascii="Arial" w:hAnsi="Arial" w:cs="Arial"/>
                <w:noProof/>
                <w:webHidden/>
                <w:sz w:val="24"/>
                <w:szCs w:val="24"/>
              </w:rPr>
              <w:tab/>
            </w:r>
            <w:r w:rsidR="002C29F5" w:rsidRPr="00FE6F22">
              <w:rPr>
                <w:rFonts w:ascii="Arial" w:hAnsi="Arial" w:cs="Arial"/>
                <w:noProof/>
                <w:webHidden/>
                <w:sz w:val="24"/>
                <w:szCs w:val="24"/>
              </w:rPr>
              <w:fldChar w:fldCharType="begin"/>
            </w:r>
            <w:r w:rsidR="002C29F5" w:rsidRPr="00FE6F22">
              <w:rPr>
                <w:rFonts w:ascii="Arial" w:hAnsi="Arial" w:cs="Arial"/>
                <w:noProof/>
                <w:webHidden/>
                <w:sz w:val="24"/>
                <w:szCs w:val="24"/>
              </w:rPr>
              <w:instrText xml:space="preserve"> PAGEREF _Toc225456771 \h </w:instrText>
            </w:r>
            <w:r w:rsidR="002C29F5" w:rsidRPr="00FE6F22">
              <w:rPr>
                <w:rFonts w:ascii="Arial" w:hAnsi="Arial" w:cs="Arial"/>
                <w:noProof/>
                <w:webHidden/>
                <w:sz w:val="24"/>
                <w:szCs w:val="24"/>
              </w:rPr>
            </w:r>
            <w:r w:rsidR="002C29F5" w:rsidRPr="00FE6F22">
              <w:rPr>
                <w:rFonts w:ascii="Arial" w:hAnsi="Arial" w:cs="Arial"/>
                <w:noProof/>
                <w:webHidden/>
                <w:sz w:val="24"/>
                <w:szCs w:val="24"/>
              </w:rPr>
              <w:fldChar w:fldCharType="separate"/>
            </w:r>
            <w:r w:rsidR="002C29F5" w:rsidRPr="00FE6F22">
              <w:rPr>
                <w:rFonts w:ascii="Arial" w:hAnsi="Arial" w:cs="Arial"/>
                <w:noProof/>
                <w:webHidden/>
                <w:sz w:val="24"/>
                <w:szCs w:val="24"/>
              </w:rPr>
              <w:t>1</w:t>
            </w:r>
            <w:r w:rsidR="002C29F5" w:rsidRPr="00FE6F22">
              <w:rPr>
                <w:rFonts w:ascii="Arial" w:hAnsi="Arial" w:cs="Arial"/>
                <w:noProof/>
                <w:webHidden/>
                <w:sz w:val="24"/>
                <w:szCs w:val="24"/>
              </w:rPr>
              <w:fldChar w:fldCharType="end"/>
            </w:r>
          </w:hyperlink>
        </w:p>
        <w:p w14:paraId="6689E363" w14:textId="77777777" w:rsidR="002C29F5" w:rsidRPr="00FE6F22" w:rsidRDefault="00000000" w:rsidP="00FE6F22">
          <w:pPr>
            <w:pStyle w:val="TOC1"/>
            <w:tabs>
              <w:tab w:val="left" w:pos="440"/>
              <w:tab w:val="right" w:leader="dot" w:pos="9016"/>
            </w:tabs>
            <w:spacing w:line="360" w:lineRule="auto"/>
            <w:rPr>
              <w:rFonts w:ascii="Arial" w:eastAsiaTheme="minorEastAsia" w:hAnsi="Arial" w:cs="Arial"/>
              <w:noProof/>
              <w:sz w:val="24"/>
              <w:szCs w:val="24"/>
              <w:lang w:val="en-US"/>
            </w:rPr>
          </w:pPr>
          <w:hyperlink w:anchor="_Toc225456772" w:history="1">
            <w:r w:rsidR="002C29F5" w:rsidRPr="00FE6F22">
              <w:rPr>
                <w:rStyle w:val="Hyperlink"/>
                <w:rFonts w:ascii="Arial" w:hAnsi="Arial" w:cs="Arial"/>
                <w:noProof/>
                <w:sz w:val="24"/>
                <w:szCs w:val="24"/>
                <w:lang w:val="en-US"/>
              </w:rPr>
              <w:t>2.</w:t>
            </w:r>
            <w:r w:rsidR="002C29F5" w:rsidRPr="00FE6F22">
              <w:rPr>
                <w:rFonts w:ascii="Arial" w:eastAsiaTheme="minorEastAsia" w:hAnsi="Arial" w:cs="Arial"/>
                <w:noProof/>
                <w:sz w:val="24"/>
                <w:szCs w:val="24"/>
                <w:lang w:val="en-US"/>
              </w:rPr>
              <w:tab/>
            </w:r>
            <w:r w:rsidR="002C29F5" w:rsidRPr="00FE6F22">
              <w:rPr>
                <w:rStyle w:val="Hyperlink"/>
                <w:rFonts w:ascii="Arial" w:hAnsi="Arial" w:cs="Arial"/>
                <w:noProof/>
                <w:sz w:val="24"/>
                <w:szCs w:val="24"/>
                <w:lang w:val="en-US"/>
              </w:rPr>
              <w:t>External and Internal Environment Analysis</w:t>
            </w:r>
            <w:r w:rsidR="002C29F5" w:rsidRPr="00FE6F22">
              <w:rPr>
                <w:rFonts w:ascii="Arial" w:hAnsi="Arial" w:cs="Arial"/>
                <w:noProof/>
                <w:webHidden/>
                <w:sz w:val="24"/>
                <w:szCs w:val="24"/>
              </w:rPr>
              <w:tab/>
            </w:r>
            <w:r w:rsidR="002C29F5" w:rsidRPr="00FE6F22">
              <w:rPr>
                <w:rFonts w:ascii="Arial" w:hAnsi="Arial" w:cs="Arial"/>
                <w:noProof/>
                <w:webHidden/>
                <w:sz w:val="24"/>
                <w:szCs w:val="24"/>
              </w:rPr>
              <w:fldChar w:fldCharType="begin"/>
            </w:r>
            <w:r w:rsidR="002C29F5" w:rsidRPr="00FE6F22">
              <w:rPr>
                <w:rFonts w:ascii="Arial" w:hAnsi="Arial" w:cs="Arial"/>
                <w:noProof/>
                <w:webHidden/>
                <w:sz w:val="24"/>
                <w:szCs w:val="24"/>
              </w:rPr>
              <w:instrText xml:space="preserve"> PAGEREF _Toc225456772 \h </w:instrText>
            </w:r>
            <w:r w:rsidR="002C29F5" w:rsidRPr="00FE6F22">
              <w:rPr>
                <w:rFonts w:ascii="Arial" w:hAnsi="Arial" w:cs="Arial"/>
                <w:noProof/>
                <w:webHidden/>
                <w:sz w:val="24"/>
                <w:szCs w:val="24"/>
              </w:rPr>
            </w:r>
            <w:r w:rsidR="002C29F5" w:rsidRPr="00FE6F22">
              <w:rPr>
                <w:rFonts w:ascii="Arial" w:hAnsi="Arial" w:cs="Arial"/>
                <w:noProof/>
                <w:webHidden/>
                <w:sz w:val="24"/>
                <w:szCs w:val="24"/>
              </w:rPr>
              <w:fldChar w:fldCharType="separate"/>
            </w:r>
            <w:r w:rsidR="002C29F5" w:rsidRPr="00FE6F22">
              <w:rPr>
                <w:rFonts w:ascii="Arial" w:hAnsi="Arial" w:cs="Arial"/>
                <w:noProof/>
                <w:webHidden/>
                <w:sz w:val="24"/>
                <w:szCs w:val="24"/>
              </w:rPr>
              <w:t>2</w:t>
            </w:r>
            <w:r w:rsidR="002C29F5" w:rsidRPr="00FE6F22">
              <w:rPr>
                <w:rFonts w:ascii="Arial" w:hAnsi="Arial" w:cs="Arial"/>
                <w:noProof/>
                <w:webHidden/>
                <w:sz w:val="24"/>
                <w:szCs w:val="24"/>
              </w:rPr>
              <w:fldChar w:fldCharType="end"/>
            </w:r>
          </w:hyperlink>
        </w:p>
        <w:p w14:paraId="52E548BF" w14:textId="77777777" w:rsidR="002C29F5" w:rsidRPr="00FE6F22" w:rsidRDefault="00000000" w:rsidP="00FE6F22">
          <w:pPr>
            <w:pStyle w:val="TOC2"/>
            <w:tabs>
              <w:tab w:val="right" w:leader="dot" w:pos="9016"/>
            </w:tabs>
            <w:spacing w:line="360" w:lineRule="auto"/>
            <w:rPr>
              <w:rFonts w:ascii="Arial" w:eastAsiaTheme="minorEastAsia" w:hAnsi="Arial" w:cs="Arial"/>
              <w:noProof/>
              <w:sz w:val="24"/>
              <w:szCs w:val="24"/>
              <w:lang w:val="en-US"/>
            </w:rPr>
          </w:pPr>
          <w:hyperlink w:anchor="_Toc225456773" w:history="1">
            <w:r w:rsidR="002C29F5" w:rsidRPr="00FE6F22">
              <w:rPr>
                <w:rStyle w:val="Hyperlink"/>
                <w:rFonts w:ascii="Arial" w:hAnsi="Arial" w:cs="Arial"/>
                <w:noProof/>
                <w:sz w:val="24"/>
                <w:szCs w:val="24"/>
                <w:lang w:val="en-US"/>
              </w:rPr>
              <w:t>2.1 External Environment Analysis (PESTEL)</w:t>
            </w:r>
            <w:r w:rsidR="002C29F5" w:rsidRPr="00FE6F22">
              <w:rPr>
                <w:rFonts w:ascii="Arial" w:hAnsi="Arial" w:cs="Arial"/>
                <w:noProof/>
                <w:webHidden/>
                <w:sz w:val="24"/>
                <w:szCs w:val="24"/>
              </w:rPr>
              <w:tab/>
            </w:r>
            <w:r w:rsidR="002C29F5" w:rsidRPr="00FE6F22">
              <w:rPr>
                <w:rFonts w:ascii="Arial" w:hAnsi="Arial" w:cs="Arial"/>
                <w:noProof/>
                <w:webHidden/>
                <w:sz w:val="24"/>
                <w:szCs w:val="24"/>
              </w:rPr>
              <w:fldChar w:fldCharType="begin"/>
            </w:r>
            <w:r w:rsidR="002C29F5" w:rsidRPr="00FE6F22">
              <w:rPr>
                <w:rFonts w:ascii="Arial" w:hAnsi="Arial" w:cs="Arial"/>
                <w:noProof/>
                <w:webHidden/>
                <w:sz w:val="24"/>
                <w:szCs w:val="24"/>
              </w:rPr>
              <w:instrText xml:space="preserve"> PAGEREF _Toc225456773 \h </w:instrText>
            </w:r>
            <w:r w:rsidR="002C29F5" w:rsidRPr="00FE6F22">
              <w:rPr>
                <w:rFonts w:ascii="Arial" w:hAnsi="Arial" w:cs="Arial"/>
                <w:noProof/>
                <w:webHidden/>
                <w:sz w:val="24"/>
                <w:szCs w:val="24"/>
              </w:rPr>
            </w:r>
            <w:r w:rsidR="002C29F5" w:rsidRPr="00FE6F22">
              <w:rPr>
                <w:rFonts w:ascii="Arial" w:hAnsi="Arial" w:cs="Arial"/>
                <w:noProof/>
                <w:webHidden/>
                <w:sz w:val="24"/>
                <w:szCs w:val="24"/>
              </w:rPr>
              <w:fldChar w:fldCharType="separate"/>
            </w:r>
            <w:r w:rsidR="002C29F5" w:rsidRPr="00FE6F22">
              <w:rPr>
                <w:rFonts w:ascii="Arial" w:hAnsi="Arial" w:cs="Arial"/>
                <w:noProof/>
                <w:webHidden/>
                <w:sz w:val="24"/>
                <w:szCs w:val="24"/>
              </w:rPr>
              <w:t>2</w:t>
            </w:r>
            <w:r w:rsidR="002C29F5" w:rsidRPr="00FE6F22">
              <w:rPr>
                <w:rFonts w:ascii="Arial" w:hAnsi="Arial" w:cs="Arial"/>
                <w:noProof/>
                <w:webHidden/>
                <w:sz w:val="24"/>
                <w:szCs w:val="24"/>
              </w:rPr>
              <w:fldChar w:fldCharType="end"/>
            </w:r>
          </w:hyperlink>
        </w:p>
        <w:p w14:paraId="4124A3EC" w14:textId="77777777" w:rsidR="002C29F5" w:rsidRPr="00FE6F22" w:rsidRDefault="00000000" w:rsidP="00FE6F22">
          <w:pPr>
            <w:pStyle w:val="TOC2"/>
            <w:tabs>
              <w:tab w:val="right" w:leader="dot" w:pos="9016"/>
            </w:tabs>
            <w:spacing w:line="360" w:lineRule="auto"/>
            <w:rPr>
              <w:rFonts w:ascii="Arial" w:eastAsiaTheme="minorEastAsia" w:hAnsi="Arial" w:cs="Arial"/>
              <w:noProof/>
              <w:sz w:val="24"/>
              <w:szCs w:val="24"/>
              <w:lang w:val="en-US"/>
            </w:rPr>
          </w:pPr>
          <w:hyperlink w:anchor="_Toc225456774" w:history="1">
            <w:r w:rsidR="002C29F5" w:rsidRPr="00FE6F22">
              <w:rPr>
                <w:rStyle w:val="Hyperlink"/>
                <w:rFonts w:ascii="Arial" w:hAnsi="Arial" w:cs="Arial"/>
                <w:noProof/>
                <w:sz w:val="24"/>
                <w:szCs w:val="24"/>
                <w:lang w:val="en-US"/>
              </w:rPr>
              <w:t>2.2 Critical Success Factors and Strategic Challenges</w:t>
            </w:r>
            <w:r w:rsidR="002C29F5" w:rsidRPr="00FE6F22">
              <w:rPr>
                <w:rFonts w:ascii="Arial" w:hAnsi="Arial" w:cs="Arial"/>
                <w:noProof/>
                <w:webHidden/>
                <w:sz w:val="24"/>
                <w:szCs w:val="24"/>
              </w:rPr>
              <w:tab/>
            </w:r>
            <w:r w:rsidR="002C29F5" w:rsidRPr="00FE6F22">
              <w:rPr>
                <w:rFonts w:ascii="Arial" w:hAnsi="Arial" w:cs="Arial"/>
                <w:noProof/>
                <w:webHidden/>
                <w:sz w:val="24"/>
                <w:szCs w:val="24"/>
              </w:rPr>
              <w:fldChar w:fldCharType="begin"/>
            </w:r>
            <w:r w:rsidR="002C29F5" w:rsidRPr="00FE6F22">
              <w:rPr>
                <w:rFonts w:ascii="Arial" w:hAnsi="Arial" w:cs="Arial"/>
                <w:noProof/>
                <w:webHidden/>
                <w:sz w:val="24"/>
                <w:szCs w:val="24"/>
              </w:rPr>
              <w:instrText xml:space="preserve"> PAGEREF _Toc225456774 \h </w:instrText>
            </w:r>
            <w:r w:rsidR="002C29F5" w:rsidRPr="00FE6F22">
              <w:rPr>
                <w:rFonts w:ascii="Arial" w:hAnsi="Arial" w:cs="Arial"/>
                <w:noProof/>
                <w:webHidden/>
                <w:sz w:val="24"/>
                <w:szCs w:val="24"/>
              </w:rPr>
            </w:r>
            <w:r w:rsidR="002C29F5" w:rsidRPr="00FE6F22">
              <w:rPr>
                <w:rFonts w:ascii="Arial" w:hAnsi="Arial" w:cs="Arial"/>
                <w:noProof/>
                <w:webHidden/>
                <w:sz w:val="24"/>
                <w:szCs w:val="24"/>
              </w:rPr>
              <w:fldChar w:fldCharType="separate"/>
            </w:r>
            <w:r w:rsidR="002C29F5" w:rsidRPr="00FE6F22">
              <w:rPr>
                <w:rFonts w:ascii="Arial" w:hAnsi="Arial" w:cs="Arial"/>
                <w:noProof/>
                <w:webHidden/>
                <w:sz w:val="24"/>
                <w:szCs w:val="24"/>
              </w:rPr>
              <w:t>3</w:t>
            </w:r>
            <w:r w:rsidR="002C29F5" w:rsidRPr="00FE6F22">
              <w:rPr>
                <w:rFonts w:ascii="Arial" w:hAnsi="Arial" w:cs="Arial"/>
                <w:noProof/>
                <w:webHidden/>
                <w:sz w:val="24"/>
                <w:szCs w:val="24"/>
              </w:rPr>
              <w:fldChar w:fldCharType="end"/>
            </w:r>
          </w:hyperlink>
        </w:p>
        <w:p w14:paraId="35B17B16" w14:textId="77777777" w:rsidR="002C29F5" w:rsidRPr="00FE6F22" w:rsidRDefault="00000000" w:rsidP="00FE6F22">
          <w:pPr>
            <w:pStyle w:val="TOC2"/>
            <w:tabs>
              <w:tab w:val="right" w:leader="dot" w:pos="9016"/>
            </w:tabs>
            <w:spacing w:line="360" w:lineRule="auto"/>
            <w:rPr>
              <w:rFonts w:ascii="Arial" w:eastAsiaTheme="minorEastAsia" w:hAnsi="Arial" w:cs="Arial"/>
              <w:noProof/>
              <w:sz w:val="24"/>
              <w:szCs w:val="24"/>
              <w:lang w:val="en-US"/>
            </w:rPr>
          </w:pPr>
          <w:hyperlink w:anchor="_Toc225456775" w:history="1">
            <w:r w:rsidR="002C29F5" w:rsidRPr="00FE6F22">
              <w:rPr>
                <w:rStyle w:val="Hyperlink"/>
                <w:rFonts w:ascii="Arial" w:hAnsi="Arial" w:cs="Arial"/>
                <w:noProof/>
                <w:sz w:val="24"/>
                <w:szCs w:val="24"/>
                <w:lang w:val="en-US"/>
              </w:rPr>
              <w:t>2.3 Internal Environment Analysis: Resources, Capabilities, and VRIO</w:t>
            </w:r>
            <w:r w:rsidR="002C29F5" w:rsidRPr="00FE6F22">
              <w:rPr>
                <w:rFonts w:ascii="Arial" w:hAnsi="Arial" w:cs="Arial"/>
                <w:noProof/>
                <w:webHidden/>
                <w:sz w:val="24"/>
                <w:szCs w:val="24"/>
              </w:rPr>
              <w:tab/>
            </w:r>
            <w:r w:rsidR="002C29F5" w:rsidRPr="00FE6F22">
              <w:rPr>
                <w:rFonts w:ascii="Arial" w:hAnsi="Arial" w:cs="Arial"/>
                <w:noProof/>
                <w:webHidden/>
                <w:sz w:val="24"/>
                <w:szCs w:val="24"/>
              </w:rPr>
              <w:fldChar w:fldCharType="begin"/>
            </w:r>
            <w:r w:rsidR="002C29F5" w:rsidRPr="00FE6F22">
              <w:rPr>
                <w:rFonts w:ascii="Arial" w:hAnsi="Arial" w:cs="Arial"/>
                <w:noProof/>
                <w:webHidden/>
                <w:sz w:val="24"/>
                <w:szCs w:val="24"/>
              </w:rPr>
              <w:instrText xml:space="preserve"> PAGEREF _Toc225456775 \h </w:instrText>
            </w:r>
            <w:r w:rsidR="002C29F5" w:rsidRPr="00FE6F22">
              <w:rPr>
                <w:rFonts w:ascii="Arial" w:hAnsi="Arial" w:cs="Arial"/>
                <w:noProof/>
                <w:webHidden/>
                <w:sz w:val="24"/>
                <w:szCs w:val="24"/>
              </w:rPr>
            </w:r>
            <w:r w:rsidR="002C29F5" w:rsidRPr="00FE6F22">
              <w:rPr>
                <w:rFonts w:ascii="Arial" w:hAnsi="Arial" w:cs="Arial"/>
                <w:noProof/>
                <w:webHidden/>
                <w:sz w:val="24"/>
                <w:szCs w:val="24"/>
              </w:rPr>
              <w:fldChar w:fldCharType="separate"/>
            </w:r>
            <w:r w:rsidR="002C29F5" w:rsidRPr="00FE6F22">
              <w:rPr>
                <w:rFonts w:ascii="Arial" w:hAnsi="Arial" w:cs="Arial"/>
                <w:noProof/>
                <w:webHidden/>
                <w:sz w:val="24"/>
                <w:szCs w:val="24"/>
              </w:rPr>
              <w:t>4</w:t>
            </w:r>
            <w:r w:rsidR="002C29F5" w:rsidRPr="00FE6F22">
              <w:rPr>
                <w:rFonts w:ascii="Arial" w:hAnsi="Arial" w:cs="Arial"/>
                <w:noProof/>
                <w:webHidden/>
                <w:sz w:val="24"/>
                <w:szCs w:val="24"/>
              </w:rPr>
              <w:fldChar w:fldCharType="end"/>
            </w:r>
          </w:hyperlink>
        </w:p>
        <w:p w14:paraId="74CBD979" w14:textId="77777777" w:rsidR="002C29F5" w:rsidRPr="00FE6F22" w:rsidRDefault="00000000" w:rsidP="00FE6F22">
          <w:pPr>
            <w:pStyle w:val="TOC2"/>
            <w:tabs>
              <w:tab w:val="right" w:leader="dot" w:pos="9016"/>
            </w:tabs>
            <w:spacing w:line="360" w:lineRule="auto"/>
            <w:rPr>
              <w:rFonts w:ascii="Arial" w:eastAsiaTheme="minorEastAsia" w:hAnsi="Arial" w:cs="Arial"/>
              <w:noProof/>
              <w:sz w:val="24"/>
              <w:szCs w:val="24"/>
              <w:lang w:val="en-US"/>
            </w:rPr>
          </w:pPr>
          <w:hyperlink w:anchor="_Toc225456776" w:history="1">
            <w:r w:rsidR="002C29F5" w:rsidRPr="00FE6F22">
              <w:rPr>
                <w:rStyle w:val="Hyperlink"/>
                <w:rFonts w:ascii="Arial" w:hAnsi="Arial" w:cs="Arial"/>
                <w:noProof/>
                <w:sz w:val="24"/>
                <w:szCs w:val="24"/>
                <w:lang w:val="en-US"/>
              </w:rPr>
              <w:t>2.4 Contribution of Internal Strengths to Competitive Advantage</w:t>
            </w:r>
            <w:r w:rsidR="002C29F5" w:rsidRPr="00FE6F22">
              <w:rPr>
                <w:rFonts w:ascii="Arial" w:hAnsi="Arial" w:cs="Arial"/>
                <w:noProof/>
                <w:webHidden/>
                <w:sz w:val="24"/>
                <w:szCs w:val="24"/>
              </w:rPr>
              <w:tab/>
            </w:r>
            <w:r w:rsidR="002C29F5" w:rsidRPr="00FE6F22">
              <w:rPr>
                <w:rFonts w:ascii="Arial" w:hAnsi="Arial" w:cs="Arial"/>
                <w:noProof/>
                <w:webHidden/>
                <w:sz w:val="24"/>
                <w:szCs w:val="24"/>
              </w:rPr>
              <w:fldChar w:fldCharType="begin"/>
            </w:r>
            <w:r w:rsidR="002C29F5" w:rsidRPr="00FE6F22">
              <w:rPr>
                <w:rFonts w:ascii="Arial" w:hAnsi="Arial" w:cs="Arial"/>
                <w:noProof/>
                <w:webHidden/>
                <w:sz w:val="24"/>
                <w:szCs w:val="24"/>
              </w:rPr>
              <w:instrText xml:space="preserve"> PAGEREF _Toc225456776 \h </w:instrText>
            </w:r>
            <w:r w:rsidR="002C29F5" w:rsidRPr="00FE6F22">
              <w:rPr>
                <w:rFonts w:ascii="Arial" w:hAnsi="Arial" w:cs="Arial"/>
                <w:noProof/>
                <w:webHidden/>
                <w:sz w:val="24"/>
                <w:szCs w:val="24"/>
              </w:rPr>
            </w:r>
            <w:r w:rsidR="002C29F5" w:rsidRPr="00FE6F22">
              <w:rPr>
                <w:rFonts w:ascii="Arial" w:hAnsi="Arial" w:cs="Arial"/>
                <w:noProof/>
                <w:webHidden/>
                <w:sz w:val="24"/>
                <w:szCs w:val="24"/>
              </w:rPr>
              <w:fldChar w:fldCharType="separate"/>
            </w:r>
            <w:r w:rsidR="002C29F5" w:rsidRPr="00FE6F22">
              <w:rPr>
                <w:rFonts w:ascii="Arial" w:hAnsi="Arial" w:cs="Arial"/>
                <w:noProof/>
                <w:webHidden/>
                <w:sz w:val="24"/>
                <w:szCs w:val="24"/>
              </w:rPr>
              <w:t>5</w:t>
            </w:r>
            <w:r w:rsidR="002C29F5" w:rsidRPr="00FE6F22">
              <w:rPr>
                <w:rFonts w:ascii="Arial" w:hAnsi="Arial" w:cs="Arial"/>
                <w:noProof/>
                <w:webHidden/>
                <w:sz w:val="24"/>
                <w:szCs w:val="24"/>
              </w:rPr>
              <w:fldChar w:fldCharType="end"/>
            </w:r>
          </w:hyperlink>
        </w:p>
        <w:p w14:paraId="4B62F908" w14:textId="77777777" w:rsidR="002C29F5" w:rsidRPr="00FE6F22" w:rsidRDefault="00000000" w:rsidP="00FE6F22">
          <w:pPr>
            <w:pStyle w:val="TOC2"/>
            <w:tabs>
              <w:tab w:val="left" w:pos="660"/>
              <w:tab w:val="right" w:leader="dot" w:pos="9016"/>
            </w:tabs>
            <w:spacing w:line="360" w:lineRule="auto"/>
            <w:rPr>
              <w:rFonts w:ascii="Arial" w:eastAsiaTheme="minorEastAsia" w:hAnsi="Arial" w:cs="Arial"/>
              <w:noProof/>
              <w:sz w:val="24"/>
              <w:szCs w:val="24"/>
              <w:lang w:val="en-US"/>
            </w:rPr>
          </w:pPr>
          <w:hyperlink w:anchor="_Toc225456777" w:history="1">
            <w:r w:rsidR="002C29F5" w:rsidRPr="00FE6F22">
              <w:rPr>
                <w:rStyle w:val="Hyperlink"/>
                <w:rFonts w:ascii="Arial" w:hAnsi="Arial" w:cs="Arial"/>
                <w:noProof/>
                <w:sz w:val="24"/>
                <w:szCs w:val="24"/>
                <w:lang w:val="en-US"/>
              </w:rPr>
              <w:t>3.</w:t>
            </w:r>
            <w:r w:rsidR="002C29F5" w:rsidRPr="00FE6F22">
              <w:rPr>
                <w:rFonts w:ascii="Arial" w:eastAsiaTheme="minorEastAsia" w:hAnsi="Arial" w:cs="Arial"/>
                <w:noProof/>
                <w:sz w:val="24"/>
                <w:szCs w:val="24"/>
                <w:lang w:val="en-US"/>
              </w:rPr>
              <w:tab/>
            </w:r>
            <w:r w:rsidR="002C29F5" w:rsidRPr="00FE6F22">
              <w:rPr>
                <w:rStyle w:val="Hyperlink"/>
                <w:rFonts w:ascii="Arial" w:hAnsi="Arial" w:cs="Arial"/>
                <w:noProof/>
                <w:sz w:val="24"/>
                <w:szCs w:val="24"/>
                <w:lang w:val="en-US"/>
              </w:rPr>
              <w:t>CSR and Sustainability Objectives</w:t>
            </w:r>
            <w:r w:rsidR="002C29F5" w:rsidRPr="00FE6F22">
              <w:rPr>
                <w:rFonts w:ascii="Arial" w:hAnsi="Arial" w:cs="Arial"/>
                <w:noProof/>
                <w:webHidden/>
                <w:sz w:val="24"/>
                <w:szCs w:val="24"/>
              </w:rPr>
              <w:tab/>
            </w:r>
            <w:r w:rsidR="002C29F5" w:rsidRPr="00FE6F22">
              <w:rPr>
                <w:rFonts w:ascii="Arial" w:hAnsi="Arial" w:cs="Arial"/>
                <w:noProof/>
                <w:webHidden/>
                <w:sz w:val="24"/>
                <w:szCs w:val="24"/>
              </w:rPr>
              <w:fldChar w:fldCharType="begin"/>
            </w:r>
            <w:r w:rsidR="002C29F5" w:rsidRPr="00FE6F22">
              <w:rPr>
                <w:rFonts w:ascii="Arial" w:hAnsi="Arial" w:cs="Arial"/>
                <w:noProof/>
                <w:webHidden/>
                <w:sz w:val="24"/>
                <w:szCs w:val="24"/>
              </w:rPr>
              <w:instrText xml:space="preserve"> PAGEREF _Toc225456777 \h </w:instrText>
            </w:r>
            <w:r w:rsidR="002C29F5" w:rsidRPr="00FE6F22">
              <w:rPr>
                <w:rFonts w:ascii="Arial" w:hAnsi="Arial" w:cs="Arial"/>
                <w:noProof/>
                <w:webHidden/>
                <w:sz w:val="24"/>
                <w:szCs w:val="24"/>
              </w:rPr>
            </w:r>
            <w:r w:rsidR="002C29F5" w:rsidRPr="00FE6F22">
              <w:rPr>
                <w:rFonts w:ascii="Arial" w:hAnsi="Arial" w:cs="Arial"/>
                <w:noProof/>
                <w:webHidden/>
                <w:sz w:val="24"/>
                <w:szCs w:val="24"/>
              </w:rPr>
              <w:fldChar w:fldCharType="separate"/>
            </w:r>
            <w:r w:rsidR="002C29F5" w:rsidRPr="00FE6F22">
              <w:rPr>
                <w:rFonts w:ascii="Arial" w:hAnsi="Arial" w:cs="Arial"/>
                <w:noProof/>
                <w:webHidden/>
                <w:sz w:val="24"/>
                <w:szCs w:val="24"/>
              </w:rPr>
              <w:t>6</w:t>
            </w:r>
            <w:r w:rsidR="002C29F5" w:rsidRPr="00FE6F22">
              <w:rPr>
                <w:rFonts w:ascii="Arial" w:hAnsi="Arial" w:cs="Arial"/>
                <w:noProof/>
                <w:webHidden/>
                <w:sz w:val="24"/>
                <w:szCs w:val="24"/>
              </w:rPr>
              <w:fldChar w:fldCharType="end"/>
            </w:r>
          </w:hyperlink>
        </w:p>
        <w:p w14:paraId="2EF88E56" w14:textId="77777777" w:rsidR="002C29F5" w:rsidRPr="00FE6F22" w:rsidRDefault="00000000" w:rsidP="00FE6F22">
          <w:pPr>
            <w:pStyle w:val="TOC2"/>
            <w:tabs>
              <w:tab w:val="left" w:pos="660"/>
              <w:tab w:val="right" w:leader="dot" w:pos="9016"/>
            </w:tabs>
            <w:spacing w:line="360" w:lineRule="auto"/>
            <w:rPr>
              <w:rFonts w:ascii="Arial" w:eastAsiaTheme="minorEastAsia" w:hAnsi="Arial" w:cs="Arial"/>
              <w:noProof/>
              <w:sz w:val="24"/>
              <w:szCs w:val="24"/>
              <w:lang w:val="en-US"/>
            </w:rPr>
          </w:pPr>
          <w:hyperlink w:anchor="_Toc225456778" w:history="1">
            <w:r w:rsidR="002C29F5" w:rsidRPr="00FE6F22">
              <w:rPr>
                <w:rStyle w:val="Hyperlink"/>
                <w:rFonts w:ascii="Arial" w:hAnsi="Arial" w:cs="Arial"/>
                <w:noProof/>
                <w:sz w:val="24"/>
                <w:szCs w:val="24"/>
                <w:lang w:val="en-US"/>
              </w:rPr>
              <w:t>4.</w:t>
            </w:r>
            <w:r w:rsidR="002C29F5" w:rsidRPr="00FE6F22">
              <w:rPr>
                <w:rFonts w:ascii="Arial" w:eastAsiaTheme="minorEastAsia" w:hAnsi="Arial" w:cs="Arial"/>
                <w:noProof/>
                <w:sz w:val="24"/>
                <w:szCs w:val="24"/>
                <w:lang w:val="en-US"/>
              </w:rPr>
              <w:tab/>
            </w:r>
            <w:r w:rsidR="002C29F5" w:rsidRPr="00FE6F22">
              <w:rPr>
                <w:rStyle w:val="Hyperlink"/>
                <w:rFonts w:ascii="Arial" w:hAnsi="Arial" w:cs="Arial"/>
                <w:noProof/>
                <w:sz w:val="24"/>
                <w:szCs w:val="24"/>
                <w:lang w:val="en-US"/>
              </w:rPr>
              <w:t>Comprehensive and Holistic View of the Organization: The Balanced Scorecard</w:t>
            </w:r>
            <w:r w:rsidR="002C29F5" w:rsidRPr="00FE6F22">
              <w:rPr>
                <w:rFonts w:ascii="Arial" w:hAnsi="Arial" w:cs="Arial"/>
                <w:noProof/>
                <w:webHidden/>
                <w:sz w:val="24"/>
                <w:szCs w:val="24"/>
              </w:rPr>
              <w:tab/>
            </w:r>
            <w:r w:rsidR="002C29F5" w:rsidRPr="00FE6F22">
              <w:rPr>
                <w:rFonts w:ascii="Arial" w:hAnsi="Arial" w:cs="Arial"/>
                <w:noProof/>
                <w:webHidden/>
                <w:sz w:val="24"/>
                <w:szCs w:val="24"/>
              </w:rPr>
              <w:fldChar w:fldCharType="begin"/>
            </w:r>
            <w:r w:rsidR="002C29F5" w:rsidRPr="00FE6F22">
              <w:rPr>
                <w:rFonts w:ascii="Arial" w:hAnsi="Arial" w:cs="Arial"/>
                <w:noProof/>
                <w:webHidden/>
                <w:sz w:val="24"/>
                <w:szCs w:val="24"/>
              </w:rPr>
              <w:instrText xml:space="preserve"> PAGEREF _Toc225456778 \h </w:instrText>
            </w:r>
            <w:r w:rsidR="002C29F5" w:rsidRPr="00FE6F22">
              <w:rPr>
                <w:rFonts w:ascii="Arial" w:hAnsi="Arial" w:cs="Arial"/>
                <w:noProof/>
                <w:webHidden/>
                <w:sz w:val="24"/>
                <w:szCs w:val="24"/>
              </w:rPr>
            </w:r>
            <w:r w:rsidR="002C29F5" w:rsidRPr="00FE6F22">
              <w:rPr>
                <w:rFonts w:ascii="Arial" w:hAnsi="Arial" w:cs="Arial"/>
                <w:noProof/>
                <w:webHidden/>
                <w:sz w:val="24"/>
                <w:szCs w:val="24"/>
              </w:rPr>
              <w:fldChar w:fldCharType="separate"/>
            </w:r>
            <w:r w:rsidR="002C29F5" w:rsidRPr="00FE6F22">
              <w:rPr>
                <w:rFonts w:ascii="Arial" w:hAnsi="Arial" w:cs="Arial"/>
                <w:noProof/>
                <w:webHidden/>
                <w:sz w:val="24"/>
                <w:szCs w:val="24"/>
              </w:rPr>
              <w:t>6</w:t>
            </w:r>
            <w:r w:rsidR="002C29F5" w:rsidRPr="00FE6F22">
              <w:rPr>
                <w:rFonts w:ascii="Arial" w:hAnsi="Arial" w:cs="Arial"/>
                <w:noProof/>
                <w:webHidden/>
                <w:sz w:val="24"/>
                <w:szCs w:val="24"/>
              </w:rPr>
              <w:fldChar w:fldCharType="end"/>
            </w:r>
          </w:hyperlink>
        </w:p>
        <w:p w14:paraId="10793856" w14:textId="77777777" w:rsidR="002C29F5" w:rsidRPr="00FE6F22" w:rsidRDefault="00000000" w:rsidP="00FE6F22">
          <w:pPr>
            <w:pStyle w:val="TOC2"/>
            <w:tabs>
              <w:tab w:val="left" w:pos="660"/>
              <w:tab w:val="right" w:leader="dot" w:pos="9016"/>
            </w:tabs>
            <w:spacing w:line="360" w:lineRule="auto"/>
            <w:rPr>
              <w:rFonts w:ascii="Arial" w:eastAsiaTheme="minorEastAsia" w:hAnsi="Arial" w:cs="Arial"/>
              <w:noProof/>
              <w:sz w:val="24"/>
              <w:szCs w:val="24"/>
              <w:lang w:val="en-US"/>
            </w:rPr>
          </w:pPr>
          <w:hyperlink w:anchor="_Toc225456779" w:history="1">
            <w:r w:rsidR="002C29F5" w:rsidRPr="00FE6F22">
              <w:rPr>
                <w:rStyle w:val="Hyperlink"/>
                <w:rFonts w:ascii="Arial" w:hAnsi="Arial" w:cs="Arial"/>
                <w:noProof/>
                <w:sz w:val="24"/>
                <w:szCs w:val="24"/>
                <w:lang w:val="en-US"/>
              </w:rPr>
              <w:t>5.</w:t>
            </w:r>
            <w:r w:rsidR="002C29F5" w:rsidRPr="00FE6F22">
              <w:rPr>
                <w:rFonts w:ascii="Arial" w:eastAsiaTheme="minorEastAsia" w:hAnsi="Arial" w:cs="Arial"/>
                <w:noProof/>
                <w:sz w:val="24"/>
                <w:szCs w:val="24"/>
                <w:lang w:val="en-US"/>
              </w:rPr>
              <w:tab/>
            </w:r>
            <w:r w:rsidR="002C29F5" w:rsidRPr="00FE6F22">
              <w:rPr>
                <w:rStyle w:val="Hyperlink"/>
                <w:rFonts w:ascii="Arial" w:hAnsi="Arial" w:cs="Arial"/>
                <w:noProof/>
                <w:sz w:val="24"/>
                <w:szCs w:val="24"/>
                <w:lang w:val="en-US"/>
              </w:rPr>
              <w:t>Strategic Choices and Implementation</w:t>
            </w:r>
            <w:r w:rsidR="002C29F5" w:rsidRPr="00FE6F22">
              <w:rPr>
                <w:rFonts w:ascii="Arial" w:hAnsi="Arial" w:cs="Arial"/>
                <w:noProof/>
                <w:webHidden/>
                <w:sz w:val="24"/>
                <w:szCs w:val="24"/>
              </w:rPr>
              <w:tab/>
            </w:r>
            <w:r w:rsidR="002C29F5" w:rsidRPr="00FE6F22">
              <w:rPr>
                <w:rFonts w:ascii="Arial" w:hAnsi="Arial" w:cs="Arial"/>
                <w:noProof/>
                <w:webHidden/>
                <w:sz w:val="24"/>
                <w:szCs w:val="24"/>
              </w:rPr>
              <w:fldChar w:fldCharType="begin"/>
            </w:r>
            <w:r w:rsidR="002C29F5" w:rsidRPr="00FE6F22">
              <w:rPr>
                <w:rFonts w:ascii="Arial" w:hAnsi="Arial" w:cs="Arial"/>
                <w:noProof/>
                <w:webHidden/>
                <w:sz w:val="24"/>
                <w:szCs w:val="24"/>
              </w:rPr>
              <w:instrText xml:space="preserve"> PAGEREF _Toc225456779 \h </w:instrText>
            </w:r>
            <w:r w:rsidR="002C29F5" w:rsidRPr="00FE6F22">
              <w:rPr>
                <w:rFonts w:ascii="Arial" w:hAnsi="Arial" w:cs="Arial"/>
                <w:noProof/>
                <w:webHidden/>
                <w:sz w:val="24"/>
                <w:szCs w:val="24"/>
              </w:rPr>
            </w:r>
            <w:r w:rsidR="002C29F5" w:rsidRPr="00FE6F22">
              <w:rPr>
                <w:rFonts w:ascii="Arial" w:hAnsi="Arial" w:cs="Arial"/>
                <w:noProof/>
                <w:webHidden/>
                <w:sz w:val="24"/>
                <w:szCs w:val="24"/>
              </w:rPr>
              <w:fldChar w:fldCharType="separate"/>
            </w:r>
            <w:r w:rsidR="002C29F5" w:rsidRPr="00FE6F22">
              <w:rPr>
                <w:rFonts w:ascii="Arial" w:hAnsi="Arial" w:cs="Arial"/>
                <w:noProof/>
                <w:webHidden/>
                <w:sz w:val="24"/>
                <w:szCs w:val="24"/>
              </w:rPr>
              <w:t>8</w:t>
            </w:r>
            <w:r w:rsidR="002C29F5" w:rsidRPr="00FE6F22">
              <w:rPr>
                <w:rFonts w:ascii="Arial" w:hAnsi="Arial" w:cs="Arial"/>
                <w:noProof/>
                <w:webHidden/>
                <w:sz w:val="24"/>
                <w:szCs w:val="24"/>
              </w:rPr>
              <w:fldChar w:fldCharType="end"/>
            </w:r>
          </w:hyperlink>
        </w:p>
        <w:p w14:paraId="1572EC79" w14:textId="77777777" w:rsidR="002C29F5" w:rsidRPr="00FE6F22" w:rsidRDefault="00000000" w:rsidP="00FE6F22">
          <w:pPr>
            <w:pStyle w:val="TOC3"/>
            <w:tabs>
              <w:tab w:val="right" w:leader="dot" w:pos="9016"/>
            </w:tabs>
            <w:spacing w:line="360" w:lineRule="auto"/>
            <w:rPr>
              <w:rFonts w:ascii="Arial" w:eastAsiaTheme="minorEastAsia" w:hAnsi="Arial" w:cs="Arial"/>
              <w:noProof/>
              <w:sz w:val="24"/>
              <w:szCs w:val="24"/>
              <w:lang w:val="en-US"/>
            </w:rPr>
          </w:pPr>
          <w:hyperlink w:anchor="_Toc225456780" w:history="1">
            <w:r w:rsidR="002C29F5" w:rsidRPr="00FE6F22">
              <w:rPr>
                <w:rStyle w:val="Hyperlink"/>
                <w:rFonts w:ascii="Arial" w:hAnsi="Arial" w:cs="Arial"/>
                <w:noProof/>
                <w:sz w:val="24"/>
                <w:szCs w:val="24"/>
                <w:lang w:val="en-US"/>
              </w:rPr>
              <w:t>5.1 Critical Assessment of Change Management and Implementation</w:t>
            </w:r>
            <w:r w:rsidR="002C29F5" w:rsidRPr="00FE6F22">
              <w:rPr>
                <w:rFonts w:ascii="Arial" w:hAnsi="Arial" w:cs="Arial"/>
                <w:noProof/>
                <w:webHidden/>
                <w:sz w:val="24"/>
                <w:szCs w:val="24"/>
              </w:rPr>
              <w:tab/>
            </w:r>
            <w:r w:rsidR="002C29F5" w:rsidRPr="00FE6F22">
              <w:rPr>
                <w:rFonts w:ascii="Arial" w:hAnsi="Arial" w:cs="Arial"/>
                <w:noProof/>
                <w:webHidden/>
                <w:sz w:val="24"/>
                <w:szCs w:val="24"/>
              </w:rPr>
              <w:fldChar w:fldCharType="begin"/>
            </w:r>
            <w:r w:rsidR="002C29F5" w:rsidRPr="00FE6F22">
              <w:rPr>
                <w:rFonts w:ascii="Arial" w:hAnsi="Arial" w:cs="Arial"/>
                <w:noProof/>
                <w:webHidden/>
                <w:sz w:val="24"/>
                <w:szCs w:val="24"/>
              </w:rPr>
              <w:instrText xml:space="preserve"> PAGEREF _Toc225456780 \h </w:instrText>
            </w:r>
            <w:r w:rsidR="002C29F5" w:rsidRPr="00FE6F22">
              <w:rPr>
                <w:rFonts w:ascii="Arial" w:hAnsi="Arial" w:cs="Arial"/>
                <w:noProof/>
                <w:webHidden/>
                <w:sz w:val="24"/>
                <w:szCs w:val="24"/>
              </w:rPr>
            </w:r>
            <w:r w:rsidR="002C29F5" w:rsidRPr="00FE6F22">
              <w:rPr>
                <w:rFonts w:ascii="Arial" w:hAnsi="Arial" w:cs="Arial"/>
                <w:noProof/>
                <w:webHidden/>
                <w:sz w:val="24"/>
                <w:szCs w:val="24"/>
              </w:rPr>
              <w:fldChar w:fldCharType="separate"/>
            </w:r>
            <w:r w:rsidR="002C29F5" w:rsidRPr="00FE6F22">
              <w:rPr>
                <w:rFonts w:ascii="Arial" w:hAnsi="Arial" w:cs="Arial"/>
                <w:noProof/>
                <w:webHidden/>
                <w:sz w:val="24"/>
                <w:szCs w:val="24"/>
              </w:rPr>
              <w:t>9</w:t>
            </w:r>
            <w:r w:rsidR="002C29F5" w:rsidRPr="00FE6F22">
              <w:rPr>
                <w:rFonts w:ascii="Arial" w:hAnsi="Arial" w:cs="Arial"/>
                <w:noProof/>
                <w:webHidden/>
                <w:sz w:val="24"/>
                <w:szCs w:val="24"/>
              </w:rPr>
              <w:fldChar w:fldCharType="end"/>
            </w:r>
          </w:hyperlink>
        </w:p>
        <w:p w14:paraId="74E69E64" w14:textId="77777777" w:rsidR="002C29F5" w:rsidRPr="00FE6F22" w:rsidRDefault="00000000" w:rsidP="00FE6F22">
          <w:pPr>
            <w:pStyle w:val="TOC2"/>
            <w:tabs>
              <w:tab w:val="left" w:pos="660"/>
              <w:tab w:val="right" w:leader="dot" w:pos="9016"/>
            </w:tabs>
            <w:spacing w:line="360" w:lineRule="auto"/>
            <w:rPr>
              <w:rFonts w:ascii="Arial" w:eastAsiaTheme="minorEastAsia" w:hAnsi="Arial" w:cs="Arial"/>
              <w:noProof/>
              <w:sz w:val="24"/>
              <w:szCs w:val="24"/>
              <w:lang w:val="en-US"/>
            </w:rPr>
          </w:pPr>
          <w:hyperlink w:anchor="_Toc225456781" w:history="1">
            <w:r w:rsidR="002C29F5" w:rsidRPr="00FE6F22">
              <w:rPr>
                <w:rStyle w:val="Hyperlink"/>
                <w:rFonts w:ascii="Arial" w:hAnsi="Arial" w:cs="Arial"/>
                <w:noProof/>
                <w:sz w:val="24"/>
                <w:szCs w:val="24"/>
                <w:lang w:val="en-US"/>
              </w:rPr>
              <w:t>6.</w:t>
            </w:r>
            <w:r w:rsidR="002C29F5" w:rsidRPr="00FE6F22">
              <w:rPr>
                <w:rFonts w:ascii="Arial" w:eastAsiaTheme="minorEastAsia" w:hAnsi="Arial" w:cs="Arial"/>
                <w:noProof/>
                <w:sz w:val="24"/>
                <w:szCs w:val="24"/>
                <w:lang w:val="en-US"/>
              </w:rPr>
              <w:tab/>
            </w:r>
            <w:r w:rsidR="002C29F5" w:rsidRPr="00FE6F22">
              <w:rPr>
                <w:rStyle w:val="Hyperlink"/>
                <w:rFonts w:ascii="Arial" w:hAnsi="Arial" w:cs="Arial"/>
                <w:noProof/>
                <w:sz w:val="24"/>
                <w:szCs w:val="24"/>
                <w:lang w:val="en-US"/>
              </w:rPr>
              <w:t>Strategic Evaluation and Recommendations</w:t>
            </w:r>
            <w:r w:rsidR="002C29F5" w:rsidRPr="00FE6F22">
              <w:rPr>
                <w:rFonts w:ascii="Arial" w:hAnsi="Arial" w:cs="Arial"/>
                <w:noProof/>
                <w:webHidden/>
                <w:sz w:val="24"/>
                <w:szCs w:val="24"/>
              </w:rPr>
              <w:tab/>
            </w:r>
            <w:r w:rsidR="002C29F5" w:rsidRPr="00FE6F22">
              <w:rPr>
                <w:rFonts w:ascii="Arial" w:hAnsi="Arial" w:cs="Arial"/>
                <w:noProof/>
                <w:webHidden/>
                <w:sz w:val="24"/>
                <w:szCs w:val="24"/>
              </w:rPr>
              <w:fldChar w:fldCharType="begin"/>
            </w:r>
            <w:r w:rsidR="002C29F5" w:rsidRPr="00FE6F22">
              <w:rPr>
                <w:rFonts w:ascii="Arial" w:hAnsi="Arial" w:cs="Arial"/>
                <w:noProof/>
                <w:webHidden/>
                <w:sz w:val="24"/>
                <w:szCs w:val="24"/>
              </w:rPr>
              <w:instrText xml:space="preserve"> PAGEREF _Toc225456781 \h </w:instrText>
            </w:r>
            <w:r w:rsidR="002C29F5" w:rsidRPr="00FE6F22">
              <w:rPr>
                <w:rFonts w:ascii="Arial" w:hAnsi="Arial" w:cs="Arial"/>
                <w:noProof/>
                <w:webHidden/>
                <w:sz w:val="24"/>
                <w:szCs w:val="24"/>
              </w:rPr>
            </w:r>
            <w:r w:rsidR="002C29F5" w:rsidRPr="00FE6F22">
              <w:rPr>
                <w:rFonts w:ascii="Arial" w:hAnsi="Arial" w:cs="Arial"/>
                <w:noProof/>
                <w:webHidden/>
                <w:sz w:val="24"/>
                <w:szCs w:val="24"/>
              </w:rPr>
              <w:fldChar w:fldCharType="separate"/>
            </w:r>
            <w:r w:rsidR="002C29F5" w:rsidRPr="00FE6F22">
              <w:rPr>
                <w:rFonts w:ascii="Arial" w:hAnsi="Arial" w:cs="Arial"/>
                <w:noProof/>
                <w:webHidden/>
                <w:sz w:val="24"/>
                <w:szCs w:val="24"/>
              </w:rPr>
              <w:t>9</w:t>
            </w:r>
            <w:r w:rsidR="002C29F5" w:rsidRPr="00FE6F22">
              <w:rPr>
                <w:rFonts w:ascii="Arial" w:hAnsi="Arial" w:cs="Arial"/>
                <w:noProof/>
                <w:webHidden/>
                <w:sz w:val="24"/>
                <w:szCs w:val="24"/>
              </w:rPr>
              <w:fldChar w:fldCharType="end"/>
            </w:r>
          </w:hyperlink>
        </w:p>
        <w:p w14:paraId="4E576A9F" w14:textId="77777777" w:rsidR="002C29F5" w:rsidRPr="00FE6F22" w:rsidRDefault="00000000" w:rsidP="00FE6F22">
          <w:pPr>
            <w:pStyle w:val="TOC3"/>
            <w:tabs>
              <w:tab w:val="right" w:leader="dot" w:pos="9016"/>
            </w:tabs>
            <w:spacing w:line="360" w:lineRule="auto"/>
            <w:rPr>
              <w:rFonts w:ascii="Arial" w:eastAsiaTheme="minorEastAsia" w:hAnsi="Arial" w:cs="Arial"/>
              <w:noProof/>
              <w:sz w:val="24"/>
              <w:szCs w:val="24"/>
              <w:lang w:val="en-US"/>
            </w:rPr>
          </w:pPr>
          <w:hyperlink w:anchor="_Toc225456782" w:history="1">
            <w:r w:rsidR="002C29F5" w:rsidRPr="00FE6F22">
              <w:rPr>
                <w:rStyle w:val="Hyperlink"/>
                <w:rFonts w:ascii="Arial" w:hAnsi="Arial" w:cs="Arial"/>
                <w:noProof/>
                <w:sz w:val="24"/>
                <w:szCs w:val="24"/>
                <w:lang w:val="en-US"/>
              </w:rPr>
              <w:t>6.1 Critical Evaluation of Current Strategy</w:t>
            </w:r>
            <w:r w:rsidR="002C29F5" w:rsidRPr="00FE6F22">
              <w:rPr>
                <w:rFonts w:ascii="Arial" w:hAnsi="Arial" w:cs="Arial"/>
                <w:noProof/>
                <w:webHidden/>
                <w:sz w:val="24"/>
                <w:szCs w:val="24"/>
              </w:rPr>
              <w:tab/>
            </w:r>
            <w:r w:rsidR="002C29F5" w:rsidRPr="00FE6F22">
              <w:rPr>
                <w:rFonts w:ascii="Arial" w:hAnsi="Arial" w:cs="Arial"/>
                <w:noProof/>
                <w:webHidden/>
                <w:sz w:val="24"/>
                <w:szCs w:val="24"/>
              </w:rPr>
              <w:fldChar w:fldCharType="begin"/>
            </w:r>
            <w:r w:rsidR="002C29F5" w:rsidRPr="00FE6F22">
              <w:rPr>
                <w:rFonts w:ascii="Arial" w:hAnsi="Arial" w:cs="Arial"/>
                <w:noProof/>
                <w:webHidden/>
                <w:sz w:val="24"/>
                <w:szCs w:val="24"/>
              </w:rPr>
              <w:instrText xml:space="preserve"> PAGEREF _Toc225456782 \h </w:instrText>
            </w:r>
            <w:r w:rsidR="002C29F5" w:rsidRPr="00FE6F22">
              <w:rPr>
                <w:rFonts w:ascii="Arial" w:hAnsi="Arial" w:cs="Arial"/>
                <w:noProof/>
                <w:webHidden/>
                <w:sz w:val="24"/>
                <w:szCs w:val="24"/>
              </w:rPr>
            </w:r>
            <w:r w:rsidR="002C29F5" w:rsidRPr="00FE6F22">
              <w:rPr>
                <w:rFonts w:ascii="Arial" w:hAnsi="Arial" w:cs="Arial"/>
                <w:noProof/>
                <w:webHidden/>
                <w:sz w:val="24"/>
                <w:szCs w:val="24"/>
              </w:rPr>
              <w:fldChar w:fldCharType="separate"/>
            </w:r>
            <w:r w:rsidR="002C29F5" w:rsidRPr="00FE6F22">
              <w:rPr>
                <w:rFonts w:ascii="Arial" w:hAnsi="Arial" w:cs="Arial"/>
                <w:noProof/>
                <w:webHidden/>
                <w:sz w:val="24"/>
                <w:szCs w:val="24"/>
              </w:rPr>
              <w:t>9</w:t>
            </w:r>
            <w:r w:rsidR="002C29F5" w:rsidRPr="00FE6F22">
              <w:rPr>
                <w:rFonts w:ascii="Arial" w:hAnsi="Arial" w:cs="Arial"/>
                <w:noProof/>
                <w:webHidden/>
                <w:sz w:val="24"/>
                <w:szCs w:val="24"/>
              </w:rPr>
              <w:fldChar w:fldCharType="end"/>
            </w:r>
          </w:hyperlink>
        </w:p>
        <w:p w14:paraId="0AA23F30" w14:textId="77777777" w:rsidR="002C29F5" w:rsidRPr="00FE6F22" w:rsidRDefault="00000000" w:rsidP="00FE6F22">
          <w:pPr>
            <w:pStyle w:val="TOC3"/>
            <w:tabs>
              <w:tab w:val="right" w:leader="dot" w:pos="9016"/>
            </w:tabs>
            <w:spacing w:line="360" w:lineRule="auto"/>
            <w:rPr>
              <w:rFonts w:ascii="Arial" w:eastAsiaTheme="minorEastAsia" w:hAnsi="Arial" w:cs="Arial"/>
              <w:noProof/>
              <w:sz w:val="24"/>
              <w:szCs w:val="24"/>
              <w:lang w:val="en-US"/>
            </w:rPr>
          </w:pPr>
          <w:hyperlink w:anchor="_Toc225456783" w:history="1">
            <w:r w:rsidR="002C29F5" w:rsidRPr="00FE6F22">
              <w:rPr>
                <w:rStyle w:val="Hyperlink"/>
                <w:rFonts w:ascii="Arial" w:hAnsi="Arial" w:cs="Arial"/>
                <w:noProof/>
                <w:sz w:val="24"/>
                <w:szCs w:val="24"/>
                <w:lang w:val="en-US"/>
              </w:rPr>
              <w:t>6.2 Recommendations and Theoretical Justification</w:t>
            </w:r>
            <w:r w:rsidR="002C29F5" w:rsidRPr="00FE6F22">
              <w:rPr>
                <w:rFonts w:ascii="Arial" w:hAnsi="Arial" w:cs="Arial"/>
                <w:noProof/>
                <w:webHidden/>
                <w:sz w:val="24"/>
                <w:szCs w:val="24"/>
              </w:rPr>
              <w:tab/>
            </w:r>
            <w:r w:rsidR="002C29F5" w:rsidRPr="00FE6F22">
              <w:rPr>
                <w:rFonts w:ascii="Arial" w:hAnsi="Arial" w:cs="Arial"/>
                <w:noProof/>
                <w:webHidden/>
                <w:sz w:val="24"/>
                <w:szCs w:val="24"/>
              </w:rPr>
              <w:fldChar w:fldCharType="begin"/>
            </w:r>
            <w:r w:rsidR="002C29F5" w:rsidRPr="00FE6F22">
              <w:rPr>
                <w:rFonts w:ascii="Arial" w:hAnsi="Arial" w:cs="Arial"/>
                <w:noProof/>
                <w:webHidden/>
                <w:sz w:val="24"/>
                <w:szCs w:val="24"/>
              </w:rPr>
              <w:instrText xml:space="preserve"> PAGEREF _Toc225456783 \h </w:instrText>
            </w:r>
            <w:r w:rsidR="002C29F5" w:rsidRPr="00FE6F22">
              <w:rPr>
                <w:rFonts w:ascii="Arial" w:hAnsi="Arial" w:cs="Arial"/>
                <w:noProof/>
                <w:webHidden/>
                <w:sz w:val="24"/>
                <w:szCs w:val="24"/>
              </w:rPr>
            </w:r>
            <w:r w:rsidR="002C29F5" w:rsidRPr="00FE6F22">
              <w:rPr>
                <w:rFonts w:ascii="Arial" w:hAnsi="Arial" w:cs="Arial"/>
                <w:noProof/>
                <w:webHidden/>
                <w:sz w:val="24"/>
                <w:szCs w:val="24"/>
              </w:rPr>
              <w:fldChar w:fldCharType="separate"/>
            </w:r>
            <w:r w:rsidR="002C29F5" w:rsidRPr="00FE6F22">
              <w:rPr>
                <w:rFonts w:ascii="Arial" w:hAnsi="Arial" w:cs="Arial"/>
                <w:noProof/>
                <w:webHidden/>
                <w:sz w:val="24"/>
                <w:szCs w:val="24"/>
              </w:rPr>
              <w:t>11</w:t>
            </w:r>
            <w:r w:rsidR="002C29F5" w:rsidRPr="00FE6F22">
              <w:rPr>
                <w:rFonts w:ascii="Arial" w:hAnsi="Arial" w:cs="Arial"/>
                <w:noProof/>
                <w:webHidden/>
                <w:sz w:val="24"/>
                <w:szCs w:val="24"/>
              </w:rPr>
              <w:fldChar w:fldCharType="end"/>
            </w:r>
          </w:hyperlink>
        </w:p>
        <w:p w14:paraId="0D5EDDB9" w14:textId="77777777" w:rsidR="002C29F5" w:rsidRPr="00FE6F22" w:rsidRDefault="00000000" w:rsidP="00FE6F22">
          <w:pPr>
            <w:pStyle w:val="TOC1"/>
            <w:tabs>
              <w:tab w:val="right" w:leader="dot" w:pos="9016"/>
            </w:tabs>
            <w:spacing w:line="360" w:lineRule="auto"/>
            <w:rPr>
              <w:rFonts w:ascii="Arial" w:eastAsiaTheme="minorEastAsia" w:hAnsi="Arial" w:cs="Arial"/>
              <w:noProof/>
              <w:sz w:val="24"/>
              <w:szCs w:val="24"/>
              <w:lang w:val="en-US"/>
            </w:rPr>
          </w:pPr>
          <w:hyperlink w:anchor="_Toc225456784" w:history="1">
            <w:r w:rsidR="002C29F5" w:rsidRPr="00FE6F22">
              <w:rPr>
                <w:rStyle w:val="Hyperlink"/>
                <w:rFonts w:ascii="Arial" w:hAnsi="Arial" w:cs="Arial"/>
                <w:noProof/>
                <w:sz w:val="24"/>
                <w:szCs w:val="24"/>
              </w:rPr>
              <w:t>Section 2:</w:t>
            </w:r>
            <w:r w:rsidR="002C29F5" w:rsidRPr="00FE6F22">
              <w:rPr>
                <w:rFonts w:ascii="Arial" w:hAnsi="Arial" w:cs="Arial"/>
                <w:noProof/>
                <w:webHidden/>
                <w:sz w:val="24"/>
                <w:szCs w:val="24"/>
              </w:rPr>
              <w:tab/>
            </w:r>
            <w:r w:rsidR="002C29F5" w:rsidRPr="00FE6F22">
              <w:rPr>
                <w:rFonts w:ascii="Arial" w:hAnsi="Arial" w:cs="Arial"/>
                <w:noProof/>
                <w:webHidden/>
                <w:sz w:val="24"/>
                <w:szCs w:val="24"/>
              </w:rPr>
              <w:fldChar w:fldCharType="begin"/>
            </w:r>
            <w:r w:rsidR="002C29F5" w:rsidRPr="00FE6F22">
              <w:rPr>
                <w:rFonts w:ascii="Arial" w:hAnsi="Arial" w:cs="Arial"/>
                <w:noProof/>
                <w:webHidden/>
                <w:sz w:val="24"/>
                <w:szCs w:val="24"/>
              </w:rPr>
              <w:instrText xml:space="preserve"> PAGEREF _Toc225456784 \h </w:instrText>
            </w:r>
            <w:r w:rsidR="002C29F5" w:rsidRPr="00FE6F22">
              <w:rPr>
                <w:rFonts w:ascii="Arial" w:hAnsi="Arial" w:cs="Arial"/>
                <w:noProof/>
                <w:webHidden/>
                <w:sz w:val="24"/>
                <w:szCs w:val="24"/>
              </w:rPr>
            </w:r>
            <w:r w:rsidR="002C29F5" w:rsidRPr="00FE6F22">
              <w:rPr>
                <w:rFonts w:ascii="Arial" w:hAnsi="Arial" w:cs="Arial"/>
                <w:noProof/>
                <w:webHidden/>
                <w:sz w:val="24"/>
                <w:szCs w:val="24"/>
              </w:rPr>
              <w:fldChar w:fldCharType="separate"/>
            </w:r>
            <w:r w:rsidR="002C29F5" w:rsidRPr="00FE6F22">
              <w:rPr>
                <w:rFonts w:ascii="Arial" w:hAnsi="Arial" w:cs="Arial"/>
                <w:noProof/>
                <w:webHidden/>
                <w:sz w:val="24"/>
                <w:szCs w:val="24"/>
              </w:rPr>
              <w:t>11</w:t>
            </w:r>
            <w:r w:rsidR="002C29F5" w:rsidRPr="00FE6F22">
              <w:rPr>
                <w:rFonts w:ascii="Arial" w:hAnsi="Arial" w:cs="Arial"/>
                <w:noProof/>
                <w:webHidden/>
                <w:sz w:val="24"/>
                <w:szCs w:val="24"/>
              </w:rPr>
              <w:fldChar w:fldCharType="end"/>
            </w:r>
          </w:hyperlink>
        </w:p>
        <w:p w14:paraId="0B6CA80D" w14:textId="77777777" w:rsidR="002C29F5" w:rsidRPr="00FE6F22" w:rsidRDefault="00000000" w:rsidP="00FE6F22">
          <w:pPr>
            <w:pStyle w:val="TOC1"/>
            <w:tabs>
              <w:tab w:val="left" w:pos="440"/>
              <w:tab w:val="right" w:leader="dot" w:pos="9016"/>
            </w:tabs>
            <w:spacing w:line="360" w:lineRule="auto"/>
            <w:rPr>
              <w:rFonts w:ascii="Arial" w:eastAsiaTheme="minorEastAsia" w:hAnsi="Arial" w:cs="Arial"/>
              <w:noProof/>
              <w:sz w:val="24"/>
              <w:szCs w:val="24"/>
              <w:lang w:val="en-US"/>
            </w:rPr>
          </w:pPr>
          <w:hyperlink w:anchor="_Toc225456785" w:history="1">
            <w:r w:rsidR="002C29F5" w:rsidRPr="00FE6F22">
              <w:rPr>
                <w:rStyle w:val="Hyperlink"/>
                <w:rFonts w:ascii="Arial" w:hAnsi="Arial" w:cs="Arial"/>
                <w:noProof/>
                <w:sz w:val="24"/>
                <w:szCs w:val="24"/>
                <w:lang w:val="en-US"/>
              </w:rPr>
              <w:t>7.</w:t>
            </w:r>
            <w:r w:rsidR="002C29F5" w:rsidRPr="00FE6F22">
              <w:rPr>
                <w:rFonts w:ascii="Arial" w:eastAsiaTheme="minorEastAsia" w:hAnsi="Arial" w:cs="Arial"/>
                <w:noProof/>
                <w:sz w:val="24"/>
                <w:szCs w:val="24"/>
                <w:lang w:val="en-US"/>
              </w:rPr>
              <w:tab/>
            </w:r>
            <w:r w:rsidR="002C29F5" w:rsidRPr="00FE6F22">
              <w:rPr>
                <w:rStyle w:val="Hyperlink"/>
                <w:rFonts w:ascii="Arial" w:hAnsi="Arial" w:cs="Arial"/>
                <w:noProof/>
                <w:sz w:val="24"/>
                <w:szCs w:val="24"/>
                <w:lang w:val="en-US"/>
              </w:rPr>
              <w:t>Reflective Account: Researching and Analysing EasyJet’s Strategic Environment</w:t>
            </w:r>
            <w:r w:rsidR="002C29F5" w:rsidRPr="00FE6F22">
              <w:rPr>
                <w:rFonts w:ascii="Arial" w:hAnsi="Arial" w:cs="Arial"/>
                <w:noProof/>
                <w:webHidden/>
                <w:sz w:val="24"/>
                <w:szCs w:val="24"/>
              </w:rPr>
              <w:tab/>
            </w:r>
            <w:r w:rsidR="002C29F5" w:rsidRPr="00FE6F22">
              <w:rPr>
                <w:rFonts w:ascii="Arial" w:hAnsi="Arial" w:cs="Arial"/>
                <w:noProof/>
                <w:webHidden/>
                <w:sz w:val="24"/>
                <w:szCs w:val="24"/>
              </w:rPr>
              <w:fldChar w:fldCharType="begin"/>
            </w:r>
            <w:r w:rsidR="002C29F5" w:rsidRPr="00FE6F22">
              <w:rPr>
                <w:rFonts w:ascii="Arial" w:hAnsi="Arial" w:cs="Arial"/>
                <w:noProof/>
                <w:webHidden/>
                <w:sz w:val="24"/>
                <w:szCs w:val="24"/>
              </w:rPr>
              <w:instrText xml:space="preserve"> PAGEREF _Toc225456785 \h </w:instrText>
            </w:r>
            <w:r w:rsidR="002C29F5" w:rsidRPr="00FE6F22">
              <w:rPr>
                <w:rFonts w:ascii="Arial" w:hAnsi="Arial" w:cs="Arial"/>
                <w:noProof/>
                <w:webHidden/>
                <w:sz w:val="24"/>
                <w:szCs w:val="24"/>
              </w:rPr>
            </w:r>
            <w:r w:rsidR="002C29F5" w:rsidRPr="00FE6F22">
              <w:rPr>
                <w:rFonts w:ascii="Arial" w:hAnsi="Arial" w:cs="Arial"/>
                <w:noProof/>
                <w:webHidden/>
                <w:sz w:val="24"/>
                <w:szCs w:val="24"/>
              </w:rPr>
              <w:fldChar w:fldCharType="separate"/>
            </w:r>
            <w:r w:rsidR="002C29F5" w:rsidRPr="00FE6F22">
              <w:rPr>
                <w:rFonts w:ascii="Arial" w:hAnsi="Arial" w:cs="Arial"/>
                <w:noProof/>
                <w:webHidden/>
                <w:sz w:val="24"/>
                <w:szCs w:val="24"/>
              </w:rPr>
              <w:t>11</w:t>
            </w:r>
            <w:r w:rsidR="002C29F5" w:rsidRPr="00FE6F22">
              <w:rPr>
                <w:rFonts w:ascii="Arial" w:hAnsi="Arial" w:cs="Arial"/>
                <w:noProof/>
                <w:webHidden/>
                <w:sz w:val="24"/>
                <w:szCs w:val="24"/>
              </w:rPr>
              <w:fldChar w:fldCharType="end"/>
            </w:r>
          </w:hyperlink>
        </w:p>
        <w:p w14:paraId="6277A3C8" w14:textId="77777777" w:rsidR="002C29F5" w:rsidRPr="00FE6F22" w:rsidRDefault="00000000" w:rsidP="00FE6F22">
          <w:pPr>
            <w:pStyle w:val="TOC2"/>
            <w:tabs>
              <w:tab w:val="right" w:leader="dot" w:pos="9016"/>
            </w:tabs>
            <w:spacing w:line="360" w:lineRule="auto"/>
            <w:rPr>
              <w:rFonts w:ascii="Arial" w:eastAsiaTheme="minorEastAsia" w:hAnsi="Arial" w:cs="Arial"/>
              <w:noProof/>
              <w:sz w:val="24"/>
              <w:szCs w:val="24"/>
              <w:lang w:val="en-US"/>
            </w:rPr>
          </w:pPr>
          <w:hyperlink w:anchor="_Toc225456786" w:history="1">
            <w:r w:rsidR="002C29F5" w:rsidRPr="00FE6F22">
              <w:rPr>
                <w:rStyle w:val="Hyperlink"/>
                <w:rFonts w:ascii="Arial" w:hAnsi="Arial" w:cs="Arial"/>
                <w:noProof/>
                <w:sz w:val="24"/>
                <w:szCs w:val="24"/>
                <w:lang w:val="en-US"/>
              </w:rPr>
              <w:t>7.1 Using Gibbs’ Reflective Cycle (1988)</w:t>
            </w:r>
            <w:r w:rsidR="002C29F5" w:rsidRPr="00FE6F22">
              <w:rPr>
                <w:rFonts w:ascii="Arial" w:hAnsi="Arial" w:cs="Arial"/>
                <w:noProof/>
                <w:webHidden/>
                <w:sz w:val="24"/>
                <w:szCs w:val="24"/>
              </w:rPr>
              <w:tab/>
            </w:r>
            <w:r w:rsidR="002C29F5" w:rsidRPr="00FE6F22">
              <w:rPr>
                <w:rFonts w:ascii="Arial" w:hAnsi="Arial" w:cs="Arial"/>
                <w:noProof/>
                <w:webHidden/>
                <w:sz w:val="24"/>
                <w:szCs w:val="24"/>
              </w:rPr>
              <w:fldChar w:fldCharType="begin"/>
            </w:r>
            <w:r w:rsidR="002C29F5" w:rsidRPr="00FE6F22">
              <w:rPr>
                <w:rFonts w:ascii="Arial" w:hAnsi="Arial" w:cs="Arial"/>
                <w:noProof/>
                <w:webHidden/>
                <w:sz w:val="24"/>
                <w:szCs w:val="24"/>
              </w:rPr>
              <w:instrText xml:space="preserve"> PAGEREF _Toc225456786 \h </w:instrText>
            </w:r>
            <w:r w:rsidR="002C29F5" w:rsidRPr="00FE6F22">
              <w:rPr>
                <w:rFonts w:ascii="Arial" w:hAnsi="Arial" w:cs="Arial"/>
                <w:noProof/>
                <w:webHidden/>
                <w:sz w:val="24"/>
                <w:szCs w:val="24"/>
              </w:rPr>
            </w:r>
            <w:r w:rsidR="002C29F5" w:rsidRPr="00FE6F22">
              <w:rPr>
                <w:rFonts w:ascii="Arial" w:hAnsi="Arial" w:cs="Arial"/>
                <w:noProof/>
                <w:webHidden/>
                <w:sz w:val="24"/>
                <w:szCs w:val="24"/>
              </w:rPr>
              <w:fldChar w:fldCharType="separate"/>
            </w:r>
            <w:r w:rsidR="002C29F5" w:rsidRPr="00FE6F22">
              <w:rPr>
                <w:rFonts w:ascii="Arial" w:hAnsi="Arial" w:cs="Arial"/>
                <w:noProof/>
                <w:webHidden/>
                <w:sz w:val="24"/>
                <w:szCs w:val="24"/>
              </w:rPr>
              <w:t>11</w:t>
            </w:r>
            <w:r w:rsidR="002C29F5" w:rsidRPr="00FE6F22">
              <w:rPr>
                <w:rFonts w:ascii="Arial" w:hAnsi="Arial" w:cs="Arial"/>
                <w:noProof/>
                <w:webHidden/>
                <w:sz w:val="24"/>
                <w:szCs w:val="24"/>
              </w:rPr>
              <w:fldChar w:fldCharType="end"/>
            </w:r>
          </w:hyperlink>
        </w:p>
        <w:p w14:paraId="22D31E2D" w14:textId="77777777" w:rsidR="002C29F5" w:rsidRPr="00FE6F22" w:rsidRDefault="00000000" w:rsidP="00FE6F22">
          <w:pPr>
            <w:pStyle w:val="TOC1"/>
            <w:tabs>
              <w:tab w:val="right" w:leader="dot" w:pos="9016"/>
            </w:tabs>
            <w:spacing w:line="360" w:lineRule="auto"/>
            <w:rPr>
              <w:rFonts w:ascii="Arial" w:eastAsiaTheme="minorEastAsia" w:hAnsi="Arial" w:cs="Arial"/>
              <w:noProof/>
              <w:sz w:val="24"/>
              <w:szCs w:val="24"/>
              <w:lang w:val="en-US"/>
            </w:rPr>
          </w:pPr>
          <w:hyperlink w:anchor="_Toc225456787" w:history="1">
            <w:r w:rsidR="002C29F5" w:rsidRPr="00FE6F22">
              <w:rPr>
                <w:rStyle w:val="Hyperlink"/>
                <w:rFonts w:ascii="Arial" w:hAnsi="Arial" w:cs="Arial"/>
                <w:noProof/>
                <w:sz w:val="24"/>
                <w:szCs w:val="24"/>
              </w:rPr>
              <w:t>References</w:t>
            </w:r>
            <w:r w:rsidR="002C29F5" w:rsidRPr="00FE6F22">
              <w:rPr>
                <w:rFonts w:ascii="Arial" w:hAnsi="Arial" w:cs="Arial"/>
                <w:noProof/>
                <w:webHidden/>
                <w:sz w:val="24"/>
                <w:szCs w:val="24"/>
              </w:rPr>
              <w:tab/>
            </w:r>
            <w:r w:rsidR="002C29F5" w:rsidRPr="00FE6F22">
              <w:rPr>
                <w:rFonts w:ascii="Arial" w:hAnsi="Arial" w:cs="Arial"/>
                <w:noProof/>
                <w:webHidden/>
                <w:sz w:val="24"/>
                <w:szCs w:val="24"/>
              </w:rPr>
              <w:fldChar w:fldCharType="begin"/>
            </w:r>
            <w:r w:rsidR="002C29F5" w:rsidRPr="00FE6F22">
              <w:rPr>
                <w:rFonts w:ascii="Arial" w:hAnsi="Arial" w:cs="Arial"/>
                <w:noProof/>
                <w:webHidden/>
                <w:sz w:val="24"/>
                <w:szCs w:val="24"/>
              </w:rPr>
              <w:instrText xml:space="preserve"> PAGEREF _Toc225456787 \h </w:instrText>
            </w:r>
            <w:r w:rsidR="002C29F5" w:rsidRPr="00FE6F22">
              <w:rPr>
                <w:rFonts w:ascii="Arial" w:hAnsi="Arial" w:cs="Arial"/>
                <w:noProof/>
                <w:webHidden/>
                <w:sz w:val="24"/>
                <w:szCs w:val="24"/>
              </w:rPr>
            </w:r>
            <w:r w:rsidR="002C29F5" w:rsidRPr="00FE6F22">
              <w:rPr>
                <w:rFonts w:ascii="Arial" w:hAnsi="Arial" w:cs="Arial"/>
                <w:noProof/>
                <w:webHidden/>
                <w:sz w:val="24"/>
                <w:szCs w:val="24"/>
              </w:rPr>
              <w:fldChar w:fldCharType="separate"/>
            </w:r>
            <w:r w:rsidR="002C29F5" w:rsidRPr="00FE6F22">
              <w:rPr>
                <w:rFonts w:ascii="Arial" w:hAnsi="Arial" w:cs="Arial"/>
                <w:noProof/>
                <w:webHidden/>
                <w:sz w:val="24"/>
                <w:szCs w:val="24"/>
              </w:rPr>
              <w:t>14</w:t>
            </w:r>
            <w:r w:rsidR="002C29F5" w:rsidRPr="00FE6F22">
              <w:rPr>
                <w:rFonts w:ascii="Arial" w:hAnsi="Arial" w:cs="Arial"/>
                <w:noProof/>
                <w:webHidden/>
                <w:sz w:val="24"/>
                <w:szCs w:val="24"/>
              </w:rPr>
              <w:fldChar w:fldCharType="end"/>
            </w:r>
          </w:hyperlink>
        </w:p>
        <w:p w14:paraId="18397B1E" w14:textId="77777777" w:rsidR="00FD0388" w:rsidRPr="00FE6F22" w:rsidRDefault="00FD0388" w:rsidP="00FE6F22">
          <w:pPr>
            <w:spacing w:line="360" w:lineRule="auto"/>
            <w:jc w:val="both"/>
            <w:rPr>
              <w:rFonts w:ascii="Arial" w:hAnsi="Arial" w:cs="Arial"/>
              <w:sz w:val="24"/>
              <w:szCs w:val="24"/>
            </w:rPr>
          </w:pPr>
          <w:r w:rsidRPr="00FE6F22">
            <w:rPr>
              <w:rFonts w:ascii="Arial" w:hAnsi="Arial" w:cs="Arial"/>
              <w:b/>
              <w:bCs/>
              <w:noProof/>
              <w:sz w:val="24"/>
              <w:szCs w:val="24"/>
            </w:rPr>
            <w:fldChar w:fldCharType="end"/>
          </w:r>
        </w:p>
      </w:sdtContent>
    </w:sdt>
    <w:p w14:paraId="7034EE69" w14:textId="77777777" w:rsidR="006E0F18" w:rsidRPr="00FE6F22" w:rsidRDefault="006E0F18" w:rsidP="00FE6F22">
      <w:pPr>
        <w:spacing w:line="360" w:lineRule="auto"/>
        <w:rPr>
          <w:rFonts w:ascii="Arial" w:hAnsi="Arial" w:cs="Arial"/>
          <w:b/>
          <w:bCs/>
          <w:sz w:val="24"/>
          <w:szCs w:val="24"/>
        </w:rPr>
      </w:pPr>
      <w:r w:rsidRPr="00FE6F22">
        <w:rPr>
          <w:rFonts w:ascii="Arial" w:hAnsi="Arial" w:cs="Arial"/>
          <w:b/>
          <w:bCs/>
          <w:sz w:val="24"/>
          <w:szCs w:val="24"/>
        </w:rPr>
        <w:br w:type="page"/>
      </w:r>
    </w:p>
    <w:p w14:paraId="39AB1B0B" w14:textId="77777777" w:rsidR="002C29F5" w:rsidRPr="00FE6F22" w:rsidRDefault="002C29F5" w:rsidP="00FE6F22">
      <w:pPr>
        <w:spacing w:line="360" w:lineRule="auto"/>
        <w:jc w:val="center"/>
        <w:rPr>
          <w:rStyle w:val="Strong"/>
          <w:rFonts w:ascii="Arial" w:hAnsi="Arial" w:cs="Arial"/>
          <w:color w:val="C00000"/>
          <w:sz w:val="24"/>
          <w:szCs w:val="24"/>
        </w:rPr>
      </w:pPr>
      <w:r w:rsidRPr="00FE6F22">
        <w:rPr>
          <w:rStyle w:val="Strong"/>
          <w:rFonts w:ascii="Arial" w:hAnsi="Arial" w:cs="Arial"/>
          <w:color w:val="C00000"/>
          <w:sz w:val="24"/>
          <w:szCs w:val="24"/>
        </w:rPr>
        <w:lastRenderedPageBreak/>
        <w:t>Strategic Management Practices</w:t>
      </w:r>
    </w:p>
    <w:p w14:paraId="74395A39" w14:textId="77777777" w:rsidR="00231956" w:rsidRPr="00FE6F22" w:rsidRDefault="00AC4D67" w:rsidP="00FE6F22">
      <w:pPr>
        <w:spacing w:line="360" w:lineRule="auto"/>
        <w:jc w:val="center"/>
        <w:rPr>
          <w:rStyle w:val="Strong"/>
          <w:rFonts w:ascii="Arial" w:hAnsi="Arial" w:cs="Arial"/>
          <w:bCs w:val="0"/>
          <w:color w:val="C00000"/>
          <w:sz w:val="24"/>
          <w:szCs w:val="24"/>
        </w:rPr>
      </w:pPr>
      <w:r w:rsidRPr="00FE6F22">
        <w:rPr>
          <w:rFonts w:ascii="Arial" w:hAnsi="Arial" w:cs="Arial"/>
          <w:noProof/>
          <w:sz w:val="24"/>
          <w:szCs w:val="24"/>
          <w:lang w:val="en-US"/>
        </w:rPr>
        <w:drawing>
          <wp:anchor distT="0" distB="0" distL="114300" distR="114300" simplePos="0" relativeHeight="251666432" behindDoc="0" locked="0" layoutInCell="1" allowOverlap="1" wp14:anchorId="016AAC98" wp14:editId="746BFCFC">
            <wp:simplePos x="0" y="0"/>
            <wp:positionH relativeFrom="column">
              <wp:posOffset>-905774</wp:posOffset>
            </wp:positionH>
            <wp:positionV relativeFrom="paragraph">
              <wp:posOffset>252754</wp:posOffset>
            </wp:positionV>
            <wp:extent cx="7530861" cy="2863970"/>
            <wp:effectExtent l="171450" t="171450" r="375285" b="35560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7553146" cy="2872445"/>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rsidR="00D861D2" w:rsidRPr="00FE6F22">
        <w:rPr>
          <w:rStyle w:val="Strong"/>
          <w:rFonts w:ascii="Arial" w:hAnsi="Arial" w:cs="Arial"/>
          <w:color w:val="C00000"/>
          <w:sz w:val="24"/>
          <w:szCs w:val="24"/>
        </w:rPr>
        <w:t>EasyJet</w:t>
      </w:r>
      <w:r w:rsidR="00D3208E" w:rsidRPr="00FE6F22">
        <w:rPr>
          <w:rStyle w:val="Strong"/>
          <w:rFonts w:ascii="Arial" w:hAnsi="Arial" w:cs="Arial"/>
          <w:color w:val="C00000"/>
          <w:sz w:val="24"/>
          <w:szCs w:val="24"/>
        </w:rPr>
        <w:t xml:space="preserve"> PLC</w:t>
      </w:r>
    </w:p>
    <w:p w14:paraId="574725C1" w14:textId="77777777" w:rsidR="00624C35" w:rsidRPr="00FE6F22" w:rsidRDefault="001E04B4" w:rsidP="00FE6F22">
      <w:pPr>
        <w:spacing w:line="360" w:lineRule="auto"/>
        <w:jc w:val="center"/>
        <w:rPr>
          <w:rStyle w:val="Strong"/>
          <w:rFonts w:ascii="Arial" w:hAnsi="Arial" w:cs="Arial"/>
          <w:b w:val="0"/>
          <w:bCs w:val="0"/>
          <w:color w:val="C00000"/>
          <w:sz w:val="24"/>
          <w:szCs w:val="24"/>
        </w:rPr>
      </w:pPr>
      <w:r w:rsidRPr="00FE6F22">
        <w:rPr>
          <w:rFonts w:ascii="Arial" w:hAnsi="Arial" w:cs="Arial"/>
          <w:noProof/>
          <w:sz w:val="24"/>
          <w:szCs w:val="24"/>
          <w:lang w:val="en-US"/>
        </w:rPr>
        <w:drawing>
          <wp:anchor distT="0" distB="0" distL="114300" distR="114300" simplePos="0" relativeHeight="251668480" behindDoc="0" locked="0" layoutInCell="1" allowOverlap="1" wp14:anchorId="6DD55179" wp14:editId="2BA372FD">
            <wp:simplePos x="0" y="0"/>
            <wp:positionH relativeFrom="column">
              <wp:posOffset>4770120</wp:posOffset>
            </wp:positionH>
            <wp:positionV relativeFrom="paragraph">
              <wp:posOffset>177165</wp:posOffset>
            </wp:positionV>
            <wp:extent cx="1800225" cy="581025"/>
            <wp:effectExtent l="0" t="0" r="9525"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1800225" cy="581025"/>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5F80506D" w14:textId="77777777" w:rsidR="00414646" w:rsidRPr="00FE6F22" w:rsidRDefault="00414646" w:rsidP="00FE6F22">
      <w:pPr>
        <w:spacing w:line="360" w:lineRule="auto"/>
        <w:jc w:val="center"/>
        <w:rPr>
          <w:rStyle w:val="Strong"/>
          <w:rFonts w:ascii="Arial" w:hAnsi="Arial" w:cs="Arial"/>
          <w:b w:val="0"/>
          <w:bCs w:val="0"/>
          <w:color w:val="C00000"/>
          <w:sz w:val="24"/>
          <w:szCs w:val="24"/>
        </w:rPr>
      </w:pPr>
    </w:p>
    <w:p w14:paraId="589A5457" w14:textId="77777777" w:rsidR="00414646" w:rsidRPr="00FE6F22" w:rsidRDefault="00414646" w:rsidP="00FE6F22">
      <w:pPr>
        <w:spacing w:line="360" w:lineRule="auto"/>
        <w:jc w:val="center"/>
        <w:rPr>
          <w:rStyle w:val="Strong"/>
          <w:rFonts w:ascii="Arial" w:hAnsi="Arial" w:cs="Arial"/>
          <w:b w:val="0"/>
          <w:bCs w:val="0"/>
          <w:color w:val="C00000"/>
          <w:sz w:val="24"/>
          <w:szCs w:val="24"/>
        </w:rPr>
      </w:pPr>
    </w:p>
    <w:p w14:paraId="33A27947" w14:textId="77777777" w:rsidR="002C176E" w:rsidRPr="00FE6F22" w:rsidRDefault="002C176E" w:rsidP="00FE6F22">
      <w:pPr>
        <w:spacing w:line="360" w:lineRule="auto"/>
        <w:jc w:val="center"/>
        <w:rPr>
          <w:rStyle w:val="Strong"/>
          <w:rFonts w:ascii="Arial" w:hAnsi="Arial" w:cs="Arial"/>
          <w:b w:val="0"/>
          <w:bCs w:val="0"/>
          <w:color w:val="C00000"/>
          <w:sz w:val="24"/>
          <w:szCs w:val="24"/>
        </w:rPr>
      </w:pPr>
    </w:p>
    <w:p w14:paraId="7B13734E" w14:textId="77777777" w:rsidR="002B6B70" w:rsidRPr="00FE6F22" w:rsidRDefault="002B6B70" w:rsidP="00FE6F22">
      <w:pPr>
        <w:spacing w:line="360" w:lineRule="auto"/>
        <w:jc w:val="center"/>
        <w:rPr>
          <w:rStyle w:val="Strong"/>
          <w:rFonts w:ascii="Arial" w:hAnsi="Arial" w:cs="Arial"/>
          <w:b w:val="0"/>
          <w:bCs w:val="0"/>
          <w:color w:val="C00000"/>
          <w:sz w:val="24"/>
          <w:szCs w:val="24"/>
        </w:rPr>
      </w:pPr>
    </w:p>
    <w:p w14:paraId="343B615C" w14:textId="77777777" w:rsidR="002B6B70" w:rsidRPr="00FE6F22" w:rsidRDefault="002B6B70" w:rsidP="00FE6F22">
      <w:pPr>
        <w:spacing w:line="360" w:lineRule="auto"/>
        <w:jc w:val="center"/>
        <w:rPr>
          <w:rStyle w:val="Strong"/>
          <w:rFonts w:ascii="Arial" w:hAnsi="Arial" w:cs="Arial"/>
          <w:b w:val="0"/>
          <w:bCs w:val="0"/>
          <w:color w:val="C00000"/>
          <w:sz w:val="24"/>
          <w:szCs w:val="24"/>
        </w:rPr>
      </w:pPr>
    </w:p>
    <w:p w14:paraId="6512E128" w14:textId="77777777" w:rsidR="005E4072" w:rsidRPr="00FE6F22" w:rsidRDefault="005E4072" w:rsidP="00FE6F22">
      <w:pPr>
        <w:spacing w:line="360" w:lineRule="auto"/>
        <w:rPr>
          <w:rFonts w:ascii="Arial" w:hAnsi="Arial" w:cs="Arial"/>
          <w:sz w:val="24"/>
          <w:szCs w:val="24"/>
        </w:rPr>
      </w:pPr>
    </w:p>
    <w:p w14:paraId="2054BA76" w14:textId="77777777" w:rsidR="006E0F18" w:rsidRPr="00FE6F22" w:rsidRDefault="00AC4D67" w:rsidP="00FE6F22">
      <w:pPr>
        <w:spacing w:line="360" w:lineRule="auto"/>
        <w:rPr>
          <w:rFonts w:ascii="Arial" w:hAnsi="Arial" w:cs="Arial"/>
          <w:b/>
          <w:bCs/>
          <w:sz w:val="24"/>
          <w:szCs w:val="24"/>
        </w:rPr>
      </w:pPr>
      <w:r w:rsidRPr="00FE6F22">
        <w:rPr>
          <w:rFonts w:ascii="Arial" w:hAnsi="Arial" w:cs="Arial"/>
          <w:noProof/>
          <w:sz w:val="24"/>
          <w:szCs w:val="24"/>
          <w:lang w:val="en-US"/>
        </w:rPr>
        <w:drawing>
          <wp:anchor distT="0" distB="0" distL="114300" distR="114300" simplePos="0" relativeHeight="251665408" behindDoc="0" locked="0" layoutInCell="1" allowOverlap="1" wp14:anchorId="387F1A45" wp14:editId="7F1F920B">
            <wp:simplePos x="0" y="0"/>
            <wp:positionH relativeFrom="column">
              <wp:posOffset>-905774</wp:posOffset>
            </wp:positionH>
            <wp:positionV relativeFrom="paragraph">
              <wp:posOffset>22406</wp:posOffset>
            </wp:positionV>
            <wp:extent cx="7530647" cy="3623094"/>
            <wp:effectExtent l="171450" t="171450" r="375285" b="35877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7530465" cy="3623006"/>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p>
    <w:p w14:paraId="6D820F2A" w14:textId="77777777" w:rsidR="00E6083D" w:rsidRPr="00FE6F22" w:rsidRDefault="00F83B65" w:rsidP="00FE6F22">
      <w:pPr>
        <w:spacing w:line="360" w:lineRule="auto"/>
        <w:rPr>
          <w:rFonts w:ascii="Arial" w:hAnsi="Arial" w:cs="Arial"/>
          <w:b/>
          <w:bCs/>
          <w:sz w:val="24"/>
          <w:szCs w:val="24"/>
        </w:rPr>
      </w:pPr>
      <w:r w:rsidRPr="00FE6F22">
        <w:rPr>
          <w:rFonts w:ascii="Arial" w:hAnsi="Arial" w:cs="Arial"/>
          <w:noProof/>
          <w:sz w:val="24"/>
          <w:szCs w:val="24"/>
          <w:lang w:val="en-US"/>
        </w:rPr>
        <w:drawing>
          <wp:anchor distT="0" distB="0" distL="114300" distR="114300" simplePos="0" relativeHeight="251667456" behindDoc="0" locked="0" layoutInCell="1" allowOverlap="1" wp14:anchorId="7932AD0C" wp14:editId="2825ABB5">
            <wp:simplePos x="0" y="0"/>
            <wp:positionH relativeFrom="column">
              <wp:posOffset>-905774</wp:posOffset>
            </wp:positionH>
            <wp:positionV relativeFrom="paragraph">
              <wp:posOffset>3320798</wp:posOffset>
            </wp:positionV>
            <wp:extent cx="7530861" cy="2725948"/>
            <wp:effectExtent l="171450" t="171450" r="375285" b="3606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7528558" cy="2725114"/>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rsidR="009922AE" w:rsidRPr="00FE6F22">
        <w:rPr>
          <w:rFonts w:ascii="Arial" w:hAnsi="Arial" w:cs="Arial"/>
          <w:b/>
          <w:bCs/>
          <w:sz w:val="24"/>
          <w:szCs w:val="24"/>
        </w:rPr>
        <w:br w:type="page"/>
      </w:r>
    </w:p>
    <w:p w14:paraId="318CB758" w14:textId="77777777" w:rsidR="008C45E0" w:rsidRPr="00FE6F22" w:rsidRDefault="008C45E0" w:rsidP="00FE6F22">
      <w:pPr>
        <w:spacing w:line="360" w:lineRule="auto"/>
        <w:rPr>
          <w:rFonts w:ascii="Arial" w:hAnsi="Arial" w:cs="Arial"/>
          <w:b/>
          <w:bCs/>
          <w:sz w:val="24"/>
          <w:szCs w:val="24"/>
        </w:rPr>
        <w:sectPr w:rsidR="008C45E0" w:rsidRPr="00FE6F22" w:rsidSect="008C45E0">
          <w:headerReference w:type="default" r:id="rId13"/>
          <w:footerReference w:type="default" r:id="rId14"/>
          <w:pgSz w:w="11906" w:h="16838"/>
          <w:pgMar w:top="1440" w:right="1440" w:bottom="1440" w:left="1440" w:header="708" w:footer="708" w:gutter="0"/>
          <w:pgNumType w:fmt="upperRoman"/>
          <w:cols w:space="708"/>
          <w:docGrid w:linePitch="360"/>
        </w:sectPr>
      </w:pPr>
    </w:p>
    <w:p w14:paraId="7E6272D2" w14:textId="77777777" w:rsidR="008F782D" w:rsidRPr="00FE6F22" w:rsidRDefault="008F782D" w:rsidP="00FE6F22">
      <w:pPr>
        <w:pStyle w:val="Heading1"/>
        <w:spacing w:line="360" w:lineRule="auto"/>
        <w:rPr>
          <w:rFonts w:ascii="Arial" w:hAnsi="Arial" w:cs="Arial"/>
          <w:sz w:val="24"/>
          <w:szCs w:val="24"/>
        </w:rPr>
      </w:pPr>
      <w:bookmarkStart w:id="0" w:name="_Toc225456770"/>
      <w:r w:rsidRPr="00FE6F22">
        <w:rPr>
          <w:rFonts w:ascii="Arial" w:hAnsi="Arial" w:cs="Arial"/>
          <w:sz w:val="24"/>
          <w:szCs w:val="24"/>
        </w:rPr>
        <w:lastRenderedPageBreak/>
        <w:t>Section 1:</w:t>
      </w:r>
      <w:bookmarkEnd w:id="0"/>
      <w:r w:rsidRPr="00FE6F22">
        <w:rPr>
          <w:rFonts w:ascii="Arial" w:hAnsi="Arial" w:cs="Arial"/>
          <w:sz w:val="24"/>
          <w:szCs w:val="24"/>
        </w:rPr>
        <w:t xml:space="preserve"> </w:t>
      </w:r>
    </w:p>
    <w:p w14:paraId="21DBE9E9" w14:textId="77777777" w:rsidR="00D3208E" w:rsidRPr="00FE6F22" w:rsidRDefault="00D950DF" w:rsidP="00FE6F22">
      <w:pPr>
        <w:pStyle w:val="Heading1"/>
        <w:numPr>
          <w:ilvl w:val="0"/>
          <w:numId w:val="14"/>
        </w:numPr>
        <w:spacing w:line="360" w:lineRule="auto"/>
        <w:rPr>
          <w:rFonts w:ascii="Arial" w:hAnsi="Arial" w:cs="Arial"/>
          <w:sz w:val="24"/>
          <w:szCs w:val="24"/>
          <w:lang w:val="en-US"/>
        </w:rPr>
      </w:pPr>
      <w:bookmarkStart w:id="1" w:name="_Toc225456771"/>
      <w:r w:rsidRPr="00FE6F22">
        <w:rPr>
          <w:rFonts w:ascii="Arial" w:hAnsi="Arial" w:cs="Arial"/>
          <w:sz w:val="24"/>
          <w:szCs w:val="24"/>
          <w:lang w:val="en-US"/>
        </w:rPr>
        <w:t>Organiz</w:t>
      </w:r>
      <w:r w:rsidR="00D3208E" w:rsidRPr="00FE6F22">
        <w:rPr>
          <w:rFonts w:ascii="Arial" w:hAnsi="Arial" w:cs="Arial"/>
          <w:sz w:val="24"/>
          <w:szCs w:val="24"/>
          <w:lang w:val="en-US"/>
        </w:rPr>
        <w:t>ational Context and Overview</w:t>
      </w:r>
      <w:bookmarkEnd w:id="1"/>
    </w:p>
    <w:p w14:paraId="0CA960CC" w14:textId="77777777" w:rsidR="00D3208E" w:rsidRPr="00FE6F22" w:rsidRDefault="00D861D2" w:rsidP="00FE6F22">
      <w:pPr>
        <w:spacing w:line="360" w:lineRule="auto"/>
        <w:jc w:val="both"/>
        <w:rPr>
          <w:rFonts w:ascii="Arial" w:hAnsi="Arial" w:cs="Arial"/>
          <w:sz w:val="24"/>
          <w:szCs w:val="24"/>
          <w:lang w:val="en-US"/>
        </w:rPr>
      </w:pPr>
      <w:r w:rsidRPr="00FE6F22">
        <w:rPr>
          <w:rFonts w:ascii="Arial" w:hAnsi="Arial" w:cs="Arial"/>
          <w:sz w:val="24"/>
          <w:szCs w:val="24"/>
          <w:lang w:val="en-US"/>
        </w:rPr>
        <w:t>EasyJet</w:t>
      </w:r>
      <w:r w:rsidR="00D3208E" w:rsidRPr="00FE6F22">
        <w:rPr>
          <w:rFonts w:ascii="Arial" w:hAnsi="Arial" w:cs="Arial"/>
          <w:sz w:val="24"/>
          <w:szCs w:val="24"/>
          <w:lang w:val="en-US"/>
        </w:rPr>
        <w:t xml:space="preserve"> PLC, founded in 1995 by Sir Stelios Haji-Ioannou, emerged as a disruptor in the European aviation sector, inspired by the low-cost model of Southwest Airlines. </w:t>
      </w:r>
      <w:r w:rsidR="00D20F0C" w:rsidRPr="00FE6F22">
        <w:rPr>
          <w:rFonts w:ascii="Arial" w:hAnsi="Arial" w:cs="Arial"/>
          <w:sz w:val="24"/>
          <w:szCs w:val="24"/>
        </w:rPr>
        <w:t>The mission of the airline is to offer low cost travel easy and this has seen the airline grow to be one of the leading airlines in Europe since it started with merely two aircraft in its operation (</w:t>
      </w:r>
      <w:r w:rsidRPr="00FE6F22">
        <w:rPr>
          <w:rFonts w:ascii="Arial" w:hAnsi="Arial" w:cs="Arial"/>
          <w:sz w:val="24"/>
          <w:szCs w:val="24"/>
        </w:rPr>
        <w:t>EasyJet</w:t>
      </w:r>
      <w:r w:rsidR="00D20F0C" w:rsidRPr="00FE6F22">
        <w:rPr>
          <w:rFonts w:ascii="Arial" w:hAnsi="Arial" w:cs="Arial"/>
          <w:sz w:val="24"/>
          <w:szCs w:val="24"/>
        </w:rPr>
        <w:t>, 2026). It is visionary and built in its strategy, which aims at providing affordable, convenient, and friendly air transport and capitalising on digital innovati</w:t>
      </w:r>
      <w:r w:rsidR="00B022C3" w:rsidRPr="00FE6F22">
        <w:rPr>
          <w:rFonts w:ascii="Arial" w:hAnsi="Arial" w:cs="Arial"/>
          <w:sz w:val="24"/>
          <w:szCs w:val="24"/>
        </w:rPr>
        <w:t>on and operational efficiency (EasyJe</w:t>
      </w:r>
      <w:r w:rsidR="00D20F0C" w:rsidRPr="00FE6F22">
        <w:rPr>
          <w:rFonts w:ascii="Arial" w:hAnsi="Arial" w:cs="Arial"/>
          <w:sz w:val="24"/>
          <w:szCs w:val="24"/>
        </w:rPr>
        <w:t>t, 2026).</w:t>
      </w:r>
    </w:p>
    <w:p w14:paraId="58F31AB8" w14:textId="77777777" w:rsidR="00D3208E" w:rsidRPr="00FE6F22" w:rsidRDefault="00D20F0C" w:rsidP="00FE6F22">
      <w:pPr>
        <w:spacing w:line="360" w:lineRule="auto"/>
        <w:jc w:val="both"/>
        <w:rPr>
          <w:rFonts w:ascii="Arial" w:hAnsi="Arial" w:cs="Arial"/>
          <w:sz w:val="24"/>
          <w:szCs w:val="24"/>
          <w:lang w:val="en-US"/>
        </w:rPr>
      </w:pPr>
      <w:r w:rsidRPr="00FE6F22">
        <w:rPr>
          <w:rFonts w:ascii="Arial" w:hAnsi="Arial" w:cs="Arial"/>
          <w:sz w:val="24"/>
          <w:szCs w:val="24"/>
        </w:rPr>
        <w:t xml:space="preserve">The business model of the organisation is a hybrid one. Although it is based on the basic principles of the low-cost carrier (LCC) model, including using one type of fleet (Airbus A320 family) and high asset utilisation </w:t>
      </w:r>
      <w:r w:rsidR="00D861D2" w:rsidRPr="00FE6F22">
        <w:rPr>
          <w:rFonts w:ascii="Arial" w:hAnsi="Arial" w:cs="Arial"/>
          <w:sz w:val="24"/>
          <w:szCs w:val="24"/>
        </w:rPr>
        <w:t>EasyJet</w:t>
      </w:r>
      <w:r w:rsidRPr="00FE6F22">
        <w:rPr>
          <w:rFonts w:ascii="Arial" w:hAnsi="Arial" w:cs="Arial"/>
          <w:sz w:val="24"/>
          <w:szCs w:val="24"/>
        </w:rPr>
        <w:t xml:space="preserve"> has managed to position itself strategically. It focuses on major airports (not minor ones), is flexible to appeal to business travellers, and provides a service-based experience, which establishes a different value proposition in the short-haul European competitive environment (</w:t>
      </w:r>
      <w:r w:rsidR="00B022C3" w:rsidRPr="00FE6F22">
        <w:rPr>
          <w:rFonts w:ascii="Arial" w:hAnsi="Arial" w:cs="Arial"/>
          <w:sz w:val="24"/>
          <w:szCs w:val="24"/>
        </w:rPr>
        <w:t>EasyJet</w:t>
      </w:r>
      <w:r w:rsidRPr="00FE6F22">
        <w:rPr>
          <w:rFonts w:ascii="Arial" w:hAnsi="Arial" w:cs="Arial"/>
          <w:sz w:val="24"/>
          <w:szCs w:val="24"/>
        </w:rPr>
        <w:t xml:space="preserve">, 2026). This is also supplemented by its package holiday division, </w:t>
      </w:r>
      <w:r w:rsidR="00D861D2" w:rsidRPr="00FE6F22">
        <w:rPr>
          <w:rFonts w:ascii="Arial" w:hAnsi="Arial" w:cs="Arial"/>
          <w:sz w:val="24"/>
          <w:szCs w:val="24"/>
        </w:rPr>
        <w:t>EasyJet</w:t>
      </w:r>
      <w:r w:rsidRPr="00FE6F22">
        <w:rPr>
          <w:rFonts w:ascii="Arial" w:hAnsi="Arial" w:cs="Arial"/>
          <w:sz w:val="24"/>
          <w:szCs w:val="24"/>
        </w:rPr>
        <w:t xml:space="preserve"> holidays, which offers it a better growth strategy due to its higher-margin growth platform</w:t>
      </w:r>
      <w:r w:rsidR="00D3208E" w:rsidRPr="00FE6F22">
        <w:rPr>
          <w:rFonts w:ascii="Arial" w:hAnsi="Arial" w:cs="Arial"/>
          <w:sz w:val="24"/>
          <w:szCs w:val="24"/>
          <w:lang w:val="en-US"/>
        </w:rPr>
        <w:t>.</w:t>
      </w:r>
    </w:p>
    <w:p w14:paraId="0154EFEC" w14:textId="77777777" w:rsidR="00D3208E" w:rsidRPr="00FE6F22" w:rsidRDefault="00D20F0C" w:rsidP="00FE6F22">
      <w:pPr>
        <w:spacing w:line="360" w:lineRule="auto"/>
        <w:jc w:val="both"/>
        <w:rPr>
          <w:rFonts w:ascii="Arial" w:hAnsi="Arial" w:cs="Arial"/>
          <w:sz w:val="24"/>
          <w:szCs w:val="24"/>
          <w:lang w:val="en-US"/>
        </w:rPr>
      </w:pPr>
      <w:r w:rsidRPr="00FE6F22">
        <w:rPr>
          <w:rFonts w:ascii="Arial" w:hAnsi="Arial" w:cs="Arial"/>
          <w:sz w:val="24"/>
          <w:szCs w:val="24"/>
        </w:rPr>
        <w:t xml:space="preserve">Easy Jet is in the European short-haul aviation industry that is very volatile and competitive. The market is also defined by a high intensity of price wars, fixed cost, exposure to external shocks (such as fuel prices, geopolitical events), and a great deal of regulatory pressure in terms of sustainability (CAPA - Centre for Aviation, 2023). </w:t>
      </w:r>
      <w:r w:rsidR="00D3208E" w:rsidRPr="00FE6F22">
        <w:rPr>
          <w:rFonts w:ascii="Arial" w:hAnsi="Arial" w:cs="Arial"/>
          <w:sz w:val="24"/>
          <w:szCs w:val="24"/>
          <w:lang w:val="en-US"/>
        </w:rPr>
        <w:t>Its primary competitors include:</w:t>
      </w:r>
    </w:p>
    <w:p w14:paraId="3284D381" w14:textId="77777777" w:rsidR="00D3208E" w:rsidRPr="00FE6F22" w:rsidRDefault="00D3208E" w:rsidP="00FE6F22">
      <w:pPr>
        <w:numPr>
          <w:ilvl w:val="0"/>
          <w:numId w:val="12"/>
        </w:numPr>
        <w:spacing w:line="360" w:lineRule="auto"/>
        <w:jc w:val="both"/>
        <w:rPr>
          <w:rFonts w:ascii="Arial" w:hAnsi="Arial" w:cs="Arial"/>
          <w:sz w:val="24"/>
          <w:szCs w:val="24"/>
          <w:lang w:val="en-US"/>
        </w:rPr>
      </w:pPr>
      <w:r w:rsidRPr="00FE6F22">
        <w:rPr>
          <w:rFonts w:ascii="Arial" w:hAnsi="Arial" w:cs="Arial"/>
          <w:b/>
          <w:bCs/>
          <w:sz w:val="24"/>
          <w:szCs w:val="24"/>
          <w:lang w:val="en-US"/>
        </w:rPr>
        <w:t>Ryanair:</w:t>
      </w:r>
      <w:r w:rsidRPr="00FE6F22">
        <w:rPr>
          <w:rFonts w:ascii="Arial" w:hAnsi="Arial" w:cs="Arial"/>
          <w:sz w:val="24"/>
          <w:szCs w:val="24"/>
          <w:lang w:val="en-US"/>
        </w:rPr>
        <w:t> The undisputed leader in cost leadership across Europe.</w:t>
      </w:r>
    </w:p>
    <w:p w14:paraId="2CB2BA22" w14:textId="77777777" w:rsidR="00D3208E" w:rsidRPr="00FE6F22" w:rsidRDefault="00D3208E" w:rsidP="00FE6F22">
      <w:pPr>
        <w:numPr>
          <w:ilvl w:val="0"/>
          <w:numId w:val="12"/>
        </w:numPr>
        <w:spacing w:line="360" w:lineRule="auto"/>
        <w:jc w:val="both"/>
        <w:rPr>
          <w:rFonts w:ascii="Arial" w:hAnsi="Arial" w:cs="Arial"/>
          <w:sz w:val="24"/>
          <w:szCs w:val="24"/>
          <w:lang w:val="en-US"/>
        </w:rPr>
      </w:pPr>
      <w:r w:rsidRPr="00FE6F22">
        <w:rPr>
          <w:rFonts w:ascii="Arial" w:hAnsi="Arial" w:cs="Arial"/>
          <w:b/>
          <w:bCs/>
          <w:sz w:val="24"/>
          <w:szCs w:val="24"/>
          <w:lang w:val="en-US"/>
        </w:rPr>
        <w:t>Legacy Carriers:</w:t>
      </w:r>
      <w:r w:rsidRPr="00FE6F22">
        <w:rPr>
          <w:rFonts w:ascii="Arial" w:hAnsi="Arial" w:cs="Arial"/>
          <w:sz w:val="24"/>
          <w:szCs w:val="24"/>
          <w:lang w:val="en-US"/>
        </w:rPr>
        <w:t> Such as British Airways (IAG) and Lufthansa Group, which compete on network and full-service offerings.</w:t>
      </w:r>
    </w:p>
    <w:p w14:paraId="5F9B6727" w14:textId="77777777" w:rsidR="00D3208E" w:rsidRPr="00FE6F22" w:rsidRDefault="00D3208E" w:rsidP="00FE6F22">
      <w:pPr>
        <w:numPr>
          <w:ilvl w:val="0"/>
          <w:numId w:val="12"/>
        </w:numPr>
        <w:spacing w:line="360" w:lineRule="auto"/>
        <w:jc w:val="both"/>
        <w:rPr>
          <w:rFonts w:ascii="Arial" w:hAnsi="Arial" w:cs="Arial"/>
          <w:sz w:val="24"/>
          <w:szCs w:val="24"/>
          <w:lang w:val="en-US"/>
        </w:rPr>
      </w:pPr>
      <w:r w:rsidRPr="00FE6F22">
        <w:rPr>
          <w:rFonts w:ascii="Arial" w:hAnsi="Arial" w:cs="Arial"/>
          <w:b/>
          <w:bCs/>
          <w:sz w:val="24"/>
          <w:szCs w:val="24"/>
          <w:lang w:val="en-US"/>
        </w:rPr>
        <w:t>Other LCCs:</w:t>
      </w:r>
      <w:r w:rsidRPr="00FE6F22">
        <w:rPr>
          <w:rFonts w:ascii="Arial" w:hAnsi="Arial" w:cs="Arial"/>
          <w:sz w:val="24"/>
          <w:szCs w:val="24"/>
          <w:lang w:val="en-US"/>
        </w:rPr>
        <w:t> Including Wizz Air, which has a strong presence in Central and Eastern Europe, and </w:t>
      </w:r>
      <w:hyperlink r:id="rId15" w:tgtFrame="_blank" w:history="1">
        <w:r w:rsidRPr="00FE6F22">
          <w:rPr>
            <w:rStyle w:val="Hyperlink"/>
            <w:rFonts w:ascii="Arial" w:hAnsi="Arial" w:cs="Arial"/>
            <w:sz w:val="24"/>
            <w:szCs w:val="24"/>
            <w:lang w:val="en-US"/>
          </w:rPr>
          <w:t>Jet2.com</w:t>
        </w:r>
      </w:hyperlink>
      <w:r w:rsidRPr="00FE6F22">
        <w:rPr>
          <w:rFonts w:ascii="Arial" w:hAnsi="Arial" w:cs="Arial"/>
          <w:sz w:val="24"/>
          <w:szCs w:val="24"/>
          <w:lang w:val="en-US"/>
        </w:rPr>
        <w:t>, a major competitor in the UK leisure market (OAG, 2024).</w:t>
      </w:r>
    </w:p>
    <w:p w14:paraId="67D13F96" w14:textId="77777777" w:rsidR="00D3208E" w:rsidRPr="00FE6F22" w:rsidRDefault="00D20F0C" w:rsidP="00FE6F22">
      <w:pPr>
        <w:spacing w:line="360" w:lineRule="auto"/>
        <w:jc w:val="both"/>
        <w:rPr>
          <w:rFonts w:ascii="Arial" w:hAnsi="Arial" w:cs="Arial"/>
          <w:sz w:val="24"/>
          <w:szCs w:val="24"/>
          <w:lang w:val="en-US"/>
        </w:rPr>
      </w:pPr>
      <w:r w:rsidRPr="00FE6F22">
        <w:rPr>
          <w:rFonts w:ascii="Arial" w:hAnsi="Arial" w:cs="Arial"/>
          <w:sz w:val="24"/>
          <w:szCs w:val="24"/>
        </w:rPr>
        <w:lastRenderedPageBreak/>
        <w:t>These pressures notwithstanding, easy Jet has an impressive market share having been ranked as one of the largest LCC in Europe with a huge market share in major markets such as the UK, Switzerland and France. Network differentiation, strength in its operations, and performance based on data interpretation are the key events in its investment case, which seeks to make sustainable returns and manage the turbulent post-pandemic environment (</w:t>
      </w:r>
      <w:r w:rsidR="00D861D2" w:rsidRPr="00FE6F22">
        <w:rPr>
          <w:rFonts w:ascii="Arial" w:hAnsi="Arial" w:cs="Arial"/>
          <w:sz w:val="24"/>
          <w:szCs w:val="24"/>
        </w:rPr>
        <w:t>EasyJet</w:t>
      </w:r>
      <w:r w:rsidRPr="00FE6F22">
        <w:rPr>
          <w:rFonts w:ascii="Arial" w:hAnsi="Arial" w:cs="Arial"/>
          <w:sz w:val="24"/>
          <w:szCs w:val="24"/>
        </w:rPr>
        <w:t>, 2026).</w:t>
      </w:r>
    </w:p>
    <w:p w14:paraId="61813BC0" w14:textId="77777777" w:rsidR="00B70D5A" w:rsidRPr="00FE6F22" w:rsidRDefault="00B70D5A" w:rsidP="00FE6F22">
      <w:pPr>
        <w:pStyle w:val="Heading1"/>
        <w:numPr>
          <w:ilvl w:val="0"/>
          <w:numId w:val="14"/>
        </w:numPr>
        <w:spacing w:line="360" w:lineRule="auto"/>
        <w:rPr>
          <w:rFonts w:ascii="Arial" w:hAnsi="Arial" w:cs="Arial"/>
          <w:sz w:val="24"/>
          <w:szCs w:val="24"/>
          <w:lang w:val="en-US"/>
        </w:rPr>
      </w:pPr>
      <w:bookmarkStart w:id="2" w:name="_Toc225456772"/>
      <w:r w:rsidRPr="00FE6F22">
        <w:rPr>
          <w:rFonts w:ascii="Arial" w:hAnsi="Arial" w:cs="Arial"/>
          <w:sz w:val="24"/>
          <w:szCs w:val="24"/>
          <w:lang w:val="en-US"/>
        </w:rPr>
        <w:t>External and Internal Environment Analysis</w:t>
      </w:r>
      <w:bookmarkEnd w:id="2"/>
    </w:p>
    <w:p w14:paraId="35DE21EC" w14:textId="77777777" w:rsidR="00B70D5A" w:rsidRPr="00FE6F22" w:rsidRDefault="00B70D5A" w:rsidP="00FE6F22">
      <w:pPr>
        <w:pStyle w:val="Heading2"/>
        <w:spacing w:line="360" w:lineRule="auto"/>
        <w:rPr>
          <w:rFonts w:ascii="Arial" w:hAnsi="Arial" w:cs="Arial"/>
          <w:sz w:val="24"/>
          <w:szCs w:val="24"/>
          <w:lang w:val="en-US"/>
        </w:rPr>
      </w:pPr>
      <w:bookmarkStart w:id="3" w:name="_Toc225456773"/>
      <w:r w:rsidRPr="00FE6F22">
        <w:rPr>
          <w:rFonts w:ascii="Arial" w:hAnsi="Arial" w:cs="Arial"/>
          <w:sz w:val="24"/>
          <w:szCs w:val="24"/>
          <w:lang w:val="en-US"/>
        </w:rPr>
        <w:t>2.1 External Environment Analysis (PESTEL)</w:t>
      </w:r>
      <w:bookmarkEnd w:id="3"/>
    </w:p>
    <w:p w14:paraId="25C8272A" w14:textId="77777777" w:rsidR="005C5AC3" w:rsidRPr="00FE6F22" w:rsidRDefault="007A4AA9" w:rsidP="00FE6F22">
      <w:pPr>
        <w:spacing w:line="360" w:lineRule="auto"/>
        <w:jc w:val="both"/>
        <w:rPr>
          <w:rFonts w:ascii="Arial" w:hAnsi="Arial" w:cs="Arial"/>
          <w:sz w:val="24"/>
          <w:szCs w:val="24"/>
          <w:lang w:val="en-US"/>
        </w:rPr>
      </w:pPr>
      <w:r w:rsidRPr="00FE6F22">
        <w:rPr>
          <w:rFonts w:ascii="Arial" w:hAnsi="Arial" w:cs="Arial"/>
          <w:sz w:val="24"/>
          <w:szCs w:val="24"/>
        </w:rPr>
        <w:t>External factors affecting the strategic choices of easy jet form a complex web, which is analysed critically using the PESTEL framework</w:t>
      </w:r>
      <w:r w:rsidR="005C5AC3" w:rsidRPr="00FE6F22">
        <w:rPr>
          <w:rFonts w:ascii="Arial" w:hAnsi="Arial" w:cs="Arial"/>
          <w:sz w:val="24"/>
          <w:szCs w:val="24"/>
          <w:lang w:val="en-US"/>
        </w:rPr>
        <w:t>.</w:t>
      </w:r>
    </w:p>
    <w:p w14:paraId="0A93343A" w14:textId="77777777" w:rsidR="00763904" w:rsidRPr="00FE6F22" w:rsidRDefault="005C5AC3" w:rsidP="00FE6F22">
      <w:pPr>
        <w:spacing w:line="360" w:lineRule="auto"/>
        <w:jc w:val="both"/>
        <w:rPr>
          <w:rFonts w:ascii="Arial" w:hAnsi="Arial" w:cs="Arial"/>
          <w:sz w:val="24"/>
          <w:szCs w:val="24"/>
        </w:rPr>
      </w:pPr>
      <w:r w:rsidRPr="00FE6F22">
        <w:rPr>
          <w:rFonts w:ascii="Arial" w:hAnsi="Arial" w:cs="Arial"/>
          <w:b/>
          <w:bCs/>
          <w:sz w:val="24"/>
          <w:szCs w:val="24"/>
          <w:lang w:val="en-US"/>
        </w:rPr>
        <w:t>Political factors</w:t>
      </w:r>
      <w:r w:rsidR="00763904" w:rsidRPr="00FE6F22">
        <w:rPr>
          <w:rFonts w:ascii="Arial" w:hAnsi="Arial" w:cs="Arial"/>
          <w:sz w:val="24"/>
          <w:szCs w:val="24"/>
          <w:lang w:val="en-US"/>
        </w:rPr>
        <w:t xml:space="preserve">: </w:t>
      </w:r>
      <w:r w:rsidR="00763904" w:rsidRPr="00FE6F22">
        <w:rPr>
          <w:rFonts w:ascii="Arial" w:hAnsi="Arial" w:cs="Arial"/>
          <w:sz w:val="24"/>
          <w:szCs w:val="24"/>
        </w:rPr>
        <w:t xml:space="preserve">The political factors are very influential. </w:t>
      </w:r>
      <w:r w:rsidR="00D861D2" w:rsidRPr="00FE6F22">
        <w:rPr>
          <w:rFonts w:ascii="Arial" w:hAnsi="Arial" w:cs="Arial"/>
          <w:sz w:val="24"/>
          <w:szCs w:val="24"/>
        </w:rPr>
        <w:t>EasyJet</w:t>
      </w:r>
      <w:r w:rsidR="00763904" w:rsidRPr="00FE6F22">
        <w:rPr>
          <w:rFonts w:ascii="Arial" w:hAnsi="Arial" w:cs="Arial"/>
          <w:sz w:val="24"/>
          <w:szCs w:val="24"/>
        </w:rPr>
        <w:t xml:space="preserve"> is a pan-European airline, therefore it is very sensitive to the regulatory situations in the United Kingdom and the European Union. The Brexit strategy entailed the creation of an Austrian-based easy to operate company called easy to Europe to obtain an EU Air Operator Certificate (AOC) to remain operatio</w:t>
      </w:r>
      <w:r w:rsidR="003249D7" w:rsidRPr="00FE6F22">
        <w:rPr>
          <w:rFonts w:ascii="Arial" w:hAnsi="Arial" w:cs="Arial"/>
          <w:sz w:val="24"/>
          <w:szCs w:val="24"/>
        </w:rPr>
        <w:t>nal (easy to Europe, 2025</w:t>
      </w:r>
      <w:r w:rsidR="00763904" w:rsidRPr="00FE6F22">
        <w:rPr>
          <w:rFonts w:ascii="Arial" w:hAnsi="Arial" w:cs="Arial"/>
          <w:sz w:val="24"/>
          <w:szCs w:val="24"/>
        </w:rPr>
        <w:t>). In the statement of the Chair, the failures of the public authorities in the regions of its operation are criticised, such as inconsistent taxation, inefficient air traffic control (ATC) that burns time and fuel unnecessarily having direct effects on operati</w:t>
      </w:r>
      <w:r w:rsidR="003249D7" w:rsidRPr="00FE6F22">
        <w:rPr>
          <w:rFonts w:ascii="Arial" w:hAnsi="Arial" w:cs="Arial"/>
          <w:sz w:val="24"/>
          <w:szCs w:val="24"/>
        </w:rPr>
        <w:t>onal costs (</w:t>
      </w:r>
      <w:r w:rsidR="00D861D2" w:rsidRPr="00FE6F22">
        <w:rPr>
          <w:rFonts w:ascii="Arial" w:hAnsi="Arial" w:cs="Arial"/>
          <w:sz w:val="24"/>
          <w:szCs w:val="24"/>
        </w:rPr>
        <w:t>EasyJet</w:t>
      </w:r>
      <w:r w:rsidR="003249D7" w:rsidRPr="00FE6F22">
        <w:rPr>
          <w:rFonts w:ascii="Arial" w:hAnsi="Arial" w:cs="Arial"/>
          <w:sz w:val="24"/>
          <w:szCs w:val="24"/>
        </w:rPr>
        <w:t>, 2025</w:t>
      </w:r>
      <w:r w:rsidR="00763904" w:rsidRPr="00FE6F22">
        <w:rPr>
          <w:rFonts w:ascii="Arial" w:hAnsi="Arial" w:cs="Arial"/>
          <w:sz w:val="24"/>
          <w:szCs w:val="24"/>
        </w:rPr>
        <w:t>). It is actively participating in the dialogue on decarbonisation and consumer protection as a part of the so-called public policy (</w:t>
      </w:r>
      <w:r w:rsidR="00D861D2" w:rsidRPr="00FE6F22">
        <w:rPr>
          <w:rFonts w:ascii="Arial" w:hAnsi="Arial" w:cs="Arial"/>
          <w:sz w:val="24"/>
          <w:szCs w:val="24"/>
        </w:rPr>
        <w:t>EasyJet</w:t>
      </w:r>
      <w:r w:rsidR="00B022C3" w:rsidRPr="00FE6F22">
        <w:rPr>
          <w:rFonts w:ascii="Arial" w:hAnsi="Arial" w:cs="Arial"/>
          <w:sz w:val="24"/>
          <w:szCs w:val="24"/>
        </w:rPr>
        <w:t>, 2025</w:t>
      </w:r>
      <w:r w:rsidR="00763904" w:rsidRPr="00FE6F22">
        <w:rPr>
          <w:rFonts w:ascii="Arial" w:hAnsi="Arial" w:cs="Arial"/>
          <w:sz w:val="24"/>
          <w:szCs w:val="24"/>
        </w:rPr>
        <w:t>).</w:t>
      </w:r>
    </w:p>
    <w:p w14:paraId="4C4750DD" w14:textId="77777777" w:rsidR="005C5AC3" w:rsidRPr="00FE6F22" w:rsidRDefault="005C5AC3" w:rsidP="00FE6F22">
      <w:pPr>
        <w:spacing w:line="360" w:lineRule="auto"/>
        <w:jc w:val="both"/>
        <w:rPr>
          <w:rFonts w:ascii="Arial" w:hAnsi="Arial" w:cs="Arial"/>
          <w:sz w:val="24"/>
          <w:szCs w:val="24"/>
          <w:lang w:val="en-US"/>
        </w:rPr>
      </w:pPr>
      <w:r w:rsidRPr="00FE6F22">
        <w:rPr>
          <w:rFonts w:ascii="Arial" w:hAnsi="Arial" w:cs="Arial"/>
          <w:b/>
          <w:bCs/>
          <w:sz w:val="24"/>
          <w:szCs w:val="24"/>
          <w:lang w:val="en-US"/>
        </w:rPr>
        <w:t>Economic factors</w:t>
      </w:r>
      <w:r w:rsidR="00763904" w:rsidRPr="00FE6F22">
        <w:rPr>
          <w:rFonts w:ascii="Arial" w:hAnsi="Arial" w:cs="Arial"/>
          <w:sz w:val="24"/>
          <w:szCs w:val="24"/>
          <w:lang w:val="en-US"/>
        </w:rPr>
        <w:t xml:space="preserve">: </w:t>
      </w:r>
      <w:r w:rsidR="00763904" w:rsidRPr="00FE6F22">
        <w:rPr>
          <w:rFonts w:ascii="Arial" w:hAnsi="Arial" w:cs="Arial"/>
          <w:sz w:val="24"/>
          <w:szCs w:val="24"/>
        </w:rPr>
        <w:t>Economic factors play a vital role in the cap</w:t>
      </w:r>
      <w:r w:rsidR="0096588B" w:rsidRPr="00FE6F22">
        <w:rPr>
          <w:rFonts w:ascii="Arial" w:hAnsi="Arial" w:cs="Arial"/>
          <w:sz w:val="24"/>
          <w:szCs w:val="24"/>
        </w:rPr>
        <w:t>ital-intensive airline sector. E</w:t>
      </w:r>
      <w:r w:rsidR="00763904" w:rsidRPr="00FE6F22">
        <w:rPr>
          <w:rFonts w:ascii="Arial" w:hAnsi="Arial" w:cs="Arial"/>
          <w:sz w:val="24"/>
          <w:szCs w:val="24"/>
        </w:rPr>
        <w:t>asyJet performance is related to the increase in GDP, consumer confidence and the exchange rates. The 2025 Annual Report po</w:t>
      </w:r>
      <w:r w:rsidR="00B022C3" w:rsidRPr="00FE6F22">
        <w:rPr>
          <w:rFonts w:ascii="Arial" w:hAnsi="Arial" w:cs="Arial"/>
          <w:sz w:val="24"/>
          <w:szCs w:val="24"/>
        </w:rPr>
        <w:t>ints out 9% revenue growth to £</w:t>
      </w:r>
      <w:r w:rsidR="00763904" w:rsidRPr="00FE6F22">
        <w:rPr>
          <w:rFonts w:ascii="Arial" w:hAnsi="Arial" w:cs="Arial"/>
          <w:sz w:val="24"/>
          <w:szCs w:val="24"/>
        </w:rPr>
        <w:t>10.1 billion to be achieved by higher capacity, but cites the 7-8part inflationary cost pressure and a stronger GBP/USD rate, partially mitigating the higher fue</w:t>
      </w:r>
      <w:r w:rsidR="003249D7" w:rsidRPr="00FE6F22">
        <w:rPr>
          <w:rFonts w:ascii="Arial" w:hAnsi="Arial" w:cs="Arial"/>
          <w:sz w:val="24"/>
          <w:szCs w:val="24"/>
        </w:rPr>
        <w:t>l costs (</w:t>
      </w:r>
      <w:r w:rsidR="00D861D2" w:rsidRPr="00FE6F22">
        <w:rPr>
          <w:rFonts w:ascii="Arial" w:hAnsi="Arial" w:cs="Arial"/>
          <w:sz w:val="24"/>
          <w:szCs w:val="24"/>
        </w:rPr>
        <w:t>EasyJet</w:t>
      </w:r>
      <w:r w:rsidR="003249D7" w:rsidRPr="00FE6F22">
        <w:rPr>
          <w:rFonts w:ascii="Arial" w:hAnsi="Arial" w:cs="Arial"/>
          <w:sz w:val="24"/>
          <w:szCs w:val="24"/>
        </w:rPr>
        <w:t>, 2025</w:t>
      </w:r>
      <w:r w:rsidR="00763904" w:rsidRPr="00FE6F22">
        <w:rPr>
          <w:rFonts w:ascii="Arial" w:hAnsi="Arial" w:cs="Arial"/>
          <w:sz w:val="24"/>
          <w:szCs w:val="24"/>
        </w:rPr>
        <w:t>). The move to limit the capac</w:t>
      </w:r>
      <w:r w:rsidR="00B022C3" w:rsidRPr="00FE6F22">
        <w:rPr>
          <w:rFonts w:ascii="Arial" w:hAnsi="Arial" w:cs="Arial"/>
          <w:sz w:val="24"/>
          <w:szCs w:val="24"/>
        </w:rPr>
        <w:t xml:space="preserve">ity expansion to no more than 5% </w:t>
      </w:r>
      <w:r w:rsidR="00763904" w:rsidRPr="00FE6F22">
        <w:rPr>
          <w:rFonts w:ascii="Arial" w:hAnsi="Arial" w:cs="Arial"/>
          <w:sz w:val="24"/>
          <w:szCs w:val="24"/>
        </w:rPr>
        <w:t>per year is indicative of being a disciplined capita</w:t>
      </w:r>
      <w:r w:rsidR="003249D7" w:rsidRPr="00FE6F22">
        <w:rPr>
          <w:rFonts w:ascii="Arial" w:hAnsi="Arial" w:cs="Arial"/>
          <w:sz w:val="24"/>
          <w:szCs w:val="24"/>
        </w:rPr>
        <w:t>l manager (</w:t>
      </w:r>
      <w:r w:rsidR="00D861D2" w:rsidRPr="00FE6F22">
        <w:rPr>
          <w:rFonts w:ascii="Arial" w:hAnsi="Arial" w:cs="Arial"/>
          <w:sz w:val="24"/>
          <w:szCs w:val="24"/>
        </w:rPr>
        <w:t>EasyJet</w:t>
      </w:r>
      <w:r w:rsidR="003249D7" w:rsidRPr="00FE6F22">
        <w:rPr>
          <w:rFonts w:ascii="Arial" w:hAnsi="Arial" w:cs="Arial"/>
          <w:sz w:val="24"/>
          <w:szCs w:val="24"/>
        </w:rPr>
        <w:t>, 2025</w:t>
      </w:r>
      <w:r w:rsidR="00763904" w:rsidRPr="00FE6F22">
        <w:rPr>
          <w:rFonts w:ascii="Arial" w:hAnsi="Arial" w:cs="Arial"/>
          <w:sz w:val="24"/>
          <w:szCs w:val="24"/>
        </w:rPr>
        <w:t xml:space="preserve">). The dividend revival (12.1p per share final dividend of 2024) is an indicator of financial health and potential to give back </w:t>
      </w:r>
      <w:r w:rsidR="003249D7" w:rsidRPr="00FE6F22">
        <w:rPr>
          <w:rFonts w:ascii="Arial" w:hAnsi="Arial" w:cs="Arial"/>
          <w:sz w:val="24"/>
          <w:szCs w:val="24"/>
        </w:rPr>
        <w:t>to shareholders (</w:t>
      </w:r>
      <w:r w:rsidR="00D861D2" w:rsidRPr="00FE6F22">
        <w:rPr>
          <w:rFonts w:ascii="Arial" w:hAnsi="Arial" w:cs="Arial"/>
          <w:sz w:val="24"/>
          <w:szCs w:val="24"/>
        </w:rPr>
        <w:t>EasyJet</w:t>
      </w:r>
      <w:r w:rsidR="003249D7" w:rsidRPr="00FE6F22">
        <w:rPr>
          <w:rFonts w:ascii="Arial" w:hAnsi="Arial" w:cs="Arial"/>
          <w:sz w:val="24"/>
          <w:szCs w:val="24"/>
        </w:rPr>
        <w:t>, 2026</w:t>
      </w:r>
    </w:p>
    <w:p w14:paraId="66F6062D" w14:textId="77777777" w:rsidR="00763904" w:rsidRPr="00FE6F22" w:rsidRDefault="005C5AC3" w:rsidP="00FE6F22">
      <w:pPr>
        <w:spacing w:line="360" w:lineRule="auto"/>
        <w:jc w:val="both"/>
        <w:rPr>
          <w:rFonts w:ascii="Arial" w:hAnsi="Arial" w:cs="Arial"/>
          <w:sz w:val="24"/>
          <w:szCs w:val="24"/>
        </w:rPr>
      </w:pPr>
      <w:r w:rsidRPr="00FE6F22">
        <w:rPr>
          <w:rFonts w:ascii="Arial" w:hAnsi="Arial" w:cs="Arial"/>
          <w:b/>
          <w:bCs/>
          <w:sz w:val="24"/>
          <w:szCs w:val="24"/>
          <w:lang w:val="en-US"/>
        </w:rPr>
        <w:t>Social factors</w:t>
      </w:r>
      <w:r w:rsidR="00763904" w:rsidRPr="00FE6F22">
        <w:rPr>
          <w:rFonts w:ascii="Arial" w:hAnsi="Arial" w:cs="Arial"/>
          <w:b/>
          <w:bCs/>
          <w:sz w:val="24"/>
          <w:szCs w:val="24"/>
          <w:lang w:val="en-US"/>
        </w:rPr>
        <w:t>:</w:t>
      </w:r>
      <w:r w:rsidRPr="00FE6F22">
        <w:rPr>
          <w:rFonts w:ascii="Arial" w:hAnsi="Arial" w:cs="Arial"/>
          <w:sz w:val="24"/>
          <w:szCs w:val="24"/>
          <w:lang w:val="en-US"/>
        </w:rPr>
        <w:t> </w:t>
      </w:r>
      <w:r w:rsidR="00763904" w:rsidRPr="00FE6F22">
        <w:rPr>
          <w:rFonts w:ascii="Arial" w:hAnsi="Arial" w:cs="Arial"/>
          <w:sz w:val="24"/>
          <w:szCs w:val="24"/>
        </w:rPr>
        <w:t xml:space="preserve">Social factors are the key factors in strategy. The objective, which is to make low-cost travel easy, will attract a wide audience of potential customers such </w:t>
      </w:r>
      <w:r w:rsidR="00763904" w:rsidRPr="00FE6F22">
        <w:rPr>
          <w:rFonts w:ascii="Arial" w:hAnsi="Arial" w:cs="Arial"/>
          <w:sz w:val="24"/>
          <w:szCs w:val="24"/>
        </w:rPr>
        <w:lastRenderedPageBreak/>
        <w:t>as business travellers and people visiting relatives and friends (VFR) (</w:t>
      </w:r>
      <w:r w:rsidR="00D861D2" w:rsidRPr="00FE6F22">
        <w:rPr>
          <w:rFonts w:ascii="Arial" w:hAnsi="Arial" w:cs="Arial"/>
          <w:sz w:val="24"/>
          <w:szCs w:val="24"/>
        </w:rPr>
        <w:t>EasyJet</w:t>
      </w:r>
      <w:r w:rsidR="00763904" w:rsidRPr="00FE6F22">
        <w:rPr>
          <w:rFonts w:ascii="Arial" w:hAnsi="Arial" w:cs="Arial"/>
          <w:sz w:val="24"/>
          <w:szCs w:val="24"/>
        </w:rPr>
        <w:t>, 2025). Customer experience is based on the strategic priority to be the most loved airline in Europe with 80% satisfaction and the highest in more than a decade (</w:t>
      </w:r>
      <w:r w:rsidR="00D861D2" w:rsidRPr="00FE6F22">
        <w:rPr>
          <w:rFonts w:ascii="Arial" w:hAnsi="Arial" w:cs="Arial"/>
          <w:sz w:val="24"/>
          <w:szCs w:val="24"/>
        </w:rPr>
        <w:t>EasyJet</w:t>
      </w:r>
      <w:r w:rsidR="00B022C3" w:rsidRPr="00FE6F22">
        <w:rPr>
          <w:rFonts w:ascii="Arial" w:hAnsi="Arial" w:cs="Arial"/>
          <w:sz w:val="24"/>
          <w:szCs w:val="24"/>
        </w:rPr>
        <w:t>, 2025</w:t>
      </w:r>
      <w:r w:rsidR="00763904" w:rsidRPr="00FE6F22">
        <w:rPr>
          <w:rFonts w:ascii="Arial" w:hAnsi="Arial" w:cs="Arial"/>
          <w:sz w:val="24"/>
          <w:szCs w:val="24"/>
        </w:rPr>
        <w:t xml:space="preserve">). </w:t>
      </w:r>
      <w:r w:rsidR="00D861D2" w:rsidRPr="00FE6F22">
        <w:rPr>
          <w:rFonts w:ascii="Arial" w:hAnsi="Arial" w:cs="Arial"/>
          <w:sz w:val="24"/>
          <w:szCs w:val="24"/>
        </w:rPr>
        <w:t>EasyJet</w:t>
      </w:r>
      <w:r w:rsidR="00763904" w:rsidRPr="00FE6F22">
        <w:rPr>
          <w:rFonts w:ascii="Arial" w:hAnsi="Arial" w:cs="Arial"/>
          <w:sz w:val="24"/>
          <w:szCs w:val="24"/>
        </w:rPr>
        <w:t xml:space="preserve"> holidays increased customers by 20% to 3.1 million customers in 2025, as customers demanded packaged leisure travel, a post-pandemic activity (</w:t>
      </w:r>
      <w:r w:rsidR="00D861D2" w:rsidRPr="00FE6F22">
        <w:rPr>
          <w:rFonts w:ascii="Arial" w:hAnsi="Arial" w:cs="Arial"/>
          <w:sz w:val="24"/>
          <w:szCs w:val="24"/>
        </w:rPr>
        <w:t>EasyJet</w:t>
      </w:r>
      <w:r w:rsidR="00763904" w:rsidRPr="00FE6F22">
        <w:rPr>
          <w:rFonts w:ascii="Arial" w:hAnsi="Arial" w:cs="Arial"/>
          <w:sz w:val="24"/>
          <w:szCs w:val="24"/>
        </w:rPr>
        <w:t>, 2025). Talent attraction and retention are addressed as a result of being named best place to work (</w:t>
      </w:r>
      <w:r w:rsidR="00D861D2" w:rsidRPr="00FE6F22">
        <w:rPr>
          <w:rFonts w:ascii="Arial" w:hAnsi="Arial" w:cs="Arial"/>
          <w:sz w:val="24"/>
          <w:szCs w:val="24"/>
        </w:rPr>
        <w:t>EasyJet</w:t>
      </w:r>
      <w:r w:rsidR="00763904" w:rsidRPr="00FE6F22">
        <w:rPr>
          <w:rFonts w:ascii="Arial" w:hAnsi="Arial" w:cs="Arial"/>
          <w:sz w:val="24"/>
          <w:szCs w:val="24"/>
        </w:rPr>
        <w:t>, 2025).</w:t>
      </w:r>
    </w:p>
    <w:p w14:paraId="0757C8AA" w14:textId="77777777" w:rsidR="00763904" w:rsidRPr="00FE6F22" w:rsidRDefault="005C5AC3" w:rsidP="00FE6F22">
      <w:pPr>
        <w:spacing w:line="360" w:lineRule="auto"/>
        <w:jc w:val="both"/>
        <w:rPr>
          <w:rFonts w:ascii="Arial" w:hAnsi="Arial" w:cs="Arial"/>
          <w:sz w:val="24"/>
          <w:szCs w:val="24"/>
        </w:rPr>
      </w:pPr>
      <w:r w:rsidRPr="00FE6F22">
        <w:rPr>
          <w:rFonts w:ascii="Arial" w:hAnsi="Arial" w:cs="Arial"/>
          <w:b/>
          <w:bCs/>
          <w:sz w:val="24"/>
          <w:szCs w:val="24"/>
          <w:lang w:val="en-US"/>
        </w:rPr>
        <w:t>Technological factors</w:t>
      </w:r>
      <w:r w:rsidR="00763904" w:rsidRPr="00FE6F22">
        <w:rPr>
          <w:rFonts w:ascii="Arial" w:hAnsi="Arial" w:cs="Arial"/>
          <w:b/>
          <w:bCs/>
          <w:sz w:val="24"/>
          <w:szCs w:val="24"/>
          <w:lang w:val="en-US"/>
        </w:rPr>
        <w:t>:</w:t>
      </w:r>
      <w:r w:rsidRPr="00FE6F22">
        <w:rPr>
          <w:rFonts w:ascii="Arial" w:hAnsi="Arial" w:cs="Arial"/>
          <w:sz w:val="24"/>
          <w:szCs w:val="24"/>
          <w:lang w:val="en-US"/>
        </w:rPr>
        <w:t> </w:t>
      </w:r>
      <w:r w:rsidR="00763904" w:rsidRPr="00FE6F22">
        <w:rPr>
          <w:rFonts w:ascii="Arial" w:hAnsi="Arial" w:cs="Arial"/>
          <w:sz w:val="24"/>
          <w:szCs w:val="24"/>
        </w:rPr>
        <w:t>Technological factors facilitate business model and competitive strategy. The popular customer application optimises the booking to boarding experience, as well as self-service disruption management (</w:t>
      </w:r>
      <w:r w:rsidR="00B022C3" w:rsidRPr="00FE6F22">
        <w:rPr>
          <w:rFonts w:ascii="Arial" w:hAnsi="Arial" w:cs="Arial"/>
          <w:sz w:val="24"/>
          <w:szCs w:val="24"/>
        </w:rPr>
        <w:t>EasyJet</w:t>
      </w:r>
      <w:r w:rsidR="00763904" w:rsidRPr="00FE6F22">
        <w:rPr>
          <w:rFonts w:ascii="Arial" w:hAnsi="Arial" w:cs="Arial"/>
          <w:sz w:val="24"/>
          <w:szCs w:val="24"/>
        </w:rPr>
        <w:t>, 2025). The renewal of modern aircraft A320neo family to the fleet is the primary instrument of cost reduction and sustainability; 17 new aircraft are planned to arrive in FY26 (</w:t>
      </w:r>
      <w:r w:rsidR="00D861D2" w:rsidRPr="00FE6F22">
        <w:rPr>
          <w:rFonts w:ascii="Arial" w:hAnsi="Arial" w:cs="Arial"/>
          <w:sz w:val="24"/>
          <w:szCs w:val="24"/>
        </w:rPr>
        <w:t>EasyJet</w:t>
      </w:r>
      <w:r w:rsidR="00763904" w:rsidRPr="00FE6F22">
        <w:rPr>
          <w:rFonts w:ascii="Arial" w:hAnsi="Arial" w:cs="Arial"/>
          <w:sz w:val="24"/>
          <w:szCs w:val="24"/>
        </w:rPr>
        <w:t xml:space="preserve">, 2025). Revenue management algorithms and dynamic pricing algorithms based on data help to maximise yield, an advanced, </w:t>
      </w:r>
      <w:r w:rsidR="00B022C3" w:rsidRPr="00FE6F22">
        <w:rPr>
          <w:rFonts w:ascii="Arial" w:hAnsi="Arial" w:cs="Arial"/>
          <w:sz w:val="24"/>
          <w:szCs w:val="24"/>
        </w:rPr>
        <w:t>hard-to-imitate functionality (EasyJet</w:t>
      </w:r>
      <w:r w:rsidR="00763904" w:rsidRPr="00FE6F22">
        <w:rPr>
          <w:rFonts w:ascii="Arial" w:hAnsi="Arial" w:cs="Arial"/>
          <w:sz w:val="24"/>
          <w:szCs w:val="24"/>
        </w:rPr>
        <w:t>, 2025).</w:t>
      </w:r>
    </w:p>
    <w:p w14:paraId="4DB9CCD7" w14:textId="77777777" w:rsidR="00763904" w:rsidRPr="00FE6F22" w:rsidRDefault="005C5AC3" w:rsidP="00FE6F22">
      <w:pPr>
        <w:spacing w:line="360" w:lineRule="auto"/>
        <w:jc w:val="both"/>
        <w:rPr>
          <w:rFonts w:ascii="Arial" w:hAnsi="Arial" w:cs="Arial"/>
          <w:sz w:val="24"/>
          <w:szCs w:val="24"/>
        </w:rPr>
      </w:pPr>
      <w:r w:rsidRPr="00FE6F22">
        <w:rPr>
          <w:rFonts w:ascii="Arial" w:hAnsi="Arial" w:cs="Arial"/>
          <w:b/>
          <w:bCs/>
          <w:sz w:val="24"/>
          <w:szCs w:val="24"/>
          <w:lang w:val="en-US"/>
        </w:rPr>
        <w:t>Environmental factors</w:t>
      </w:r>
      <w:r w:rsidR="00763904" w:rsidRPr="00FE6F22">
        <w:rPr>
          <w:rFonts w:ascii="Arial" w:hAnsi="Arial" w:cs="Arial"/>
          <w:b/>
          <w:bCs/>
          <w:sz w:val="24"/>
          <w:szCs w:val="24"/>
          <w:lang w:val="en-US"/>
        </w:rPr>
        <w:t>:</w:t>
      </w:r>
      <w:r w:rsidRPr="00FE6F22">
        <w:rPr>
          <w:rFonts w:ascii="Arial" w:hAnsi="Arial" w:cs="Arial"/>
          <w:sz w:val="24"/>
          <w:szCs w:val="24"/>
          <w:lang w:val="en-US"/>
        </w:rPr>
        <w:t> </w:t>
      </w:r>
      <w:r w:rsidR="00763904" w:rsidRPr="00FE6F22">
        <w:rPr>
          <w:rFonts w:ascii="Arial" w:hAnsi="Arial" w:cs="Arial"/>
          <w:sz w:val="24"/>
          <w:szCs w:val="24"/>
        </w:rPr>
        <w:t xml:space="preserve">The environment is a strategic issue of paramount importance because the </w:t>
      </w:r>
      <w:r w:rsidR="00D861D2" w:rsidRPr="00FE6F22">
        <w:rPr>
          <w:rFonts w:ascii="Arial" w:hAnsi="Arial" w:cs="Arial"/>
          <w:sz w:val="24"/>
          <w:szCs w:val="24"/>
        </w:rPr>
        <w:t>EasyJet</w:t>
      </w:r>
      <w:r w:rsidR="00763904" w:rsidRPr="00FE6F22">
        <w:rPr>
          <w:rFonts w:ascii="Arial" w:hAnsi="Arial" w:cs="Arial"/>
          <w:sz w:val="24"/>
          <w:szCs w:val="24"/>
        </w:rPr>
        <w:t xml:space="preserve"> roadmap of Net Zero Pathway aims at decreasing carbon intensity by 35 in 2035 (</w:t>
      </w:r>
      <w:r w:rsidR="00D861D2" w:rsidRPr="00FE6F22">
        <w:rPr>
          <w:rFonts w:ascii="Arial" w:hAnsi="Arial" w:cs="Arial"/>
          <w:sz w:val="24"/>
          <w:szCs w:val="24"/>
        </w:rPr>
        <w:t>EasyJet</w:t>
      </w:r>
      <w:r w:rsidR="001D7407" w:rsidRPr="00FE6F22">
        <w:rPr>
          <w:rFonts w:ascii="Arial" w:hAnsi="Arial" w:cs="Arial"/>
          <w:sz w:val="24"/>
          <w:szCs w:val="24"/>
        </w:rPr>
        <w:t>, 2025</w:t>
      </w:r>
      <w:r w:rsidR="00763904" w:rsidRPr="00FE6F22">
        <w:rPr>
          <w:rFonts w:ascii="Arial" w:hAnsi="Arial" w:cs="Arial"/>
          <w:sz w:val="24"/>
          <w:szCs w:val="24"/>
        </w:rPr>
        <w:t>). The CO</w:t>
      </w:r>
      <w:r w:rsidR="00763904" w:rsidRPr="00FE6F22">
        <w:rPr>
          <w:rFonts w:ascii="Arial" w:hAnsi="Arial" w:cs="Arial"/>
          <w:sz w:val="24"/>
          <w:szCs w:val="24"/>
          <w:vertAlign w:val="subscript"/>
        </w:rPr>
        <w:t>2</w:t>
      </w:r>
      <w:r w:rsidR="00763904" w:rsidRPr="00FE6F22">
        <w:rPr>
          <w:rFonts w:ascii="Arial" w:hAnsi="Arial" w:cs="Arial"/>
          <w:sz w:val="24"/>
          <w:szCs w:val="24"/>
        </w:rPr>
        <w:t xml:space="preserve"> emissions per passenger kilometre decreased by 1.8% to 65.47g, in </w:t>
      </w:r>
      <w:r w:rsidR="001D7407" w:rsidRPr="00FE6F22">
        <w:rPr>
          <w:rFonts w:ascii="Arial" w:hAnsi="Arial" w:cs="Arial"/>
          <w:sz w:val="24"/>
          <w:szCs w:val="24"/>
        </w:rPr>
        <w:t>2025 (EasyJet, 2025</w:t>
      </w:r>
      <w:r w:rsidR="00763904" w:rsidRPr="00FE6F22">
        <w:rPr>
          <w:rFonts w:ascii="Arial" w:hAnsi="Arial" w:cs="Arial"/>
          <w:sz w:val="24"/>
          <w:szCs w:val="24"/>
        </w:rPr>
        <w:t>). More than a quarter of its 356 planes are now efficient neo (</w:t>
      </w:r>
      <w:r w:rsidR="00D861D2" w:rsidRPr="00FE6F22">
        <w:rPr>
          <w:rFonts w:ascii="Arial" w:hAnsi="Arial" w:cs="Arial"/>
          <w:sz w:val="24"/>
          <w:szCs w:val="24"/>
        </w:rPr>
        <w:t>EasyJet</w:t>
      </w:r>
      <w:r w:rsidR="001D7407" w:rsidRPr="00FE6F22">
        <w:rPr>
          <w:rFonts w:ascii="Arial" w:hAnsi="Arial" w:cs="Arial"/>
          <w:sz w:val="24"/>
          <w:szCs w:val="24"/>
        </w:rPr>
        <w:t>, 2025</w:t>
      </w:r>
      <w:r w:rsidR="00763904" w:rsidRPr="00FE6F22">
        <w:rPr>
          <w:rFonts w:ascii="Arial" w:hAnsi="Arial" w:cs="Arial"/>
          <w:sz w:val="24"/>
          <w:szCs w:val="24"/>
        </w:rPr>
        <w:t xml:space="preserve">). </w:t>
      </w:r>
      <w:r w:rsidR="001D7407" w:rsidRPr="00FE6F22">
        <w:rPr>
          <w:rFonts w:ascii="Arial" w:hAnsi="Arial" w:cs="Arial"/>
          <w:sz w:val="24"/>
          <w:szCs w:val="24"/>
        </w:rPr>
        <w:t>However</w:t>
      </w:r>
      <w:r w:rsidR="00763904" w:rsidRPr="00FE6F22">
        <w:rPr>
          <w:rFonts w:ascii="Arial" w:hAnsi="Arial" w:cs="Arial"/>
          <w:sz w:val="24"/>
          <w:szCs w:val="24"/>
        </w:rPr>
        <w:t xml:space="preserve">, the UK and EU requirements on Sustainable Aviation Fuel (SAF) come with some difficulties; the CEO mentions that such requirements are a challenge to both the airline and the customer, and </w:t>
      </w:r>
      <w:r w:rsidR="00086CD1" w:rsidRPr="00FE6F22">
        <w:rPr>
          <w:rFonts w:ascii="Arial" w:hAnsi="Arial" w:cs="Arial"/>
          <w:sz w:val="24"/>
          <w:szCs w:val="24"/>
        </w:rPr>
        <w:t>it may cause price distortion (E</w:t>
      </w:r>
      <w:r w:rsidR="00763904" w:rsidRPr="00FE6F22">
        <w:rPr>
          <w:rFonts w:ascii="Arial" w:hAnsi="Arial" w:cs="Arial"/>
          <w:sz w:val="24"/>
          <w:szCs w:val="24"/>
        </w:rPr>
        <w:t>asyJet, 2025).</w:t>
      </w:r>
    </w:p>
    <w:p w14:paraId="6BF43EF3" w14:textId="77777777" w:rsidR="00204EFC" w:rsidRPr="00FE6F22" w:rsidRDefault="005C5AC3" w:rsidP="00FE6F22">
      <w:pPr>
        <w:spacing w:line="360" w:lineRule="auto"/>
        <w:jc w:val="both"/>
        <w:rPr>
          <w:rFonts w:ascii="Arial" w:hAnsi="Arial" w:cs="Arial"/>
          <w:sz w:val="24"/>
          <w:szCs w:val="24"/>
        </w:rPr>
      </w:pPr>
      <w:r w:rsidRPr="00FE6F22">
        <w:rPr>
          <w:rFonts w:ascii="Arial" w:hAnsi="Arial" w:cs="Arial"/>
          <w:b/>
          <w:bCs/>
          <w:sz w:val="24"/>
          <w:szCs w:val="24"/>
          <w:lang w:val="en-US"/>
        </w:rPr>
        <w:t>Legal factors</w:t>
      </w:r>
      <w:r w:rsidR="00763904" w:rsidRPr="00FE6F22">
        <w:rPr>
          <w:rFonts w:ascii="Arial" w:hAnsi="Arial" w:cs="Arial"/>
          <w:b/>
          <w:bCs/>
          <w:sz w:val="24"/>
          <w:szCs w:val="24"/>
          <w:lang w:val="en-US"/>
        </w:rPr>
        <w:t>:</w:t>
      </w:r>
      <w:r w:rsidRPr="00FE6F22">
        <w:rPr>
          <w:rFonts w:ascii="Arial" w:hAnsi="Arial" w:cs="Arial"/>
          <w:sz w:val="24"/>
          <w:szCs w:val="24"/>
          <w:lang w:val="en-US"/>
        </w:rPr>
        <w:t> </w:t>
      </w:r>
      <w:r w:rsidR="00204EFC" w:rsidRPr="00FE6F22">
        <w:rPr>
          <w:rFonts w:ascii="Arial" w:hAnsi="Arial" w:cs="Arial"/>
          <w:sz w:val="24"/>
          <w:szCs w:val="24"/>
        </w:rPr>
        <w:t xml:space="preserve">Legal will affect the safety of operations, consumer safety, and governance. </w:t>
      </w:r>
      <w:r w:rsidR="00D861D2" w:rsidRPr="00FE6F22">
        <w:rPr>
          <w:rFonts w:ascii="Arial" w:hAnsi="Arial" w:cs="Arial"/>
          <w:sz w:val="24"/>
          <w:szCs w:val="24"/>
        </w:rPr>
        <w:t>EasyJet</w:t>
      </w:r>
      <w:r w:rsidR="00204EFC" w:rsidRPr="00FE6F22">
        <w:rPr>
          <w:rFonts w:ascii="Arial" w:hAnsi="Arial" w:cs="Arial"/>
          <w:sz w:val="24"/>
          <w:szCs w:val="24"/>
        </w:rPr>
        <w:t xml:space="preserve"> adheres to the UK Corporate Governance </w:t>
      </w:r>
      <w:r w:rsidR="00086CD1" w:rsidRPr="00FE6F22">
        <w:rPr>
          <w:rFonts w:ascii="Arial" w:hAnsi="Arial" w:cs="Arial"/>
          <w:sz w:val="24"/>
          <w:szCs w:val="24"/>
        </w:rPr>
        <w:t>Code and has an ethics policy (E</w:t>
      </w:r>
      <w:r w:rsidR="00204EFC" w:rsidRPr="00FE6F22">
        <w:rPr>
          <w:rFonts w:ascii="Arial" w:hAnsi="Arial" w:cs="Arial"/>
          <w:sz w:val="24"/>
          <w:szCs w:val="24"/>
        </w:rPr>
        <w:t>asy</w:t>
      </w:r>
      <w:r w:rsidR="00086CD1" w:rsidRPr="00FE6F22">
        <w:rPr>
          <w:rFonts w:ascii="Arial" w:hAnsi="Arial" w:cs="Arial"/>
          <w:sz w:val="24"/>
          <w:szCs w:val="24"/>
        </w:rPr>
        <w:t>Jet, 2026</w:t>
      </w:r>
      <w:r w:rsidR="00204EFC" w:rsidRPr="00FE6F22">
        <w:rPr>
          <w:rFonts w:ascii="Arial" w:hAnsi="Arial" w:cs="Arial"/>
          <w:sz w:val="24"/>
          <w:szCs w:val="24"/>
        </w:rPr>
        <w:t>). Among the main risks, the altering legal and regulatory environment, which may include new laws regarding the rights of passengers, airport slots, and employment legislation, is mentioned (</w:t>
      </w:r>
      <w:r w:rsidR="00B022C3" w:rsidRPr="00FE6F22">
        <w:rPr>
          <w:rFonts w:ascii="Arial" w:hAnsi="Arial" w:cs="Arial"/>
          <w:sz w:val="24"/>
          <w:szCs w:val="24"/>
        </w:rPr>
        <w:t>EasyJet</w:t>
      </w:r>
      <w:r w:rsidR="00086CD1" w:rsidRPr="00FE6F22">
        <w:rPr>
          <w:rFonts w:ascii="Arial" w:hAnsi="Arial" w:cs="Arial"/>
          <w:sz w:val="24"/>
          <w:szCs w:val="24"/>
        </w:rPr>
        <w:t>, 2025</w:t>
      </w:r>
      <w:r w:rsidR="00204EFC" w:rsidRPr="00FE6F22">
        <w:rPr>
          <w:rFonts w:ascii="Arial" w:hAnsi="Arial" w:cs="Arial"/>
          <w:sz w:val="24"/>
          <w:szCs w:val="24"/>
        </w:rPr>
        <w:t>).</w:t>
      </w:r>
    </w:p>
    <w:p w14:paraId="141FF13B" w14:textId="77777777" w:rsidR="00B70D5A" w:rsidRPr="00FE6F22" w:rsidRDefault="00B70D5A" w:rsidP="00FE6F22">
      <w:pPr>
        <w:pStyle w:val="Heading2"/>
        <w:spacing w:line="360" w:lineRule="auto"/>
        <w:rPr>
          <w:rFonts w:ascii="Arial" w:hAnsi="Arial" w:cs="Arial"/>
          <w:sz w:val="24"/>
          <w:szCs w:val="24"/>
          <w:lang w:val="en-US"/>
        </w:rPr>
      </w:pPr>
      <w:bookmarkStart w:id="4" w:name="_Toc225456774"/>
      <w:r w:rsidRPr="00FE6F22">
        <w:rPr>
          <w:rFonts w:ascii="Arial" w:hAnsi="Arial" w:cs="Arial"/>
          <w:sz w:val="24"/>
          <w:szCs w:val="24"/>
          <w:lang w:val="en-US"/>
        </w:rPr>
        <w:t>2.2 Critical Success Factors and Strategic Challenges</w:t>
      </w:r>
      <w:bookmarkEnd w:id="4"/>
    </w:p>
    <w:p w14:paraId="28762F24" w14:textId="77777777" w:rsidR="00856E93" w:rsidRPr="00FE6F22" w:rsidRDefault="00856E93" w:rsidP="00FE6F22">
      <w:pPr>
        <w:spacing w:line="360" w:lineRule="auto"/>
        <w:jc w:val="both"/>
        <w:rPr>
          <w:rFonts w:ascii="Arial" w:hAnsi="Arial" w:cs="Arial"/>
          <w:sz w:val="24"/>
          <w:szCs w:val="24"/>
        </w:rPr>
      </w:pPr>
      <w:r w:rsidRPr="00FE6F22">
        <w:rPr>
          <w:rFonts w:ascii="Arial" w:hAnsi="Arial" w:cs="Arial"/>
          <w:sz w:val="24"/>
          <w:szCs w:val="24"/>
        </w:rPr>
        <w:t>Operation efficiency, network strength, brand trust, and financial resilience are crit</w:t>
      </w:r>
      <w:r w:rsidR="0018043A" w:rsidRPr="00FE6F22">
        <w:rPr>
          <w:rFonts w:ascii="Arial" w:hAnsi="Arial" w:cs="Arial"/>
          <w:sz w:val="24"/>
          <w:szCs w:val="24"/>
        </w:rPr>
        <w:t>ical success factors (CSFs) of E</w:t>
      </w:r>
      <w:r w:rsidRPr="00FE6F22">
        <w:rPr>
          <w:rFonts w:ascii="Arial" w:hAnsi="Arial" w:cs="Arial"/>
          <w:sz w:val="24"/>
          <w:szCs w:val="24"/>
        </w:rPr>
        <w:t>asyJet. This is through keeping the base low and asset utilisation high (</w:t>
      </w:r>
      <w:r w:rsidR="00D861D2" w:rsidRPr="00FE6F22">
        <w:rPr>
          <w:rFonts w:ascii="Arial" w:hAnsi="Arial" w:cs="Arial"/>
          <w:sz w:val="24"/>
          <w:szCs w:val="24"/>
        </w:rPr>
        <w:t>EasyJet</w:t>
      </w:r>
      <w:r w:rsidRPr="00FE6F22">
        <w:rPr>
          <w:rFonts w:ascii="Arial" w:hAnsi="Arial" w:cs="Arial"/>
          <w:sz w:val="24"/>
          <w:szCs w:val="24"/>
        </w:rPr>
        <w:t xml:space="preserve">, 2025). Primary leading slots in airports that are constrained </w:t>
      </w:r>
      <w:r w:rsidRPr="00FE6F22">
        <w:rPr>
          <w:rFonts w:ascii="Arial" w:hAnsi="Arial" w:cs="Arial"/>
          <w:sz w:val="24"/>
          <w:szCs w:val="24"/>
        </w:rPr>
        <w:lastRenderedPageBreak/>
        <w:t>by slots are def</w:t>
      </w:r>
      <w:r w:rsidR="0018043A" w:rsidRPr="00FE6F22">
        <w:rPr>
          <w:rFonts w:ascii="Arial" w:hAnsi="Arial" w:cs="Arial"/>
          <w:sz w:val="24"/>
          <w:szCs w:val="24"/>
        </w:rPr>
        <w:t>ensible in Europe (EasyJet, 2025</w:t>
      </w:r>
      <w:r w:rsidRPr="00FE6F22">
        <w:rPr>
          <w:rFonts w:ascii="Arial" w:hAnsi="Arial" w:cs="Arial"/>
          <w:sz w:val="24"/>
          <w:szCs w:val="24"/>
        </w:rPr>
        <w:t>). Repeat business and direct distribution are formed as a result of a well-recognised brand and customer satisfaction (</w:t>
      </w:r>
      <w:r w:rsidR="0018043A" w:rsidRPr="00FE6F22">
        <w:rPr>
          <w:rFonts w:ascii="Arial" w:hAnsi="Arial" w:cs="Arial"/>
          <w:sz w:val="24"/>
          <w:szCs w:val="24"/>
        </w:rPr>
        <w:t>EasyJet</w:t>
      </w:r>
      <w:r w:rsidRPr="00FE6F22">
        <w:rPr>
          <w:rFonts w:ascii="Arial" w:hAnsi="Arial" w:cs="Arial"/>
          <w:sz w:val="24"/>
          <w:szCs w:val="24"/>
        </w:rPr>
        <w:t>, 2025). An excellent balanc</w:t>
      </w:r>
      <w:r w:rsidR="0018043A" w:rsidRPr="00FE6F22">
        <w:rPr>
          <w:rFonts w:ascii="Arial" w:hAnsi="Arial" w:cs="Arial"/>
          <w:sz w:val="24"/>
          <w:szCs w:val="24"/>
        </w:rPr>
        <w:t>e sheet, that is, net cash of £</w:t>
      </w:r>
      <w:r w:rsidRPr="00FE6F22">
        <w:rPr>
          <w:rFonts w:ascii="Arial" w:hAnsi="Arial" w:cs="Arial"/>
          <w:sz w:val="24"/>
          <w:szCs w:val="24"/>
        </w:rPr>
        <w:t>602 million gives it strength to overcome shocks and finance capital expenditure (</w:t>
      </w:r>
      <w:r w:rsidR="00D861D2" w:rsidRPr="00FE6F22">
        <w:rPr>
          <w:rFonts w:ascii="Arial" w:hAnsi="Arial" w:cs="Arial"/>
          <w:sz w:val="24"/>
          <w:szCs w:val="24"/>
        </w:rPr>
        <w:t>EasyJet</w:t>
      </w:r>
      <w:r w:rsidRPr="00FE6F22">
        <w:rPr>
          <w:rFonts w:ascii="Arial" w:hAnsi="Arial" w:cs="Arial"/>
          <w:sz w:val="24"/>
          <w:szCs w:val="24"/>
        </w:rPr>
        <w:t>, 2025).</w:t>
      </w:r>
    </w:p>
    <w:p w14:paraId="58FB2F39" w14:textId="77777777" w:rsidR="005C5AC3" w:rsidRPr="00FE6F22" w:rsidRDefault="00A050CD" w:rsidP="00FE6F22">
      <w:pPr>
        <w:spacing w:line="360" w:lineRule="auto"/>
        <w:jc w:val="both"/>
        <w:rPr>
          <w:rFonts w:ascii="Arial" w:hAnsi="Arial" w:cs="Arial"/>
          <w:sz w:val="24"/>
          <w:szCs w:val="24"/>
          <w:lang w:val="en-US"/>
        </w:rPr>
      </w:pPr>
      <w:r w:rsidRPr="00FE6F22">
        <w:rPr>
          <w:rFonts w:ascii="Arial" w:hAnsi="Arial" w:cs="Arial"/>
          <w:sz w:val="24"/>
          <w:szCs w:val="24"/>
        </w:rPr>
        <w:t>Among the strategic issues, there is a lack of external operation reliance on inefficient ATC and airport infrastructure, which poses disru</w:t>
      </w:r>
      <w:r w:rsidR="003F5550" w:rsidRPr="00FE6F22">
        <w:rPr>
          <w:rFonts w:ascii="Arial" w:hAnsi="Arial" w:cs="Arial"/>
          <w:sz w:val="24"/>
          <w:szCs w:val="24"/>
        </w:rPr>
        <w:t>ption risk (</w:t>
      </w:r>
      <w:r w:rsidR="00D861D2" w:rsidRPr="00FE6F22">
        <w:rPr>
          <w:rFonts w:ascii="Arial" w:hAnsi="Arial" w:cs="Arial"/>
          <w:sz w:val="24"/>
          <w:szCs w:val="24"/>
        </w:rPr>
        <w:t>EasyJet</w:t>
      </w:r>
      <w:r w:rsidR="003F5550" w:rsidRPr="00FE6F22">
        <w:rPr>
          <w:rFonts w:ascii="Arial" w:hAnsi="Arial" w:cs="Arial"/>
          <w:sz w:val="24"/>
          <w:szCs w:val="24"/>
        </w:rPr>
        <w:t>, 2025</w:t>
      </w:r>
      <w:r w:rsidRPr="00FE6F22">
        <w:rPr>
          <w:rFonts w:ascii="Arial" w:hAnsi="Arial" w:cs="Arial"/>
          <w:sz w:val="24"/>
          <w:szCs w:val="24"/>
        </w:rPr>
        <w:t>). Conflicts in the Middle East and Ukraine are also affecting geopolitical volatility, bringing in some u</w:t>
      </w:r>
      <w:r w:rsidR="003F5550" w:rsidRPr="00FE6F22">
        <w:rPr>
          <w:rFonts w:ascii="Arial" w:hAnsi="Arial" w:cs="Arial"/>
          <w:sz w:val="24"/>
          <w:szCs w:val="24"/>
        </w:rPr>
        <w:t>ncertainty (</w:t>
      </w:r>
      <w:r w:rsidR="00D861D2" w:rsidRPr="00FE6F22">
        <w:rPr>
          <w:rFonts w:ascii="Arial" w:hAnsi="Arial" w:cs="Arial"/>
          <w:sz w:val="24"/>
          <w:szCs w:val="24"/>
        </w:rPr>
        <w:t>EasyJet</w:t>
      </w:r>
      <w:r w:rsidR="003F5550" w:rsidRPr="00FE6F22">
        <w:rPr>
          <w:rFonts w:ascii="Arial" w:hAnsi="Arial" w:cs="Arial"/>
          <w:sz w:val="24"/>
          <w:szCs w:val="24"/>
        </w:rPr>
        <w:t>, 2025</w:t>
      </w:r>
      <w:r w:rsidRPr="00FE6F22">
        <w:rPr>
          <w:rFonts w:ascii="Arial" w:hAnsi="Arial" w:cs="Arial"/>
          <w:sz w:val="24"/>
          <w:szCs w:val="24"/>
        </w:rPr>
        <w:t>). Ryanair competes vehemently on both cost and legacy carriers on network and must be closely monitored. Airbus deliveries are limited by supply chain constraints, which is threatening to the fleet</w:t>
      </w:r>
      <w:r w:rsidR="003F5550" w:rsidRPr="00FE6F22">
        <w:rPr>
          <w:rFonts w:ascii="Arial" w:hAnsi="Arial" w:cs="Arial"/>
          <w:sz w:val="24"/>
          <w:szCs w:val="24"/>
        </w:rPr>
        <w:t xml:space="preserve"> modernisation (</w:t>
      </w:r>
      <w:r w:rsidR="0018043A" w:rsidRPr="00FE6F22">
        <w:rPr>
          <w:rFonts w:ascii="Arial" w:hAnsi="Arial" w:cs="Arial"/>
          <w:sz w:val="24"/>
          <w:szCs w:val="24"/>
        </w:rPr>
        <w:t>EasyJet, 202</w:t>
      </w:r>
      <w:r w:rsidR="003F5550" w:rsidRPr="00FE6F22">
        <w:rPr>
          <w:rFonts w:ascii="Arial" w:hAnsi="Arial" w:cs="Arial"/>
          <w:sz w:val="24"/>
          <w:szCs w:val="24"/>
        </w:rPr>
        <w:t>5). Changing to low-carbon model will be a strategic and financial issue and SAF costs should be managed without compromising the value proposition (</w:t>
      </w:r>
      <w:r w:rsidR="00D861D2" w:rsidRPr="00FE6F22">
        <w:rPr>
          <w:rFonts w:ascii="Arial" w:hAnsi="Arial" w:cs="Arial"/>
          <w:sz w:val="24"/>
          <w:szCs w:val="24"/>
        </w:rPr>
        <w:t>EasyJet</w:t>
      </w:r>
      <w:r w:rsidR="003F5550" w:rsidRPr="00FE6F22">
        <w:rPr>
          <w:rFonts w:ascii="Arial" w:hAnsi="Arial" w:cs="Arial"/>
          <w:sz w:val="24"/>
          <w:szCs w:val="24"/>
        </w:rPr>
        <w:t>, 2025).</w:t>
      </w:r>
    </w:p>
    <w:p w14:paraId="374F91EC" w14:textId="77777777" w:rsidR="00B70D5A" w:rsidRPr="00FE6F22" w:rsidRDefault="00B70D5A" w:rsidP="00FE6F22">
      <w:pPr>
        <w:pStyle w:val="Heading2"/>
        <w:spacing w:line="360" w:lineRule="auto"/>
        <w:rPr>
          <w:rFonts w:ascii="Arial" w:hAnsi="Arial" w:cs="Arial"/>
          <w:sz w:val="24"/>
          <w:szCs w:val="24"/>
          <w:lang w:val="en-US"/>
        </w:rPr>
      </w:pPr>
      <w:bookmarkStart w:id="5" w:name="_Toc225456775"/>
      <w:r w:rsidRPr="00FE6F22">
        <w:rPr>
          <w:rFonts w:ascii="Arial" w:hAnsi="Arial" w:cs="Arial"/>
          <w:sz w:val="24"/>
          <w:szCs w:val="24"/>
          <w:lang w:val="en-US"/>
        </w:rPr>
        <w:t>2.3 Internal Environment Analysis: Resources, Capabilities, and VRIO</w:t>
      </w:r>
      <w:bookmarkEnd w:id="5"/>
    </w:p>
    <w:p w14:paraId="029DDA03" w14:textId="77777777" w:rsidR="00B70D5A" w:rsidRPr="00FE6F22" w:rsidRDefault="003F5550" w:rsidP="00FE6F22">
      <w:pPr>
        <w:spacing w:line="360" w:lineRule="auto"/>
        <w:jc w:val="both"/>
        <w:rPr>
          <w:rFonts w:ascii="Arial" w:hAnsi="Arial" w:cs="Arial"/>
          <w:sz w:val="24"/>
          <w:szCs w:val="24"/>
          <w:lang w:val="en-US"/>
        </w:rPr>
      </w:pPr>
      <w:r w:rsidRPr="00FE6F22">
        <w:rPr>
          <w:rFonts w:ascii="Arial" w:hAnsi="Arial" w:cs="Arial"/>
          <w:sz w:val="24"/>
          <w:szCs w:val="24"/>
        </w:rPr>
        <w:t>The capacity of easy Jet to orient in its external environment, and attain its strategy, is based on a collection of valuable, rare, and usually costly-to-replicate internal resources and capabilities, which could be assessed through the VRIO framework</w:t>
      </w:r>
      <w:r w:rsidR="00B70D5A" w:rsidRPr="00FE6F22">
        <w:rPr>
          <w:rFonts w:ascii="Arial" w:hAnsi="Arial" w:cs="Arial"/>
          <w:sz w:val="24"/>
          <w:szCs w:val="24"/>
          <w:lang w:val="en-US"/>
        </w:rPr>
        <w:t>.</w:t>
      </w:r>
    </w:p>
    <w:tbl>
      <w:tblPr>
        <w:tblW w:w="10355" w:type="dxa"/>
        <w:tblInd w:w="-27" w:type="dxa"/>
        <w:tblLook w:val="04A0" w:firstRow="1" w:lastRow="0" w:firstColumn="1" w:lastColumn="0" w:noHBand="0" w:noVBand="1"/>
      </w:tblPr>
      <w:tblGrid>
        <w:gridCol w:w="2806"/>
        <w:gridCol w:w="1350"/>
        <w:gridCol w:w="897"/>
        <w:gridCol w:w="1324"/>
        <w:gridCol w:w="1537"/>
        <w:gridCol w:w="2441"/>
      </w:tblGrid>
      <w:tr w:rsidR="00B70D5A" w:rsidRPr="00FE6F22" w14:paraId="40CE29F5" w14:textId="77777777" w:rsidTr="00E4524E">
        <w:trPr>
          <w:trHeight w:val="675"/>
        </w:trPr>
        <w:tc>
          <w:tcPr>
            <w:tcW w:w="2829" w:type="dxa"/>
            <w:tcBorders>
              <w:top w:val="single" w:sz="4" w:space="0" w:color="auto"/>
              <w:left w:val="single" w:sz="4" w:space="0" w:color="auto"/>
              <w:bottom w:val="double" w:sz="6" w:space="0" w:color="auto"/>
              <w:right w:val="single" w:sz="4" w:space="0" w:color="auto"/>
            </w:tcBorders>
            <w:shd w:val="clear" w:color="000000" w:fill="9BBB59"/>
            <w:vAlign w:val="center"/>
            <w:hideMark/>
          </w:tcPr>
          <w:p w14:paraId="7CC15F4E" w14:textId="77777777" w:rsidR="00B70D5A" w:rsidRPr="00FE6F22" w:rsidRDefault="00B70D5A" w:rsidP="00FE6F22">
            <w:pPr>
              <w:spacing w:after="0" w:line="360" w:lineRule="auto"/>
              <w:ind w:firstLineChars="100" w:firstLine="241"/>
              <w:rPr>
                <w:rFonts w:ascii="Arial" w:eastAsia="Times New Roman" w:hAnsi="Arial" w:cs="Arial"/>
                <w:b/>
                <w:bCs/>
                <w:color w:val="1F497D"/>
                <w:sz w:val="24"/>
                <w:szCs w:val="24"/>
                <w:lang w:val="en-US"/>
              </w:rPr>
            </w:pPr>
            <w:r w:rsidRPr="00FE6F22">
              <w:rPr>
                <w:rFonts w:ascii="Arial" w:eastAsia="Times New Roman" w:hAnsi="Arial" w:cs="Arial"/>
                <w:b/>
                <w:bCs/>
                <w:color w:val="1F497D"/>
                <w:sz w:val="24"/>
                <w:szCs w:val="24"/>
                <w:lang w:val="en-US"/>
              </w:rPr>
              <w:t>Resource/Capability</w:t>
            </w:r>
          </w:p>
        </w:tc>
        <w:tc>
          <w:tcPr>
            <w:tcW w:w="1192" w:type="dxa"/>
            <w:tcBorders>
              <w:top w:val="single" w:sz="4" w:space="0" w:color="auto"/>
              <w:left w:val="nil"/>
              <w:bottom w:val="double" w:sz="6" w:space="0" w:color="auto"/>
              <w:right w:val="single" w:sz="4" w:space="0" w:color="auto"/>
            </w:tcBorders>
            <w:shd w:val="clear" w:color="000000" w:fill="9BBB59"/>
            <w:vAlign w:val="center"/>
            <w:hideMark/>
          </w:tcPr>
          <w:p w14:paraId="217238B6" w14:textId="77777777" w:rsidR="00B70D5A" w:rsidRPr="00FE6F22" w:rsidRDefault="00B70D5A" w:rsidP="00FE6F22">
            <w:pPr>
              <w:spacing w:after="0" w:line="360" w:lineRule="auto"/>
              <w:rPr>
                <w:rFonts w:ascii="Arial" w:eastAsia="Times New Roman" w:hAnsi="Arial" w:cs="Arial"/>
                <w:b/>
                <w:bCs/>
                <w:color w:val="1F497D"/>
                <w:sz w:val="24"/>
                <w:szCs w:val="24"/>
                <w:lang w:val="en-US"/>
              </w:rPr>
            </w:pPr>
            <w:r w:rsidRPr="00FE6F22">
              <w:rPr>
                <w:rFonts w:ascii="Arial" w:eastAsia="Times New Roman" w:hAnsi="Arial" w:cs="Arial"/>
                <w:b/>
                <w:bCs/>
                <w:color w:val="1F497D"/>
                <w:sz w:val="24"/>
                <w:szCs w:val="24"/>
                <w:lang w:val="en-US"/>
              </w:rPr>
              <w:t>Valuable?</w:t>
            </w:r>
          </w:p>
        </w:tc>
        <w:tc>
          <w:tcPr>
            <w:tcW w:w="791" w:type="dxa"/>
            <w:tcBorders>
              <w:top w:val="single" w:sz="4" w:space="0" w:color="auto"/>
              <w:left w:val="nil"/>
              <w:bottom w:val="double" w:sz="6" w:space="0" w:color="auto"/>
              <w:right w:val="single" w:sz="4" w:space="0" w:color="auto"/>
            </w:tcBorders>
            <w:shd w:val="clear" w:color="000000" w:fill="9BBB59"/>
            <w:vAlign w:val="center"/>
            <w:hideMark/>
          </w:tcPr>
          <w:p w14:paraId="35F674F6" w14:textId="77777777" w:rsidR="00B70D5A" w:rsidRPr="00FE6F22" w:rsidRDefault="00B70D5A" w:rsidP="00FE6F22">
            <w:pPr>
              <w:spacing w:after="0" w:line="360" w:lineRule="auto"/>
              <w:rPr>
                <w:rFonts w:ascii="Arial" w:eastAsia="Times New Roman" w:hAnsi="Arial" w:cs="Arial"/>
                <w:b/>
                <w:bCs/>
                <w:color w:val="1F497D"/>
                <w:sz w:val="24"/>
                <w:szCs w:val="24"/>
                <w:lang w:val="en-US"/>
              </w:rPr>
            </w:pPr>
            <w:r w:rsidRPr="00FE6F22">
              <w:rPr>
                <w:rFonts w:ascii="Arial" w:eastAsia="Times New Roman" w:hAnsi="Arial" w:cs="Arial"/>
                <w:b/>
                <w:bCs/>
                <w:color w:val="1F497D"/>
                <w:sz w:val="24"/>
                <w:szCs w:val="24"/>
                <w:lang w:val="en-US"/>
              </w:rPr>
              <w:t>Rare?</w:t>
            </w:r>
          </w:p>
        </w:tc>
        <w:tc>
          <w:tcPr>
            <w:tcW w:w="1270" w:type="dxa"/>
            <w:tcBorders>
              <w:top w:val="single" w:sz="4" w:space="0" w:color="auto"/>
              <w:left w:val="nil"/>
              <w:bottom w:val="double" w:sz="6" w:space="0" w:color="auto"/>
              <w:right w:val="single" w:sz="4" w:space="0" w:color="auto"/>
            </w:tcBorders>
            <w:shd w:val="clear" w:color="000000" w:fill="9BBB59"/>
            <w:vAlign w:val="center"/>
            <w:hideMark/>
          </w:tcPr>
          <w:p w14:paraId="4AF1C8D9" w14:textId="77777777" w:rsidR="00B70D5A" w:rsidRPr="00FE6F22" w:rsidRDefault="00B70D5A" w:rsidP="00FE6F22">
            <w:pPr>
              <w:spacing w:after="0" w:line="360" w:lineRule="auto"/>
              <w:rPr>
                <w:rFonts w:ascii="Arial" w:eastAsia="Times New Roman" w:hAnsi="Arial" w:cs="Arial"/>
                <w:b/>
                <w:bCs/>
                <w:color w:val="1F497D"/>
                <w:sz w:val="24"/>
                <w:szCs w:val="24"/>
                <w:lang w:val="en-US"/>
              </w:rPr>
            </w:pPr>
            <w:r w:rsidRPr="00FE6F22">
              <w:rPr>
                <w:rFonts w:ascii="Arial" w:eastAsia="Times New Roman" w:hAnsi="Arial" w:cs="Arial"/>
                <w:b/>
                <w:bCs/>
                <w:color w:val="1F497D"/>
                <w:sz w:val="24"/>
                <w:szCs w:val="24"/>
                <w:lang w:val="en-US"/>
              </w:rPr>
              <w:t>Imitable?</w:t>
            </w:r>
          </w:p>
        </w:tc>
        <w:tc>
          <w:tcPr>
            <w:tcW w:w="1348" w:type="dxa"/>
            <w:tcBorders>
              <w:top w:val="single" w:sz="4" w:space="0" w:color="auto"/>
              <w:left w:val="nil"/>
              <w:bottom w:val="double" w:sz="6" w:space="0" w:color="auto"/>
              <w:right w:val="single" w:sz="4" w:space="0" w:color="auto"/>
            </w:tcBorders>
            <w:shd w:val="clear" w:color="000000" w:fill="9BBB59"/>
            <w:vAlign w:val="center"/>
            <w:hideMark/>
          </w:tcPr>
          <w:p w14:paraId="38B3119D" w14:textId="77777777" w:rsidR="00B70D5A" w:rsidRPr="00FE6F22" w:rsidRDefault="0018043A" w:rsidP="00FE6F22">
            <w:pPr>
              <w:spacing w:after="0" w:line="360" w:lineRule="auto"/>
              <w:rPr>
                <w:rFonts w:ascii="Arial" w:eastAsia="Times New Roman" w:hAnsi="Arial" w:cs="Arial"/>
                <w:b/>
                <w:bCs/>
                <w:color w:val="1F497D"/>
                <w:sz w:val="24"/>
                <w:szCs w:val="24"/>
                <w:lang w:val="en-US"/>
              </w:rPr>
            </w:pPr>
            <w:r w:rsidRPr="00FE6F22">
              <w:rPr>
                <w:rFonts w:ascii="Arial" w:eastAsia="Times New Roman" w:hAnsi="Arial" w:cs="Arial"/>
                <w:b/>
                <w:bCs/>
                <w:color w:val="1F497D"/>
                <w:sz w:val="24"/>
                <w:szCs w:val="24"/>
                <w:lang w:val="en-US"/>
              </w:rPr>
              <w:t>Organiz</w:t>
            </w:r>
            <w:r w:rsidR="00B70D5A" w:rsidRPr="00FE6F22">
              <w:rPr>
                <w:rFonts w:ascii="Arial" w:eastAsia="Times New Roman" w:hAnsi="Arial" w:cs="Arial"/>
                <w:b/>
                <w:bCs/>
                <w:color w:val="1F497D"/>
                <w:sz w:val="24"/>
                <w:szCs w:val="24"/>
                <w:lang w:val="en-US"/>
              </w:rPr>
              <w:t>ed?</w:t>
            </w:r>
          </w:p>
        </w:tc>
        <w:tc>
          <w:tcPr>
            <w:tcW w:w="2925" w:type="dxa"/>
            <w:tcBorders>
              <w:top w:val="single" w:sz="4" w:space="0" w:color="auto"/>
              <w:left w:val="nil"/>
              <w:bottom w:val="double" w:sz="6" w:space="0" w:color="auto"/>
              <w:right w:val="single" w:sz="4" w:space="0" w:color="auto"/>
            </w:tcBorders>
            <w:shd w:val="clear" w:color="000000" w:fill="9BBB59"/>
            <w:vAlign w:val="center"/>
            <w:hideMark/>
          </w:tcPr>
          <w:p w14:paraId="48B77346" w14:textId="77777777" w:rsidR="00B70D5A" w:rsidRPr="00FE6F22" w:rsidRDefault="00B70D5A" w:rsidP="00FE6F22">
            <w:pPr>
              <w:spacing w:after="0" w:line="360" w:lineRule="auto"/>
              <w:rPr>
                <w:rFonts w:ascii="Arial" w:eastAsia="Times New Roman" w:hAnsi="Arial" w:cs="Arial"/>
                <w:b/>
                <w:bCs/>
                <w:color w:val="1F497D"/>
                <w:sz w:val="24"/>
                <w:szCs w:val="24"/>
                <w:lang w:val="en-US"/>
              </w:rPr>
            </w:pPr>
            <w:r w:rsidRPr="00FE6F22">
              <w:rPr>
                <w:rFonts w:ascii="Arial" w:eastAsia="Times New Roman" w:hAnsi="Arial" w:cs="Arial"/>
                <w:b/>
                <w:bCs/>
                <w:color w:val="1F497D"/>
                <w:sz w:val="24"/>
                <w:szCs w:val="24"/>
                <w:lang w:val="en-US"/>
              </w:rPr>
              <w:t>Competitive Implication</w:t>
            </w:r>
          </w:p>
        </w:tc>
      </w:tr>
      <w:tr w:rsidR="00B70D5A" w:rsidRPr="00FE6F22" w14:paraId="333D5425" w14:textId="77777777" w:rsidTr="00E4524E">
        <w:trPr>
          <w:trHeight w:val="675"/>
        </w:trPr>
        <w:tc>
          <w:tcPr>
            <w:tcW w:w="2829" w:type="dxa"/>
            <w:tcBorders>
              <w:top w:val="nil"/>
              <w:left w:val="single" w:sz="4" w:space="0" w:color="auto"/>
              <w:bottom w:val="single" w:sz="4" w:space="0" w:color="auto"/>
              <w:right w:val="single" w:sz="4" w:space="0" w:color="auto"/>
            </w:tcBorders>
            <w:shd w:val="clear" w:color="000000" w:fill="FFFFFF"/>
            <w:vAlign w:val="center"/>
            <w:hideMark/>
          </w:tcPr>
          <w:p w14:paraId="402C7A90" w14:textId="77777777" w:rsidR="00B70D5A" w:rsidRPr="00FE6F22" w:rsidRDefault="00B70D5A" w:rsidP="00FE6F22">
            <w:pPr>
              <w:spacing w:after="0" w:line="360" w:lineRule="auto"/>
              <w:rPr>
                <w:rFonts w:ascii="Arial" w:eastAsia="Times New Roman" w:hAnsi="Arial" w:cs="Arial"/>
                <w:color w:val="0F1115"/>
                <w:sz w:val="24"/>
                <w:szCs w:val="24"/>
                <w:lang w:val="en-US"/>
              </w:rPr>
            </w:pPr>
            <w:r w:rsidRPr="00FE6F22">
              <w:rPr>
                <w:rFonts w:ascii="Arial" w:eastAsia="Times New Roman" w:hAnsi="Arial" w:cs="Arial"/>
                <w:color w:val="0F1115"/>
                <w:sz w:val="24"/>
                <w:szCs w:val="24"/>
                <w:lang w:val="en-US"/>
              </w:rPr>
              <w:t>Fleet &amp; Slot Portfolio</w:t>
            </w:r>
          </w:p>
        </w:tc>
        <w:tc>
          <w:tcPr>
            <w:tcW w:w="1192" w:type="dxa"/>
            <w:tcBorders>
              <w:top w:val="nil"/>
              <w:left w:val="nil"/>
              <w:bottom w:val="single" w:sz="4" w:space="0" w:color="auto"/>
              <w:right w:val="single" w:sz="4" w:space="0" w:color="auto"/>
            </w:tcBorders>
            <w:shd w:val="clear" w:color="000000" w:fill="FFFFFF"/>
            <w:vAlign w:val="center"/>
            <w:hideMark/>
          </w:tcPr>
          <w:p w14:paraId="0566C8FF" w14:textId="77777777" w:rsidR="00B70D5A" w:rsidRPr="00FE6F22" w:rsidRDefault="00B70D5A" w:rsidP="00FE6F22">
            <w:pPr>
              <w:spacing w:after="0" w:line="360" w:lineRule="auto"/>
              <w:ind w:firstLineChars="100" w:firstLine="240"/>
              <w:rPr>
                <w:rFonts w:ascii="Arial" w:eastAsia="Times New Roman" w:hAnsi="Arial" w:cs="Arial"/>
                <w:color w:val="0F1115"/>
                <w:sz w:val="24"/>
                <w:szCs w:val="24"/>
                <w:lang w:val="en-US"/>
              </w:rPr>
            </w:pPr>
            <w:r w:rsidRPr="00FE6F22">
              <w:rPr>
                <w:rFonts w:ascii="Arial" w:eastAsia="Times New Roman" w:hAnsi="Arial" w:cs="Arial"/>
                <w:color w:val="0F1115"/>
                <w:sz w:val="24"/>
                <w:szCs w:val="24"/>
                <w:lang w:val="en-US"/>
              </w:rPr>
              <w:t>Yes</w:t>
            </w:r>
          </w:p>
        </w:tc>
        <w:tc>
          <w:tcPr>
            <w:tcW w:w="791" w:type="dxa"/>
            <w:tcBorders>
              <w:top w:val="nil"/>
              <w:left w:val="nil"/>
              <w:bottom w:val="single" w:sz="4" w:space="0" w:color="auto"/>
              <w:right w:val="single" w:sz="4" w:space="0" w:color="auto"/>
            </w:tcBorders>
            <w:shd w:val="clear" w:color="000000" w:fill="FFFFFF"/>
            <w:vAlign w:val="center"/>
            <w:hideMark/>
          </w:tcPr>
          <w:p w14:paraId="53399A94" w14:textId="77777777" w:rsidR="00B70D5A" w:rsidRPr="00FE6F22" w:rsidRDefault="00B70D5A" w:rsidP="00FE6F22">
            <w:pPr>
              <w:spacing w:after="0" w:line="360" w:lineRule="auto"/>
              <w:ind w:firstLineChars="100" w:firstLine="240"/>
              <w:rPr>
                <w:rFonts w:ascii="Arial" w:eastAsia="Times New Roman" w:hAnsi="Arial" w:cs="Arial"/>
                <w:color w:val="0F1115"/>
                <w:sz w:val="24"/>
                <w:szCs w:val="24"/>
                <w:lang w:val="en-US"/>
              </w:rPr>
            </w:pPr>
            <w:r w:rsidRPr="00FE6F22">
              <w:rPr>
                <w:rFonts w:ascii="Arial" w:eastAsia="Times New Roman" w:hAnsi="Arial" w:cs="Arial"/>
                <w:color w:val="0F1115"/>
                <w:sz w:val="24"/>
                <w:szCs w:val="24"/>
                <w:lang w:val="en-US"/>
              </w:rPr>
              <w:t>Yes</w:t>
            </w:r>
          </w:p>
        </w:tc>
        <w:tc>
          <w:tcPr>
            <w:tcW w:w="1270" w:type="dxa"/>
            <w:tcBorders>
              <w:top w:val="nil"/>
              <w:left w:val="nil"/>
              <w:bottom w:val="single" w:sz="4" w:space="0" w:color="auto"/>
              <w:right w:val="single" w:sz="4" w:space="0" w:color="auto"/>
            </w:tcBorders>
            <w:shd w:val="clear" w:color="000000" w:fill="FFFFFF"/>
            <w:vAlign w:val="center"/>
            <w:hideMark/>
          </w:tcPr>
          <w:p w14:paraId="63EC0597" w14:textId="77777777" w:rsidR="00B70D5A" w:rsidRPr="00FE6F22" w:rsidRDefault="00B70D5A" w:rsidP="00FE6F22">
            <w:pPr>
              <w:spacing w:after="0" w:line="360" w:lineRule="auto"/>
              <w:ind w:firstLineChars="100" w:firstLine="240"/>
              <w:rPr>
                <w:rFonts w:ascii="Arial" w:eastAsia="Times New Roman" w:hAnsi="Arial" w:cs="Arial"/>
                <w:color w:val="0F1115"/>
                <w:sz w:val="24"/>
                <w:szCs w:val="24"/>
                <w:lang w:val="en-US"/>
              </w:rPr>
            </w:pPr>
            <w:r w:rsidRPr="00FE6F22">
              <w:rPr>
                <w:rFonts w:ascii="Arial" w:eastAsia="Times New Roman" w:hAnsi="Arial" w:cs="Arial"/>
                <w:color w:val="0F1115"/>
                <w:sz w:val="24"/>
                <w:szCs w:val="24"/>
                <w:lang w:val="en-US"/>
              </w:rPr>
              <w:t>No</w:t>
            </w:r>
          </w:p>
        </w:tc>
        <w:tc>
          <w:tcPr>
            <w:tcW w:w="1348" w:type="dxa"/>
            <w:tcBorders>
              <w:top w:val="nil"/>
              <w:left w:val="nil"/>
              <w:bottom w:val="single" w:sz="4" w:space="0" w:color="auto"/>
              <w:right w:val="single" w:sz="4" w:space="0" w:color="auto"/>
            </w:tcBorders>
            <w:shd w:val="clear" w:color="000000" w:fill="FFFFFF"/>
            <w:vAlign w:val="center"/>
            <w:hideMark/>
          </w:tcPr>
          <w:p w14:paraId="709F6C49" w14:textId="77777777" w:rsidR="00B70D5A" w:rsidRPr="00FE6F22" w:rsidRDefault="00B70D5A" w:rsidP="00FE6F22">
            <w:pPr>
              <w:spacing w:after="0" w:line="360" w:lineRule="auto"/>
              <w:ind w:firstLineChars="100" w:firstLine="240"/>
              <w:rPr>
                <w:rFonts w:ascii="Arial" w:eastAsia="Times New Roman" w:hAnsi="Arial" w:cs="Arial"/>
                <w:color w:val="0F1115"/>
                <w:sz w:val="24"/>
                <w:szCs w:val="24"/>
                <w:lang w:val="en-US"/>
              </w:rPr>
            </w:pPr>
            <w:r w:rsidRPr="00FE6F22">
              <w:rPr>
                <w:rFonts w:ascii="Arial" w:eastAsia="Times New Roman" w:hAnsi="Arial" w:cs="Arial"/>
                <w:color w:val="0F1115"/>
                <w:sz w:val="24"/>
                <w:szCs w:val="24"/>
                <w:lang w:val="en-US"/>
              </w:rPr>
              <w:t>Yes</w:t>
            </w:r>
          </w:p>
        </w:tc>
        <w:tc>
          <w:tcPr>
            <w:tcW w:w="2925" w:type="dxa"/>
            <w:tcBorders>
              <w:top w:val="nil"/>
              <w:left w:val="nil"/>
              <w:bottom w:val="single" w:sz="4" w:space="0" w:color="auto"/>
              <w:right w:val="single" w:sz="4" w:space="0" w:color="auto"/>
            </w:tcBorders>
            <w:shd w:val="clear" w:color="000000" w:fill="FFFFFF"/>
            <w:vAlign w:val="center"/>
            <w:hideMark/>
          </w:tcPr>
          <w:p w14:paraId="2F0A2515" w14:textId="77777777" w:rsidR="00B70D5A" w:rsidRPr="00FE6F22" w:rsidRDefault="00B70D5A" w:rsidP="00FE6F22">
            <w:pPr>
              <w:spacing w:after="0" w:line="360" w:lineRule="auto"/>
              <w:rPr>
                <w:rFonts w:ascii="Arial" w:eastAsia="Times New Roman" w:hAnsi="Arial" w:cs="Arial"/>
                <w:color w:val="0F1115"/>
                <w:sz w:val="24"/>
                <w:szCs w:val="24"/>
                <w:lang w:val="en-US"/>
              </w:rPr>
            </w:pPr>
            <w:r w:rsidRPr="00FE6F22">
              <w:rPr>
                <w:rFonts w:ascii="Arial" w:eastAsia="Times New Roman" w:hAnsi="Arial" w:cs="Arial"/>
                <w:color w:val="0F1115"/>
                <w:sz w:val="24"/>
                <w:szCs w:val="24"/>
                <w:lang w:val="en-US"/>
              </w:rPr>
              <w:t>Sustainable Competitive Advantage</w:t>
            </w:r>
          </w:p>
        </w:tc>
      </w:tr>
      <w:tr w:rsidR="00B70D5A" w:rsidRPr="00FE6F22" w14:paraId="228A1A65" w14:textId="77777777" w:rsidTr="00E4524E">
        <w:trPr>
          <w:trHeight w:val="660"/>
        </w:trPr>
        <w:tc>
          <w:tcPr>
            <w:tcW w:w="2829" w:type="dxa"/>
            <w:tcBorders>
              <w:top w:val="nil"/>
              <w:left w:val="single" w:sz="4" w:space="0" w:color="auto"/>
              <w:bottom w:val="single" w:sz="4" w:space="0" w:color="auto"/>
              <w:right w:val="single" w:sz="4" w:space="0" w:color="auto"/>
            </w:tcBorders>
            <w:shd w:val="clear" w:color="000000" w:fill="FFFFFF"/>
            <w:vAlign w:val="center"/>
            <w:hideMark/>
          </w:tcPr>
          <w:p w14:paraId="52D1EE26" w14:textId="77777777" w:rsidR="00B70D5A" w:rsidRPr="00FE6F22" w:rsidRDefault="00B70D5A" w:rsidP="00FE6F22">
            <w:pPr>
              <w:spacing w:after="0" w:line="360" w:lineRule="auto"/>
              <w:rPr>
                <w:rFonts w:ascii="Arial" w:eastAsia="Times New Roman" w:hAnsi="Arial" w:cs="Arial"/>
                <w:color w:val="0F1115"/>
                <w:sz w:val="24"/>
                <w:szCs w:val="24"/>
                <w:lang w:val="en-US"/>
              </w:rPr>
            </w:pPr>
            <w:r w:rsidRPr="00FE6F22">
              <w:rPr>
                <w:rFonts w:ascii="Arial" w:eastAsia="Times New Roman" w:hAnsi="Arial" w:cs="Arial"/>
                <w:color w:val="0F1115"/>
                <w:sz w:val="24"/>
                <w:szCs w:val="24"/>
                <w:lang w:val="en-US"/>
              </w:rPr>
              <w:t>Brand &amp; Customer Loyalty</w:t>
            </w:r>
          </w:p>
        </w:tc>
        <w:tc>
          <w:tcPr>
            <w:tcW w:w="1192" w:type="dxa"/>
            <w:tcBorders>
              <w:top w:val="nil"/>
              <w:left w:val="nil"/>
              <w:bottom w:val="single" w:sz="4" w:space="0" w:color="auto"/>
              <w:right w:val="single" w:sz="4" w:space="0" w:color="auto"/>
            </w:tcBorders>
            <w:shd w:val="clear" w:color="000000" w:fill="FFFFFF"/>
            <w:vAlign w:val="center"/>
            <w:hideMark/>
          </w:tcPr>
          <w:p w14:paraId="5AAA186C" w14:textId="77777777" w:rsidR="00B70D5A" w:rsidRPr="00FE6F22" w:rsidRDefault="00B70D5A" w:rsidP="00FE6F22">
            <w:pPr>
              <w:spacing w:after="0" w:line="360" w:lineRule="auto"/>
              <w:ind w:firstLineChars="100" w:firstLine="240"/>
              <w:rPr>
                <w:rFonts w:ascii="Arial" w:eastAsia="Times New Roman" w:hAnsi="Arial" w:cs="Arial"/>
                <w:color w:val="0F1115"/>
                <w:sz w:val="24"/>
                <w:szCs w:val="24"/>
                <w:lang w:val="en-US"/>
              </w:rPr>
            </w:pPr>
            <w:r w:rsidRPr="00FE6F22">
              <w:rPr>
                <w:rFonts w:ascii="Arial" w:eastAsia="Times New Roman" w:hAnsi="Arial" w:cs="Arial"/>
                <w:color w:val="0F1115"/>
                <w:sz w:val="24"/>
                <w:szCs w:val="24"/>
                <w:lang w:val="en-US"/>
              </w:rPr>
              <w:t>Yes</w:t>
            </w:r>
          </w:p>
        </w:tc>
        <w:tc>
          <w:tcPr>
            <w:tcW w:w="791" w:type="dxa"/>
            <w:tcBorders>
              <w:top w:val="nil"/>
              <w:left w:val="nil"/>
              <w:bottom w:val="single" w:sz="4" w:space="0" w:color="auto"/>
              <w:right w:val="single" w:sz="4" w:space="0" w:color="auto"/>
            </w:tcBorders>
            <w:shd w:val="clear" w:color="000000" w:fill="FFFFFF"/>
            <w:vAlign w:val="center"/>
            <w:hideMark/>
          </w:tcPr>
          <w:p w14:paraId="4A77C14C" w14:textId="77777777" w:rsidR="00B70D5A" w:rsidRPr="00FE6F22" w:rsidRDefault="00B70D5A" w:rsidP="00FE6F22">
            <w:pPr>
              <w:spacing w:after="0" w:line="360" w:lineRule="auto"/>
              <w:ind w:firstLineChars="100" w:firstLine="240"/>
              <w:rPr>
                <w:rFonts w:ascii="Arial" w:eastAsia="Times New Roman" w:hAnsi="Arial" w:cs="Arial"/>
                <w:color w:val="0F1115"/>
                <w:sz w:val="24"/>
                <w:szCs w:val="24"/>
                <w:lang w:val="en-US"/>
              </w:rPr>
            </w:pPr>
            <w:r w:rsidRPr="00FE6F22">
              <w:rPr>
                <w:rFonts w:ascii="Arial" w:eastAsia="Times New Roman" w:hAnsi="Arial" w:cs="Arial"/>
                <w:color w:val="0F1115"/>
                <w:sz w:val="24"/>
                <w:szCs w:val="24"/>
                <w:lang w:val="en-US"/>
              </w:rPr>
              <w:t>Yes</w:t>
            </w:r>
          </w:p>
        </w:tc>
        <w:tc>
          <w:tcPr>
            <w:tcW w:w="1270" w:type="dxa"/>
            <w:tcBorders>
              <w:top w:val="nil"/>
              <w:left w:val="nil"/>
              <w:bottom w:val="single" w:sz="4" w:space="0" w:color="auto"/>
              <w:right w:val="single" w:sz="4" w:space="0" w:color="auto"/>
            </w:tcBorders>
            <w:shd w:val="clear" w:color="000000" w:fill="FFFFFF"/>
            <w:vAlign w:val="center"/>
            <w:hideMark/>
          </w:tcPr>
          <w:p w14:paraId="6F3F672F" w14:textId="77777777" w:rsidR="00B70D5A" w:rsidRPr="00FE6F22" w:rsidRDefault="00B70D5A" w:rsidP="00FE6F22">
            <w:pPr>
              <w:spacing w:after="0" w:line="360" w:lineRule="auto"/>
              <w:ind w:firstLineChars="100" w:firstLine="240"/>
              <w:rPr>
                <w:rFonts w:ascii="Arial" w:eastAsia="Times New Roman" w:hAnsi="Arial" w:cs="Arial"/>
                <w:color w:val="0F1115"/>
                <w:sz w:val="24"/>
                <w:szCs w:val="24"/>
                <w:lang w:val="en-US"/>
              </w:rPr>
            </w:pPr>
            <w:r w:rsidRPr="00FE6F22">
              <w:rPr>
                <w:rFonts w:ascii="Arial" w:eastAsia="Times New Roman" w:hAnsi="Arial" w:cs="Arial"/>
                <w:color w:val="0F1115"/>
                <w:sz w:val="24"/>
                <w:szCs w:val="24"/>
                <w:lang w:val="en-US"/>
              </w:rPr>
              <w:t>Yes</w:t>
            </w:r>
          </w:p>
        </w:tc>
        <w:tc>
          <w:tcPr>
            <w:tcW w:w="1348" w:type="dxa"/>
            <w:tcBorders>
              <w:top w:val="nil"/>
              <w:left w:val="nil"/>
              <w:bottom w:val="single" w:sz="4" w:space="0" w:color="auto"/>
              <w:right w:val="single" w:sz="4" w:space="0" w:color="auto"/>
            </w:tcBorders>
            <w:shd w:val="clear" w:color="000000" w:fill="FFFFFF"/>
            <w:vAlign w:val="center"/>
            <w:hideMark/>
          </w:tcPr>
          <w:p w14:paraId="6E666976" w14:textId="77777777" w:rsidR="00B70D5A" w:rsidRPr="00FE6F22" w:rsidRDefault="00B70D5A" w:rsidP="00FE6F22">
            <w:pPr>
              <w:spacing w:after="0" w:line="360" w:lineRule="auto"/>
              <w:ind w:firstLineChars="100" w:firstLine="240"/>
              <w:rPr>
                <w:rFonts w:ascii="Arial" w:eastAsia="Times New Roman" w:hAnsi="Arial" w:cs="Arial"/>
                <w:color w:val="0F1115"/>
                <w:sz w:val="24"/>
                <w:szCs w:val="24"/>
                <w:lang w:val="en-US"/>
              </w:rPr>
            </w:pPr>
            <w:r w:rsidRPr="00FE6F22">
              <w:rPr>
                <w:rFonts w:ascii="Arial" w:eastAsia="Times New Roman" w:hAnsi="Arial" w:cs="Arial"/>
                <w:color w:val="0F1115"/>
                <w:sz w:val="24"/>
                <w:szCs w:val="24"/>
                <w:lang w:val="en-US"/>
              </w:rPr>
              <w:t>Yes</w:t>
            </w:r>
          </w:p>
        </w:tc>
        <w:tc>
          <w:tcPr>
            <w:tcW w:w="2925" w:type="dxa"/>
            <w:tcBorders>
              <w:top w:val="nil"/>
              <w:left w:val="nil"/>
              <w:bottom w:val="single" w:sz="4" w:space="0" w:color="auto"/>
              <w:right w:val="single" w:sz="4" w:space="0" w:color="auto"/>
            </w:tcBorders>
            <w:shd w:val="clear" w:color="000000" w:fill="FFFFFF"/>
            <w:vAlign w:val="center"/>
            <w:hideMark/>
          </w:tcPr>
          <w:p w14:paraId="69E8C994" w14:textId="77777777" w:rsidR="00B70D5A" w:rsidRPr="00FE6F22" w:rsidRDefault="00B70D5A" w:rsidP="00FE6F22">
            <w:pPr>
              <w:spacing w:after="0" w:line="360" w:lineRule="auto"/>
              <w:rPr>
                <w:rFonts w:ascii="Arial" w:eastAsia="Times New Roman" w:hAnsi="Arial" w:cs="Arial"/>
                <w:color w:val="0F1115"/>
                <w:sz w:val="24"/>
                <w:szCs w:val="24"/>
                <w:lang w:val="en-US"/>
              </w:rPr>
            </w:pPr>
            <w:r w:rsidRPr="00FE6F22">
              <w:rPr>
                <w:rFonts w:ascii="Arial" w:eastAsia="Times New Roman" w:hAnsi="Arial" w:cs="Arial"/>
                <w:color w:val="0F1115"/>
                <w:sz w:val="24"/>
                <w:szCs w:val="24"/>
                <w:lang w:val="en-US"/>
              </w:rPr>
              <w:t>Sustained Competitive Advantage</w:t>
            </w:r>
          </w:p>
        </w:tc>
      </w:tr>
      <w:tr w:rsidR="00B70D5A" w:rsidRPr="00FE6F22" w14:paraId="5CEB54F8" w14:textId="77777777" w:rsidTr="00E4524E">
        <w:trPr>
          <w:trHeight w:val="660"/>
        </w:trPr>
        <w:tc>
          <w:tcPr>
            <w:tcW w:w="2829" w:type="dxa"/>
            <w:tcBorders>
              <w:top w:val="nil"/>
              <w:left w:val="single" w:sz="4" w:space="0" w:color="auto"/>
              <w:bottom w:val="single" w:sz="4" w:space="0" w:color="auto"/>
              <w:right w:val="single" w:sz="4" w:space="0" w:color="auto"/>
            </w:tcBorders>
            <w:shd w:val="clear" w:color="000000" w:fill="FFFFFF"/>
            <w:vAlign w:val="center"/>
            <w:hideMark/>
          </w:tcPr>
          <w:p w14:paraId="27235030" w14:textId="77777777" w:rsidR="00B70D5A" w:rsidRPr="00FE6F22" w:rsidRDefault="00D861D2" w:rsidP="00FE6F22">
            <w:pPr>
              <w:spacing w:after="0" w:line="360" w:lineRule="auto"/>
              <w:rPr>
                <w:rFonts w:ascii="Arial" w:eastAsia="Times New Roman" w:hAnsi="Arial" w:cs="Arial"/>
                <w:color w:val="0F1115"/>
                <w:sz w:val="24"/>
                <w:szCs w:val="24"/>
                <w:lang w:val="en-US"/>
              </w:rPr>
            </w:pPr>
            <w:r w:rsidRPr="00FE6F22">
              <w:rPr>
                <w:rFonts w:ascii="Arial" w:eastAsia="Times New Roman" w:hAnsi="Arial" w:cs="Arial"/>
                <w:color w:val="0F1115"/>
                <w:sz w:val="24"/>
                <w:szCs w:val="24"/>
                <w:lang w:val="en-US"/>
              </w:rPr>
              <w:t>EasyJet</w:t>
            </w:r>
            <w:r w:rsidR="00B70D5A" w:rsidRPr="00FE6F22">
              <w:rPr>
                <w:rFonts w:ascii="Arial" w:eastAsia="Times New Roman" w:hAnsi="Arial" w:cs="Arial"/>
                <w:color w:val="0F1115"/>
                <w:sz w:val="24"/>
                <w:szCs w:val="24"/>
                <w:lang w:val="en-US"/>
              </w:rPr>
              <w:t xml:space="preserve"> Holidays Platform</w:t>
            </w:r>
          </w:p>
        </w:tc>
        <w:tc>
          <w:tcPr>
            <w:tcW w:w="1192" w:type="dxa"/>
            <w:tcBorders>
              <w:top w:val="nil"/>
              <w:left w:val="nil"/>
              <w:bottom w:val="single" w:sz="4" w:space="0" w:color="auto"/>
              <w:right w:val="single" w:sz="4" w:space="0" w:color="auto"/>
            </w:tcBorders>
            <w:shd w:val="clear" w:color="000000" w:fill="FFFFFF"/>
            <w:vAlign w:val="center"/>
            <w:hideMark/>
          </w:tcPr>
          <w:p w14:paraId="10C7FD75" w14:textId="77777777" w:rsidR="00B70D5A" w:rsidRPr="00FE6F22" w:rsidRDefault="00B70D5A" w:rsidP="00FE6F22">
            <w:pPr>
              <w:spacing w:after="0" w:line="360" w:lineRule="auto"/>
              <w:ind w:firstLineChars="100" w:firstLine="240"/>
              <w:rPr>
                <w:rFonts w:ascii="Arial" w:eastAsia="Times New Roman" w:hAnsi="Arial" w:cs="Arial"/>
                <w:color w:val="0F1115"/>
                <w:sz w:val="24"/>
                <w:szCs w:val="24"/>
                <w:lang w:val="en-US"/>
              </w:rPr>
            </w:pPr>
            <w:r w:rsidRPr="00FE6F22">
              <w:rPr>
                <w:rFonts w:ascii="Arial" w:eastAsia="Times New Roman" w:hAnsi="Arial" w:cs="Arial"/>
                <w:color w:val="0F1115"/>
                <w:sz w:val="24"/>
                <w:szCs w:val="24"/>
                <w:lang w:val="en-US"/>
              </w:rPr>
              <w:t>Yes</w:t>
            </w:r>
          </w:p>
        </w:tc>
        <w:tc>
          <w:tcPr>
            <w:tcW w:w="791" w:type="dxa"/>
            <w:tcBorders>
              <w:top w:val="nil"/>
              <w:left w:val="nil"/>
              <w:bottom w:val="single" w:sz="4" w:space="0" w:color="auto"/>
              <w:right w:val="single" w:sz="4" w:space="0" w:color="auto"/>
            </w:tcBorders>
            <w:shd w:val="clear" w:color="000000" w:fill="FFFFFF"/>
            <w:vAlign w:val="center"/>
            <w:hideMark/>
          </w:tcPr>
          <w:p w14:paraId="635337EF" w14:textId="77777777" w:rsidR="00B70D5A" w:rsidRPr="00FE6F22" w:rsidRDefault="00B70D5A" w:rsidP="00FE6F22">
            <w:pPr>
              <w:spacing w:after="0" w:line="360" w:lineRule="auto"/>
              <w:ind w:firstLineChars="100" w:firstLine="240"/>
              <w:rPr>
                <w:rFonts w:ascii="Arial" w:eastAsia="Times New Roman" w:hAnsi="Arial" w:cs="Arial"/>
                <w:color w:val="0F1115"/>
                <w:sz w:val="24"/>
                <w:szCs w:val="24"/>
                <w:lang w:val="en-US"/>
              </w:rPr>
            </w:pPr>
            <w:r w:rsidRPr="00FE6F22">
              <w:rPr>
                <w:rFonts w:ascii="Arial" w:eastAsia="Times New Roman" w:hAnsi="Arial" w:cs="Arial"/>
                <w:color w:val="0F1115"/>
                <w:sz w:val="24"/>
                <w:szCs w:val="24"/>
                <w:lang w:val="en-US"/>
              </w:rPr>
              <w:t>Yes</w:t>
            </w:r>
          </w:p>
        </w:tc>
        <w:tc>
          <w:tcPr>
            <w:tcW w:w="1270" w:type="dxa"/>
            <w:tcBorders>
              <w:top w:val="nil"/>
              <w:left w:val="nil"/>
              <w:bottom w:val="single" w:sz="4" w:space="0" w:color="auto"/>
              <w:right w:val="single" w:sz="4" w:space="0" w:color="auto"/>
            </w:tcBorders>
            <w:shd w:val="clear" w:color="000000" w:fill="FFFFFF"/>
            <w:vAlign w:val="center"/>
            <w:hideMark/>
          </w:tcPr>
          <w:p w14:paraId="0A95C224" w14:textId="77777777" w:rsidR="00B70D5A" w:rsidRPr="00FE6F22" w:rsidRDefault="00B70D5A" w:rsidP="00FE6F22">
            <w:pPr>
              <w:spacing w:after="0" w:line="360" w:lineRule="auto"/>
              <w:ind w:firstLineChars="100" w:firstLine="240"/>
              <w:rPr>
                <w:rFonts w:ascii="Arial" w:eastAsia="Times New Roman" w:hAnsi="Arial" w:cs="Arial"/>
                <w:color w:val="0F1115"/>
                <w:sz w:val="24"/>
                <w:szCs w:val="24"/>
                <w:lang w:val="en-US"/>
              </w:rPr>
            </w:pPr>
            <w:r w:rsidRPr="00FE6F22">
              <w:rPr>
                <w:rFonts w:ascii="Arial" w:eastAsia="Times New Roman" w:hAnsi="Arial" w:cs="Arial"/>
                <w:color w:val="0F1115"/>
                <w:sz w:val="24"/>
                <w:szCs w:val="24"/>
                <w:lang w:val="en-US"/>
              </w:rPr>
              <w:t>Yes</w:t>
            </w:r>
          </w:p>
        </w:tc>
        <w:tc>
          <w:tcPr>
            <w:tcW w:w="1348" w:type="dxa"/>
            <w:tcBorders>
              <w:top w:val="nil"/>
              <w:left w:val="nil"/>
              <w:bottom w:val="single" w:sz="4" w:space="0" w:color="auto"/>
              <w:right w:val="single" w:sz="4" w:space="0" w:color="auto"/>
            </w:tcBorders>
            <w:shd w:val="clear" w:color="000000" w:fill="FFFFFF"/>
            <w:vAlign w:val="center"/>
            <w:hideMark/>
          </w:tcPr>
          <w:p w14:paraId="2E458B4A" w14:textId="77777777" w:rsidR="00B70D5A" w:rsidRPr="00FE6F22" w:rsidRDefault="00B70D5A" w:rsidP="00FE6F22">
            <w:pPr>
              <w:spacing w:after="0" w:line="360" w:lineRule="auto"/>
              <w:ind w:firstLineChars="100" w:firstLine="240"/>
              <w:rPr>
                <w:rFonts w:ascii="Arial" w:eastAsia="Times New Roman" w:hAnsi="Arial" w:cs="Arial"/>
                <w:color w:val="0F1115"/>
                <w:sz w:val="24"/>
                <w:szCs w:val="24"/>
                <w:lang w:val="en-US"/>
              </w:rPr>
            </w:pPr>
            <w:r w:rsidRPr="00FE6F22">
              <w:rPr>
                <w:rFonts w:ascii="Arial" w:eastAsia="Times New Roman" w:hAnsi="Arial" w:cs="Arial"/>
                <w:color w:val="0F1115"/>
                <w:sz w:val="24"/>
                <w:szCs w:val="24"/>
                <w:lang w:val="en-US"/>
              </w:rPr>
              <w:t>Yes</w:t>
            </w:r>
          </w:p>
        </w:tc>
        <w:tc>
          <w:tcPr>
            <w:tcW w:w="2925" w:type="dxa"/>
            <w:tcBorders>
              <w:top w:val="nil"/>
              <w:left w:val="nil"/>
              <w:bottom w:val="single" w:sz="4" w:space="0" w:color="auto"/>
              <w:right w:val="single" w:sz="4" w:space="0" w:color="auto"/>
            </w:tcBorders>
            <w:shd w:val="clear" w:color="000000" w:fill="FFFFFF"/>
            <w:vAlign w:val="center"/>
            <w:hideMark/>
          </w:tcPr>
          <w:p w14:paraId="3CFD4FCE" w14:textId="77777777" w:rsidR="00B70D5A" w:rsidRPr="00FE6F22" w:rsidRDefault="00B70D5A" w:rsidP="00FE6F22">
            <w:pPr>
              <w:spacing w:after="0" w:line="360" w:lineRule="auto"/>
              <w:rPr>
                <w:rFonts w:ascii="Arial" w:eastAsia="Times New Roman" w:hAnsi="Arial" w:cs="Arial"/>
                <w:color w:val="0F1115"/>
                <w:sz w:val="24"/>
                <w:szCs w:val="24"/>
                <w:lang w:val="en-US"/>
              </w:rPr>
            </w:pPr>
            <w:r w:rsidRPr="00FE6F22">
              <w:rPr>
                <w:rFonts w:ascii="Arial" w:eastAsia="Times New Roman" w:hAnsi="Arial" w:cs="Arial"/>
                <w:color w:val="0F1115"/>
                <w:sz w:val="24"/>
                <w:szCs w:val="24"/>
                <w:lang w:val="en-US"/>
              </w:rPr>
              <w:t>Sustained Competitive Advantage</w:t>
            </w:r>
          </w:p>
        </w:tc>
      </w:tr>
      <w:tr w:rsidR="00B70D5A" w:rsidRPr="00FE6F22" w14:paraId="536CB9E5" w14:textId="77777777" w:rsidTr="00E4524E">
        <w:trPr>
          <w:trHeight w:val="660"/>
        </w:trPr>
        <w:tc>
          <w:tcPr>
            <w:tcW w:w="2829" w:type="dxa"/>
            <w:tcBorders>
              <w:top w:val="nil"/>
              <w:left w:val="single" w:sz="4" w:space="0" w:color="auto"/>
              <w:bottom w:val="single" w:sz="4" w:space="0" w:color="auto"/>
              <w:right w:val="single" w:sz="4" w:space="0" w:color="auto"/>
            </w:tcBorders>
            <w:shd w:val="clear" w:color="000000" w:fill="FFFFFF"/>
            <w:vAlign w:val="center"/>
            <w:hideMark/>
          </w:tcPr>
          <w:p w14:paraId="4B27A4B4" w14:textId="77777777" w:rsidR="00B70D5A" w:rsidRPr="00FE6F22" w:rsidRDefault="00B70D5A" w:rsidP="00FE6F22">
            <w:pPr>
              <w:spacing w:after="0" w:line="360" w:lineRule="auto"/>
              <w:rPr>
                <w:rFonts w:ascii="Arial" w:eastAsia="Times New Roman" w:hAnsi="Arial" w:cs="Arial"/>
                <w:color w:val="0F1115"/>
                <w:sz w:val="24"/>
                <w:szCs w:val="24"/>
                <w:lang w:val="en-US"/>
              </w:rPr>
            </w:pPr>
            <w:r w:rsidRPr="00FE6F22">
              <w:rPr>
                <w:rFonts w:ascii="Arial" w:eastAsia="Times New Roman" w:hAnsi="Arial" w:cs="Arial"/>
                <w:color w:val="0F1115"/>
                <w:sz w:val="24"/>
                <w:szCs w:val="24"/>
                <w:lang w:val="en-US"/>
              </w:rPr>
              <w:t>Data &amp; Revenue Management</w:t>
            </w:r>
          </w:p>
        </w:tc>
        <w:tc>
          <w:tcPr>
            <w:tcW w:w="1192" w:type="dxa"/>
            <w:tcBorders>
              <w:top w:val="nil"/>
              <w:left w:val="nil"/>
              <w:bottom w:val="single" w:sz="4" w:space="0" w:color="auto"/>
              <w:right w:val="single" w:sz="4" w:space="0" w:color="auto"/>
            </w:tcBorders>
            <w:shd w:val="clear" w:color="000000" w:fill="FFFFFF"/>
            <w:vAlign w:val="center"/>
            <w:hideMark/>
          </w:tcPr>
          <w:p w14:paraId="4AE67BD6" w14:textId="77777777" w:rsidR="00B70D5A" w:rsidRPr="00FE6F22" w:rsidRDefault="00B70D5A" w:rsidP="00FE6F22">
            <w:pPr>
              <w:spacing w:after="0" w:line="360" w:lineRule="auto"/>
              <w:ind w:firstLineChars="100" w:firstLine="240"/>
              <w:rPr>
                <w:rFonts w:ascii="Arial" w:eastAsia="Times New Roman" w:hAnsi="Arial" w:cs="Arial"/>
                <w:color w:val="0F1115"/>
                <w:sz w:val="24"/>
                <w:szCs w:val="24"/>
                <w:lang w:val="en-US"/>
              </w:rPr>
            </w:pPr>
            <w:r w:rsidRPr="00FE6F22">
              <w:rPr>
                <w:rFonts w:ascii="Arial" w:eastAsia="Times New Roman" w:hAnsi="Arial" w:cs="Arial"/>
                <w:color w:val="0F1115"/>
                <w:sz w:val="24"/>
                <w:szCs w:val="24"/>
                <w:lang w:val="en-US"/>
              </w:rPr>
              <w:t>Yes</w:t>
            </w:r>
          </w:p>
        </w:tc>
        <w:tc>
          <w:tcPr>
            <w:tcW w:w="791" w:type="dxa"/>
            <w:tcBorders>
              <w:top w:val="nil"/>
              <w:left w:val="nil"/>
              <w:bottom w:val="single" w:sz="4" w:space="0" w:color="auto"/>
              <w:right w:val="single" w:sz="4" w:space="0" w:color="auto"/>
            </w:tcBorders>
            <w:shd w:val="clear" w:color="000000" w:fill="FFFFFF"/>
            <w:vAlign w:val="center"/>
            <w:hideMark/>
          </w:tcPr>
          <w:p w14:paraId="0729908B" w14:textId="77777777" w:rsidR="00B70D5A" w:rsidRPr="00FE6F22" w:rsidRDefault="00B70D5A" w:rsidP="00FE6F22">
            <w:pPr>
              <w:spacing w:after="0" w:line="360" w:lineRule="auto"/>
              <w:ind w:firstLineChars="100" w:firstLine="240"/>
              <w:rPr>
                <w:rFonts w:ascii="Arial" w:eastAsia="Times New Roman" w:hAnsi="Arial" w:cs="Arial"/>
                <w:color w:val="0F1115"/>
                <w:sz w:val="24"/>
                <w:szCs w:val="24"/>
                <w:lang w:val="en-US"/>
              </w:rPr>
            </w:pPr>
            <w:r w:rsidRPr="00FE6F22">
              <w:rPr>
                <w:rFonts w:ascii="Arial" w:eastAsia="Times New Roman" w:hAnsi="Arial" w:cs="Arial"/>
                <w:color w:val="0F1115"/>
                <w:sz w:val="24"/>
                <w:szCs w:val="24"/>
                <w:lang w:val="en-US"/>
              </w:rPr>
              <w:t>Yes</w:t>
            </w:r>
          </w:p>
        </w:tc>
        <w:tc>
          <w:tcPr>
            <w:tcW w:w="1270" w:type="dxa"/>
            <w:tcBorders>
              <w:top w:val="nil"/>
              <w:left w:val="nil"/>
              <w:bottom w:val="single" w:sz="4" w:space="0" w:color="auto"/>
              <w:right w:val="single" w:sz="4" w:space="0" w:color="auto"/>
            </w:tcBorders>
            <w:shd w:val="clear" w:color="000000" w:fill="FFFFFF"/>
            <w:vAlign w:val="center"/>
            <w:hideMark/>
          </w:tcPr>
          <w:p w14:paraId="609AE921" w14:textId="77777777" w:rsidR="00B70D5A" w:rsidRPr="00FE6F22" w:rsidRDefault="00B70D5A" w:rsidP="00FE6F22">
            <w:pPr>
              <w:spacing w:after="0" w:line="360" w:lineRule="auto"/>
              <w:rPr>
                <w:rFonts w:ascii="Arial" w:eastAsia="Times New Roman" w:hAnsi="Arial" w:cs="Arial"/>
                <w:color w:val="0F1115"/>
                <w:sz w:val="24"/>
                <w:szCs w:val="24"/>
                <w:lang w:val="en-US"/>
              </w:rPr>
            </w:pPr>
            <w:r w:rsidRPr="00FE6F22">
              <w:rPr>
                <w:rFonts w:ascii="Arial" w:eastAsia="Times New Roman" w:hAnsi="Arial" w:cs="Arial"/>
                <w:color w:val="0F1115"/>
                <w:sz w:val="24"/>
                <w:szCs w:val="24"/>
                <w:lang w:val="en-US"/>
              </w:rPr>
              <w:t>Potentially</w:t>
            </w:r>
          </w:p>
        </w:tc>
        <w:tc>
          <w:tcPr>
            <w:tcW w:w="1348" w:type="dxa"/>
            <w:tcBorders>
              <w:top w:val="nil"/>
              <w:left w:val="nil"/>
              <w:bottom w:val="single" w:sz="4" w:space="0" w:color="auto"/>
              <w:right w:val="single" w:sz="4" w:space="0" w:color="auto"/>
            </w:tcBorders>
            <w:shd w:val="clear" w:color="000000" w:fill="FFFFFF"/>
            <w:vAlign w:val="center"/>
            <w:hideMark/>
          </w:tcPr>
          <w:p w14:paraId="31EE7F84" w14:textId="77777777" w:rsidR="00B70D5A" w:rsidRPr="00FE6F22" w:rsidRDefault="00B70D5A" w:rsidP="00FE6F22">
            <w:pPr>
              <w:spacing w:after="0" w:line="360" w:lineRule="auto"/>
              <w:ind w:firstLineChars="100" w:firstLine="240"/>
              <w:rPr>
                <w:rFonts w:ascii="Arial" w:eastAsia="Times New Roman" w:hAnsi="Arial" w:cs="Arial"/>
                <w:color w:val="0F1115"/>
                <w:sz w:val="24"/>
                <w:szCs w:val="24"/>
                <w:lang w:val="en-US"/>
              </w:rPr>
            </w:pPr>
            <w:r w:rsidRPr="00FE6F22">
              <w:rPr>
                <w:rFonts w:ascii="Arial" w:eastAsia="Times New Roman" w:hAnsi="Arial" w:cs="Arial"/>
                <w:color w:val="0F1115"/>
                <w:sz w:val="24"/>
                <w:szCs w:val="24"/>
                <w:lang w:val="en-US"/>
              </w:rPr>
              <w:t>Yes</w:t>
            </w:r>
          </w:p>
        </w:tc>
        <w:tc>
          <w:tcPr>
            <w:tcW w:w="2925" w:type="dxa"/>
            <w:tcBorders>
              <w:top w:val="nil"/>
              <w:left w:val="nil"/>
              <w:bottom w:val="single" w:sz="4" w:space="0" w:color="auto"/>
              <w:right w:val="single" w:sz="4" w:space="0" w:color="auto"/>
            </w:tcBorders>
            <w:shd w:val="clear" w:color="000000" w:fill="FFFFFF"/>
            <w:vAlign w:val="center"/>
            <w:hideMark/>
          </w:tcPr>
          <w:p w14:paraId="259EAD57" w14:textId="77777777" w:rsidR="00B70D5A" w:rsidRPr="00FE6F22" w:rsidRDefault="00B70D5A" w:rsidP="00FE6F22">
            <w:pPr>
              <w:spacing w:after="0" w:line="360" w:lineRule="auto"/>
              <w:rPr>
                <w:rFonts w:ascii="Arial" w:eastAsia="Times New Roman" w:hAnsi="Arial" w:cs="Arial"/>
                <w:color w:val="0F1115"/>
                <w:sz w:val="24"/>
                <w:szCs w:val="24"/>
                <w:lang w:val="en-US"/>
              </w:rPr>
            </w:pPr>
            <w:r w:rsidRPr="00FE6F22">
              <w:rPr>
                <w:rFonts w:ascii="Arial" w:eastAsia="Times New Roman" w:hAnsi="Arial" w:cs="Arial"/>
                <w:color w:val="0F1115"/>
                <w:sz w:val="24"/>
                <w:szCs w:val="24"/>
                <w:lang w:val="en-US"/>
              </w:rPr>
              <w:t>Temporary Competitive Advantage</w:t>
            </w:r>
          </w:p>
        </w:tc>
      </w:tr>
      <w:tr w:rsidR="00B70D5A" w:rsidRPr="00FE6F22" w14:paraId="42EDD95F" w14:textId="77777777" w:rsidTr="00E4524E">
        <w:trPr>
          <w:trHeight w:val="675"/>
        </w:trPr>
        <w:tc>
          <w:tcPr>
            <w:tcW w:w="2829" w:type="dxa"/>
            <w:tcBorders>
              <w:top w:val="nil"/>
              <w:left w:val="single" w:sz="4" w:space="0" w:color="auto"/>
              <w:bottom w:val="double" w:sz="6" w:space="0" w:color="auto"/>
              <w:right w:val="single" w:sz="4" w:space="0" w:color="auto"/>
            </w:tcBorders>
            <w:shd w:val="clear" w:color="000000" w:fill="FFFFFF"/>
            <w:vAlign w:val="center"/>
            <w:hideMark/>
          </w:tcPr>
          <w:p w14:paraId="0D24777D" w14:textId="77777777" w:rsidR="00B70D5A" w:rsidRPr="00FE6F22" w:rsidRDefault="00B70D5A" w:rsidP="00FE6F22">
            <w:pPr>
              <w:spacing w:after="0" w:line="360" w:lineRule="auto"/>
              <w:rPr>
                <w:rFonts w:ascii="Arial" w:eastAsia="Times New Roman" w:hAnsi="Arial" w:cs="Arial"/>
                <w:color w:val="0F1115"/>
                <w:sz w:val="24"/>
                <w:szCs w:val="24"/>
                <w:lang w:val="en-US"/>
              </w:rPr>
            </w:pPr>
            <w:r w:rsidRPr="00FE6F22">
              <w:rPr>
                <w:rFonts w:ascii="Arial" w:eastAsia="Times New Roman" w:hAnsi="Arial" w:cs="Arial"/>
                <w:color w:val="0F1115"/>
                <w:sz w:val="24"/>
                <w:szCs w:val="24"/>
                <w:lang w:val="en-US"/>
              </w:rPr>
              <w:lastRenderedPageBreak/>
              <w:t>Operational Resilience &amp; Cost Culture</w:t>
            </w:r>
          </w:p>
        </w:tc>
        <w:tc>
          <w:tcPr>
            <w:tcW w:w="1192" w:type="dxa"/>
            <w:tcBorders>
              <w:top w:val="nil"/>
              <w:left w:val="nil"/>
              <w:bottom w:val="double" w:sz="6" w:space="0" w:color="auto"/>
              <w:right w:val="single" w:sz="4" w:space="0" w:color="auto"/>
            </w:tcBorders>
            <w:shd w:val="clear" w:color="000000" w:fill="FFFFFF"/>
            <w:vAlign w:val="center"/>
            <w:hideMark/>
          </w:tcPr>
          <w:p w14:paraId="4B089C19" w14:textId="77777777" w:rsidR="00B70D5A" w:rsidRPr="00FE6F22" w:rsidRDefault="00B70D5A" w:rsidP="00FE6F22">
            <w:pPr>
              <w:spacing w:after="0" w:line="360" w:lineRule="auto"/>
              <w:ind w:firstLineChars="100" w:firstLine="240"/>
              <w:rPr>
                <w:rFonts w:ascii="Arial" w:eastAsia="Times New Roman" w:hAnsi="Arial" w:cs="Arial"/>
                <w:color w:val="0F1115"/>
                <w:sz w:val="24"/>
                <w:szCs w:val="24"/>
                <w:lang w:val="en-US"/>
              </w:rPr>
            </w:pPr>
            <w:r w:rsidRPr="00FE6F22">
              <w:rPr>
                <w:rFonts w:ascii="Arial" w:eastAsia="Times New Roman" w:hAnsi="Arial" w:cs="Arial"/>
                <w:color w:val="0F1115"/>
                <w:sz w:val="24"/>
                <w:szCs w:val="24"/>
                <w:lang w:val="en-US"/>
              </w:rPr>
              <w:t>Yes</w:t>
            </w:r>
          </w:p>
        </w:tc>
        <w:tc>
          <w:tcPr>
            <w:tcW w:w="791" w:type="dxa"/>
            <w:tcBorders>
              <w:top w:val="nil"/>
              <w:left w:val="nil"/>
              <w:bottom w:val="double" w:sz="6" w:space="0" w:color="auto"/>
              <w:right w:val="single" w:sz="4" w:space="0" w:color="auto"/>
            </w:tcBorders>
            <w:shd w:val="clear" w:color="000000" w:fill="FFFFFF"/>
            <w:vAlign w:val="center"/>
            <w:hideMark/>
          </w:tcPr>
          <w:p w14:paraId="245952EF" w14:textId="77777777" w:rsidR="00B70D5A" w:rsidRPr="00FE6F22" w:rsidRDefault="00B70D5A" w:rsidP="00FE6F22">
            <w:pPr>
              <w:spacing w:after="0" w:line="360" w:lineRule="auto"/>
              <w:ind w:firstLineChars="100" w:firstLine="240"/>
              <w:rPr>
                <w:rFonts w:ascii="Arial" w:eastAsia="Times New Roman" w:hAnsi="Arial" w:cs="Arial"/>
                <w:color w:val="0F1115"/>
                <w:sz w:val="24"/>
                <w:szCs w:val="24"/>
                <w:lang w:val="en-US"/>
              </w:rPr>
            </w:pPr>
            <w:r w:rsidRPr="00FE6F22">
              <w:rPr>
                <w:rFonts w:ascii="Arial" w:eastAsia="Times New Roman" w:hAnsi="Arial" w:cs="Arial"/>
                <w:color w:val="0F1115"/>
                <w:sz w:val="24"/>
                <w:szCs w:val="24"/>
                <w:lang w:val="en-US"/>
              </w:rPr>
              <w:t>No</w:t>
            </w:r>
          </w:p>
        </w:tc>
        <w:tc>
          <w:tcPr>
            <w:tcW w:w="1270" w:type="dxa"/>
            <w:tcBorders>
              <w:top w:val="nil"/>
              <w:left w:val="nil"/>
              <w:bottom w:val="double" w:sz="6" w:space="0" w:color="auto"/>
              <w:right w:val="single" w:sz="4" w:space="0" w:color="auto"/>
            </w:tcBorders>
            <w:shd w:val="clear" w:color="000000" w:fill="FFFFFF"/>
            <w:vAlign w:val="center"/>
            <w:hideMark/>
          </w:tcPr>
          <w:p w14:paraId="11CF6B3A" w14:textId="77777777" w:rsidR="00B70D5A" w:rsidRPr="00FE6F22" w:rsidRDefault="00B70D5A" w:rsidP="00FE6F22">
            <w:pPr>
              <w:spacing w:after="0" w:line="360" w:lineRule="auto"/>
              <w:ind w:firstLineChars="100" w:firstLine="240"/>
              <w:rPr>
                <w:rFonts w:ascii="Arial" w:eastAsia="Times New Roman" w:hAnsi="Arial" w:cs="Arial"/>
                <w:color w:val="0F1115"/>
                <w:sz w:val="24"/>
                <w:szCs w:val="24"/>
                <w:lang w:val="en-US"/>
              </w:rPr>
            </w:pPr>
            <w:r w:rsidRPr="00FE6F22">
              <w:rPr>
                <w:rFonts w:ascii="Arial" w:eastAsia="Times New Roman" w:hAnsi="Arial" w:cs="Arial"/>
                <w:color w:val="0F1115"/>
                <w:sz w:val="24"/>
                <w:szCs w:val="24"/>
                <w:lang w:val="en-US"/>
              </w:rPr>
              <w:t>Yes</w:t>
            </w:r>
          </w:p>
        </w:tc>
        <w:tc>
          <w:tcPr>
            <w:tcW w:w="1348" w:type="dxa"/>
            <w:tcBorders>
              <w:top w:val="nil"/>
              <w:left w:val="nil"/>
              <w:bottom w:val="double" w:sz="6" w:space="0" w:color="auto"/>
              <w:right w:val="single" w:sz="4" w:space="0" w:color="auto"/>
            </w:tcBorders>
            <w:shd w:val="clear" w:color="000000" w:fill="FFFFFF"/>
            <w:vAlign w:val="center"/>
            <w:hideMark/>
          </w:tcPr>
          <w:p w14:paraId="5D513FB9" w14:textId="77777777" w:rsidR="00B70D5A" w:rsidRPr="00FE6F22" w:rsidRDefault="00B70D5A" w:rsidP="00FE6F22">
            <w:pPr>
              <w:spacing w:after="0" w:line="360" w:lineRule="auto"/>
              <w:ind w:firstLineChars="100" w:firstLine="240"/>
              <w:rPr>
                <w:rFonts w:ascii="Arial" w:eastAsia="Times New Roman" w:hAnsi="Arial" w:cs="Arial"/>
                <w:color w:val="0F1115"/>
                <w:sz w:val="24"/>
                <w:szCs w:val="24"/>
                <w:lang w:val="en-US"/>
              </w:rPr>
            </w:pPr>
            <w:r w:rsidRPr="00FE6F22">
              <w:rPr>
                <w:rFonts w:ascii="Arial" w:eastAsia="Times New Roman" w:hAnsi="Arial" w:cs="Arial"/>
                <w:color w:val="0F1115"/>
                <w:sz w:val="24"/>
                <w:szCs w:val="24"/>
                <w:lang w:val="en-US"/>
              </w:rPr>
              <w:t>Yes</w:t>
            </w:r>
          </w:p>
        </w:tc>
        <w:tc>
          <w:tcPr>
            <w:tcW w:w="2925" w:type="dxa"/>
            <w:tcBorders>
              <w:top w:val="nil"/>
              <w:left w:val="nil"/>
              <w:bottom w:val="double" w:sz="6" w:space="0" w:color="auto"/>
              <w:right w:val="single" w:sz="4" w:space="0" w:color="auto"/>
            </w:tcBorders>
            <w:shd w:val="clear" w:color="000000" w:fill="FFFFFF"/>
            <w:vAlign w:val="center"/>
            <w:hideMark/>
          </w:tcPr>
          <w:p w14:paraId="11068A21" w14:textId="77777777" w:rsidR="00B70D5A" w:rsidRPr="00FE6F22" w:rsidRDefault="00B70D5A" w:rsidP="00FE6F22">
            <w:pPr>
              <w:spacing w:after="0" w:line="360" w:lineRule="auto"/>
              <w:rPr>
                <w:rFonts w:ascii="Arial" w:eastAsia="Times New Roman" w:hAnsi="Arial" w:cs="Arial"/>
                <w:color w:val="0F1115"/>
                <w:sz w:val="24"/>
                <w:szCs w:val="24"/>
                <w:lang w:val="en-US"/>
              </w:rPr>
            </w:pPr>
            <w:r w:rsidRPr="00FE6F22">
              <w:rPr>
                <w:rFonts w:ascii="Arial" w:eastAsia="Times New Roman" w:hAnsi="Arial" w:cs="Arial"/>
                <w:color w:val="0F1115"/>
                <w:sz w:val="24"/>
                <w:szCs w:val="24"/>
                <w:lang w:val="en-US"/>
              </w:rPr>
              <w:t>Competitive Parity</w:t>
            </w:r>
          </w:p>
        </w:tc>
      </w:tr>
    </w:tbl>
    <w:p w14:paraId="39B8F2FE" w14:textId="77777777" w:rsidR="007E5C27" w:rsidRPr="00FE6F22" w:rsidRDefault="00BD68E6" w:rsidP="00FE6F22">
      <w:pPr>
        <w:pStyle w:val="Caption"/>
        <w:spacing w:line="360" w:lineRule="auto"/>
        <w:jc w:val="center"/>
        <w:rPr>
          <w:rFonts w:ascii="Arial" w:hAnsi="Arial" w:cs="Arial"/>
          <w:sz w:val="24"/>
          <w:szCs w:val="24"/>
        </w:rPr>
      </w:pPr>
      <w:r w:rsidRPr="00FE6F22">
        <w:rPr>
          <w:rFonts w:ascii="Arial" w:hAnsi="Arial" w:cs="Arial"/>
          <w:sz w:val="24"/>
          <w:szCs w:val="24"/>
        </w:rPr>
        <w:t xml:space="preserve">Figure </w:t>
      </w:r>
      <w:r w:rsidRPr="00FE6F22">
        <w:rPr>
          <w:rFonts w:ascii="Arial" w:hAnsi="Arial" w:cs="Arial"/>
          <w:sz w:val="24"/>
          <w:szCs w:val="24"/>
        </w:rPr>
        <w:fldChar w:fldCharType="begin"/>
      </w:r>
      <w:r w:rsidRPr="00FE6F22">
        <w:rPr>
          <w:rFonts w:ascii="Arial" w:hAnsi="Arial" w:cs="Arial"/>
          <w:sz w:val="24"/>
          <w:szCs w:val="24"/>
        </w:rPr>
        <w:instrText xml:space="preserve"> SEQ Figure \* ARABIC </w:instrText>
      </w:r>
      <w:r w:rsidRPr="00FE6F22">
        <w:rPr>
          <w:rFonts w:ascii="Arial" w:hAnsi="Arial" w:cs="Arial"/>
          <w:sz w:val="24"/>
          <w:szCs w:val="24"/>
        </w:rPr>
        <w:fldChar w:fldCharType="separate"/>
      </w:r>
      <w:r w:rsidRPr="00FE6F22">
        <w:rPr>
          <w:rFonts w:ascii="Arial" w:hAnsi="Arial" w:cs="Arial"/>
          <w:noProof/>
          <w:sz w:val="24"/>
          <w:szCs w:val="24"/>
        </w:rPr>
        <w:t>1</w:t>
      </w:r>
      <w:r w:rsidRPr="00FE6F22">
        <w:rPr>
          <w:rFonts w:ascii="Arial" w:hAnsi="Arial" w:cs="Arial"/>
          <w:sz w:val="24"/>
          <w:szCs w:val="24"/>
        </w:rPr>
        <w:fldChar w:fldCharType="end"/>
      </w:r>
      <w:r w:rsidRPr="00FE6F22">
        <w:rPr>
          <w:rFonts w:ascii="Arial" w:hAnsi="Arial" w:cs="Arial"/>
          <w:sz w:val="24"/>
          <w:szCs w:val="24"/>
        </w:rPr>
        <w:t xml:space="preserve"> VRIO framework-EasyJet PLC</w:t>
      </w:r>
    </w:p>
    <w:p w14:paraId="074EE02E" w14:textId="77777777" w:rsidR="00CF0944" w:rsidRPr="00FE6F22" w:rsidRDefault="00CF0944" w:rsidP="00FE6F22">
      <w:pPr>
        <w:spacing w:line="360" w:lineRule="auto"/>
        <w:jc w:val="center"/>
        <w:rPr>
          <w:rFonts w:ascii="Arial" w:hAnsi="Arial" w:cs="Arial"/>
          <w:i/>
          <w:sz w:val="24"/>
          <w:szCs w:val="24"/>
        </w:rPr>
      </w:pPr>
      <w:r w:rsidRPr="00FE6F22">
        <w:rPr>
          <w:rFonts w:ascii="Arial" w:hAnsi="Arial" w:cs="Arial"/>
          <w:b/>
          <w:i/>
          <w:sz w:val="24"/>
          <w:szCs w:val="24"/>
        </w:rPr>
        <w:t xml:space="preserve">Source: </w:t>
      </w:r>
      <w:r w:rsidRPr="00FE6F22">
        <w:rPr>
          <w:rFonts w:ascii="Arial" w:hAnsi="Arial" w:cs="Arial"/>
          <w:i/>
          <w:sz w:val="24"/>
          <w:szCs w:val="24"/>
        </w:rPr>
        <w:t>By author</w:t>
      </w:r>
    </w:p>
    <w:p w14:paraId="77FAF962" w14:textId="77777777" w:rsidR="005C5AC3" w:rsidRPr="00FE6F22" w:rsidRDefault="005C5AC3" w:rsidP="00FE6F22">
      <w:pPr>
        <w:spacing w:line="360" w:lineRule="auto"/>
        <w:jc w:val="both"/>
        <w:rPr>
          <w:rFonts w:ascii="Arial" w:hAnsi="Arial" w:cs="Arial"/>
          <w:sz w:val="24"/>
          <w:szCs w:val="24"/>
          <w:lang w:val="en-US"/>
        </w:rPr>
      </w:pPr>
      <w:r w:rsidRPr="00FE6F22">
        <w:rPr>
          <w:rFonts w:ascii="Arial" w:hAnsi="Arial" w:cs="Arial"/>
          <w:b/>
          <w:bCs/>
          <w:sz w:val="24"/>
          <w:szCs w:val="24"/>
          <w:lang w:val="en-US"/>
        </w:rPr>
        <w:t>Fleet and Slot Portfolio:</w:t>
      </w:r>
      <w:r w:rsidRPr="00FE6F22">
        <w:rPr>
          <w:rFonts w:ascii="Arial" w:hAnsi="Arial" w:cs="Arial"/>
          <w:sz w:val="24"/>
          <w:szCs w:val="24"/>
          <w:lang w:val="en-US"/>
        </w:rPr>
        <w:t> </w:t>
      </w:r>
      <w:r w:rsidR="003F5550" w:rsidRPr="00FE6F22">
        <w:rPr>
          <w:rFonts w:ascii="Arial" w:hAnsi="Arial" w:cs="Arial"/>
          <w:sz w:val="24"/>
          <w:szCs w:val="24"/>
        </w:rPr>
        <w:t xml:space="preserve">the assets of the </w:t>
      </w:r>
      <w:r w:rsidR="00D861D2" w:rsidRPr="00FE6F22">
        <w:rPr>
          <w:rFonts w:ascii="Arial" w:hAnsi="Arial" w:cs="Arial"/>
          <w:sz w:val="24"/>
          <w:szCs w:val="24"/>
        </w:rPr>
        <w:t>EasyJet</w:t>
      </w:r>
      <w:r w:rsidR="003F5550" w:rsidRPr="00FE6F22">
        <w:rPr>
          <w:rFonts w:ascii="Arial" w:hAnsi="Arial" w:cs="Arial"/>
          <w:sz w:val="24"/>
          <w:szCs w:val="24"/>
        </w:rPr>
        <w:t xml:space="preserve"> in terms of fleet size is the possession of 356 </w:t>
      </w:r>
      <w:r w:rsidR="00B95689" w:rsidRPr="00FE6F22">
        <w:rPr>
          <w:rFonts w:ascii="Arial" w:hAnsi="Arial" w:cs="Arial"/>
          <w:sz w:val="24"/>
          <w:szCs w:val="24"/>
        </w:rPr>
        <w:t>Airbus that allows a high utiliz</w:t>
      </w:r>
      <w:r w:rsidR="003F5550" w:rsidRPr="00FE6F22">
        <w:rPr>
          <w:rFonts w:ascii="Arial" w:hAnsi="Arial" w:cs="Arial"/>
          <w:sz w:val="24"/>
          <w:szCs w:val="24"/>
        </w:rPr>
        <w:t>ation and cost efficiency (</w:t>
      </w:r>
      <w:r w:rsidR="00B022C3" w:rsidRPr="00FE6F22">
        <w:rPr>
          <w:rFonts w:ascii="Arial" w:hAnsi="Arial" w:cs="Arial"/>
          <w:sz w:val="24"/>
          <w:szCs w:val="24"/>
        </w:rPr>
        <w:t>EasyJet</w:t>
      </w:r>
      <w:r w:rsidR="003F5550" w:rsidRPr="00FE6F22">
        <w:rPr>
          <w:rFonts w:ascii="Arial" w:hAnsi="Arial" w:cs="Arial"/>
          <w:sz w:val="24"/>
          <w:szCs w:val="24"/>
        </w:rPr>
        <w:t>, 2025). The most valuable and rare resource it has is its portfolio of slots at the primary, slot-constrained airports such as London Gatwick, Milan Linate, and Paris Orly (</w:t>
      </w:r>
      <w:r w:rsidR="00D861D2" w:rsidRPr="00FE6F22">
        <w:rPr>
          <w:rFonts w:ascii="Arial" w:hAnsi="Arial" w:cs="Arial"/>
          <w:sz w:val="24"/>
          <w:szCs w:val="24"/>
        </w:rPr>
        <w:t>EasyJet</w:t>
      </w:r>
      <w:r w:rsidR="003F5550" w:rsidRPr="00FE6F22">
        <w:rPr>
          <w:rFonts w:ascii="Arial" w:hAnsi="Arial" w:cs="Arial"/>
          <w:sz w:val="24"/>
          <w:szCs w:val="24"/>
        </w:rPr>
        <w:t>, 2025). These slots are a very strong entry barrier- heavily regulated, limited and prohibitively costly to obtain, and thus inimitable (CAPA, 2023). This network is exploited within the structure of the organisation, to generate sustainable competitive advantage</w:t>
      </w:r>
      <w:r w:rsidRPr="00FE6F22">
        <w:rPr>
          <w:rFonts w:ascii="Arial" w:hAnsi="Arial" w:cs="Arial"/>
          <w:sz w:val="24"/>
          <w:szCs w:val="24"/>
          <w:lang w:val="en-US"/>
        </w:rPr>
        <w:t>.</w:t>
      </w:r>
    </w:p>
    <w:p w14:paraId="723E190A" w14:textId="77777777" w:rsidR="005C5AC3" w:rsidRPr="00FE6F22" w:rsidRDefault="005C5AC3" w:rsidP="00FE6F22">
      <w:pPr>
        <w:spacing w:line="360" w:lineRule="auto"/>
        <w:jc w:val="both"/>
        <w:rPr>
          <w:rFonts w:ascii="Arial" w:hAnsi="Arial" w:cs="Arial"/>
          <w:sz w:val="24"/>
          <w:szCs w:val="24"/>
          <w:lang w:val="en-US"/>
        </w:rPr>
      </w:pPr>
      <w:r w:rsidRPr="00FE6F22">
        <w:rPr>
          <w:rFonts w:ascii="Arial" w:hAnsi="Arial" w:cs="Arial"/>
          <w:b/>
          <w:bCs/>
          <w:sz w:val="24"/>
          <w:szCs w:val="24"/>
          <w:lang w:val="en-US"/>
        </w:rPr>
        <w:t>Brand and Customer Loyalty:</w:t>
      </w:r>
      <w:r w:rsidRPr="00FE6F22">
        <w:rPr>
          <w:rFonts w:ascii="Arial" w:hAnsi="Arial" w:cs="Arial"/>
          <w:sz w:val="24"/>
          <w:szCs w:val="24"/>
          <w:lang w:val="en-US"/>
        </w:rPr>
        <w:t> </w:t>
      </w:r>
      <w:r w:rsidR="003F5550" w:rsidRPr="00FE6F22">
        <w:rPr>
          <w:rFonts w:ascii="Arial" w:hAnsi="Arial" w:cs="Arial"/>
          <w:sz w:val="24"/>
          <w:szCs w:val="24"/>
        </w:rPr>
        <w:t xml:space="preserve">The </w:t>
      </w:r>
      <w:r w:rsidR="00D861D2" w:rsidRPr="00FE6F22">
        <w:rPr>
          <w:rFonts w:ascii="Arial" w:hAnsi="Arial" w:cs="Arial"/>
          <w:sz w:val="24"/>
          <w:szCs w:val="24"/>
        </w:rPr>
        <w:t>EasyJet</w:t>
      </w:r>
      <w:r w:rsidR="003F5550" w:rsidRPr="00FE6F22">
        <w:rPr>
          <w:rFonts w:ascii="Arial" w:hAnsi="Arial" w:cs="Arial"/>
          <w:sz w:val="24"/>
          <w:szCs w:val="24"/>
        </w:rPr>
        <w:t xml:space="preserve"> brand is another useful intangible asset, which is linked to value, reliability, and a warm welcome (</w:t>
      </w:r>
      <w:r w:rsidR="00D861D2" w:rsidRPr="00FE6F22">
        <w:rPr>
          <w:rFonts w:ascii="Arial" w:hAnsi="Arial" w:cs="Arial"/>
          <w:sz w:val="24"/>
          <w:szCs w:val="24"/>
        </w:rPr>
        <w:t>EasyJet</w:t>
      </w:r>
      <w:r w:rsidR="003F5550" w:rsidRPr="00FE6F22">
        <w:rPr>
          <w:rFonts w:ascii="Arial" w:hAnsi="Arial" w:cs="Arial"/>
          <w:sz w:val="24"/>
          <w:szCs w:val="24"/>
        </w:rPr>
        <w:t xml:space="preserve">, 2025). Brand loyalty is a competitive advantage since 80 percent of </w:t>
      </w:r>
      <w:r w:rsidR="00B95689" w:rsidRPr="00FE6F22">
        <w:rPr>
          <w:rFonts w:ascii="Arial" w:hAnsi="Arial" w:cs="Arial"/>
          <w:sz w:val="24"/>
          <w:szCs w:val="24"/>
        </w:rPr>
        <w:t xml:space="preserve">customers are satisfied and 74% </w:t>
      </w:r>
      <w:r w:rsidR="003F5550" w:rsidRPr="00FE6F22">
        <w:rPr>
          <w:rFonts w:ascii="Arial" w:hAnsi="Arial" w:cs="Arial"/>
          <w:sz w:val="24"/>
          <w:szCs w:val="24"/>
        </w:rPr>
        <w:t>would revisit the company within two years (</w:t>
      </w:r>
      <w:r w:rsidR="00B022C3" w:rsidRPr="00FE6F22">
        <w:rPr>
          <w:rFonts w:ascii="Arial" w:hAnsi="Arial" w:cs="Arial"/>
          <w:sz w:val="24"/>
          <w:szCs w:val="24"/>
        </w:rPr>
        <w:t>EasyJet</w:t>
      </w:r>
      <w:r w:rsidR="003F5550" w:rsidRPr="00FE6F22">
        <w:rPr>
          <w:rFonts w:ascii="Arial" w:hAnsi="Arial" w:cs="Arial"/>
          <w:sz w:val="24"/>
          <w:szCs w:val="24"/>
        </w:rPr>
        <w:t xml:space="preserve">, 2025). As competitors such as Ryanair have good brand equity in terms of lowest price, the customer-focused approach, backed by its app and service training, renders it a long-term competitive strength of </w:t>
      </w:r>
      <w:r w:rsidR="00D861D2" w:rsidRPr="00FE6F22">
        <w:rPr>
          <w:rFonts w:ascii="Arial" w:hAnsi="Arial" w:cs="Arial"/>
          <w:sz w:val="24"/>
          <w:szCs w:val="24"/>
        </w:rPr>
        <w:t>EasyJet</w:t>
      </w:r>
      <w:r w:rsidRPr="00FE6F22">
        <w:rPr>
          <w:rFonts w:ascii="Arial" w:hAnsi="Arial" w:cs="Arial"/>
          <w:sz w:val="24"/>
          <w:szCs w:val="24"/>
          <w:lang w:val="en-US"/>
        </w:rPr>
        <w:t>.</w:t>
      </w:r>
    </w:p>
    <w:p w14:paraId="535378F6" w14:textId="77777777" w:rsidR="005C5AC3" w:rsidRPr="00FE6F22" w:rsidRDefault="00D861D2" w:rsidP="00FE6F22">
      <w:pPr>
        <w:spacing w:line="360" w:lineRule="auto"/>
        <w:jc w:val="both"/>
        <w:rPr>
          <w:rFonts w:ascii="Arial" w:hAnsi="Arial" w:cs="Arial"/>
          <w:sz w:val="24"/>
          <w:szCs w:val="24"/>
          <w:lang w:val="en-US"/>
        </w:rPr>
      </w:pPr>
      <w:r w:rsidRPr="00FE6F22">
        <w:rPr>
          <w:rFonts w:ascii="Arial" w:hAnsi="Arial" w:cs="Arial"/>
          <w:b/>
          <w:bCs/>
          <w:sz w:val="24"/>
          <w:szCs w:val="24"/>
          <w:lang w:val="en-US"/>
        </w:rPr>
        <w:t>EasyJet</w:t>
      </w:r>
      <w:r w:rsidR="005C5AC3" w:rsidRPr="00FE6F22">
        <w:rPr>
          <w:rFonts w:ascii="Arial" w:hAnsi="Arial" w:cs="Arial"/>
          <w:b/>
          <w:bCs/>
          <w:sz w:val="24"/>
          <w:szCs w:val="24"/>
          <w:lang w:val="en-US"/>
        </w:rPr>
        <w:t xml:space="preserve"> Holidays Platform:</w:t>
      </w:r>
      <w:r w:rsidR="005C5AC3" w:rsidRPr="00FE6F22">
        <w:rPr>
          <w:rFonts w:ascii="Arial" w:hAnsi="Arial" w:cs="Arial"/>
          <w:sz w:val="24"/>
          <w:szCs w:val="24"/>
          <w:lang w:val="en-US"/>
        </w:rPr>
        <w:t xml:space="preserve"> This </w:t>
      </w:r>
      <w:r w:rsidR="003F5550" w:rsidRPr="00FE6F22">
        <w:rPr>
          <w:rFonts w:ascii="Arial" w:hAnsi="Arial" w:cs="Arial"/>
          <w:sz w:val="24"/>
          <w:szCs w:val="24"/>
        </w:rPr>
        <w:t>is a major distinction among European LCCs and a way to capitalise on the core airline brand, customer base, and network to provide package holidays with 95% variable cost base, and no inventory risk (</w:t>
      </w:r>
      <w:r w:rsidRPr="00FE6F22">
        <w:rPr>
          <w:rFonts w:ascii="Arial" w:hAnsi="Arial" w:cs="Arial"/>
          <w:sz w:val="24"/>
          <w:szCs w:val="24"/>
        </w:rPr>
        <w:t>EasyJet</w:t>
      </w:r>
      <w:r w:rsidR="003F5550" w:rsidRPr="00FE6F22">
        <w:rPr>
          <w:rFonts w:ascii="Arial" w:hAnsi="Arial" w:cs="Arial"/>
          <w:sz w:val="24"/>
          <w:szCs w:val="24"/>
        </w:rPr>
        <w:t xml:space="preserve">, 2025). It is exceptional; no other leading European LCC has been able to develop a package holiday business of </w:t>
      </w:r>
      <w:r w:rsidR="00D0084A" w:rsidRPr="00FE6F22">
        <w:rPr>
          <w:rFonts w:ascii="Arial" w:hAnsi="Arial" w:cs="Arial"/>
          <w:sz w:val="24"/>
          <w:szCs w:val="24"/>
        </w:rPr>
        <w:t>this scale and profitability (£</w:t>
      </w:r>
      <w:r w:rsidR="003F5550" w:rsidRPr="00FE6F22">
        <w:rPr>
          <w:rFonts w:ascii="Arial" w:hAnsi="Arial" w:cs="Arial"/>
          <w:sz w:val="24"/>
          <w:szCs w:val="24"/>
        </w:rPr>
        <w:t>250m PBT). It would cost a lot to replicate a similar platform due to the huge time, investment and brand trust required to build. This is sustained competitive advantage given that it has a dedicated CEO and team (Easy Jet, 2025)</w:t>
      </w:r>
      <w:r w:rsidR="005C5AC3" w:rsidRPr="00FE6F22">
        <w:rPr>
          <w:rFonts w:ascii="Arial" w:hAnsi="Arial" w:cs="Arial"/>
          <w:sz w:val="24"/>
          <w:szCs w:val="24"/>
          <w:lang w:val="en-US"/>
        </w:rPr>
        <w:t>.</w:t>
      </w:r>
    </w:p>
    <w:p w14:paraId="44545799" w14:textId="77777777" w:rsidR="005C5AC3" w:rsidRPr="00FE6F22" w:rsidRDefault="005C5AC3" w:rsidP="00FE6F22">
      <w:pPr>
        <w:spacing w:line="360" w:lineRule="auto"/>
        <w:jc w:val="both"/>
        <w:rPr>
          <w:rFonts w:ascii="Arial" w:hAnsi="Arial" w:cs="Arial"/>
          <w:sz w:val="24"/>
          <w:szCs w:val="24"/>
          <w:lang w:val="en-US"/>
        </w:rPr>
      </w:pPr>
      <w:r w:rsidRPr="00FE6F22">
        <w:rPr>
          <w:rFonts w:ascii="Arial" w:hAnsi="Arial" w:cs="Arial"/>
          <w:b/>
          <w:bCs/>
          <w:sz w:val="24"/>
          <w:szCs w:val="24"/>
          <w:lang w:val="en-US"/>
        </w:rPr>
        <w:t>Data and Revenue Management:</w:t>
      </w:r>
      <w:r w:rsidRPr="00FE6F22">
        <w:rPr>
          <w:rFonts w:ascii="Arial" w:hAnsi="Arial" w:cs="Arial"/>
          <w:sz w:val="24"/>
          <w:szCs w:val="24"/>
          <w:lang w:val="en-US"/>
        </w:rPr>
        <w:t> </w:t>
      </w:r>
      <w:r w:rsidR="003F5550" w:rsidRPr="00FE6F22">
        <w:rPr>
          <w:rFonts w:ascii="Arial" w:hAnsi="Arial" w:cs="Arial"/>
          <w:sz w:val="24"/>
          <w:szCs w:val="24"/>
        </w:rPr>
        <w:t xml:space="preserve">The revenue management systems of </w:t>
      </w:r>
      <w:r w:rsidR="00D861D2" w:rsidRPr="00FE6F22">
        <w:rPr>
          <w:rFonts w:ascii="Arial" w:hAnsi="Arial" w:cs="Arial"/>
          <w:sz w:val="24"/>
          <w:szCs w:val="24"/>
        </w:rPr>
        <w:t>EasyJet</w:t>
      </w:r>
      <w:r w:rsidR="003F5550" w:rsidRPr="00FE6F22">
        <w:rPr>
          <w:rFonts w:ascii="Arial" w:hAnsi="Arial" w:cs="Arial"/>
          <w:sz w:val="24"/>
          <w:szCs w:val="24"/>
        </w:rPr>
        <w:t xml:space="preserve"> are outstanding with dynamic pricing systems and sophisticated algorithms, which are extremely valuable in the industry (</w:t>
      </w:r>
      <w:r w:rsidR="00D861D2" w:rsidRPr="00FE6F22">
        <w:rPr>
          <w:rFonts w:ascii="Arial" w:hAnsi="Arial" w:cs="Arial"/>
          <w:sz w:val="24"/>
          <w:szCs w:val="24"/>
        </w:rPr>
        <w:t>EasyJet</w:t>
      </w:r>
      <w:r w:rsidR="00D0084A" w:rsidRPr="00FE6F22">
        <w:rPr>
          <w:rFonts w:ascii="Arial" w:hAnsi="Arial" w:cs="Arial"/>
          <w:sz w:val="24"/>
          <w:szCs w:val="24"/>
        </w:rPr>
        <w:t>, 2025</w:t>
      </w:r>
      <w:r w:rsidR="003F5550" w:rsidRPr="00FE6F22">
        <w:rPr>
          <w:rFonts w:ascii="Arial" w:hAnsi="Arial" w:cs="Arial"/>
          <w:sz w:val="24"/>
          <w:szCs w:val="24"/>
        </w:rPr>
        <w:t xml:space="preserve">). It is not a common ability, but with the increasing commoditisation of technology, this benefit may be copied in the long </w:t>
      </w:r>
      <w:r w:rsidR="003F5550" w:rsidRPr="00FE6F22">
        <w:rPr>
          <w:rFonts w:ascii="Arial" w:hAnsi="Arial" w:cs="Arial"/>
          <w:sz w:val="24"/>
          <w:szCs w:val="24"/>
        </w:rPr>
        <w:lastRenderedPageBreak/>
        <w:t>run, and though it leads to the short-term competitive advantage, it would be only temporary unless continually improved</w:t>
      </w:r>
      <w:r w:rsidRPr="00FE6F22">
        <w:rPr>
          <w:rFonts w:ascii="Arial" w:hAnsi="Arial" w:cs="Arial"/>
          <w:sz w:val="24"/>
          <w:szCs w:val="24"/>
          <w:lang w:val="en-US"/>
        </w:rPr>
        <w:t>.</w:t>
      </w:r>
    </w:p>
    <w:p w14:paraId="72B16770" w14:textId="77777777" w:rsidR="005C5AC3" w:rsidRPr="00FE6F22" w:rsidRDefault="005C5AC3" w:rsidP="00FE6F22">
      <w:pPr>
        <w:spacing w:line="360" w:lineRule="auto"/>
        <w:jc w:val="both"/>
        <w:rPr>
          <w:rFonts w:ascii="Arial" w:hAnsi="Arial" w:cs="Arial"/>
          <w:sz w:val="24"/>
          <w:szCs w:val="24"/>
          <w:lang w:val="en-US"/>
        </w:rPr>
      </w:pPr>
      <w:r w:rsidRPr="00FE6F22">
        <w:rPr>
          <w:rFonts w:ascii="Arial" w:hAnsi="Arial" w:cs="Arial"/>
          <w:b/>
          <w:bCs/>
          <w:sz w:val="24"/>
          <w:szCs w:val="24"/>
          <w:lang w:val="en-US"/>
        </w:rPr>
        <w:t>Operational Resilience and Cost Culture:</w:t>
      </w:r>
      <w:r w:rsidRPr="00FE6F22">
        <w:rPr>
          <w:rFonts w:ascii="Arial" w:hAnsi="Arial" w:cs="Arial"/>
          <w:sz w:val="24"/>
          <w:szCs w:val="24"/>
          <w:lang w:val="en-US"/>
        </w:rPr>
        <w:t> </w:t>
      </w:r>
      <w:r w:rsidR="003F5550" w:rsidRPr="00FE6F22">
        <w:rPr>
          <w:rFonts w:ascii="Arial" w:hAnsi="Arial" w:cs="Arial"/>
          <w:sz w:val="24"/>
          <w:szCs w:val="24"/>
        </w:rPr>
        <w:t xml:space="preserve">It is beneficial to increase the on-time performance (OTP) by 3% to 72% and concentrate on cost efficiency </w:t>
      </w:r>
      <w:r w:rsidR="00D0084A" w:rsidRPr="00FE6F22">
        <w:rPr>
          <w:rFonts w:ascii="Arial" w:hAnsi="Arial" w:cs="Arial"/>
          <w:sz w:val="24"/>
          <w:szCs w:val="24"/>
        </w:rPr>
        <w:t>(</w:t>
      </w:r>
      <w:r w:rsidR="00D861D2" w:rsidRPr="00FE6F22">
        <w:rPr>
          <w:rFonts w:ascii="Arial" w:hAnsi="Arial" w:cs="Arial"/>
          <w:sz w:val="24"/>
          <w:szCs w:val="24"/>
        </w:rPr>
        <w:t>EasyJet</w:t>
      </w:r>
      <w:r w:rsidR="003F5550" w:rsidRPr="00FE6F22">
        <w:rPr>
          <w:rFonts w:ascii="Arial" w:hAnsi="Arial" w:cs="Arial"/>
          <w:sz w:val="24"/>
          <w:szCs w:val="24"/>
        </w:rPr>
        <w:t xml:space="preserve">, 2025). Nevertheless, to survive in the LCC industry, cost effectiveness is necessary, and Ryanair is commonly known as the industry leader (OAG, 2024). Although the operational focus of </w:t>
      </w:r>
      <w:r w:rsidR="00D861D2" w:rsidRPr="00FE6F22">
        <w:rPr>
          <w:rFonts w:ascii="Arial" w:hAnsi="Arial" w:cs="Arial"/>
          <w:sz w:val="24"/>
          <w:szCs w:val="24"/>
        </w:rPr>
        <w:t>EasyJet</w:t>
      </w:r>
      <w:r w:rsidR="003F5550" w:rsidRPr="00FE6F22">
        <w:rPr>
          <w:rFonts w:ascii="Arial" w:hAnsi="Arial" w:cs="Arial"/>
          <w:sz w:val="24"/>
          <w:szCs w:val="24"/>
        </w:rPr>
        <w:t xml:space="preserve"> is competitive, well-organised and valuable, it does not provide competitive advantage. Its cost per ASK (excluding fuel) has also increased by 1%, although it is still difficult to narrow the gap with the most efficient competitor (</w:t>
      </w:r>
      <w:r w:rsidR="00D861D2" w:rsidRPr="00FE6F22">
        <w:rPr>
          <w:rFonts w:ascii="Arial" w:hAnsi="Arial" w:cs="Arial"/>
          <w:sz w:val="24"/>
          <w:szCs w:val="24"/>
        </w:rPr>
        <w:t>EasyJet</w:t>
      </w:r>
      <w:r w:rsidR="003F5550" w:rsidRPr="00FE6F22">
        <w:rPr>
          <w:rFonts w:ascii="Arial" w:hAnsi="Arial" w:cs="Arial"/>
          <w:sz w:val="24"/>
          <w:szCs w:val="24"/>
        </w:rPr>
        <w:t>, 2025).</w:t>
      </w:r>
    </w:p>
    <w:p w14:paraId="1ADA323E" w14:textId="77777777" w:rsidR="005A7207" w:rsidRPr="00FE6F22" w:rsidRDefault="005A7207" w:rsidP="00FE6F22">
      <w:pPr>
        <w:pStyle w:val="Heading2"/>
        <w:spacing w:line="360" w:lineRule="auto"/>
        <w:rPr>
          <w:rFonts w:ascii="Arial" w:hAnsi="Arial" w:cs="Arial"/>
          <w:sz w:val="24"/>
          <w:szCs w:val="24"/>
          <w:lang w:val="en-US"/>
        </w:rPr>
      </w:pPr>
      <w:bookmarkStart w:id="6" w:name="_Toc225456776"/>
      <w:r w:rsidRPr="00FE6F22">
        <w:rPr>
          <w:rFonts w:ascii="Arial" w:hAnsi="Arial" w:cs="Arial"/>
          <w:sz w:val="24"/>
          <w:szCs w:val="24"/>
          <w:lang w:val="en-US"/>
        </w:rPr>
        <w:t>2.4 Contribution of Internal Strengths to Competitive Advantage</w:t>
      </w:r>
      <w:bookmarkEnd w:id="6"/>
    </w:p>
    <w:p w14:paraId="3FC6466C" w14:textId="77777777" w:rsidR="007C13EE" w:rsidRPr="00FE6F22" w:rsidRDefault="007C13EE" w:rsidP="00FE6F22">
      <w:pPr>
        <w:spacing w:line="360" w:lineRule="auto"/>
        <w:jc w:val="both"/>
        <w:rPr>
          <w:rFonts w:ascii="Arial" w:hAnsi="Arial" w:cs="Arial"/>
          <w:sz w:val="24"/>
          <w:szCs w:val="24"/>
        </w:rPr>
      </w:pPr>
      <w:r w:rsidRPr="00FE6F22">
        <w:rPr>
          <w:rFonts w:ascii="Arial" w:hAnsi="Arial" w:cs="Arial"/>
          <w:sz w:val="24"/>
          <w:szCs w:val="24"/>
        </w:rPr>
        <w:t xml:space="preserve">The internal capabilities of the </w:t>
      </w:r>
      <w:r w:rsidR="00D861D2" w:rsidRPr="00FE6F22">
        <w:rPr>
          <w:rFonts w:ascii="Arial" w:hAnsi="Arial" w:cs="Arial"/>
          <w:sz w:val="24"/>
          <w:szCs w:val="24"/>
        </w:rPr>
        <w:t>EasyJet</w:t>
      </w:r>
      <w:r w:rsidRPr="00FE6F22">
        <w:rPr>
          <w:rFonts w:ascii="Arial" w:hAnsi="Arial" w:cs="Arial"/>
          <w:sz w:val="24"/>
          <w:szCs w:val="24"/>
        </w:rPr>
        <w:t xml:space="preserve"> allow it to implement its hybrid strategy, which involves low-cost operation, network, and service differentiation. Its network strategy is built on fleet and slot portfolio, which provides primary airport convenience at low fares, which neutralises the threats posed by pure LCCs serving secondary airports and competes effectively with full-service carriers on price (</w:t>
      </w:r>
      <w:r w:rsidR="00D861D2" w:rsidRPr="00FE6F22">
        <w:rPr>
          <w:rFonts w:ascii="Arial" w:hAnsi="Arial" w:cs="Arial"/>
          <w:sz w:val="24"/>
          <w:szCs w:val="24"/>
        </w:rPr>
        <w:t>EasyJet</w:t>
      </w:r>
      <w:r w:rsidRPr="00FE6F22">
        <w:rPr>
          <w:rFonts w:ascii="Arial" w:hAnsi="Arial" w:cs="Arial"/>
          <w:sz w:val="24"/>
          <w:szCs w:val="24"/>
        </w:rPr>
        <w:t>, 2025). The Easy Jet holidays product builds upon the core airline strengths to provide a better-margin revenue base, directly responding to profit volatility, especially in the winter, by taking bigger portions of customer travel expenditure (</w:t>
      </w:r>
      <w:r w:rsidR="00D861D2" w:rsidRPr="00FE6F22">
        <w:rPr>
          <w:rFonts w:ascii="Arial" w:hAnsi="Arial" w:cs="Arial"/>
          <w:sz w:val="24"/>
          <w:szCs w:val="24"/>
        </w:rPr>
        <w:t>EasyJet</w:t>
      </w:r>
      <w:r w:rsidRPr="00FE6F22">
        <w:rPr>
          <w:rFonts w:ascii="Arial" w:hAnsi="Arial" w:cs="Arial"/>
          <w:sz w:val="24"/>
          <w:szCs w:val="24"/>
        </w:rPr>
        <w:t>, 2025). This shows how internal capabilities can be converted into sustainable competitive advanta</w:t>
      </w:r>
      <w:r w:rsidR="00D0084A" w:rsidRPr="00FE6F22">
        <w:rPr>
          <w:rFonts w:ascii="Arial" w:hAnsi="Arial" w:cs="Arial"/>
          <w:sz w:val="24"/>
          <w:szCs w:val="24"/>
        </w:rPr>
        <w:t>ge with an improved target of £</w:t>
      </w:r>
      <w:r w:rsidRPr="00FE6F22">
        <w:rPr>
          <w:rFonts w:ascii="Arial" w:hAnsi="Arial" w:cs="Arial"/>
          <w:sz w:val="24"/>
          <w:szCs w:val="24"/>
        </w:rPr>
        <w:t>450m PBT by the year 2030.</w:t>
      </w:r>
    </w:p>
    <w:p w14:paraId="3488652B" w14:textId="77777777" w:rsidR="009E3DE1" w:rsidRPr="00FE6F22" w:rsidRDefault="009E3DE1" w:rsidP="00FE6F22">
      <w:pPr>
        <w:pStyle w:val="Heading2"/>
        <w:numPr>
          <w:ilvl w:val="0"/>
          <w:numId w:val="14"/>
        </w:numPr>
        <w:spacing w:line="360" w:lineRule="auto"/>
        <w:rPr>
          <w:rFonts w:ascii="Arial" w:hAnsi="Arial" w:cs="Arial"/>
          <w:sz w:val="24"/>
          <w:szCs w:val="24"/>
          <w:lang w:val="en-US"/>
        </w:rPr>
      </w:pPr>
      <w:bookmarkStart w:id="7" w:name="_Toc225456777"/>
      <w:r w:rsidRPr="00FE6F22">
        <w:rPr>
          <w:rFonts w:ascii="Arial" w:hAnsi="Arial" w:cs="Arial"/>
          <w:sz w:val="24"/>
          <w:szCs w:val="24"/>
          <w:lang w:val="en-US"/>
        </w:rPr>
        <w:t>CSR and Sustainability Objectives</w:t>
      </w:r>
      <w:bookmarkEnd w:id="7"/>
    </w:p>
    <w:p w14:paraId="6F9DE47B" w14:textId="77777777" w:rsidR="009E3DE1" w:rsidRPr="00FE6F22" w:rsidRDefault="00B7638B" w:rsidP="00FE6F22">
      <w:pPr>
        <w:spacing w:line="360" w:lineRule="auto"/>
        <w:jc w:val="both"/>
        <w:rPr>
          <w:rFonts w:ascii="Arial" w:hAnsi="Arial" w:cs="Arial"/>
          <w:sz w:val="24"/>
          <w:szCs w:val="24"/>
          <w:lang w:val="en-US"/>
        </w:rPr>
      </w:pPr>
      <w:r w:rsidRPr="00FE6F22">
        <w:rPr>
          <w:rFonts w:ascii="Arial" w:hAnsi="Arial" w:cs="Arial"/>
          <w:sz w:val="24"/>
          <w:szCs w:val="24"/>
        </w:rPr>
        <w:t>The CSR strategy of easy jet combines environmental sustainability, ethical governance and social equity to its core business ideas of cost leadership and brand diffe</w:t>
      </w:r>
      <w:r w:rsidR="00D0084A" w:rsidRPr="00FE6F22">
        <w:rPr>
          <w:rFonts w:ascii="Arial" w:hAnsi="Arial" w:cs="Arial"/>
          <w:sz w:val="24"/>
          <w:szCs w:val="24"/>
        </w:rPr>
        <w:t>rentiation (E</w:t>
      </w:r>
      <w:r w:rsidR="0022585A" w:rsidRPr="00FE6F22">
        <w:rPr>
          <w:rFonts w:ascii="Arial" w:hAnsi="Arial" w:cs="Arial"/>
          <w:sz w:val="24"/>
          <w:szCs w:val="24"/>
        </w:rPr>
        <w:t>asy</w:t>
      </w:r>
      <w:r w:rsidRPr="00FE6F22">
        <w:rPr>
          <w:rFonts w:ascii="Arial" w:hAnsi="Arial" w:cs="Arial"/>
          <w:sz w:val="24"/>
          <w:szCs w:val="24"/>
        </w:rPr>
        <w:t>Jet, 2025). The Net Zero Pathway aims at achieving the 2050 net zero emissions (</w:t>
      </w:r>
      <w:r w:rsidR="00D861D2" w:rsidRPr="00FE6F22">
        <w:rPr>
          <w:rFonts w:ascii="Arial" w:hAnsi="Arial" w:cs="Arial"/>
          <w:sz w:val="24"/>
          <w:szCs w:val="24"/>
        </w:rPr>
        <w:t>EasyJet</w:t>
      </w:r>
      <w:r w:rsidRPr="00FE6F22">
        <w:rPr>
          <w:rFonts w:ascii="Arial" w:hAnsi="Arial" w:cs="Arial"/>
          <w:sz w:val="24"/>
          <w:szCs w:val="24"/>
        </w:rPr>
        <w:t>, 2026). By renewing to fuel efficient Airbus A320neo aircraft (out of 356 strong fleet) the company will reduce fuel expense and emissions and the environmental performance will create a synergy with financial performance (</w:t>
      </w:r>
      <w:r w:rsidR="00D861D2" w:rsidRPr="00FE6F22">
        <w:rPr>
          <w:rFonts w:ascii="Arial" w:hAnsi="Arial" w:cs="Arial"/>
          <w:sz w:val="24"/>
          <w:szCs w:val="24"/>
        </w:rPr>
        <w:t>EasyJet</w:t>
      </w:r>
      <w:r w:rsidRPr="00FE6F22">
        <w:rPr>
          <w:rFonts w:ascii="Arial" w:hAnsi="Arial" w:cs="Arial"/>
          <w:sz w:val="24"/>
          <w:szCs w:val="24"/>
        </w:rPr>
        <w:t>, 2025). Carbon intensity is reduced by 1.8% and 65.47g CO</w:t>
      </w:r>
      <w:r w:rsidRPr="00FE6F22">
        <w:rPr>
          <w:rFonts w:ascii="Arial" w:hAnsi="Arial" w:cs="Arial"/>
          <w:sz w:val="24"/>
          <w:szCs w:val="24"/>
          <w:vertAlign w:val="subscript"/>
        </w:rPr>
        <w:t>2</w:t>
      </w:r>
      <w:r w:rsidRPr="00FE6F22">
        <w:rPr>
          <w:rFonts w:ascii="Arial" w:hAnsi="Arial" w:cs="Arial"/>
          <w:sz w:val="24"/>
          <w:szCs w:val="24"/>
        </w:rPr>
        <w:t xml:space="preserve"> per passenger kilometre in 2025, which is </w:t>
      </w:r>
      <w:r w:rsidR="0022585A" w:rsidRPr="00FE6F22">
        <w:rPr>
          <w:rFonts w:ascii="Arial" w:hAnsi="Arial" w:cs="Arial"/>
          <w:sz w:val="24"/>
          <w:szCs w:val="24"/>
        </w:rPr>
        <w:t>sustainability</w:t>
      </w:r>
      <w:r w:rsidRPr="00FE6F22">
        <w:rPr>
          <w:rFonts w:ascii="Arial" w:hAnsi="Arial" w:cs="Arial"/>
          <w:sz w:val="24"/>
          <w:szCs w:val="24"/>
        </w:rPr>
        <w:t xml:space="preserve"> in executing the low cost model (</w:t>
      </w:r>
      <w:r w:rsidR="00D861D2" w:rsidRPr="00FE6F22">
        <w:rPr>
          <w:rFonts w:ascii="Arial" w:hAnsi="Arial" w:cs="Arial"/>
          <w:sz w:val="24"/>
          <w:szCs w:val="24"/>
        </w:rPr>
        <w:t>EasyJet</w:t>
      </w:r>
      <w:r w:rsidRPr="00FE6F22">
        <w:rPr>
          <w:rFonts w:ascii="Arial" w:hAnsi="Arial" w:cs="Arial"/>
          <w:sz w:val="24"/>
          <w:szCs w:val="24"/>
        </w:rPr>
        <w:t xml:space="preserve">, 2025). Regarding governance, the Anti-Bribery and Corruption Policy has a zero tolerance policy approach and requires mandatory training and a reporting mechanism that is </w:t>
      </w:r>
      <w:r w:rsidRPr="00FE6F22">
        <w:rPr>
          <w:rFonts w:ascii="Arial" w:hAnsi="Arial" w:cs="Arial"/>
          <w:sz w:val="24"/>
          <w:szCs w:val="24"/>
        </w:rPr>
        <w:lastRenderedPageBreak/>
        <w:t>confidential, eliminating legal and reputational risks (</w:t>
      </w:r>
      <w:r w:rsidR="00D861D2" w:rsidRPr="00FE6F22">
        <w:rPr>
          <w:rFonts w:ascii="Arial" w:hAnsi="Arial" w:cs="Arial"/>
          <w:sz w:val="24"/>
          <w:szCs w:val="24"/>
        </w:rPr>
        <w:t>EasyJet</w:t>
      </w:r>
      <w:r w:rsidRPr="00FE6F22">
        <w:rPr>
          <w:rFonts w:ascii="Arial" w:hAnsi="Arial" w:cs="Arial"/>
          <w:sz w:val="24"/>
          <w:szCs w:val="24"/>
        </w:rPr>
        <w:t>, 2025). The Anti-Fraud Policy indicates that the losses of frauds raise the costs, which are transferred to our customers, as well as our profits, which is why the ethical behaviour is monitored in connexion with financial performance (</w:t>
      </w:r>
      <w:r w:rsidR="00D861D2" w:rsidRPr="00FE6F22">
        <w:rPr>
          <w:rFonts w:ascii="Arial" w:hAnsi="Arial" w:cs="Arial"/>
          <w:sz w:val="24"/>
          <w:szCs w:val="24"/>
        </w:rPr>
        <w:t>EasyJet</w:t>
      </w:r>
      <w:r w:rsidRPr="00FE6F22">
        <w:rPr>
          <w:rFonts w:ascii="Arial" w:hAnsi="Arial" w:cs="Arial"/>
          <w:sz w:val="24"/>
          <w:szCs w:val="24"/>
        </w:rPr>
        <w:t>, 2022). The promise of becoming an employer of choice as a way of attracting talent is the key that the Bullying and Harassment Policy supports (</w:t>
      </w:r>
      <w:r w:rsidR="00D861D2" w:rsidRPr="00FE6F22">
        <w:rPr>
          <w:rFonts w:ascii="Arial" w:hAnsi="Arial" w:cs="Arial"/>
          <w:sz w:val="24"/>
          <w:szCs w:val="24"/>
        </w:rPr>
        <w:t>EasyJet</w:t>
      </w:r>
      <w:r w:rsidRPr="00FE6F22">
        <w:rPr>
          <w:rFonts w:ascii="Arial" w:hAnsi="Arial" w:cs="Arial"/>
          <w:sz w:val="24"/>
          <w:szCs w:val="24"/>
        </w:rPr>
        <w:t xml:space="preserve">, 2021; </w:t>
      </w:r>
      <w:r w:rsidR="00D861D2" w:rsidRPr="00FE6F22">
        <w:rPr>
          <w:rFonts w:ascii="Arial" w:hAnsi="Arial" w:cs="Arial"/>
          <w:sz w:val="24"/>
          <w:szCs w:val="24"/>
        </w:rPr>
        <w:t>EasyJet</w:t>
      </w:r>
      <w:r w:rsidRPr="00FE6F22">
        <w:rPr>
          <w:rFonts w:ascii="Arial" w:hAnsi="Arial" w:cs="Arial"/>
          <w:sz w:val="24"/>
          <w:szCs w:val="24"/>
        </w:rPr>
        <w:t xml:space="preserve">, 2025). There is however, a lack of policy-performance connexion. Whereas the modern slavery statements are published by </w:t>
      </w:r>
      <w:r w:rsidR="00D861D2" w:rsidRPr="00FE6F22">
        <w:rPr>
          <w:rFonts w:ascii="Arial" w:hAnsi="Arial" w:cs="Arial"/>
          <w:sz w:val="24"/>
          <w:szCs w:val="24"/>
        </w:rPr>
        <w:t>EasyJet</w:t>
      </w:r>
      <w:r w:rsidRPr="00FE6F22">
        <w:rPr>
          <w:rFonts w:ascii="Arial" w:hAnsi="Arial" w:cs="Arial"/>
          <w:sz w:val="24"/>
          <w:szCs w:val="24"/>
        </w:rPr>
        <w:t xml:space="preserve"> (</w:t>
      </w:r>
      <w:r w:rsidR="00D861D2" w:rsidRPr="00FE6F22">
        <w:rPr>
          <w:rFonts w:ascii="Arial" w:hAnsi="Arial" w:cs="Arial"/>
          <w:sz w:val="24"/>
          <w:szCs w:val="24"/>
        </w:rPr>
        <w:t>EasyJet</w:t>
      </w:r>
      <w:r w:rsidRPr="00FE6F22">
        <w:rPr>
          <w:rFonts w:ascii="Arial" w:hAnsi="Arial" w:cs="Arial"/>
          <w:sz w:val="24"/>
          <w:szCs w:val="24"/>
        </w:rPr>
        <w:t>, 2026), the French Gender Equality Index 2024 is at 77/100, with 0/10 of women in the top ten highest paid employees, indicating that the top level diversity remains a strategic issue (</w:t>
      </w:r>
      <w:r w:rsidR="00D861D2" w:rsidRPr="00FE6F22">
        <w:rPr>
          <w:rFonts w:ascii="Arial" w:hAnsi="Arial" w:cs="Arial"/>
          <w:sz w:val="24"/>
          <w:szCs w:val="24"/>
        </w:rPr>
        <w:t>EasyJet</w:t>
      </w:r>
      <w:r w:rsidRPr="00FE6F22">
        <w:rPr>
          <w:rFonts w:ascii="Arial" w:hAnsi="Arial" w:cs="Arial"/>
          <w:sz w:val="24"/>
          <w:szCs w:val="24"/>
        </w:rPr>
        <w:t xml:space="preserve">, 2025; </w:t>
      </w:r>
      <w:r w:rsidR="00D861D2" w:rsidRPr="00FE6F22">
        <w:rPr>
          <w:rFonts w:ascii="Arial" w:hAnsi="Arial" w:cs="Arial"/>
          <w:sz w:val="24"/>
          <w:szCs w:val="24"/>
        </w:rPr>
        <w:t>EasyJet</w:t>
      </w:r>
      <w:r w:rsidRPr="00FE6F22">
        <w:rPr>
          <w:rFonts w:ascii="Arial" w:hAnsi="Arial" w:cs="Arial"/>
          <w:sz w:val="24"/>
          <w:szCs w:val="24"/>
        </w:rPr>
        <w:t>, 2025).</w:t>
      </w:r>
    </w:p>
    <w:p w14:paraId="175335ED" w14:textId="77777777" w:rsidR="0003784D" w:rsidRPr="00FE6F22" w:rsidRDefault="0003784D" w:rsidP="00FE6F22">
      <w:pPr>
        <w:pStyle w:val="Heading2"/>
        <w:numPr>
          <w:ilvl w:val="0"/>
          <w:numId w:val="14"/>
        </w:numPr>
        <w:spacing w:line="360" w:lineRule="auto"/>
        <w:rPr>
          <w:rFonts w:ascii="Arial" w:hAnsi="Arial" w:cs="Arial"/>
          <w:sz w:val="24"/>
          <w:szCs w:val="24"/>
          <w:lang w:val="en-US"/>
        </w:rPr>
      </w:pPr>
      <w:bookmarkStart w:id="8" w:name="_Toc225456778"/>
      <w:r w:rsidRPr="00FE6F22">
        <w:rPr>
          <w:rFonts w:ascii="Arial" w:hAnsi="Arial" w:cs="Arial"/>
          <w:sz w:val="24"/>
          <w:szCs w:val="24"/>
          <w:lang w:val="en-US"/>
        </w:rPr>
        <w:t xml:space="preserve">Comprehensive </w:t>
      </w:r>
      <w:r w:rsidR="0022585A" w:rsidRPr="00FE6F22">
        <w:rPr>
          <w:rFonts w:ascii="Arial" w:hAnsi="Arial" w:cs="Arial"/>
          <w:sz w:val="24"/>
          <w:szCs w:val="24"/>
          <w:lang w:val="en-US"/>
        </w:rPr>
        <w:t>and Holistic View of the Organiz</w:t>
      </w:r>
      <w:r w:rsidRPr="00FE6F22">
        <w:rPr>
          <w:rFonts w:ascii="Arial" w:hAnsi="Arial" w:cs="Arial"/>
          <w:sz w:val="24"/>
          <w:szCs w:val="24"/>
          <w:lang w:val="en-US"/>
        </w:rPr>
        <w:t>ation: The Balanced Scorecard</w:t>
      </w:r>
      <w:bookmarkEnd w:id="8"/>
    </w:p>
    <w:p w14:paraId="6E4886A8" w14:textId="77777777" w:rsidR="0003784D" w:rsidRPr="00FE6F22" w:rsidRDefault="000755F5" w:rsidP="00FE6F22">
      <w:pPr>
        <w:spacing w:line="360" w:lineRule="auto"/>
        <w:jc w:val="both"/>
        <w:rPr>
          <w:rFonts w:ascii="Arial" w:hAnsi="Arial" w:cs="Arial"/>
          <w:sz w:val="24"/>
          <w:szCs w:val="24"/>
          <w:lang w:val="en-US"/>
        </w:rPr>
      </w:pPr>
      <w:r w:rsidRPr="00FE6F22">
        <w:rPr>
          <w:rFonts w:ascii="Arial" w:hAnsi="Arial" w:cs="Arial"/>
          <w:sz w:val="24"/>
          <w:szCs w:val="24"/>
        </w:rPr>
        <w:t xml:space="preserve">Balanced Scorecard (Kaplan and Norton, 1992) offers a unified conceptual framework of how the mission of the </w:t>
      </w:r>
      <w:r w:rsidR="00D861D2" w:rsidRPr="00FE6F22">
        <w:rPr>
          <w:rFonts w:ascii="Arial" w:hAnsi="Arial" w:cs="Arial"/>
          <w:sz w:val="24"/>
          <w:szCs w:val="24"/>
        </w:rPr>
        <w:t>EasyJet</w:t>
      </w:r>
      <w:r w:rsidRPr="00FE6F22">
        <w:rPr>
          <w:rFonts w:ascii="Arial" w:hAnsi="Arial" w:cs="Arial"/>
          <w:sz w:val="24"/>
          <w:szCs w:val="24"/>
        </w:rPr>
        <w:t>, which is to make low-cost travel easy, and its strategy of becoming the most loved airline in Europe can be translated into a logical system of performance measures in four central perspectives (</w:t>
      </w:r>
      <w:r w:rsidR="0014669C" w:rsidRPr="00FE6F22">
        <w:rPr>
          <w:rFonts w:ascii="Arial" w:hAnsi="Arial" w:cs="Arial"/>
          <w:sz w:val="24"/>
          <w:szCs w:val="24"/>
        </w:rPr>
        <w:t>EasyJet</w:t>
      </w:r>
      <w:r w:rsidRPr="00FE6F22">
        <w:rPr>
          <w:rFonts w:ascii="Arial" w:hAnsi="Arial" w:cs="Arial"/>
          <w:sz w:val="24"/>
          <w:szCs w:val="24"/>
        </w:rPr>
        <w:t>, 2025). Such a strategy strikes the right balance between financial performance and the future performance drivers</w:t>
      </w:r>
      <w:r w:rsidR="0003784D" w:rsidRPr="00FE6F22">
        <w:rPr>
          <w:rFonts w:ascii="Arial" w:hAnsi="Arial" w:cs="Arial"/>
          <w:sz w:val="24"/>
          <w:szCs w:val="24"/>
          <w:lang w:val="en-US"/>
        </w:rPr>
        <w:t>.</w:t>
      </w:r>
    </w:p>
    <w:p w14:paraId="6F62D8C2" w14:textId="77777777" w:rsidR="0003784D" w:rsidRPr="00FE6F22" w:rsidRDefault="0003784D" w:rsidP="00FE6F22">
      <w:pPr>
        <w:spacing w:line="360" w:lineRule="auto"/>
        <w:jc w:val="both"/>
        <w:rPr>
          <w:rFonts w:ascii="Arial" w:hAnsi="Arial" w:cs="Arial"/>
          <w:b/>
          <w:bCs/>
          <w:sz w:val="24"/>
          <w:szCs w:val="24"/>
          <w:lang w:val="en-US"/>
        </w:rPr>
      </w:pPr>
      <w:r w:rsidRPr="00FE6F22">
        <w:rPr>
          <w:rFonts w:ascii="Arial" w:hAnsi="Arial" w:cs="Arial"/>
          <w:b/>
          <w:bCs/>
          <w:sz w:val="24"/>
          <w:szCs w:val="24"/>
          <w:lang w:val="en-US"/>
        </w:rPr>
        <w:t>Financial Perspective</w:t>
      </w:r>
    </w:p>
    <w:p w14:paraId="3E2282E3" w14:textId="77777777" w:rsidR="00882934" w:rsidRPr="00FE6F22" w:rsidRDefault="000755F5" w:rsidP="00FE6F22">
      <w:pPr>
        <w:spacing w:line="360" w:lineRule="auto"/>
        <w:jc w:val="both"/>
        <w:rPr>
          <w:rFonts w:ascii="Arial" w:hAnsi="Arial" w:cs="Arial"/>
          <w:sz w:val="24"/>
          <w:szCs w:val="24"/>
        </w:rPr>
      </w:pPr>
      <w:r w:rsidRPr="00FE6F22">
        <w:rPr>
          <w:rFonts w:ascii="Arial" w:hAnsi="Arial" w:cs="Arial"/>
          <w:sz w:val="24"/>
          <w:szCs w:val="24"/>
        </w:rPr>
        <w:t>The financial goals of easy Jet are focused on providing sustainable profitability, high returns, and the value of shareholders. The first goal is to get a Group prof</w:t>
      </w:r>
      <w:r w:rsidR="00847998" w:rsidRPr="00FE6F22">
        <w:rPr>
          <w:rFonts w:ascii="Arial" w:hAnsi="Arial" w:cs="Arial"/>
          <w:sz w:val="24"/>
          <w:szCs w:val="24"/>
        </w:rPr>
        <w:t>it before tax (PBT) exceeding £</w:t>
      </w:r>
      <w:r w:rsidRPr="00FE6F22">
        <w:rPr>
          <w:rFonts w:ascii="Arial" w:hAnsi="Arial" w:cs="Arial"/>
          <w:sz w:val="24"/>
          <w:szCs w:val="24"/>
        </w:rPr>
        <w:t>1 billion, comp</w:t>
      </w:r>
      <w:r w:rsidR="00847998" w:rsidRPr="00FE6F22">
        <w:rPr>
          <w:rFonts w:ascii="Arial" w:hAnsi="Arial" w:cs="Arial"/>
          <w:sz w:val="24"/>
          <w:szCs w:val="24"/>
        </w:rPr>
        <w:t>lemented by mid-term goals of £7-£</w:t>
      </w:r>
      <w:r w:rsidRPr="00FE6F22">
        <w:rPr>
          <w:rFonts w:ascii="Arial" w:hAnsi="Arial" w:cs="Arial"/>
          <w:sz w:val="24"/>
          <w:szCs w:val="24"/>
        </w:rPr>
        <w:t>10 PBT per seat, and a high-teen return on capital employed (ROCE) (</w:t>
      </w:r>
      <w:r w:rsidR="00D861D2" w:rsidRPr="00FE6F22">
        <w:rPr>
          <w:rFonts w:ascii="Arial" w:hAnsi="Arial" w:cs="Arial"/>
          <w:sz w:val="24"/>
          <w:szCs w:val="24"/>
        </w:rPr>
        <w:t>EasyJet</w:t>
      </w:r>
      <w:r w:rsidRPr="00FE6F22">
        <w:rPr>
          <w:rFonts w:ascii="Arial" w:hAnsi="Arial" w:cs="Arial"/>
          <w:sz w:val="24"/>
          <w:szCs w:val="24"/>
        </w:rPr>
        <w:t xml:space="preserve">, 2025). Key performance indicators (KPIs) reflect improvement: headline PBT </w:t>
      </w:r>
      <w:r w:rsidR="00847998" w:rsidRPr="00FE6F22">
        <w:rPr>
          <w:rFonts w:ascii="Arial" w:hAnsi="Arial" w:cs="Arial"/>
          <w:sz w:val="24"/>
          <w:szCs w:val="24"/>
        </w:rPr>
        <w:t>has increased by 9% to £</w:t>
      </w:r>
      <w:r w:rsidRPr="00FE6F22">
        <w:rPr>
          <w:rFonts w:ascii="Arial" w:hAnsi="Arial" w:cs="Arial"/>
          <w:sz w:val="24"/>
          <w:szCs w:val="24"/>
        </w:rPr>
        <w:t>665 million in 2025, and ROCE stood at 18.0, which is in line with</w:t>
      </w:r>
      <w:r w:rsidR="00882934" w:rsidRPr="00FE6F22">
        <w:rPr>
          <w:rFonts w:ascii="Arial" w:hAnsi="Arial" w:cs="Arial"/>
          <w:sz w:val="24"/>
          <w:szCs w:val="24"/>
        </w:rPr>
        <w:t xml:space="preserve"> the target of the high teens (E</w:t>
      </w:r>
      <w:r w:rsidRPr="00FE6F22">
        <w:rPr>
          <w:rFonts w:ascii="Arial" w:hAnsi="Arial" w:cs="Arial"/>
          <w:sz w:val="24"/>
          <w:szCs w:val="24"/>
        </w:rPr>
        <w:t>as</w:t>
      </w:r>
      <w:r w:rsidR="00882934" w:rsidRPr="00FE6F22">
        <w:rPr>
          <w:rFonts w:ascii="Arial" w:hAnsi="Arial" w:cs="Arial"/>
          <w:sz w:val="24"/>
          <w:szCs w:val="24"/>
        </w:rPr>
        <w:t>y</w:t>
      </w:r>
      <w:r w:rsidR="0035326E" w:rsidRPr="00FE6F22">
        <w:rPr>
          <w:rFonts w:ascii="Arial" w:hAnsi="Arial" w:cs="Arial"/>
          <w:sz w:val="24"/>
          <w:szCs w:val="24"/>
        </w:rPr>
        <w:t>Jet, 2025</w:t>
      </w:r>
      <w:r w:rsidRPr="00FE6F22">
        <w:rPr>
          <w:rFonts w:ascii="Arial" w:hAnsi="Arial" w:cs="Arial"/>
          <w:sz w:val="24"/>
          <w:szCs w:val="24"/>
        </w:rPr>
        <w:t xml:space="preserve">). The most important undertaking to push this is the expansion of </w:t>
      </w:r>
      <w:r w:rsidR="00D861D2" w:rsidRPr="00FE6F22">
        <w:rPr>
          <w:rFonts w:ascii="Arial" w:hAnsi="Arial" w:cs="Arial"/>
          <w:sz w:val="24"/>
          <w:szCs w:val="24"/>
        </w:rPr>
        <w:t>EasyJet</w:t>
      </w:r>
      <w:r w:rsidRPr="00FE6F22">
        <w:rPr>
          <w:rFonts w:ascii="Arial" w:hAnsi="Arial" w:cs="Arial"/>
          <w:sz w:val="24"/>
          <w:szCs w:val="24"/>
        </w:rPr>
        <w:t xml:space="preserve"> holidays, </w:t>
      </w:r>
      <w:r w:rsidR="00882934" w:rsidRPr="00FE6F22">
        <w:rPr>
          <w:rFonts w:ascii="Arial" w:hAnsi="Arial" w:cs="Arial"/>
          <w:sz w:val="24"/>
          <w:szCs w:val="24"/>
        </w:rPr>
        <w:t>which has already reached its £</w:t>
      </w:r>
      <w:r w:rsidRPr="00FE6F22">
        <w:rPr>
          <w:rFonts w:ascii="Arial" w:hAnsi="Arial" w:cs="Arial"/>
          <w:sz w:val="24"/>
          <w:szCs w:val="24"/>
        </w:rPr>
        <w:t>250 million PBT target in two year</w:t>
      </w:r>
      <w:r w:rsidR="0035326E" w:rsidRPr="00FE6F22">
        <w:rPr>
          <w:rFonts w:ascii="Arial" w:hAnsi="Arial" w:cs="Arial"/>
          <w:sz w:val="24"/>
          <w:szCs w:val="24"/>
        </w:rPr>
        <w:t>s hence an upgraded target of £</w:t>
      </w:r>
      <w:r w:rsidRPr="00FE6F22">
        <w:rPr>
          <w:rFonts w:ascii="Arial" w:hAnsi="Arial" w:cs="Arial"/>
          <w:sz w:val="24"/>
          <w:szCs w:val="24"/>
        </w:rPr>
        <w:t>450 million by 2030 (</w:t>
      </w:r>
      <w:r w:rsidR="00D861D2" w:rsidRPr="00FE6F22">
        <w:rPr>
          <w:rFonts w:ascii="Arial" w:hAnsi="Arial" w:cs="Arial"/>
          <w:sz w:val="24"/>
          <w:szCs w:val="24"/>
        </w:rPr>
        <w:t>EasyJet</w:t>
      </w:r>
      <w:r w:rsidR="0035326E" w:rsidRPr="00FE6F22">
        <w:rPr>
          <w:rFonts w:ascii="Arial" w:hAnsi="Arial" w:cs="Arial"/>
          <w:sz w:val="24"/>
          <w:szCs w:val="24"/>
        </w:rPr>
        <w:t>, 2025</w:t>
      </w:r>
      <w:r w:rsidRPr="00FE6F22">
        <w:rPr>
          <w:rFonts w:ascii="Arial" w:hAnsi="Arial" w:cs="Arial"/>
          <w:sz w:val="24"/>
          <w:szCs w:val="24"/>
        </w:rPr>
        <w:t xml:space="preserve">). </w:t>
      </w:r>
    </w:p>
    <w:p w14:paraId="4D041468" w14:textId="77777777" w:rsidR="0003784D" w:rsidRPr="00FE6F22" w:rsidRDefault="0003784D" w:rsidP="00FE6F22">
      <w:pPr>
        <w:spacing w:line="360" w:lineRule="auto"/>
        <w:jc w:val="both"/>
        <w:rPr>
          <w:rFonts w:ascii="Arial" w:hAnsi="Arial" w:cs="Arial"/>
          <w:b/>
          <w:bCs/>
          <w:sz w:val="24"/>
          <w:szCs w:val="24"/>
          <w:lang w:val="en-US"/>
        </w:rPr>
      </w:pPr>
      <w:r w:rsidRPr="00FE6F22">
        <w:rPr>
          <w:rFonts w:ascii="Arial" w:hAnsi="Arial" w:cs="Arial"/>
          <w:b/>
          <w:bCs/>
          <w:sz w:val="24"/>
          <w:szCs w:val="24"/>
          <w:lang w:val="en-US"/>
        </w:rPr>
        <w:t>Customer Perspective</w:t>
      </w:r>
    </w:p>
    <w:p w14:paraId="308FC0BC" w14:textId="77777777" w:rsidR="000755F5" w:rsidRPr="00FE6F22" w:rsidRDefault="000755F5" w:rsidP="00FE6F22">
      <w:pPr>
        <w:spacing w:line="360" w:lineRule="auto"/>
        <w:jc w:val="both"/>
        <w:rPr>
          <w:rFonts w:ascii="Arial" w:hAnsi="Arial" w:cs="Arial"/>
          <w:sz w:val="24"/>
          <w:szCs w:val="24"/>
        </w:rPr>
      </w:pPr>
      <w:r w:rsidRPr="00FE6F22">
        <w:rPr>
          <w:rFonts w:ascii="Arial" w:hAnsi="Arial" w:cs="Arial"/>
          <w:sz w:val="24"/>
          <w:szCs w:val="24"/>
        </w:rPr>
        <w:t xml:space="preserve">Customer perspective aims at providing a unique, reliable and value-based experience that leads to a sense of loyalty. The fundamental aim is to be the market of choice when it comes to short-haul flights within Europe. Customer satisfaction is the main </w:t>
      </w:r>
      <w:r w:rsidRPr="00FE6F22">
        <w:rPr>
          <w:rFonts w:ascii="Arial" w:hAnsi="Arial" w:cs="Arial"/>
          <w:sz w:val="24"/>
          <w:szCs w:val="24"/>
        </w:rPr>
        <w:lastRenderedPageBreak/>
        <w:t>KPI that will reach 80% in 2025, the highest point in more than a decade, which will directly support the mission to make travel easy (</w:t>
      </w:r>
      <w:r w:rsidR="00D861D2" w:rsidRPr="00FE6F22">
        <w:rPr>
          <w:rFonts w:ascii="Arial" w:hAnsi="Arial" w:cs="Arial"/>
          <w:sz w:val="24"/>
          <w:szCs w:val="24"/>
        </w:rPr>
        <w:t>EasyJet</w:t>
      </w:r>
      <w:r w:rsidR="00480122" w:rsidRPr="00FE6F22">
        <w:rPr>
          <w:rFonts w:ascii="Arial" w:hAnsi="Arial" w:cs="Arial"/>
          <w:sz w:val="24"/>
          <w:szCs w:val="24"/>
        </w:rPr>
        <w:t>, 2025</w:t>
      </w:r>
      <w:r w:rsidRPr="00FE6F22">
        <w:rPr>
          <w:rFonts w:ascii="Arial" w:hAnsi="Arial" w:cs="Arial"/>
          <w:sz w:val="24"/>
          <w:szCs w:val="24"/>
        </w:rPr>
        <w:t>). Customer loyalty is a</w:t>
      </w:r>
      <w:r w:rsidR="00480122" w:rsidRPr="00FE6F22">
        <w:rPr>
          <w:rFonts w:ascii="Arial" w:hAnsi="Arial" w:cs="Arial"/>
          <w:sz w:val="24"/>
          <w:szCs w:val="24"/>
        </w:rPr>
        <w:t xml:space="preserve">lso another crucial KPI with 74% </w:t>
      </w:r>
      <w:r w:rsidRPr="00FE6F22">
        <w:rPr>
          <w:rFonts w:ascii="Arial" w:hAnsi="Arial" w:cs="Arial"/>
          <w:sz w:val="24"/>
          <w:szCs w:val="24"/>
        </w:rPr>
        <w:t>of customers coming back within two years, which proves the efficiency of its service and network (</w:t>
      </w:r>
      <w:r w:rsidR="00D861D2" w:rsidRPr="00FE6F22">
        <w:rPr>
          <w:rFonts w:ascii="Arial" w:hAnsi="Arial" w:cs="Arial"/>
          <w:sz w:val="24"/>
          <w:szCs w:val="24"/>
        </w:rPr>
        <w:t>EasyJet</w:t>
      </w:r>
      <w:r w:rsidR="00480122" w:rsidRPr="00FE6F22">
        <w:rPr>
          <w:rFonts w:ascii="Arial" w:hAnsi="Arial" w:cs="Arial"/>
          <w:sz w:val="24"/>
          <w:szCs w:val="24"/>
        </w:rPr>
        <w:t>, 2025</w:t>
      </w:r>
      <w:r w:rsidRPr="00FE6F22">
        <w:rPr>
          <w:rFonts w:ascii="Arial" w:hAnsi="Arial" w:cs="Arial"/>
          <w:sz w:val="24"/>
          <w:szCs w:val="24"/>
        </w:rPr>
        <w:t>). The ease of the easy Jet holidays platform is also tailored to satisfy the leisure customers need of seamless value-added packages.</w:t>
      </w:r>
    </w:p>
    <w:p w14:paraId="15E1B5CE" w14:textId="77777777" w:rsidR="0003784D" w:rsidRPr="00FE6F22" w:rsidRDefault="0003784D" w:rsidP="00FE6F22">
      <w:pPr>
        <w:spacing w:line="360" w:lineRule="auto"/>
        <w:jc w:val="both"/>
        <w:rPr>
          <w:rFonts w:ascii="Arial" w:hAnsi="Arial" w:cs="Arial"/>
          <w:b/>
          <w:bCs/>
          <w:sz w:val="24"/>
          <w:szCs w:val="24"/>
          <w:lang w:val="en-US"/>
        </w:rPr>
      </w:pPr>
      <w:r w:rsidRPr="00FE6F22">
        <w:rPr>
          <w:rFonts w:ascii="Arial" w:hAnsi="Arial" w:cs="Arial"/>
          <w:b/>
          <w:bCs/>
          <w:sz w:val="24"/>
          <w:szCs w:val="24"/>
          <w:lang w:val="en-US"/>
        </w:rPr>
        <w:t>Internal Business Processes Perspective</w:t>
      </w:r>
    </w:p>
    <w:p w14:paraId="0F085A95" w14:textId="77777777" w:rsidR="00503E84" w:rsidRPr="00FE6F22" w:rsidRDefault="008977D7" w:rsidP="00FE6F22">
      <w:pPr>
        <w:spacing w:line="360" w:lineRule="auto"/>
        <w:jc w:val="both"/>
        <w:rPr>
          <w:rFonts w:ascii="Arial" w:hAnsi="Arial" w:cs="Arial"/>
          <w:sz w:val="24"/>
          <w:szCs w:val="24"/>
        </w:rPr>
      </w:pPr>
      <w:r w:rsidRPr="00FE6F22">
        <w:rPr>
          <w:rFonts w:ascii="Arial" w:hAnsi="Arial" w:cs="Arial"/>
          <w:sz w:val="24"/>
          <w:szCs w:val="24"/>
        </w:rPr>
        <w:t>This view is assessed in terms of efficiency and effectiveness of processes used to provide customer and financial results. One of the main goals is keeping the low-cost structure with keeping the operations reliable. Cost efficiency KPI, which is airline cost per available seat kilometre (CA</w:t>
      </w:r>
      <w:r w:rsidR="00432714" w:rsidRPr="00FE6F22">
        <w:rPr>
          <w:rFonts w:ascii="Arial" w:hAnsi="Arial" w:cs="Arial"/>
          <w:sz w:val="24"/>
          <w:szCs w:val="24"/>
        </w:rPr>
        <w:t xml:space="preserve">SK) without fuel, improved by 1% </w:t>
      </w:r>
      <w:r w:rsidRPr="00FE6F22">
        <w:rPr>
          <w:rFonts w:ascii="Arial" w:hAnsi="Arial" w:cs="Arial"/>
          <w:sz w:val="24"/>
          <w:szCs w:val="24"/>
        </w:rPr>
        <w:t>in 2025 to 4.46p as a result of the effects of strategies of high aircraft utilisation and single fleet type (</w:t>
      </w:r>
      <w:r w:rsidR="00D861D2" w:rsidRPr="00FE6F22">
        <w:rPr>
          <w:rFonts w:ascii="Arial" w:hAnsi="Arial" w:cs="Arial"/>
          <w:sz w:val="24"/>
          <w:szCs w:val="24"/>
        </w:rPr>
        <w:t>EasyJet</w:t>
      </w:r>
      <w:r w:rsidRPr="00FE6F22">
        <w:rPr>
          <w:rFonts w:ascii="Arial" w:hAnsi="Arial" w:cs="Arial"/>
          <w:sz w:val="24"/>
          <w:szCs w:val="24"/>
        </w:rPr>
        <w:t xml:space="preserve">, 2025). Fleet modernisation is also another important internal process, and 17 new A320neo aircraft are planned to be received in FY26 which has a direct impact on fuel efficiency and unit costs </w:t>
      </w:r>
      <w:r w:rsidR="00C55451" w:rsidRPr="00FE6F22">
        <w:rPr>
          <w:rFonts w:ascii="Arial" w:hAnsi="Arial" w:cs="Arial"/>
          <w:sz w:val="24"/>
          <w:szCs w:val="24"/>
        </w:rPr>
        <w:t>reduction (EasyJet, 2025</w:t>
      </w:r>
      <w:r w:rsidRPr="00FE6F22">
        <w:rPr>
          <w:rFonts w:ascii="Arial" w:hAnsi="Arial" w:cs="Arial"/>
          <w:sz w:val="24"/>
          <w:szCs w:val="24"/>
        </w:rPr>
        <w:t xml:space="preserve">). </w:t>
      </w:r>
    </w:p>
    <w:p w14:paraId="4E87C930" w14:textId="77777777" w:rsidR="0003784D" w:rsidRPr="00FE6F22" w:rsidRDefault="0003784D" w:rsidP="00FE6F22">
      <w:pPr>
        <w:spacing w:line="360" w:lineRule="auto"/>
        <w:jc w:val="both"/>
        <w:rPr>
          <w:rFonts w:ascii="Arial" w:hAnsi="Arial" w:cs="Arial"/>
          <w:b/>
          <w:bCs/>
          <w:sz w:val="24"/>
          <w:szCs w:val="24"/>
          <w:lang w:val="en-US"/>
        </w:rPr>
      </w:pPr>
      <w:r w:rsidRPr="00FE6F22">
        <w:rPr>
          <w:rFonts w:ascii="Arial" w:hAnsi="Arial" w:cs="Arial"/>
          <w:b/>
          <w:bCs/>
          <w:sz w:val="24"/>
          <w:szCs w:val="24"/>
          <w:lang w:val="en-US"/>
        </w:rPr>
        <w:t>Learning and Growth Perspective</w:t>
      </w:r>
    </w:p>
    <w:p w14:paraId="4A3E2615" w14:textId="77777777" w:rsidR="00503E84" w:rsidRPr="00FE6F22" w:rsidRDefault="003173F9" w:rsidP="00FE6F22">
      <w:pPr>
        <w:spacing w:line="360" w:lineRule="auto"/>
        <w:jc w:val="both"/>
        <w:rPr>
          <w:rFonts w:ascii="Arial" w:hAnsi="Arial" w:cs="Arial"/>
          <w:sz w:val="24"/>
          <w:szCs w:val="24"/>
        </w:rPr>
      </w:pPr>
      <w:r w:rsidRPr="00FE6F22">
        <w:rPr>
          <w:rFonts w:ascii="Arial" w:hAnsi="Arial" w:cs="Arial"/>
          <w:sz w:val="24"/>
          <w:szCs w:val="24"/>
        </w:rPr>
        <w:t>It is a viewpoint based on intangible resources that form the success of a business in the long-term: people, culture, and innovation. It aims to become the place to work in Europe that the most talented, engaged, and diverse workforce would want to work (</w:t>
      </w:r>
      <w:r w:rsidR="00D861D2" w:rsidRPr="00FE6F22">
        <w:rPr>
          <w:rFonts w:ascii="Arial" w:hAnsi="Arial" w:cs="Arial"/>
          <w:sz w:val="24"/>
          <w:szCs w:val="24"/>
        </w:rPr>
        <w:t>EasyJet</w:t>
      </w:r>
      <w:r w:rsidRPr="00FE6F22">
        <w:rPr>
          <w:rFonts w:ascii="Arial" w:hAnsi="Arial" w:cs="Arial"/>
          <w:sz w:val="24"/>
          <w:szCs w:val="24"/>
        </w:rPr>
        <w:t>, 2025). One of the most essential KPIs is the engagement of the employees, which is supported by the initiatives like the newly created recognition portal and the annual Spirit Awards which reinforces a culture that goes in line with the company values of being safe, welcoming, bold, and challenging (</w:t>
      </w:r>
      <w:r w:rsidR="00D861D2" w:rsidRPr="00FE6F22">
        <w:rPr>
          <w:rFonts w:ascii="Arial" w:hAnsi="Arial" w:cs="Arial"/>
          <w:sz w:val="24"/>
          <w:szCs w:val="24"/>
        </w:rPr>
        <w:t>EasyJet</w:t>
      </w:r>
      <w:r w:rsidRPr="00FE6F22">
        <w:rPr>
          <w:rFonts w:ascii="Arial" w:hAnsi="Arial" w:cs="Arial"/>
          <w:sz w:val="24"/>
          <w:szCs w:val="24"/>
        </w:rPr>
        <w:t>, 2025). Diversity and inclusion are reflected in such policies as the Bullying and Harassment Policy, which is used to create a welcoming and secure environment, and the emphasis on gender pay transparency, yet the score on French Gender Equality Index of 77/100 (including the 0/10 score on female representation in the top pay) is a sign that a particular area needs more strategic efforts (</w:t>
      </w:r>
      <w:r w:rsidR="00D861D2" w:rsidRPr="00FE6F22">
        <w:rPr>
          <w:rFonts w:ascii="Arial" w:hAnsi="Arial" w:cs="Arial"/>
          <w:sz w:val="24"/>
          <w:szCs w:val="24"/>
        </w:rPr>
        <w:t>EasyJet</w:t>
      </w:r>
      <w:r w:rsidR="00503E84" w:rsidRPr="00FE6F22">
        <w:rPr>
          <w:rFonts w:ascii="Arial" w:hAnsi="Arial" w:cs="Arial"/>
          <w:sz w:val="24"/>
          <w:szCs w:val="24"/>
        </w:rPr>
        <w:t>, 2021</w:t>
      </w:r>
      <w:r w:rsidRPr="00FE6F22">
        <w:rPr>
          <w:rFonts w:ascii="Arial" w:hAnsi="Arial" w:cs="Arial"/>
          <w:sz w:val="24"/>
          <w:szCs w:val="24"/>
        </w:rPr>
        <w:t xml:space="preserve">; </w:t>
      </w:r>
      <w:r w:rsidR="00D861D2" w:rsidRPr="00FE6F22">
        <w:rPr>
          <w:rFonts w:ascii="Arial" w:hAnsi="Arial" w:cs="Arial"/>
          <w:sz w:val="24"/>
          <w:szCs w:val="24"/>
        </w:rPr>
        <w:t>EasyJet</w:t>
      </w:r>
      <w:r w:rsidR="00503E84" w:rsidRPr="00FE6F22">
        <w:rPr>
          <w:rFonts w:ascii="Arial" w:hAnsi="Arial" w:cs="Arial"/>
          <w:sz w:val="24"/>
          <w:szCs w:val="24"/>
        </w:rPr>
        <w:t>, 2025</w:t>
      </w:r>
      <w:r w:rsidRPr="00FE6F22">
        <w:rPr>
          <w:rFonts w:ascii="Arial" w:hAnsi="Arial" w:cs="Arial"/>
          <w:sz w:val="24"/>
          <w:szCs w:val="24"/>
        </w:rPr>
        <w:t xml:space="preserve">). </w:t>
      </w:r>
    </w:p>
    <w:p w14:paraId="4D47BFD5" w14:textId="77777777" w:rsidR="00FB4539" w:rsidRPr="00FE6F22" w:rsidRDefault="00FB4539" w:rsidP="00FE6F22">
      <w:pPr>
        <w:pStyle w:val="Heading2"/>
        <w:numPr>
          <w:ilvl w:val="0"/>
          <w:numId w:val="14"/>
        </w:numPr>
        <w:spacing w:line="360" w:lineRule="auto"/>
        <w:rPr>
          <w:rFonts w:ascii="Arial" w:hAnsi="Arial" w:cs="Arial"/>
          <w:sz w:val="24"/>
          <w:szCs w:val="24"/>
          <w:lang w:val="en-US"/>
        </w:rPr>
      </w:pPr>
      <w:bookmarkStart w:id="9" w:name="_Toc225456779"/>
      <w:r w:rsidRPr="00FE6F22">
        <w:rPr>
          <w:rFonts w:ascii="Arial" w:hAnsi="Arial" w:cs="Arial"/>
          <w:sz w:val="24"/>
          <w:szCs w:val="24"/>
          <w:lang w:val="en-US"/>
        </w:rPr>
        <w:t>Strategic Choices and Implementation</w:t>
      </w:r>
      <w:bookmarkEnd w:id="9"/>
    </w:p>
    <w:p w14:paraId="54971DCD" w14:textId="77777777" w:rsidR="00EE34E7" w:rsidRPr="00FE6F22" w:rsidRDefault="002505C9" w:rsidP="00FE6F22">
      <w:pPr>
        <w:spacing w:line="360" w:lineRule="auto"/>
        <w:jc w:val="both"/>
        <w:rPr>
          <w:rFonts w:ascii="Arial" w:hAnsi="Arial" w:cs="Arial"/>
          <w:sz w:val="24"/>
          <w:szCs w:val="24"/>
        </w:rPr>
      </w:pPr>
      <w:r w:rsidRPr="00FE6F22">
        <w:rPr>
          <w:rFonts w:ascii="Arial" w:hAnsi="Arial" w:cs="Arial"/>
          <w:sz w:val="24"/>
          <w:szCs w:val="24"/>
        </w:rPr>
        <w:t>E</w:t>
      </w:r>
      <w:r w:rsidR="00322000" w:rsidRPr="00FE6F22">
        <w:rPr>
          <w:rFonts w:ascii="Arial" w:hAnsi="Arial" w:cs="Arial"/>
          <w:sz w:val="24"/>
          <w:szCs w:val="24"/>
        </w:rPr>
        <w:t>asy</w:t>
      </w:r>
      <w:r w:rsidRPr="00FE6F22">
        <w:rPr>
          <w:rFonts w:ascii="Arial" w:hAnsi="Arial" w:cs="Arial"/>
          <w:sz w:val="24"/>
          <w:szCs w:val="24"/>
        </w:rPr>
        <w:t>Je</w:t>
      </w:r>
      <w:r w:rsidR="00322000" w:rsidRPr="00FE6F22">
        <w:rPr>
          <w:rFonts w:ascii="Arial" w:hAnsi="Arial" w:cs="Arial"/>
          <w:sz w:val="24"/>
          <w:szCs w:val="24"/>
        </w:rPr>
        <w:t xml:space="preserve">t is a high-competitive airline within the European low cost short-haul industry, and strategic positioning is an essential survival and growth factor (CAPA, 2023). At the firm level, the firm is confronted with an old dilemma on whether to pursue cost </w:t>
      </w:r>
      <w:r w:rsidR="00322000" w:rsidRPr="00FE6F22">
        <w:rPr>
          <w:rFonts w:ascii="Arial" w:hAnsi="Arial" w:cs="Arial"/>
          <w:sz w:val="24"/>
          <w:szCs w:val="24"/>
        </w:rPr>
        <w:lastRenderedPageBreak/>
        <w:t>leadership or differentiation (Porter, 1980). easy jet has strategically responded by adopting a hybrid approach of combining operational rigour of a low-cost carrier (LCC) and service and network differentiation (</w:t>
      </w:r>
      <w:r w:rsidR="00D861D2" w:rsidRPr="00FE6F22">
        <w:rPr>
          <w:rFonts w:ascii="Arial" w:hAnsi="Arial" w:cs="Arial"/>
          <w:sz w:val="24"/>
          <w:szCs w:val="24"/>
        </w:rPr>
        <w:t>EasyJet</w:t>
      </w:r>
      <w:r w:rsidR="00F676EC" w:rsidRPr="00FE6F22">
        <w:rPr>
          <w:rFonts w:ascii="Arial" w:hAnsi="Arial" w:cs="Arial"/>
          <w:sz w:val="24"/>
          <w:szCs w:val="24"/>
        </w:rPr>
        <w:t>, 2026</w:t>
      </w:r>
      <w:r w:rsidR="00322000" w:rsidRPr="00FE6F22">
        <w:rPr>
          <w:rFonts w:ascii="Arial" w:hAnsi="Arial" w:cs="Arial"/>
          <w:sz w:val="24"/>
          <w:szCs w:val="24"/>
        </w:rPr>
        <w:t>). Its single fleet of Airbus A320s, asset utilisation and direct distribution model are the evaluation of the core of its cost leadership resulting in a 1% cost per available seat kilometre (CASK) exclu</w:t>
      </w:r>
      <w:r w:rsidR="0051244D" w:rsidRPr="00FE6F22">
        <w:rPr>
          <w:rFonts w:ascii="Arial" w:hAnsi="Arial" w:cs="Arial"/>
          <w:sz w:val="24"/>
          <w:szCs w:val="24"/>
        </w:rPr>
        <w:t>ding fuel improvement in 2025 (EasyJet, 2025</w:t>
      </w:r>
      <w:r w:rsidR="00322000" w:rsidRPr="00FE6F22">
        <w:rPr>
          <w:rFonts w:ascii="Arial" w:hAnsi="Arial" w:cs="Arial"/>
          <w:sz w:val="24"/>
          <w:szCs w:val="24"/>
        </w:rPr>
        <w:t>). At the same time, it stands out by operating on primary, slot-constrained airports such as London Gatwick and Milan Linate that are more convenient than others, such as Ryanair, which frequently use secondary airports (</w:t>
      </w:r>
      <w:r w:rsidR="00D861D2" w:rsidRPr="00FE6F22">
        <w:rPr>
          <w:rFonts w:ascii="Arial" w:hAnsi="Arial" w:cs="Arial"/>
          <w:sz w:val="24"/>
          <w:szCs w:val="24"/>
        </w:rPr>
        <w:t>EasyJet</w:t>
      </w:r>
      <w:r w:rsidR="00BF19FA" w:rsidRPr="00FE6F22">
        <w:rPr>
          <w:rFonts w:ascii="Arial" w:hAnsi="Arial" w:cs="Arial"/>
          <w:sz w:val="24"/>
          <w:szCs w:val="24"/>
        </w:rPr>
        <w:t>, 2025</w:t>
      </w:r>
      <w:r w:rsidR="00322000" w:rsidRPr="00FE6F22">
        <w:rPr>
          <w:rFonts w:ascii="Arial" w:hAnsi="Arial" w:cs="Arial"/>
          <w:sz w:val="24"/>
          <w:szCs w:val="24"/>
        </w:rPr>
        <w:t xml:space="preserve">). </w:t>
      </w:r>
    </w:p>
    <w:p w14:paraId="445F2FFE" w14:textId="77777777" w:rsidR="00FB4539" w:rsidRPr="00FE6F22" w:rsidRDefault="005B5703" w:rsidP="00FE6F22">
      <w:pPr>
        <w:spacing w:line="360" w:lineRule="auto"/>
        <w:jc w:val="both"/>
        <w:rPr>
          <w:rFonts w:ascii="Arial" w:hAnsi="Arial" w:cs="Arial"/>
          <w:sz w:val="24"/>
          <w:szCs w:val="24"/>
          <w:lang w:val="en-US"/>
        </w:rPr>
      </w:pPr>
      <w:r w:rsidRPr="00FE6F22">
        <w:rPr>
          <w:rFonts w:ascii="Arial" w:hAnsi="Arial" w:cs="Arial"/>
          <w:sz w:val="24"/>
          <w:szCs w:val="24"/>
        </w:rPr>
        <w:t>Easy jet has engaged in similar diversification and targeted international expansion at the corporate level. The development of easy Jet holidays, which is a package holiday business utilising the airline brand, network, and customer base has been the most important strateg</w:t>
      </w:r>
      <w:r w:rsidR="00BF19FA" w:rsidRPr="00FE6F22">
        <w:rPr>
          <w:rFonts w:ascii="Arial" w:hAnsi="Arial" w:cs="Arial"/>
          <w:sz w:val="24"/>
          <w:szCs w:val="24"/>
        </w:rPr>
        <w:t>ic decision (EasyJet, 2025</w:t>
      </w:r>
      <w:r w:rsidRPr="00FE6F22">
        <w:rPr>
          <w:rFonts w:ascii="Arial" w:hAnsi="Arial" w:cs="Arial"/>
          <w:sz w:val="24"/>
          <w:szCs w:val="24"/>
        </w:rPr>
        <w:t>). In the international arena, their strategic decision after Brexit was to set up the easy Jet Europe in Austria, where it obtained an Air Operator Certificate (AOC) in the EU to retain their rights to operate in pan-European network (</w:t>
      </w:r>
      <w:r w:rsidR="00D861D2" w:rsidRPr="00FE6F22">
        <w:rPr>
          <w:rFonts w:ascii="Arial" w:hAnsi="Arial" w:cs="Arial"/>
          <w:sz w:val="24"/>
          <w:szCs w:val="24"/>
        </w:rPr>
        <w:t>EasyJet</w:t>
      </w:r>
      <w:r w:rsidRPr="00FE6F22">
        <w:rPr>
          <w:rFonts w:ascii="Arial" w:hAnsi="Arial" w:cs="Arial"/>
          <w:sz w:val="24"/>
          <w:szCs w:val="24"/>
        </w:rPr>
        <w:t>, 2025). This was a desperate defensive step to reduce the geopolitical risk</w:t>
      </w:r>
      <w:r w:rsidR="00FB4539" w:rsidRPr="00FE6F22">
        <w:rPr>
          <w:rFonts w:ascii="Arial" w:hAnsi="Arial" w:cs="Arial"/>
          <w:sz w:val="24"/>
          <w:szCs w:val="24"/>
          <w:lang w:val="en-US"/>
        </w:rPr>
        <w:t>.</w:t>
      </w:r>
    </w:p>
    <w:p w14:paraId="12C0FA0B" w14:textId="77777777" w:rsidR="00EE34E7" w:rsidRPr="00FE6F22" w:rsidRDefault="00FB4539" w:rsidP="00FE6F22">
      <w:pPr>
        <w:spacing w:line="360" w:lineRule="auto"/>
        <w:jc w:val="both"/>
        <w:rPr>
          <w:rFonts w:ascii="Arial" w:hAnsi="Arial" w:cs="Arial"/>
          <w:sz w:val="24"/>
          <w:szCs w:val="24"/>
        </w:rPr>
      </w:pPr>
      <w:r w:rsidRPr="00FE6F22">
        <w:rPr>
          <w:rFonts w:ascii="Arial" w:hAnsi="Arial" w:cs="Arial"/>
          <w:b/>
          <w:bCs/>
          <w:sz w:val="24"/>
          <w:szCs w:val="24"/>
          <w:lang w:val="en-US"/>
        </w:rPr>
        <w:t>Recommendation:</w:t>
      </w:r>
      <w:r w:rsidRPr="00FE6F22">
        <w:rPr>
          <w:rFonts w:ascii="Arial" w:hAnsi="Arial" w:cs="Arial"/>
          <w:sz w:val="24"/>
          <w:szCs w:val="24"/>
          <w:lang w:val="en-US"/>
        </w:rPr>
        <w:t> </w:t>
      </w:r>
      <w:r w:rsidR="008656DE" w:rsidRPr="00FE6F22">
        <w:rPr>
          <w:rFonts w:ascii="Arial" w:hAnsi="Arial" w:cs="Arial"/>
          <w:sz w:val="24"/>
          <w:szCs w:val="24"/>
        </w:rPr>
        <w:t xml:space="preserve">I would suggest that </w:t>
      </w:r>
      <w:r w:rsidR="00D861D2" w:rsidRPr="00FE6F22">
        <w:rPr>
          <w:rFonts w:ascii="Arial" w:hAnsi="Arial" w:cs="Arial"/>
          <w:sz w:val="24"/>
          <w:szCs w:val="24"/>
        </w:rPr>
        <w:t>EasyJet</w:t>
      </w:r>
      <w:r w:rsidR="008656DE" w:rsidRPr="00FE6F22">
        <w:rPr>
          <w:rFonts w:ascii="Arial" w:hAnsi="Arial" w:cs="Arial"/>
          <w:sz w:val="24"/>
          <w:szCs w:val="24"/>
        </w:rPr>
        <w:t xml:space="preserve"> should never abandon its hybrid business-level strategy and further expand its associated diversification with </w:t>
      </w:r>
      <w:r w:rsidR="00D861D2" w:rsidRPr="00FE6F22">
        <w:rPr>
          <w:rFonts w:ascii="Arial" w:hAnsi="Arial" w:cs="Arial"/>
          <w:sz w:val="24"/>
          <w:szCs w:val="24"/>
        </w:rPr>
        <w:t>EasyJet</w:t>
      </w:r>
      <w:r w:rsidR="008656DE" w:rsidRPr="00FE6F22">
        <w:rPr>
          <w:rFonts w:ascii="Arial" w:hAnsi="Arial" w:cs="Arial"/>
          <w:sz w:val="24"/>
          <w:szCs w:val="24"/>
        </w:rPr>
        <w:t xml:space="preserve"> holidays. The hybrid model is sustainable since it takes advantage of the strengths of the VRIO framework: slot portfolio is valuable, rare, and inimitable, and brand and holidays platform offers sustainable competitive advantages. In the context of corporate strategy, the proposal is to speed up the international expansion of </w:t>
      </w:r>
      <w:r w:rsidR="00D861D2" w:rsidRPr="00FE6F22">
        <w:rPr>
          <w:rFonts w:ascii="Arial" w:hAnsi="Arial" w:cs="Arial"/>
          <w:sz w:val="24"/>
          <w:szCs w:val="24"/>
        </w:rPr>
        <w:t>EasyJet</w:t>
      </w:r>
      <w:r w:rsidR="008656DE" w:rsidRPr="00FE6F22">
        <w:rPr>
          <w:rFonts w:ascii="Arial" w:hAnsi="Arial" w:cs="Arial"/>
          <w:sz w:val="24"/>
          <w:szCs w:val="24"/>
        </w:rPr>
        <w:t xml:space="preserve"> holidays to other European source markets as it is a future objective, as observed by the CEO, to replicate the success of </w:t>
      </w:r>
      <w:r w:rsidR="00D861D2" w:rsidRPr="00FE6F22">
        <w:rPr>
          <w:rFonts w:ascii="Arial" w:hAnsi="Arial" w:cs="Arial"/>
          <w:sz w:val="24"/>
          <w:szCs w:val="24"/>
        </w:rPr>
        <w:t>EasyJet</w:t>
      </w:r>
      <w:r w:rsidR="008656DE" w:rsidRPr="00FE6F22">
        <w:rPr>
          <w:rFonts w:ascii="Arial" w:hAnsi="Arial" w:cs="Arial"/>
          <w:sz w:val="24"/>
          <w:szCs w:val="24"/>
        </w:rPr>
        <w:t xml:space="preserve"> in the UK and further protect the group of airline yield volatility (</w:t>
      </w:r>
      <w:r w:rsidR="00D861D2" w:rsidRPr="00FE6F22">
        <w:rPr>
          <w:rFonts w:ascii="Arial" w:hAnsi="Arial" w:cs="Arial"/>
          <w:sz w:val="24"/>
          <w:szCs w:val="24"/>
        </w:rPr>
        <w:t>EasyJet</w:t>
      </w:r>
      <w:r w:rsidR="008656DE" w:rsidRPr="00FE6F22">
        <w:rPr>
          <w:rFonts w:ascii="Arial" w:hAnsi="Arial" w:cs="Arial"/>
          <w:sz w:val="24"/>
          <w:szCs w:val="24"/>
        </w:rPr>
        <w:t xml:space="preserve">, 2025). </w:t>
      </w:r>
    </w:p>
    <w:p w14:paraId="10453883" w14:textId="77777777" w:rsidR="009E37D1" w:rsidRPr="00FE6F22" w:rsidRDefault="009E37D1" w:rsidP="00FE6F22">
      <w:pPr>
        <w:pStyle w:val="Heading3"/>
        <w:spacing w:line="360" w:lineRule="auto"/>
        <w:rPr>
          <w:rFonts w:ascii="Arial" w:hAnsi="Arial" w:cs="Arial"/>
          <w:sz w:val="24"/>
          <w:szCs w:val="24"/>
          <w:lang w:val="en-US"/>
        </w:rPr>
      </w:pPr>
      <w:bookmarkStart w:id="10" w:name="_Toc225456780"/>
      <w:r w:rsidRPr="00FE6F22">
        <w:rPr>
          <w:rFonts w:ascii="Arial" w:hAnsi="Arial" w:cs="Arial"/>
          <w:sz w:val="24"/>
          <w:szCs w:val="24"/>
          <w:lang w:val="en-US"/>
        </w:rPr>
        <w:t xml:space="preserve">5.1 </w:t>
      </w:r>
      <w:r w:rsidR="00FB4539" w:rsidRPr="00FE6F22">
        <w:rPr>
          <w:rFonts w:ascii="Arial" w:hAnsi="Arial" w:cs="Arial"/>
          <w:sz w:val="24"/>
          <w:szCs w:val="24"/>
          <w:lang w:val="en-US"/>
        </w:rPr>
        <w:t>Critical Assessment of Chang</w:t>
      </w:r>
      <w:r w:rsidRPr="00FE6F22">
        <w:rPr>
          <w:rFonts w:ascii="Arial" w:hAnsi="Arial" w:cs="Arial"/>
          <w:sz w:val="24"/>
          <w:szCs w:val="24"/>
          <w:lang w:val="en-US"/>
        </w:rPr>
        <w:t>e Management and Implementation</w:t>
      </w:r>
      <w:bookmarkEnd w:id="10"/>
    </w:p>
    <w:p w14:paraId="4A95BC20" w14:textId="77777777" w:rsidR="00D62AEC" w:rsidRPr="00FE6F22" w:rsidRDefault="00D861D2" w:rsidP="00FE6F22">
      <w:pPr>
        <w:spacing w:line="360" w:lineRule="auto"/>
        <w:jc w:val="both"/>
        <w:rPr>
          <w:rFonts w:ascii="Arial" w:hAnsi="Arial" w:cs="Arial"/>
          <w:sz w:val="24"/>
          <w:szCs w:val="24"/>
        </w:rPr>
      </w:pPr>
      <w:r w:rsidRPr="00FE6F22">
        <w:rPr>
          <w:rFonts w:ascii="Arial" w:hAnsi="Arial" w:cs="Arial"/>
          <w:sz w:val="24"/>
          <w:szCs w:val="24"/>
        </w:rPr>
        <w:t>EasyJet</w:t>
      </w:r>
      <w:r w:rsidR="00D62AEC" w:rsidRPr="00FE6F22">
        <w:rPr>
          <w:rFonts w:ascii="Arial" w:hAnsi="Arial" w:cs="Arial"/>
          <w:sz w:val="24"/>
          <w:szCs w:val="24"/>
        </w:rPr>
        <w:t xml:space="preserve"> has portrayed high ability of strategic change management, but there are still obstacles. The agile implementation and clear, well-communicated strategic vision results in the success of </w:t>
      </w:r>
      <w:r w:rsidRPr="00FE6F22">
        <w:rPr>
          <w:rFonts w:ascii="Arial" w:hAnsi="Arial" w:cs="Arial"/>
          <w:sz w:val="24"/>
          <w:szCs w:val="24"/>
        </w:rPr>
        <w:t>EasyJet</w:t>
      </w:r>
      <w:r w:rsidR="00D62AEC" w:rsidRPr="00FE6F22">
        <w:rPr>
          <w:rFonts w:ascii="Arial" w:hAnsi="Arial" w:cs="Arial"/>
          <w:sz w:val="24"/>
          <w:szCs w:val="24"/>
        </w:rPr>
        <w:t xml:space="preserve"> holidays which were started in 2019 and scaled in two years, to a PBT business worth PS250 million (</w:t>
      </w:r>
      <w:r w:rsidRPr="00FE6F22">
        <w:rPr>
          <w:rFonts w:ascii="Arial" w:hAnsi="Arial" w:cs="Arial"/>
          <w:sz w:val="24"/>
          <w:szCs w:val="24"/>
        </w:rPr>
        <w:t>EasyJet</w:t>
      </w:r>
      <w:r w:rsidR="00D62AEC" w:rsidRPr="00FE6F22">
        <w:rPr>
          <w:rFonts w:ascii="Arial" w:hAnsi="Arial" w:cs="Arial"/>
          <w:sz w:val="24"/>
          <w:szCs w:val="24"/>
        </w:rPr>
        <w:t xml:space="preserve">, 2025). The transition was handled through the establishment of a focused leadership framework headed by </w:t>
      </w:r>
      <w:r w:rsidR="00D62AEC" w:rsidRPr="00FE6F22">
        <w:rPr>
          <w:rFonts w:ascii="Arial" w:hAnsi="Arial" w:cs="Arial"/>
          <w:sz w:val="24"/>
          <w:szCs w:val="24"/>
        </w:rPr>
        <w:lastRenderedPageBreak/>
        <w:t xml:space="preserve">Garry Wilson, CEO of </w:t>
      </w:r>
      <w:r w:rsidRPr="00FE6F22">
        <w:rPr>
          <w:rFonts w:ascii="Arial" w:hAnsi="Arial" w:cs="Arial"/>
          <w:sz w:val="24"/>
          <w:szCs w:val="24"/>
        </w:rPr>
        <w:t>EasyJet</w:t>
      </w:r>
      <w:r w:rsidR="00D62AEC" w:rsidRPr="00FE6F22">
        <w:rPr>
          <w:rFonts w:ascii="Arial" w:hAnsi="Arial" w:cs="Arial"/>
          <w:sz w:val="24"/>
          <w:szCs w:val="24"/>
        </w:rPr>
        <w:t xml:space="preserve"> holidays, to make sure that the necessary attention and responsibility existed (</w:t>
      </w:r>
      <w:r w:rsidRPr="00FE6F22">
        <w:rPr>
          <w:rFonts w:ascii="Arial" w:hAnsi="Arial" w:cs="Arial"/>
          <w:sz w:val="24"/>
          <w:szCs w:val="24"/>
        </w:rPr>
        <w:t>EasyJet</w:t>
      </w:r>
      <w:r w:rsidR="00724ACF" w:rsidRPr="00FE6F22">
        <w:rPr>
          <w:rFonts w:ascii="Arial" w:hAnsi="Arial" w:cs="Arial"/>
          <w:sz w:val="24"/>
          <w:szCs w:val="24"/>
        </w:rPr>
        <w:t>, 2025</w:t>
      </w:r>
      <w:r w:rsidR="00D62AEC" w:rsidRPr="00FE6F22">
        <w:rPr>
          <w:rFonts w:ascii="Arial" w:hAnsi="Arial" w:cs="Arial"/>
          <w:sz w:val="24"/>
          <w:szCs w:val="24"/>
        </w:rPr>
        <w:t>). On the same note, the operational adjustments intended to enhance the on-time performance (OT</w:t>
      </w:r>
      <w:r w:rsidR="00724ACF" w:rsidRPr="00FE6F22">
        <w:rPr>
          <w:rFonts w:ascii="Arial" w:hAnsi="Arial" w:cs="Arial"/>
          <w:sz w:val="24"/>
          <w:szCs w:val="24"/>
        </w:rPr>
        <w:t xml:space="preserve">P) by 3 percentage points to 72% </w:t>
      </w:r>
      <w:r w:rsidR="00D62AEC" w:rsidRPr="00FE6F22">
        <w:rPr>
          <w:rFonts w:ascii="Arial" w:hAnsi="Arial" w:cs="Arial"/>
          <w:sz w:val="24"/>
          <w:szCs w:val="24"/>
        </w:rPr>
        <w:t>in 2025 are an indication of the successful execution of the initiatives aiming to improve operational resilience and process enhancement (easy jet, 2025).</w:t>
      </w:r>
    </w:p>
    <w:p w14:paraId="6D5EFCDA" w14:textId="77777777" w:rsidR="00FB4539" w:rsidRPr="00FE6F22" w:rsidRDefault="00FB4539" w:rsidP="00FE6F22">
      <w:pPr>
        <w:spacing w:line="360" w:lineRule="auto"/>
        <w:jc w:val="both"/>
        <w:rPr>
          <w:rFonts w:ascii="Arial" w:hAnsi="Arial" w:cs="Arial"/>
          <w:sz w:val="24"/>
          <w:szCs w:val="24"/>
          <w:lang w:val="en-US"/>
        </w:rPr>
      </w:pPr>
      <w:r w:rsidRPr="00FE6F22">
        <w:rPr>
          <w:rFonts w:ascii="Arial" w:hAnsi="Arial" w:cs="Arial"/>
          <w:sz w:val="24"/>
          <w:szCs w:val="24"/>
          <w:lang w:val="en-US"/>
        </w:rPr>
        <w:t xml:space="preserve">However, </w:t>
      </w:r>
      <w:r w:rsidR="00900D98" w:rsidRPr="00FE6F22">
        <w:rPr>
          <w:rFonts w:ascii="Arial" w:hAnsi="Arial" w:cs="Arial"/>
          <w:sz w:val="24"/>
          <w:szCs w:val="24"/>
        </w:rPr>
        <w:t>Its network strategy implementation, however, has not been easy. The CEO points out that the introduction of new bases in Alicante and Rome Fiumicino has cost the company PS20 million because of the decision of the European Commission, demonstrating the slow speed of the approval process, which hinders the effective implementation of the strategy (</w:t>
      </w:r>
      <w:r w:rsidR="00D861D2" w:rsidRPr="00FE6F22">
        <w:rPr>
          <w:rFonts w:ascii="Arial" w:hAnsi="Arial" w:cs="Arial"/>
          <w:sz w:val="24"/>
          <w:szCs w:val="24"/>
        </w:rPr>
        <w:t>EasyJet</w:t>
      </w:r>
      <w:r w:rsidR="00900D98" w:rsidRPr="00FE6F22">
        <w:rPr>
          <w:rFonts w:ascii="Arial" w:hAnsi="Arial" w:cs="Arial"/>
          <w:sz w:val="24"/>
          <w:szCs w:val="24"/>
        </w:rPr>
        <w:t xml:space="preserve">, 2025). </w:t>
      </w:r>
      <w:r w:rsidR="00900D98" w:rsidRPr="00FE6F22">
        <w:rPr>
          <w:rFonts w:ascii="Arial" w:hAnsi="Arial" w:cs="Arial"/>
          <w:color w:val="FF0000"/>
          <w:sz w:val="24"/>
          <w:szCs w:val="24"/>
        </w:rPr>
        <w:t>Moreover</w:t>
      </w:r>
      <w:r w:rsidR="00900D98" w:rsidRPr="00FE6F22">
        <w:rPr>
          <w:rFonts w:ascii="Arial" w:hAnsi="Arial" w:cs="Arial"/>
          <w:sz w:val="24"/>
          <w:szCs w:val="24"/>
        </w:rPr>
        <w:t>, although profitability in winter operation is becoming more difficult to increase by the rates desired by the airline, adaptive implementation in terms of route maturity and long-term profitability is demonstrated by the disciplined capacity growth policy implemented by the company that does not exceed 5%/</w:t>
      </w:r>
      <w:proofErr w:type="spellStart"/>
      <w:r w:rsidR="00900D98" w:rsidRPr="00FE6F22">
        <w:rPr>
          <w:rFonts w:ascii="Arial" w:hAnsi="Arial" w:cs="Arial"/>
          <w:sz w:val="24"/>
          <w:szCs w:val="24"/>
        </w:rPr>
        <w:t>yr</w:t>
      </w:r>
      <w:proofErr w:type="spellEnd"/>
      <w:r w:rsidR="00900D98" w:rsidRPr="00FE6F22">
        <w:rPr>
          <w:rFonts w:ascii="Arial" w:hAnsi="Arial" w:cs="Arial"/>
          <w:sz w:val="24"/>
          <w:szCs w:val="24"/>
        </w:rPr>
        <w:t xml:space="preserve"> (</w:t>
      </w:r>
      <w:r w:rsidR="00D861D2" w:rsidRPr="00FE6F22">
        <w:rPr>
          <w:rFonts w:ascii="Arial" w:hAnsi="Arial" w:cs="Arial"/>
          <w:sz w:val="24"/>
          <w:szCs w:val="24"/>
        </w:rPr>
        <w:t>EasyJet</w:t>
      </w:r>
      <w:r w:rsidR="00900D98" w:rsidRPr="00FE6F22">
        <w:rPr>
          <w:rFonts w:ascii="Arial" w:hAnsi="Arial" w:cs="Arial"/>
          <w:sz w:val="24"/>
          <w:szCs w:val="24"/>
        </w:rPr>
        <w:t xml:space="preserve">, 2025). </w:t>
      </w:r>
    </w:p>
    <w:p w14:paraId="7017203E" w14:textId="77777777" w:rsidR="002B1450" w:rsidRPr="00FE6F22" w:rsidRDefault="002B1450" w:rsidP="00FE6F22">
      <w:pPr>
        <w:pStyle w:val="Heading2"/>
        <w:numPr>
          <w:ilvl w:val="0"/>
          <w:numId w:val="14"/>
        </w:numPr>
        <w:spacing w:line="360" w:lineRule="auto"/>
        <w:rPr>
          <w:rFonts w:ascii="Arial" w:hAnsi="Arial" w:cs="Arial"/>
          <w:sz w:val="24"/>
          <w:szCs w:val="24"/>
          <w:lang w:val="en-US"/>
        </w:rPr>
      </w:pPr>
      <w:bookmarkStart w:id="11" w:name="_Toc225456781"/>
      <w:r w:rsidRPr="00FE6F22">
        <w:rPr>
          <w:rFonts w:ascii="Arial" w:hAnsi="Arial" w:cs="Arial"/>
          <w:sz w:val="24"/>
          <w:szCs w:val="24"/>
          <w:lang w:val="en-US"/>
        </w:rPr>
        <w:t>Strategic Evaluation and Recommendations</w:t>
      </w:r>
      <w:bookmarkEnd w:id="11"/>
    </w:p>
    <w:p w14:paraId="423CDDD7" w14:textId="77777777" w:rsidR="002B1450" w:rsidRPr="00FE6F22" w:rsidRDefault="002B1450" w:rsidP="00FE6F22">
      <w:pPr>
        <w:pStyle w:val="Heading3"/>
        <w:spacing w:line="360" w:lineRule="auto"/>
        <w:rPr>
          <w:rFonts w:ascii="Arial" w:hAnsi="Arial" w:cs="Arial"/>
          <w:sz w:val="24"/>
          <w:szCs w:val="24"/>
          <w:lang w:val="en-US"/>
        </w:rPr>
      </w:pPr>
      <w:bookmarkStart w:id="12" w:name="_Toc225456782"/>
      <w:r w:rsidRPr="00FE6F22">
        <w:rPr>
          <w:rFonts w:ascii="Arial" w:hAnsi="Arial" w:cs="Arial"/>
          <w:sz w:val="24"/>
          <w:szCs w:val="24"/>
          <w:lang w:val="en-US"/>
        </w:rPr>
        <w:t>6.1 Critical Evaluation of Current Strategy</w:t>
      </w:r>
      <w:bookmarkEnd w:id="12"/>
    </w:p>
    <w:p w14:paraId="34174990" w14:textId="77777777" w:rsidR="00EB09A7" w:rsidRPr="00FE6F22" w:rsidRDefault="00B36E20" w:rsidP="00FE6F22">
      <w:pPr>
        <w:spacing w:line="360" w:lineRule="auto"/>
        <w:jc w:val="both"/>
        <w:rPr>
          <w:rFonts w:ascii="Arial" w:hAnsi="Arial" w:cs="Arial"/>
          <w:sz w:val="24"/>
          <w:szCs w:val="24"/>
          <w:lang w:val="en-US"/>
        </w:rPr>
      </w:pPr>
      <w:r w:rsidRPr="00FE6F22">
        <w:rPr>
          <w:rFonts w:ascii="Arial" w:hAnsi="Arial" w:cs="Arial"/>
          <w:sz w:val="24"/>
          <w:szCs w:val="24"/>
        </w:rPr>
        <w:t xml:space="preserve">The current strategy of </w:t>
      </w:r>
      <w:r w:rsidR="00D861D2" w:rsidRPr="00FE6F22">
        <w:rPr>
          <w:rFonts w:ascii="Arial" w:hAnsi="Arial" w:cs="Arial"/>
          <w:sz w:val="24"/>
          <w:szCs w:val="24"/>
        </w:rPr>
        <w:t>EasyJet</w:t>
      </w:r>
      <w:r w:rsidRPr="00FE6F22">
        <w:rPr>
          <w:rFonts w:ascii="Arial" w:hAnsi="Arial" w:cs="Arial"/>
          <w:sz w:val="24"/>
          <w:szCs w:val="24"/>
        </w:rPr>
        <w:t xml:space="preserve"> can be explained as a combination of the </w:t>
      </w:r>
      <w:r w:rsidRPr="00FE6F22">
        <w:rPr>
          <w:rFonts w:ascii="Arial" w:hAnsi="Arial" w:cs="Arial"/>
          <w:b/>
          <w:sz w:val="24"/>
          <w:szCs w:val="24"/>
        </w:rPr>
        <w:t>SWOT</w:t>
      </w:r>
      <w:r w:rsidRPr="00FE6F22">
        <w:rPr>
          <w:rFonts w:ascii="Arial" w:hAnsi="Arial" w:cs="Arial"/>
          <w:sz w:val="24"/>
          <w:szCs w:val="24"/>
        </w:rPr>
        <w:t xml:space="preserve"> </w:t>
      </w:r>
      <w:r w:rsidRPr="00FE6F22">
        <w:rPr>
          <w:rFonts w:ascii="Arial" w:hAnsi="Arial" w:cs="Arial"/>
          <w:b/>
          <w:sz w:val="24"/>
          <w:szCs w:val="24"/>
        </w:rPr>
        <w:t>analysis</w:t>
      </w:r>
      <w:r w:rsidRPr="00FE6F22">
        <w:rPr>
          <w:rFonts w:ascii="Arial" w:hAnsi="Arial" w:cs="Arial"/>
          <w:sz w:val="24"/>
          <w:szCs w:val="24"/>
        </w:rPr>
        <w:t xml:space="preserve"> and the </w:t>
      </w:r>
      <w:r w:rsidRPr="00FE6F22">
        <w:rPr>
          <w:rFonts w:ascii="Arial" w:hAnsi="Arial" w:cs="Arial"/>
          <w:b/>
          <w:sz w:val="24"/>
          <w:szCs w:val="24"/>
        </w:rPr>
        <w:t>Growth Matrix of</w:t>
      </w:r>
      <w:r w:rsidRPr="00FE6F22">
        <w:rPr>
          <w:rFonts w:ascii="Arial" w:hAnsi="Arial" w:cs="Arial"/>
          <w:sz w:val="24"/>
          <w:szCs w:val="24"/>
        </w:rPr>
        <w:t xml:space="preserve"> </w:t>
      </w:r>
      <w:r w:rsidRPr="00FE6F22">
        <w:rPr>
          <w:rFonts w:ascii="Arial" w:hAnsi="Arial" w:cs="Arial"/>
          <w:b/>
          <w:sz w:val="24"/>
          <w:szCs w:val="24"/>
        </w:rPr>
        <w:t>Ansoff</w:t>
      </w:r>
      <w:r w:rsidRPr="00FE6F22">
        <w:rPr>
          <w:rFonts w:ascii="Arial" w:hAnsi="Arial" w:cs="Arial"/>
          <w:sz w:val="24"/>
          <w:szCs w:val="24"/>
        </w:rPr>
        <w:t>, relying on the in-depth evidence provided by the 2025 Annual Report of this company and also the analysis of the industry developments</w:t>
      </w:r>
      <w:r w:rsidR="00EB09A7" w:rsidRPr="00FE6F22">
        <w:rPr>
          <w:rFonts w:ascii="Arial" w:hAnsi="Arial" w:cs="Arial"/>
          <w:sz w:val="24"/>
          <w:szCs w:val="24"/>
          <w:lang w:val="en-US"/>
        </w:rPr>
        <w:t>.</w:t>
      </w:r>
    </w:p>
    <w:p w14:paraId="7C6DE596" w14:textId="77777777" w:rsidR="005B60D3" w:rsidRPr="00FE6F22" w:rsidRDefault="00EB09A7" w:rsidP="00FE6F22">
      <w:pPr>
        <w:spacing w:line="360" w:lineRule="auto"/>
        <w:jc w:val="both"/>
        <w:rPr>
          <w:rFonts w:ascii="Arial" w:hAnsi="Arial" w:cs="Arial"/>
          <w:sz w:val="24"/>
          <w:szCs w:val="24"/>
        </w:rPr>
      </w:pPr>
      <w:r w:rsidRPr="00FE6F22">
        <w:rPr>
          <w:rFonts w:ascii="Arial" w:hAnsi="Arial" w:cs="Arial"/>
          <w:b/>
          <w:bCs/>
          <w:sz w:val="24"/>
          <w:szCs w:val="24"/>
          <w:lang w:val="en-US"/>
        </w:rPr>
        <w:t>SWOT Analysis</w:t>
      </w:r>
      <w:r w:rsidR="00C32A58" w:rsidRPr="00FE6F22">
        <w:rPr>
          <w:rFonts w:ascii="Arial" w:hAnsi="Arial" w:cs="Arial"/>
          <w:sz w:val="24"/>
          <w:szCs w:val="24"/>
          <w:lang w:val="en-US"/>
        </w:rPr>
        <w:t xml:space="preserve">: </w:t>
      </w:r>
      <w:r w:rsidR="005B60D3" w:rsidRPr="00FE6F22">
        <w:rPr>
          <w:rFonts w:ascii="Arial" w:hAnsi="Arial" w:cs="Arial"/>
          <w:sz w:val="24"/>
          <w:szCs w:val="24"/>
        </w:rPr>
        <w:t xml:space="preserve">The SWOT Analysis shows that the company has significant internal strengths and vulnerable to external headwinds. Economically, </w:t>
      </w:r>
      <w:r w:rsidR="00D861D2" w:rsidRPr="00FE6F22">
        <w:rPr>
          <w:rFonts w:ascii="Arial" w:hAnsi="Arial" w:cs="Arial"/>
          <w:sz w:val="24"/>
          <w:szCs w:val="24"/>
        </w:rPr>
        <w:t>EasyJet</w:t>
      </w:r>
      <w:r w:rsidR="005B60D3" w:rsidRPr="00FE6F22">
        <w:rPr>
          <w:rFonts w:ascii="Arial" w:hAnsi="Arial" w:cs="Arial"/>
          <w:sz w:val="24"/>
          <w:szCs w:val="24"/>
        </w:rPr>
        <w:t xml:space="preserve"> is stro</w:t>
      </w:r>
      <w:r w:rsidR="00C32A58" w:rsidRPr="00FE6F22">
        <w:rPr>
          <w:rFonts w:ascii="Arial" w:hAnsi="Arial" w:cs="Arial"/>
          <w:sz w:val="24"/>
          <w:szCs w:val="24"/>
        </w:rPr>
        <w:t>ng with a net cash standing of £</w:t>
      </w:r>
      <w:r w:rsidR="005B60D3" w:rsidRPr="00FE6F22">
        <w:rPr>
          <w:rFonts w:ascii="Arial" w:hAnsi="Arial" w:cs="Arial"/>
          <w:sz w:val="24"/>
          <w:szCs w:val="24"/>
        </w:rPr>
        <w:t>602 million, an investment grade credit rating (BBB+ by S&amp;P), which gives it stability amid indus</w:t>
      </w:r>
      <w:r w:rsidR="00C32A58" w:rsidRPr="00FE6F22">
        <w:rPr>
          <w:rFonts w:ascii="Arial" w:hAnsi="Arial" w:cs="Arial"/>
          <w:sz w:val="24"/>
          <w:szCs w:val="24"/>
        </w:rPr>
        <w:t>try turbulence (Easy</w:t>
      </w:r>
      <w:r w:rsidR="005B60D3" w:rsidRPr="00FE6F22">
        <w:rPr>
          <w:rFonts w:ascii="Arial" w:hAnsi="Arial" w:cs="Arial"/>
          <w:sz w:val="24"/>
          <w:szCs w:val="24"/>
        </w:rPr>
        <w:t>Jet Annual Report, 2025; S and P Global Ratings, 2025). Operational wise, its differentiated hybrid model, where low cost discipline is integrated with network that is based on primary and slot constrained airports, are a rare and valuable resource base (</w:t>
      </w:r>
      <w:r w:rsidR="00D861D2" w:rsidRPr="00FE6F22">
        <w:rPr>
          <w:rFonts w:ascii="Arial" w:hAnsi="Arial" w:cs="Arial"/>
          <w:sz w:val="24"/>
          <w:szCs w:val="24"/>
        </w:rPr>
        <w:t>EasyJet</w:t>
      </w:r>
      <w:r w:rsidR="005B60D3" w:rsidRPr="00FE6F22">
        <w:rPr>
          <w:rFonts w:ascii="Arial" w:hAnsi="Arial" w:cs="Arial"/>
          <w:sz w:val="24"/>
          <w:szCs w:val="24"/>
        </w:rPr>
        <w:t xml:space="preserve"> Annual Report, 2025; Barney, 1991). This is supported by the high growth easy hol</w:t>
      </w:r>
      <w:r w:rsidR="00C32A58" w:rsidRPr="00FE6F22">
        <w:rPr>
          <w:rFonts w:ascii="Arial" w:hAnsi="Arial" w:cs="Arial"/>
          <w:sz w:val="24"/>
          <w:szCs w:val="24"/>
        </w:rPr>
        <w:t>idays division which produced £</w:t>
      </w:r>
      <w:r w:rsidR="005B60D3" w:rsidRPr="00FE6F22">
        <w:rPr>
          <w:rFonts w:ascii="Arial" w:hAnsi="Arial" w:cs="Arial"/>
          <w:sz w:val="24"/>
          <w:szCs w:val="24"/>
        </w:rPr>
        <w:t>250 million of profit before tax (PBT) in 2025 that is more than a third of group profit with an upgraded target of PS450million by FY30 (</w:t>
      </w:r>
      <w:r w:rsidR="00C32A58" w:rsidRPr="00FE6F22">
        <w:rPr>
          <w:rFonts w:ascii="Arial" w:hAnsi="Arial" w:cs="Arial"/>
          <w:sz w:val="24"/>
          <w:szCs w:val="24"/>
        </w:rPr>
        <w:t>EasyJet Annual Report, 2025</w:t>
      </w:r>
      <w:r w:rsidR="005B60D3" w:rsidRPr="00FE6F22">
        <w:rPr>
          <w:rFonts w:ascii="Arial" w:hAnsi="Arial" w:cs="Arial"/>
          <w:sz w:val="24"/>
          <w:szCs w:val="24"/>
        </w:rPr>
        <w:t xml:space="preserve">). There was also an increase in customer facing metrics as on time performance (OTP) increased by three percentage points to 72% and customer satisfaction to a ten-year </w:t>
      </w:r>
      <w:r w:rsidR="005B60D3" w:rsidRPr="00FE6F22">
        <w:rPr>
          <w:rFonts w:ascii="Arial" w:hAnsi="Arial" w:cs="Arial"/>
          <w:sz w:val="24"/>
          <w:szCs w:val="24"/>
        </w:rPr>
        <w:lastRenderedPageBreak/>
        <w:t>high 80% (</w:t>
      </w:r>
      <w:r w:rsidR="00D861D2" w:rsidRPr="00FE6F22">
        <w:rPr>
          <w:rFonts w:ascii="Arial" w:hAnsi="Arial" w:cs="Arial"/>
          <w:sz w:val="24"/>
          <w:szCs w:val="24"/>
        </w:rPr>
        <w:t>EasyJet</w:t>
      </w:r>
      <w:r w:rsidR="00C32A58" w:rsidRPr="00FE6F22">
        <w:rPr>
          <w:rFonts w:ascii="Arial" w:hAnsi="Arial" w:cs="Arial"/>
          <w:sz w:val="24"/>
          <w:szCs w:val="24"/>
        </w:rPr>
        <w:t xml:space="preserve"> Annual Report, 2025</w:t>
      </w:r>
      <w:r w:rsidR="005B60D3" w:rsidRPr="00FE6F22">
        <w:rPr>
          <w:rFonts w:ascii="Arial" w:hAnsi="Arial" w:cs="Arial"/>
          <w:sz w:val="24"/>
          <w:szCs w:val="24"/>
        </w:rPr>
        <w:t>). But internal problems remain: the profitability of winters is inexplicable, and it is not</w:t>
      </w:r>
      <w:r w:rsidR="00C32A58" w:rsidRPr="00FE6F22">
        <w:rPr>
          <w:rFonts w:ascii="Arial" w:hAnsi="Arial" w:cs="Arial"/>
          <w:sz w:val="24"/>
          <w:szCs w:val="24"/>
        </w:rPr>
        <w:t xml:space="preserve"> growing as fast as it should (E</w:t>
      </w:r>
      <w:r w:rsidR="005B60D3" w:rsidRPr="00FE6F22">
        <w:rPr>
          <w:rFonts w:ascii="Arial" w:hAnsi="Arial" w:cs="Arial"/>
          <w:sz w:val="24"/>
          <w:szCs w:val="24"/>
        </w:rPr>
        <w:t>a</w:t>
      </w:r>
      <w:r w:rsidR="00C32A58" w:rsidRPr="00FE6F22">
        <w:rPr>
          <w:rFonts w:ascii="Arial" w:hAnsi="Arial" w:cs="Arial"/>
          <w:sz w:val="24"/>
          <w:szCs w:val="24"/>
        </w:rPr>
        <w:t>syJet Annual Report, 2025</w:t>
      </w:r>
      <w:r w:rsidR="005B60D3" w:rsidRPr="00FE6F22">
        <w:rPr>
          <w:rFonts w:ascii="Arial" w:hAnsi="Arial" w:cs="Arial"/>
          <w:sz w:val="24"/>
          <w:szCs w:val="24"/>
        </w:rPr>
        <w:t>), and net</w:t>
      </w:r>
      <w:r w:rsidR="00C32A58" w:rsidRPr="00FE6F22">
        <w:rPr>
          <w:rFonts w:ascii="Arial" w:hAnsi="Arial" w:cs="Arial"/>
          <w:sz w:val="24"/>
          <w:szCs w:val="24"/>
        </w:rPr>
        <w:t>work expansion has its costs, £</w:t>
      </w:r>
      <w:r w:rsidR="005B60D3" w:rsidRPr="00FE6F22">
        <w:rPr>
          <w:rFonts w:ascii="Arial" w:hAnsi="Arial" w:cs="Arial"/>
          <w:sz w:val="24"/>
          <w:szCs w:val="24"/>
        </w:rPr>
        <w:t>20 million investment, and prolonged maturity of revenu</w:t>
      </w:r>
      <w:r w:rsidR="00C32A58" w:rsidRPr="00FE6F22">
        <w:rPr>
          <w:rFonts w:ascii="Arial" w:hAnsi="Arial" w:cs="Arial"/>
          <w:sz w:val="24"/>
          <w:szCs w:val="24"/>
        </w:rPr>
        <w:t>e (EasyJet Annual Report, 2025</w:t>
      </w:r>
      <w:r w:rsidR="005B60D3" w:rsidRPr="00FE6F22">
        <w:rPr>
          <w:rFonts w:ascii="Arial" w:hAnsi="Arial" w:cs="Arial"/>
          <w:sz w:val="24"/>
          <w:szCs w:val="24"/>
        </w:rPr>
        <w:t>). The gaps are also apparent in social sustainability because the French Gender Equality Index is 0/10 when it comes to female representation among the top ten highest paid employees (</w:t>
      </w:r>
      <w:r w:rsidR="00D861D2" w:rsidRPr="00FE6F22">
        <w:rPr>
          <w:rFonts w:ascii="Arial" w:hAnsi="Arial" w:cs="Arial"/>
          <w:sz w:val="24"/>
          <w:szCs w:val="24"/>
        </w:rPr>
        <w:t>EasyJet</w:t>
      </w:r>
      <w:r w:rsidR="005B60D3" w:rsidRPr="00FE6F22">
        <w:rPr>
          <w:rFonts w:ascii="Arial" w:hAnsi="Arial" w:cs="Arial"/>
          <w:sz w:val="24"/>
          <w:szCs w:val="24"/>
        </w:rPr>
        <w:t xml:space="preserve"> French Gender Pay Gap Report, 2025, p. 1).</w:t>
      </w:r>
    </w:p>
    <w:p w14:paraId="1F0DA840" w14:textId="77777777" w:rsidR="00EB09A7" w:rsidRPr="00FE6F22" w:rsidRDefault="00EB09A7" w:rsidP="00FE6F22">
      <w:pPr>
        <w:spacing w:line="360" w:lineRule="auto"/>
        <w:jc w:val="both"/>
        <w:rPr>
          <w:rFonts w:ascii="Arial" w:hAnsi="Arial" w:cs="Arial"/>
          <w:sz w:val="24"/>
          <w:szCs w:val="24"/>
          <w:lang w:val="en-US"/>
        </w:rPr>
      </w:pPr>
      <w:r w:rsidRPr="00FE6F22">
        <w:rPr>
          <w:rFonts w:ascii="Arial" w:hAnsi="Arial" w:cs="Arial"/>
          <w:sz w:val="24"/>
          <w:szCs w:val="24"/>
          <w:lang w:val="en-US"/>
        </w:rPr>
        <w:t xml:space="preserve">Externally, </w:t>
      </w:r>
      <w:r w:rsidR="00AB6E3F" w:rsidRPr="00FE6F22">
        <w:rPr>
          <w:rFonts w:ascii="Arial" w:hAnsi="Arial" w:cs="Arial"/>
          <w:sz w:val="24"/>
          <w:szCs w:val="24"/>
        </w:rPr>
        <w:t xml:space="preserve">there are the prospects of further internationalisation of </w:t>
      </w:r>
      <w:r w:rsidR="00D861D2" w:rsidRPr="00FE6F22">
        <w:rPr>
          <w:rFonts w:ascii="Arial" w:hAnsi="Arial" w:cs="Arial"/>
          <w:sz w:val="24"/>
          <w:szCs w:val="24"/>
        </w:rPr>
        <w:t>EasyJet</w:t>
      </w:r>
      <w:r w:rsidR="00AB6E3F" w:rsidRPr="00FE6F22">
        <w:rPr>
          <w:rFonts w:ascii="Arial" w:hAnsi="Arial" w:cs="Arial"/>
          <w:sz w:val="24"/>
          <w:szCs w:val="24"/>
        </w:rPr>
        <w:t xml:space="preserve"> holidays, which today hold approximately 10% of the UK package holiday market, into addit</w:t>
      </w:r>
      <w:r w:rsidR="00C32A58" w:rsidRPr="00FE6F22">
        <w:rPr>
          <w:rFonts w:ascii="Arial" w:hAnsi="Arial" w:cs="Arial"/>
          <w:sz w:val="24"/>
          <w:szCs w:val="24"/>
        </w:rPr>
        <w:t>ional European source markets (E</w:t>
      </w:r>
      <w:r w:rsidR="00AB6E3F" w:rsidRPr="00FE6F22">
        <w:rPr>
          <w:rFonts w:ascii="Arial" w:hAnsi="Arial" w:cs="Arial"/>
          <w:sz w:val="24"/>
          <w:szCs w:val="24"/>
        </w:rPr>
        <w:t>asyJet Annu</w:t>
      </w:r>
      <w:r w:rsidR="00C32A58" w:rsidRPr="00FE6F22">
        <w:rPr>
          <w:rFonts w:ascii="Arial" w:hAnsi="Arial" w:cs="Arial"/>
          <w:sz w:val="24"/>
          <w:szCs w:val="24"/>
        </w:rPr>
        <w:t>al Report, 2025</w:t>
      </w:r>
      <w:r w:rsidR="00AB6E3F" w:rsidRPr="00FE6F22">
        <w:rPr>
          <w:rFonts w:ascii="Arial" w:hAnsi="Arial" w:cs="Arial"/>
          <w:sz w:val="24"/>
          <w:szCs w:val="24"/>
        </w:rPr>
        <w:t xml:space="preserve">). Another lever is digital personalisation; a new </w:t>
      </w:r>
      <w:proofErr w:type="spellStart"/>
      <w:r w:rsidR="00AB6E3F" w:rsidRPr="00FE6F22">
        <w:rPr>
          <w:rFonts w:ascii="Arial" w:hAnsi="Arial" w:cs="Arial"/>
          <w:sz w:val="24"/>
          <w:szCs w:val="24"/>
        </w:rPr>
        <w:t>MarTech</w:t>
      </w:r>
      <w:proofErr w:type="spellEnd"/>
      <w:r w:rsidR="00AB6E3F" w:rsidRPr="00FE6F22">
        <w:rPr>
          <w:rFonts w:ascii="Arial" w:hAnsi="Arial" w:cs="Arial"/>
          <w:sz w:val="24"/>
          <w:szCs w:val="24"/>
        </w:rPr>
        <w:t xml:space="preserve"> stack cut email volumes by 57% and increased click through rates by 21% and produced 203 actionable recommendations with a partner (CACI) to enhance disruption communication (</w:t>
      </w:r>
      <w:r w:rsidR="00D861D2" w:rsidRPr="00FE6F22">
        <w:rPr>
          <w:rFonts w:ascii="Arial" w:hAnsi="Arial" w:cs="Arial"/>
          <w:sz w:val="24"/>
          <w:szCs w:val="24"/>
        </w:rPr>
        <w:t>EasyJet</w:t>
      </w:r>
      <w:r w:rsidR="00C32A58" w:rsidRPr="00FE6F22">
        <w:rPr>
          <w:rFonts w:ascii="Arial" w:hAnsi="Arial" w:cs="Arial"/>
          <w:sz w:val="24"/>
          <w:szCs w:val="24"/>
        </w:rPr>
        <w:t xml:space="preserve"> Annual Report, 2025</w:t>
      </w:r>
      <w:r w:rsidR="00AB6E3F" w:rsidRPr="00FE6F22">
        <w:rPr>
          <w:rFonts w:ascii="Arial" w:hAnsi="Arial" w:cs="Arial"/>
          <w:sz w:val="24"/>
          <w:szCs w:val="24"/>
        </w:rPr>
        <w:t>). However, there exist threats that are looming: geopolitical tension in the Middle East and Ukraine interrupts routes and increases fuel prices, whereas continuous underperformance of air traffic control (ATC) in the whole of Europe burns fuel needlessly and delays (</w:t>
      </w:r>
      <w:r w:rsidR="00D861D2" w:rsidRPr="00FE6F22">
        <w:rPr>
          <w:rFonts w:ascii="Arial" w:hAnsi="Arial" w:cs="Arial"/>
          <w:sz w:val="24"/>
          <w:szCs w:val="24"/>
        </w:rPr>
        <w:t>EasyJet</w:t>
      </w:r>
      <w:r w:rsidR="00C32A58" w:rsidRPr="00FE6F22">
        <w:rPr>
          <w:rFonts w:ascii="Arial" w:hAnsi="Arial" w:cs="Arial"/>
          <w:sz w:val="24"/>
          <w:szCs w:val="24"/>
        </w:rPr>
        <w:t xml:space="preserve"> Annual Report, 2025</w:t>
      </w:r>
      <w:r w:rsidR="00AB6E3F" w:rsidRPr="00FE6F22">
        <w:rPr>
          <w:rFonts w:ascii="Arial" w:hAnsi="Arial" w:cs="Arial"/>
          <w:sz w:val="24"/>
          <w:szCs w:val="24"/>
        </w:rPr>
        <w:t>). The pressure mounts on the regulatory side, and Sustainable Aviation Fuel (SAF) requirements in the UK and the EU will increase the cost of the operation (</w:t>
      </w:r>
      <w:r w:rsidR="00D861D2" w:rsidRPr="00FE6F22">
        <w:rPr>
          <w:rFonts w:ascii="Arial" w:hAnsi="Arial" w:cs="Arial"/>
          <w:sz w:val="24"/>
          <w:szCs w:val="24"/>
        </w:rPr>
        <w:t>EasyJet</w:t>
      </w:r>
      <w:r w:rsidR="00AB6E3F" w:rsidRPr="00FE6F22">
        <w:rPr>
          <w:rFonts w:ascii="Arial" w:hAnsi="Arial" w:cs="Arial"/>
          <w:sz w:val="24"/>
          <w:szCs w:val="24"/>
        </w:rPr>
        <w:t xml:space="preserve"> Annual R</w:t>
      </w:r>
      <w:r w:rsidR="00C32A58" w:rsidRPr="00FE6F22">
        <w:rPr>
          <w:rFonts w:ascii="Arial" w:hAnsi="Arial" w:cs="Arial"/>
          <w:sz w:val="24"/>
          <w:szCs w:val="24"/>
        </w:rPr>
        <w:t>eport, 2025</w:t>
      </w:r>
      <w:r w:rsidR="00AB6E3F" w:rsidRPr="00FE6F22">
        <w:rPr>
          <w:rFonts w:ascii="Arial" w:hAnsi="Arial" w:cs="Arial"/>
          <w:sz w:val="24"/>
          <w:szCs w:val="24"/>
        </w:rPr>
        <w:t>). Moreover, the high competition between Ryanair due to its cost leadership and network advantages of legacy airlines puts easy Jet in a permanent position of having to protect its market share (CAPA - Centre for Aviation, 2023</w:t>
      </w:r>
      <w:r w:rsidRPr="00FE6F22">
        <w:rPr>
          <w:rFonts w:ascii="Arial" w:hAnsi="Arial" w:cs="Arial"/>
          <w:sz w:val="24"/>
          <w:szCs w:val="24"/>
          <w:lang w:val="en-US"/>
        </w:rPr>
        <w:t>).</w:t>
      </w:r>
    </w:p>
    <w:p w14:paraId="69FC635C" w14:textId="77777777" w:rsidR="00EB09A7" w:rsidRPr="00FE6F22" w:rsidRDefault="00EB09A7" w:rsidP="00FE6F22">
      <w:pPr>
        <w:spacing w:line="360" w:lineRule="auto"/>
        <w:jc w:val="both"/>
        <w:rPr>
          <w:rFonts w:ascii="Arial" w:hAnsi="Arial" w:cs="Arial"/>
          <w:sz w:val="24"/>
          <w:szCs w:val="24"/>
          <w:lang w:val="en-US"/>
        </w:rPr>
      </w:pPr>
      <w:r w:rsidRPr="00FE6F22">
        <w:rPr>
          <w:rFonts w:ascii="Arial" w:hAnsi="Arial" w:cs="Arial"/>
          <w:b/>
          <w:bCs/>
          <w:sz w:val="24"/>
          <w:szCs w:val="24"/>
          <w:lang w:val="en-US"/>
        </w:rPr>
        <w:t>Ansoff’s Growth Matrix</w:t>
      </w:r>
      <w:r w:rsidR="00C32A58" w:rsidRPr="00FE6F22">
        <w:rPr>
          <w:rFonts w:ascii="Arial" w:hAnsi="Arial" w:cs="Arial"/>
          <w:b/>
          <w:bCs/>
          <w:sz w:val="24"/>
          <w:szCs w:val="24"/>
          <w:lang w:val="en-US"/>
        </w:rPr>
        <w:t>:</w:t>
      </w:r>
      <w:r w:rsidRPr="00FE6F22">
        <w:rPr>
          <w:rFonts w:ascii="Arial" w:hAnsi="Arial" w:cs="Arial"/>
          <w:sz w:val="24"/>
          <w:szCs w:val="24"/>
          <w:lang w:val="en-US"/>
        </w:rPr>
        <w:t> </w:t>
      </w:r>
      <w:r w:rsidR="00CB482F" w:rsidRPr="00FE6F22">
        <w:rPr>
          <w:rFonts w:ascii="Arial" w:hAnsi="Arial" w:cs="Arial"/>
          <w:sz w:val="24"/>
          <w:szCs w:val="24"/>
        </w:rPr>
        <w:t xml:space="preserve">A Growth Matrix by Ansoff is an addition lens because the core concept of </w:t>
      </w:r>
      <w:r w:rsidR="00D861D2" w:rsidRPr="00FE6F22">
        <w:rPr>
          <w:rFonts w:ascii="Arial" w:hAnsi="Arial" w:cs="Arial"/>
          <w:sz w:val="24"/>
          <w:szCs w:val="24"/>
        </w:rPr>
        <w:t>EasyJet</w:t>
      </w:r>
      <w:r w:rsidR="00CB482F" w:rsidRPr="00FE6F22">
        <w:rPr>
          <w:rFonts w:ascii="Arial" w:hAnsi="Arial" w:cs="Arial"/>
          <w:sz w:val="24"/>
          <w:szCs w:val="24"/>
        </w:rPr>
        <w:t xml:space="preserve"> market penetration is disciplined capacity growth with a limit of 5%/year with 74% customer retention rate that signifies increasing loyalty in the current markets (</w:t>
      </w:r>
      <w:r w:rsidR="00D861D2" w:rsidRPr="00FE6F22">
        <w:rPr>
          <w:rFonts w:ascii="Arial" w:hAnsi="Arial" w:cs="Arial"/>
          <w:sz w:val="24"/>
          <w:szCs w:val="24"/>
        </w:rPr>
        <w:t>EasyJet</w:t>
      </w:r>
      <w:r w:rsidR="00C32A58" w:rsidRPr="00FE6F22">
        <w:rPr>
          <w:rFonts w:ascii="Arial" w:hAnsi="Arial" w:cs="Arial"/>
          <w:sz w:val="24"/>
          <w:szCs w:val="24"/>
        </w:rPr>
        <w:t xml:space="preserve"> Annual Report, 2025</w:t>
      </w:r>
      <w:r w:rsidR="00CB482F" w:rsidRPr="00FE6F22">
        <w:rPr>
          <w:rFonts w:ascii="Arial" w:hAnsi="Arial" w:cs="Arial"/>
          <w:sz w:val="24"/>
          <w:szCs w:val="24"/>
        </w:rPr>
        <w:t>). The market development is achieved by new bases (Alicante, Rome Fiumicino, and London Southend) and enlargement to North Africa (an increment of +43) and the Canary Islands (an increment of +25), and focuses on the higher winter utilisation leisure routes (</w:t>
      </w:r>
      <w:r w:rsidR="00D861D2" w:rsidRPr="00FE6F22">
        <w:rPr>
          <w:rFonts w:ascii="Arial" w:hAnsi="Arial" w:cs="Arial"/>
          <w:sz w:val="24"/>
          <w:szCs w:val="24"/>
        </w:rPr>
        <w:t>EasyJet</w:t>
      </w:r>
      <w:r w:rsidR="00CB482F" w:rsidRPr="00FE6F22">
        <w:rPr>
          <w:rFonts w:ascii="Arial" w:hAnsi="Arial" w:cs="Arial"/>
          <w:sz w:val="24"/>
          <w:szCs w:val="24"/>
        </w:rPr>
        <w:t xml:space="preserve"> Annual Report, 2025). The most obvious product development is </w:t>
      </w:r>
      <w:r w:rsidR="00D861D2" w:rsidRPr="00FE6F22">
        <w:rPr>
          <w:rFonts w:ascii="Arial" w:hAnsi="Arial" w:cs="Arial"/>
          <w:sz w:val="24"/>
          <w:szCs w:val="24"/>
        </w:rPr>
        <w:t>EasyJet</w:t>
      </w:r>
      <w:r w:rsidR="00CB482F" w:rsidRPr="00FE6F22">
        <w:rPr>
          <w:rFonts w:ascii="Arial" w:hAnsi="Arial" w:cs="Arial"/>
          <w:sz w:val="24"/>
          <w:szCs w:val="24"/>
        </w:rPr>
        <w:t xml:space="preserve"> holidays which emerged as a result of a 2019 launch evolving into a profit-making business with 3.1 million customers and 83% satisfaction- a business model that is defined by a 96% variable cost base and about 90% of bookings via unpaid channels, which gives its product a structural </w:t>
      </w:r>
      <w:r w:rsidR="00CB482F" w:rsidRPr="00FE6F22">
        <w:rPr>
          <w:rFonts w:ascii="Arial" w:hAnsi="Arial" w:cs="Arial"/>
          <w:sz w:val="24"/>
          <w:szCs w:val="24"/>
        </w:rPr>
        <w:lastRenderedPageBreak/>
        <w:t>advantage that competitors cannot easily match (</w:t>
      </w:r>
      <w:r w:rsidR="00D861D2" w:rsidRPr="00FE6F22">
        <w:rPr>
          <w:rFonts w:ascii="Arial" w:hAnsi="Arial" w:cs="Arial"/>
          <w:sz w:val="24"/>
          <w:szCs w:val="24"/>
        </w:rPr>
        <w:t>EasyJet</w:t>
      </w:r>
      <w:r w:rsidR="00CB482F" w:rsidRPr="00FE6F22">
        <w:rPr>
          <w:rFonts w:ascii="Arial" w:hAnsi="Arial" w:cs="Arial"/>
          <w:sz w:val="24"/>
          <w:szCs w:val="24"/>
        </w:rPr>
        <w:t xml:space="preserve"> Annual Report, 2025). There has been little diversification but the holidays arm is related diversification by using core airline assets. Using the BCG Matrix, easy Jet holidays are considered to be a Star (high growth, high market share), and the core airline in the Europe market </w:t>
      </w:r>
      <w:r w:rsidRPr="00FE6F22">
        <w:rPr>
          <w:rFonts w:ascii="Arial" w:hAnsi="Arial" w:cs="Arial"/>
          <w:sz w:val="24"/>
          <w:szCs w:val="24"/>
          <w:lang w:val="en-US"/>
        </w:rPr>
        <w:t>as a </w:t>
      </w:r>
      <w:r w:rsidRPr="00FE6F22">
        <w:rPr>
          <w:rFonts w:ascii="Arial" w:hAnsi="Arial" w:cs="Arial"/>
          <w:b/>
          <w:bCs/>
          <w:sz w:val="24"/>
          <w:szCs w:val="24"/>
          <w:lang w:val="en-US"/>
        </w:rPr>
        <w:t>Cash Cow</w:t>
      </w:r>
      <w:r w:rsidRPr="00FE6F22">
        <w:rPr>
          <w:rFonts w:ascii="Arial" w:hAnsi="Arial" w:cs="Arial"/>
          <w:sz w:val="24"/>
          <w:szCs w:val="24"/>
          <w:lang w:val="en-US"/>
        </w:rPr>
        <w:t>, generating stable returns to fund strategic initiatives (SWOT &amp; </w:t>
      </w:r>
      <w:hyperlink r:id="rId16" w:tgtFrame="_blank" w:history="1">
        <w:r w:rsidRPr="00FE6F22">
          <w:rPr>
            <w:rStyle w:val="Hyperlink"/>
            <w:rFonts w:ascii="Arial" w:hAnsi="Arial" w:cs="Arial"/>
            <w:sz w:val="24"/>
            <w:szCs w:val="24"/>
            <w:lang w:val="en-US"/>
          </w:rPr>
          <w:t>PESTLE.com</w:t>
        </w:r>
      </w:hyperlink>
      <w:r w:rsidRPr="00FE6F22">
        <w:rPr>
          <w:rFonts w:ascii="Arial" w:hAnsi="Arial" w:cs="Arial"/>
          <w:sz w:val="24"/>
          <w:szCs w:val="24"/>
          <w:lang w:val="en-US"/>
        </w:rPr>
        <w:t>, 2026).</w:t>
      </w:r>
    </w:p>
    <w:p w14:paraId="127C9E89" w14:textId="77777777" w:rsidR="00EB09A7" w:rsidRPr="00FE6F22" w:rsidRDefault="00EB09A7" w:rsidP="00FE6F22">
      <w:pPr>
        <w:pStyle w:val="Heading3"/>
        <w:spacing w:line="360" w:lineRule="auto"/>
        <w:rPr>
          <w:rFonts w:ascii="Arial" w:hAnsi="Arial" w:cs="Arial"/>
          <w:sz w:val="24"/>
          <w:szCs w:val="24"/>
          <w:lang w:val="en-US"/>
        </w:rPr>
      </w:pPr>
      <w:bookmarkStart w:id="13" w:name="_Toc225456783"/>
      <w:r w:rsidRPr="00FE6F22">
        <w:rPr>
          <w:rFonts w:ascii="Arial" w:hAnsi="Arial" w:cs="Arial"/>
          <w:sz w:val="24"/>
          <w:szCs w:val="24"/>
          <w:lang w:val="en-US"/>
        </w:rPr>
        <w:t>6.2 Recommendations and Theoretical Justification</w:t>
      </w:r>
      <w:bookmarkEnd w:id="13"/>
    </w:p>
    <w:p w14:paraId="51DAA6A4" w14:textId="77777777" w:rsidR="00EB09A7" w:rsidRPr="00FE6F22" w:rsidRDefault="00EB09A7" w:rsidP="00FE6F22">
      <w:pPr>
        <w:spacing w:line="360" w:lineRule="auto"/>
        <w:jc w:val="both"/>
        <w:rPr>
          <w:rFonts w:ascii="Arial" w:hAnsi="Arial" w:cs="Arial"/>
          <w:sz w:val="24"/>
          <w:szCs w:val="24"/>
          <w:lang w:val="en-US"/>
        </w:rPr>
      </w:pPr>
      <w:r w:rsidRPr="00FE6F22">
        <w:rPr>
          <w:rFonts w:ascii="Arial" w:hAnsi="Arial" w:cs="Arial"/>
          <w:sz w:val="24"/>
          <w:szCs w:val="24"/>
          <w:lang w:val="en-US"/>
        </w:rPr>
        <w:t>To</w:t>
      </w:r>
      <w:r w:rsidR="00D72CED" w:rsidRPr="00FE6F22">
        <w:rPr>
          <w:rFonts w:ascii="Arial" w:hAnsi="Arial" w:cs="Arial"/>
          <w:sz w:val="24"/>
          <w:szCs w:val="24"/>
          <w:lang w:val="en-US"/>
        </w:rPr>
        <w:t xml:space="preserve"> sustain competitive advantage</w:t>
      </w:r>
      <w:r w:rsidR="00D72CED" w:rsidRPr="00FE6F22">
        <w:rPr>
          <w:rFonts w:ascii="Arial" w:hAnsi="Arial" w:cs="Arial"/>
          <w:sz w:val="24"/>
          <w:szCs w:val="24"/>
        </w:rPr>
        <w:t>, Easy Jet must focus on two strategic moves. First, increase the pace of internationalisation of Easy Jet holidays in continental European markets. As the business already contributes more than one third of group profit and also exhibits a scalable, capital light model (96% variable costs), one less risky market development strategy (Ansoff, 1957) which capitalises on an existing core competency is the extension of geographic footprint. Second, enhance operational resilience by means of digital personalisation, and deploy the recommendations of CACI to the full extent to enhance disruption management. This product development project would positively affect cost reduction, and it would also help improve customer experi</w:t>
      </w:r>
      <w:r w:rsidR="00C32A58" w:rsidRPr="00FE6F22">
        <w:rPr>
          <w:rFonts w:ascii="Arial" w:hAnsi="Arial" w:cs="Arial"/>
          <w:sz w:val="24"/>
          <w:szCs w:val="24"/>
        </w:rPr>
        <w:t>ence given that EasyJet spent £</w:t>
      </w:r>
      <w:r w:rsidR="00D72CED" w:rsidRPr="00FE6F22">
        <w:rPr>
          <w:rFonts w:ascii="Arial" w:hAnsi="Arial" w:cs="Arial"/>
          <w:sz w:val="24"/>
          <w:szCs w:val="24"/>
        </w:rPr>
        <w:t>187 million on paying passengers compensation during 2025 and that disruption can cost airlines up to 8 percent of yearly revenue (The Armchair Trader, 2025)</w:t>
      </w:r>
      <w:r w:rsidRPr="00FE6F22">
        <w:rPr>
          <w:rFonts w:ascii="Arial" w:hAnsi="Arial" w:cs="Arial"/>
          <w:sz w:val="24"/>
          <w:szCs w:val="24"/>
          <w:lang w:val="en-US"/>
        </w:rPr>
        <w:t>.</w:t>
      </w:r>
    </w:p>
    <w:p w14:paraId="4C37B63F" w14:textId="77777777" w:rsidR="006334D6" w:rsidRPr="00FE6F22" w:rsidRDefault="006334D6" w:rsidP="00FE6F22">
      <w:pPr>
        <w:pStyle w:val="Heading1"/>
        <w:spacing w:line="360" w:lineRule="auto"/>
        <w:rPr>
          <w:rFonts w:ascii="Arial" w:hAnsi="Arial" w:cs="Arial"/>
          <w:sz w:val="24"/>
          <w:szCs w:val="24"/>
        </w:rPr>
      </w:pPr>
      <w:bookmarkStart w:id="14" w:name="_Toc225456784"/>
      <w:r w:rsidRPr="00FE6F22">
        <w:rPr>
          <w:rFonts w:ascii="Arial" w:hAnsi="Arial" w:cs="Arial"/>
          <w:sz w:val="24"/>
          <w:szCs w:val="24"/>
        </w:rPr>
        <w:t>Section 2:</w:t>
      </w:r>
      <w:bookmarkEnd w:id="14"/>
      <w:r w:rsidRPr="00FE6F22">
        <w:rPr>
          <w:rFonts w:ascii="Arial" w:hAnsi="Arial" w:cs="Arial"/>
          <w:sz w:val="24"/>
          <w:szCs w:val="24"/>
        </w:rPr>
        <w:t xml:space="preserve"> </w:t>
      </w:r>
    </w:p>
    <w:p w14:paraId="10577278" w14:textId="77777777" w:rsidR="00FC5113" w:rsidRPr="00FE6F22" w:rsidRDefault="00FC5113" w:rsidP="00FE6F22">
      <w:pPr>
        <w:pStyle w:val="Heading1"/>
        <w:numPr>
          <w:ilvl w:val="0"/>
          <w:numId w:val="14"/>
        </w:numPr>
        <w:spacing w:line="360" w:lineRule="auto"/>
        <w:rPr>
          <w:rFonts w:ascii="Arial" w:hAnsi="Arial" w:cs="Arial"/>
          <w:sz w:val="24"/>
          <w:szCs w:val="24"/>
          <w:lang w:val="en-US"/>
        </w:rPr>
      </w:pPr>
      <w:bookmarkStart w:id="15" w:name="_Toc225456785"/>
      <w:r w:rsidRPr="00FE6F22">
        <w:rPr>
          <w:rFonts w:ascii="Arial" w:hAnsi="Arial" w:cs="Arial"/>
          <w:sz w:val="24"/>
          <w:szCs w:val="24"/>
          <w:lang w:val="en-US"/>
        </w:rPr>
        <w:t xml:space="preserve">Reflective Account: Researching and </w:t>
      </w:r>
      <w:proofErr w:type="spellStart"/>
      <w:r w:rsidRPr="00FE6F22">
        <w:rPr>
          <w:rFonts w:ascii="Arial" w:hAnsi="Arial" w:cs="Arial"/>
          <w:sz w:val="24"/>
          <w:szCs w:val="24"/>
          <w:lang w:val="en-US"/>
        </w:rPr>
        <w:t>Analysing</w:t>
      </w:r>
      <w:proofErr w:type="spellEnd"/>
      <w:r w:rsidRPr="00FE6F22">
        <w:rPr>
          <w:rFonts w:ascii="Arial" w:hAnsi="Arial" w:cs="Arial"/>
          <w:sz w:val="24"/>
          <w:szCs w:val="24"/>
          <w:lang w:val="en-US"/>
        </w:rPr>
        <w:t xml:space="preserve"> </w:t>
      </w:r>
      <w:r w:rsidR="00D861D2" w:rsidRPr="00FE6F22">
        <w:rPr>
          <w:rFonts w:ascii="Arial" w:hAnsi="Arial" w:cs="Arial"/>
          <w:sz w:val="24"/>
          <w:szCs w:val="24"/>
          <w:lang w:val="en-US"/>
        </w:rPr>
        <w:t>EasyJet</w:t>
      </w:r>
      <w:r w:rsidRPr="00FE6F22">
        <w:rPr>
          <w:rFonts w:ascii="Arial" w:hAnsi="Arial" w:cs="Arial"/>
          <w:sz w:val="24"/>
          <w:szCs w:val="24"/>
          <w:lang w:val="en-US"/>
        </w:rPr>
        <w:t>’s Strategic Environment</w:t>
      </w:r>
      <w:bookmarkEnd w:id="15"/>
    </w:p>
    <w:p w14:paraId="05CF286F" w14:textId="77777777" w:rsidR="00FC5113" w:rsidRPr="00FE6F22" w:rsidRDefault="009E37D1" w:rsidP="00FE6F22">
      <w:pPr>
        <w:pStyle w:val="Heading2"/>
        <w:spacing w:line="360" w:lineRule="auto"/>
        <w:rPr>
          <w:rFonts w:ascii="Arial" w:hAnsi="Arial" w:cs="Arial"/>
          <w:sz w:val="24"/>
          <w:szCs w:val="24"/>
          <w:lang w:val="en-US"/>
        </w:rPr>
      </w:pPr>
      <w:bookmarkStart w:id="16" w:name="_Toc225456786"/>
      <w:r w:rsidRPr="00FE6F22">
        <w:rPr>
          <w:rFonts w:ascii="Arial" w:hAnsi="Arial" w:cs="Arial"/>
          <w:sz w:val="24"/>
          <w:szCs w:val="24"/>
          <w:lang w:val="en-US"/>
        </w:rPr>
        <w:t xml:space="preserve">7.1 </w:t>
      </w:r>
      <w:r w:rsidR="00FC5113" w:rsidRPr="00FE6F22">
        <w:rPr>
          <w:rFonts w:ascii="Arial" w:hAnsi="Arial" w:cs="Arial"/>
          <w:sz w:val="24"/>
          <w:szCs w:val="24"/>
          <w:lang w:val="en-US"/>
        </w:rPr>
        <w:t>Using Gibbs’ Reflective Cycle (1988)</w:t>
      </w:r>
      <w:bookmarkEnd w:id="16"/>
    </w:p>
    <w:p w14:paraId="774EDEB2" w14:textId="77777777" w:rsidR="00FC5113" w:rsidRPr="00FE6F22" w:rsidRDefault="00FC5113" w:rsidP="00FE6F22">
      <w:pPr>
        <w:spacing w:line="360" w:lineRule="auto"/>
        <w:jc w:val="both"/>
        <w:rPr>
          <w:rFonts w:ascii="Arial" w:hAnsi="Arial" w:cs="Arial"/>
          <w:b/>
          <w:bCs/>
          <w:sz w:val="24"/>
          <w:szCs w:val="24"/>
          <w:lang w:val="en-US"/>
        </w:rPr>
      </w:pPr>
      <w:r w:rsidRPr="00FE6F22">
        <w:rPr>
          <w:rFonts w:ascii="Arial" w:hAnsi="Arial" w:cs="Arial"/>
          <w:b/>
          <w:bCs/>
          <w:sz w:val="24"/>
          <w:szCs w:val="24"/>
          <w:lang w:val="en-US"/>
        </w:rPr>
        <w:t>Description</w:t>
      </w:r>
    </w:p>
    <w:p w14:paraId="27C25198" w14:textId="77777777" w:rsidR="00FC5113" w:rsidRPr="00FE6F22" w:rsidRDefault="00D72CED" w:rsidP="00FE6F22">
      <w:pPr>
        <w:spacing w:line="360" w:lineRule="auto"/>
        <w:jc w:val="both"/>
        <w:rPr>
          <w:rFonts w:ascii="Arial" w:hAnsi="Arial" w:cs="Arial"/>
          <w:sz w:val="24"/>
          <w:szCs w:val="24"/>
          <w:lang w:val="en-US"/>
        </w:rPr>
      </w:pPr>
      <w:r w:rsidRPr="00FE6F22">
        <w:rPr>
          <w:rFonts w:ascii="Arial" w:hAnsi="Arial" w:cs="Arial"/>
          <w:sz w:val="24"/>
          <w:szCs w:val="24"/>
        </w:rPr>
        <w:t xml:space="preserve">In Section 2 of this assessment, I was required to critically examine the external and internal environment of EasyJet through the use of the PESTEL, VRIO, and other strategic frameworks. I used the systematic review of the corporate site of EasyJet (investor relations section) on the corporate site of EasyJet, where I found Annual Report and Accounts 2025 (EasyJet, 2025), and this is what became my starting point of the research. I also reviewed such additional materials as the Anti-Bribery and </w:t>
      </w:r>
      <w:r w:rsidRPr="00FE6F22">
        <w:rPr>
          <w:rFonts w:ascii="Arial" w:hAnsi="Arial" w:cs="Arial"/>
          <w:sz w:val="24"/>
          <w:szCs w:val="24"/>
        </w:rPr>
        <w:lastRenderedPageBreak/>
        <w:t xml:space="preserve">Corruption Policy (EasyJet, 2025), Anti-Fraud Policy (EasyJet, 2022), and the French Gender Pay Gap Report (EasyJet, 2025). I used the Google Scholar search engine to find peer-reviewed articles on the strategy of low-cost carriers with such keywords as European aviation competitive advantage, PESTEL analysis airline industry, and VRIO framework aviation. I came across pertinent scholarly literature such as generic strategies by Porter (1980), the resource based view by Barney (1991), and a recent study by </w:t>
      </w:r>
      <w:proofErr w:type="spellStart"/>
      <w:r w:rsidRPr="00FE6F22">
        <w:rPr>
          <w:rFonts w:ascii="Arial" w:hAnsi="Arial" w:cs="Arial"/>
          <w:sz w:val="24"/>
          <w:szCs w:val="24"/>
        </w:rPr>
        <w:t>Mihalcinova</w:t>
      </w:r>
      <w:proofErr w:type="spellEnd"/>
      <w:r w:rsidRPr="00FE6F22">
        <w:rPr>
          <w:rFonts w:ascii="Arial" w:hAnsi="Arial" w:cs="Arial"/>
          <w:sz w:val="24"/>
          <w:szCs w:val="24"/>
        </w:rPr>
        <w:t xml:space="preserve"> and </w:t>
      </w:r>
      <w:proofErr w:type="spellStart"/>
      <w:r w:rsidRPr="00FE6F22">
        <w:rPr>
          <w:rFonts w:ascii="Arial" w:hAnsi="Arial" w:cs="Arial"/>
          <w:sz w:val="24"/>
          <w:szCs w:val="24"/>
        </w:rPr>
        <w:t>Badanik</w:t>
      </w:r>
      <w:proofErr w:type="spellEnd"/>
      <w:r w:rsidRPr="00FE6F22">
        <w:rPr>
          <w:rFonts w:ascii="Arial" w:hAnsi="Arial" w:cs="Arial"/>
          <w:sz w:val="24"/>
          <w:szCs w:val="24"/>
        </w:rPr>
        <w:t xml:space="preserve"> (2023) on low-cost carrier marketing. I have subsequently broken down my analysis through first using PESTEL to the outside forces and then assessing the inside resources in accordance with VRIO and integrating these with the facts of the annual report</w:t>
      </w:r>
      <w:r w:rsidR="00FC5113" w:rsidRPr="00FE6F22">
        <w:rPr>
          <w:rFonts w:ascii="Arial" w:hAnsi="Arial" w:cs="Arial"/>
          <w:sz w:val="24"/>
          <w:szCs w:val="24"/>
          <w:lang w:val="en-US"/>
        </w:rPr>
        <w:t>.</w:t>
      </w:r>
    </w:p>
    <w:p w14:paraId="64C102AB" w14:textId="77777777" w:rsidR="00FC5113" w:rsidRPr="00FE6F22" w:rsidRDefault="00FC5113" w:rsidP="00FE6F22">
      <w:pPr>
        <w:spacing w:line="360" w:lineRule="auto"/>
        <w:jc w:val="both"/>
        <w:rPr>
          <w:rFonts w:ascii="Arial" w:hAnsi="Arial" w:cs="Arial"/>
          <w:b/>
          <w:bCs/>
          <w:sz w:val="24"/>
          <w:szCs w:val="24"/>
          <w:lang w:val="en-US"/>
        </w:rPr>
      </w:pPr>
      <w:r w:rsidRPr="00FE6F22">
        <w:rPr>
          <w:rFonts w:ascii="Arial" w:hAnsi="Arial" w:cs="Arial"/>
          <w:b/>
          <w:bCs/>
          <w:sz w:val="24"/>
          <w:szCs w:val="24"/>
          <w:lang w:val="en-US"/>
        </w:rPr>
        <w:t>Feelings</w:t>
      </w:r>
    </w:p>
    <w:p w14:paraId="5B903AC7" w14:textId="77777777" w:rsidR="00D72CED" w:rsidRPr="00FE6F22" w:rsidRDefault="00FC5113" w:rsidP="00FE6F22">
      <w:pPr>
        <w:spacing w:line="360" w:lineRule="auto"/>
        <w:jc w:val="both"/>
        <w:rPr>
          <w:rFonts w:ascii="Arial" w:hAnsi="Arial" w:cs="Arial"/>
          <w:sz w:val="24"/>
          <w:szCs w:val="24"/>
          <w:lang w:val="en-US"/>
        </w:rPr>
      </w:pPr>
      <w:r w:rsidRPr="00FE6F22">
        <w:rPr>
          <w:rFonts w:ascii="Arial" w:hAnsi="Arial" w:cs="Arial"/>
          <w:sz w:val="24"/>
          <w:szCs w:val="24"/>
          <w:lang w:val="en-US"/>
        </w:rPr>
        <w:t xml:space="preserve">Initially, </w:t>
      </w:r>
      <w:r w:rsidR="00D72CED" w:rsidRPr="00FE6F22">
        <w:rPr>
          <w:rFonts w:ascii="Arial" w:hAnsi="Arial" w:cs="Arial"/>
          <w:sz w:val="24"/>
          <w:szCs w:val="24"/>
        </w:rPr>
        <w:t>At the outset, I was overwhelmed by the size of information contained in the 200 page annual report. Nevertheless, when I methodica</w:t>
      </w:r>
      <w:r w:rsidR="00C32A58" w:rsidRPr="00FE6F22">
        <w:rPr>
          <w:rFonts w:ascii="Arial" w:hAnsi="Arial" w:cs="Arial"/>
          <w:sz w:val="24"/>
          <w:szCs w:val="24"/>
        </w:rPr>
        <w:t>lly remove the data including £</w:t>
      </w:r>
      <w:r w:rsidR="00D72CED" w:rsidRPr="00FE6F22">
        <w:rPr>
          <w:rFonts w:ascii="Arial" w:hAnsi="Arial" w:cs="Arial"/>
          <w:sz w:val="24"/>
          <w:szCs w:val="24"/>
        </w:rPr>
        <w:t>602m net cash position, 72% on time performance and 74% customer return rate, I became confident in my ability to find and read corporate disclosures. I was frustrated by the inability to find peer reviewed articles, which actually dealt with the VRIO profile of EasyJet since much academic literature deals with the airline industry as a whole, but not with a specific airline.</w:t>
      </w:r>
    </w:p>
    <w:p w14:paraId="472BCA45" w14:textId="77777777" w:rsidR="00FC5113" w:rsidRPr="00FE6F22" w:rsidRDefault="00FC5113" w:rsidP="00FE6F22">
      <w:pPr>
        <w:spacing w:line="360" w:lineRule="auto"/>
        <w:jc w:val="both"/>
        <w:rPr>
          <w:rFonts w:ascii="Arial" w:hAnsi="Arial" w:cs="Arial"/>
          <w:b/>
          <w:bCs/>
          <w:sz w:val="24"/>
          <w:szCs w:val="24"/>
          <w:lang w:val="en-US"/>
        </w:rPr>
      </w:pPr>
      <w:r w:rsidRPr="00FE6F22">
        <w:rPr>
          <w:rFonts w:ascii="Arial" w:hAnsi="Arial" w:cs="Arial"/>
          <w:b/>
          <w:bCs/>
          <w:sz w:val="24"/>
          <w:szCs w:val="24"/>
          <w:lang w:val="en-US"/>
        </w:rPr>
        <w:t>Evaluation</w:t>
      </w:r>
    </w:p>
    <w:p w14:paraId="75FB9B12" w14:textId="77777777" w:rsidR="00D72CED" w:rsidRPr="00FE6F22" w:rsidRDefault="00D72CED" w:rsidP="00FE6F22">
      <w:pPr>
        <w:spacing w:line="360" w:lineRule="auto"/>
        <w:jc w:val="both"/>
        <w:rPr>
          <w:rFonts w:ascii="Arial" w:hAnsi="Arial" w:cs="Arial"/>
          <w:sz w:val="24"/>
          <w:szCs w:val="24"/>
        </w:rPr>
      </w:pPr>
      <w:r w:rsidRPr="00FE6F22">
        <w:rPr>
          <w:rFonts w:ascii="Arial" w:hAnsi="Arial" w:cs="Arial"/>
          <w:sz w:val="24"/>
          <w:szCs w:val="24"/>
        </w:rPr>
        <w:t>The research process had its positive and challenging results. On the positive side, the access to the comprehensive annual report released by EasyJet and specific corporate governance documents helped to get the valuable and credible information that enabled me to base my analysis on the highly verifiable facts. The evidence based assessment was made possible by the inclusion of certain KPIs, including a 9 percent growth in h</w:t>
      </w:r>
      <w:r w:rsidR="00C32A58" w:rsidRPr="00FE6F22">
        <w:rPr>
          <w:rFonts w:ascii="Arial" w:hAnsi="Arial" w:cs="Arial"/>
          <w:sz w:val="24"/>
          <w:szCs w:val="24"/>
        </w:rPr>
        <w:t xml:space="preserve">eadline PBT to PS665m and a 1.8% </w:t>
      </w:r>
      <w:r w:rsidRPr="00FE6F22">
        <w:rPr>
          <w:rFonts w:ascii="Arial" w:hAnsi="Arial" w:cs="Arial"/>
          <w:sz w:val="24"/>
          <w:szCs w:val="24"/>
        </w:rPr>
        <w:t>decrease in CO</w:t>
      </w:r>
      <w:r w:rsidRPr="00FE6F22">
        <w:rPr>
          <w:rFonts w:ascii="Arial" w:hAnsi="Arial" w:cs="Arial"/>
          <w:sz w:val="24"/>
          <w:szCs w:val="24"/>
          <w:vertAlign w:val="subscript"/>
        </w:rPr>
        <w:t>2</w:t>
      </w:r>
      <w:r w:rsidRPr="00FE6F22">
        <w:rPr>
          <w:rFonts w:ascii="Arial" w:hAnsi="Arial" w:cs="Arial"/>
          <w:sz w:val="24"/>
          <w:szCs w:val="24"/>
        </w:rPr>
        <w:t xml:space="preserve"> emissions per pass</w:t>
      </w:r>
      <w:r w:rsidR="004E0A37" w:rsidRPr="00FE6F22">
        <w:rPr>
          <w:rFonts w:ascii="Arial" w:hAnsi="Arial" w:cs="Arial"/>
          <w:sz w:val="24"/>
          <w:szCs w:val="24"/>
        </w:rPr>
        <w:t>enger kilometre (EasyJet, 2025</w:t>
      </w:r>
      <w:r w:rsidRPr="00FE6F22">
        <w:rPr>
          <w:rFonts w:ascii="Arial" w:hAnsi="Arial" w:cs="Arial"/>
          <w:sz w:val="24"/>
          <w:szCs w:val="24"/>
        </w:rPr>
        <w:t>). The combination of educational systems with corporate information enhanced the theoretical soundness of my examination. But I was faced with certain constraints, such as not all policy documents were published and the annual repo</w:t>
      </w:r>
      <w:r w:rsidR="004E0A37" w:rsidRPr="00FE6F22">
        <w:rPr>
          <w:rFonts w:ascii="Arial" w:hAnsi="Arial" w:cs="Arial"/>
          <w:sz w:val="24"/>
          <w:szCs w:val="24"/>
        </w:rPr>
        <w:t>rt, though elaborate, is a self-</w:t>
      </w:r>
      <w:r w:rsidRPr="00FE6F22">
        <w:rPr>
          <w:rFonts w:ascii="Arial" w:hAnsi="Arial" w:cs="Arial"/>
          <w:sz w:val="24"/>
          <w:szCs w:val="24"/>
        </w:rPr>
        <w:t xml:space="preserve">presentation of the organisation and this may expose management bias (Deegan and </w:t>
      </w:r>
      <w:proofErr w:type="spellStart"/>
      <w:r w:rsidRPr="00FE6F22">
        <w:rPr>
          <w:rFonts w:ascii="Arial" w:hAnsi="Arial" w:cs="Arial"/>
          <w:sz w:val="24"/>
          <w:szCs w:val="24"/>
        </w:rPr>
        <w:t>Unerman</w:t>
      </w:r>
      <w:proofErr w:type="spellEnd"/>
      <w:r w:rsidRPr="00FE6F22">
        <w:rPr>
          <w:rFonts w:ascii="Arial" w:hAnsi="Arial" w:cs="Arial"/>
          <w:sz w:val="24"/>
          <w:szCs w:val="24"/>
        </w:rPr>
        <w:t>, 2011).</w:t>
      </w:r>
    </w:p>
    <w:p w14:paraId="5078F1DB" w14:textId="77777777" w:rsidR="00FC5113" w:rsidRPr="00FE6F22" w:rsidRDefault="00FC5113" w:rsidP="00FE6F22">
      <w:pPr>
        <w:spacing w:line="360" w:lineRule="auto"/>
        <w:jc w:val="both"/>
        <w:rPr>
          <w:rFonts w:ascii="Arial" w:hAnsi="Arial" w:cs="Arial"/>
          <w:b/>
          <w:bCs/>
          <w:sz w:val="24"/>
          <w:szCs w:val="24"/>
          <w:lang w:val="en-US"/>
        </w:rPr>
      </w:pPr>
      <w:r w:rsidRPr="00FE6F22">
        <w:rPr>
          <w:rFonts w:ascii="Arial" w:hAnsi="Arial" w:cs="Arial"/>
          <w:b/>
          <w:bCs/>
          <w:sz w:val="24"/>
          <w:szCs w:val="24"/>
          <w:lang w:val="en-US"/>
        </w:rPr>
        <w:t>Analysis</w:t>
      </w:r>
    </w:p>
    <w:p w14:paraId="4AE34330" w14:textId="77777777" w:rsidR="00EB09A7" w:rsidRPr="00FE6F22" w:rsidRDefault="00E71EAB" w:rsidP="00FE6F22">
      <w:pPr>
        <w:spacing w:line="360" w:lineRule="auto"/>
        <w:jc w:val="both"/>
        <w:rPr>
          <w:rFonts w:ascii="Arial" w:hAnsi="Arial" w:cs="Arial"/>
          <w:sz w:val="24"/>
          <w:szCs w:val="24"/>
          <w:lang w:val="en-US"/>
        </w:rPr>
      </w:pPr>
      <w:r w:rsidRPr="00FE6F22">
        <w:rPr>
          <w:rFonts w:ascii="Arial" w:hAnsi="Arial" w:cs="Arial"/>
          <w:sz w:val="24"/>
          <w:szCs w:val="24"/>
        </w:rPr>
        <w:lastRenderedPageBreak/>
        <w:t>The process enhanced my knowledge on the role of theoretical frameworks in strategic analysis. The application of PESTEL allowed me to go beyond describing the external environment and having a critical assessment of the strategic implications of the external environment. As an illustration, it is possible to refer to the identification of ATC as a political/operational threat as underperforming (</w:t>
      </w:r>
      <w:r w:rsidR="00B022C3" w:rsidRPr="00FE6F22">
        <w:rPr>
          <w:rFonts w:ascii="Arial" w:hAnsi="Arial" w:cs="Arial"/>
          <w:sz w:val="24"/>
          <w:szCs w:val="24"/>
        </w:rPr>
        <w:t>EasyJet</w:t>
      </w:r>
      <w:r w:rsidRPr="00FE6F22">
        <w:rPr>
          <w:rFonts w:ascii="Arial" w:hAnsi="Arial" w:cs="Arial"/>
          <w:sz w:val="24"/>
          <w:szCs w:val="24"/>
        </w:rPr>
        <w:t>, 2025</w:t>
      </w:r>
      <w:r w:rsidR="004E0A37" w:rsidRPr="00FE6F22">
        <w:rPr>
          <w:rFonts w:ascii="Arial" w:hAnsi="Arial" w:cs="Arial"/>
          <w:sz w:val="24"/>
          <w:szCs w:val="24"/>
        </w:rPr>
        <w:t>).</w:t>
      </w:r>
      <w:r w:rsidRPr="00FE6F22">
        <w:rPr>
          <w:rFonts w:ascii="Arial" w:hAnsi="Arial" w:cs="Arial"/>
          <w:sz w:val="24"/>
          <w:szCs w:val="24"/>
        </w:rPr>
        <w:t xml:space="preserve"> The interdependence between environment and strategy was reflected through the iterative nature of the environment and strategy (6) and linking it to strategic initiatives, i.e., investing in operational resilience to enhance OTP (Mintzberg et al., 1998). The VRIO framework was especially useful in the differentiation of resources providing competitive parity and resources providing sustainable advantage. The fleet (valuable, but not rare) of EasyJet gives parity, and its slot portfolio at prime airports and EasyJet holidays platform fulfil all four VRIO requirements, which provide sustainable competitive advantage (Barney, 1991; EasyJet, 2025)</w:t>
      </w:r>
      <w:r w:rsidR="00FC5113" w:rsidRPr="00FE6F22">
        <w:rPr>
          <w:rFonts w:ascii="Arial" w:hAnsi="Arial" w:cs="Arial"/>
          <w:sz w:val="24"/>
          <w:szCs w:val="24"/>
          <w:lang w:val="en-US"/>
        </w:rPr>
        <w:t xml:space="preserve">. </w:t>
      </w:r>
    </w:p>
    <w:p w14:paraId="0B95601B" w14:textId="77777777" w:rsidR="00FC5113" w:rsidRPr="00FE6F22" w:rsidRDefault="00FC5113" w:rsidP="00FE6F22">
      <w:pPr>
        <w:spacing w:line="360" w:lineRule="auto"/>
        <w:jc w:val="both"/>
        <w:rPr>
          <w:rFonts w:ascii="Arial" w:hAnsi="Arial" w:cs="Arial"/>
          <w:b/>
          <w:bCs/>
          <w:sz w:val="24"/>
          <w:szCs w:val="24"/>
          <w:lang w:val="en-US"/>
        </w:rPr>
      </w:pPr>
      <w:r w:rsidRPr="00FE6F22">
        <w:rPr>
          <w:rFonts w:ascii="Arial" w:hAnsi="Arial" w:cs="Arial"/>
          <w:b/>
          <w:bCs/>
          <w:sz w:val="24"/>
          <w:szCs w:val="24"/>
          <w:lang w:val="en-US"/>
        </w:rPr>
        <w:t>Conclusion</w:t>
      </w:r>
    </w:p>
    <w:p w14:paraId="7C94B336" w14:textId="77777777" w:rsidR="00FC5113" w:rsidRPr="00FE6F22" w:rsidRDefault="00942B60" w:rsidP="00FE6F22">
      <w:pPr>
        <w:spacing w:line="360" w:lineRule="auto"/>
        <w:jc w:val="both"/>
        <w:rPr>
          <w:rFonts w:ascii="Arial" w:hAnsi="Arial" w:cs="Arial"/>
          <w:sz w:val="24"/>
          <w:szCs w:val="24"/>
          <w:lang w:val="en-US"/>
        </w:rPr>
      </w:pPr>
      <w:r w:rsidRPr="00FE6F22">
        <w:rPr>
          <w:rFonts w:ascii="Arial" w:hAnsi="Arial" w:cs="Arial"/>
          <w:sz w:val="24"/>
          <w:szCs w:val="24"/>
        </w:rPr>
        <w:t>I got to know that to create a good strategic analysis, it is necessary to balance between corporate disclosures and independent academic and industry sources. The VRIO framework is not merely a checklist but a diagnostic tool for identifying genuine sources of sustainable advantage. I also established that the hybrid approach of EasyJet that integrates cost leadership and differentiation through the quality of its networks and integration of holidays is theoretically consistent and practically demonstrated by its financial and operational outcomes. With more time, I would have added analyst reports prepared by the investment banks to obtain the opinions of external analysts regarding the competitive positioning of EasyJet</w:t>
      </w:r>
      <w:r w:rsidR="00FC5113" w:rsidRPr="00FE6F22">
        <w:rPr>
          <w:rFonts w:ascii="Arial" w:hAnsi="Arial" w:cs="Arial"/>
          <w:sz w:val="24"/>
          <w:szCs w:val="24"/>
          <w:lang w:val="en-US"/>
        </w:rPr>
        <w:t>.</w:t>
      </w:r>
    </w:p>
    <w:p w14:paraId="6FAC22CA" w14:textId="77777777" w:rsidR="00FC5113" w:rsidRPr="00FE6F22" w:rsidRDefault="00FC5113" w:rsidP="00FE6F22">
      <w:pPr>
        <w:spacing w:line="360" w:lineRule="auto"/>
        <w:jc w:val="both"/>
        <w:rPr>
          <w:rFonts w:ascii="Arial" w:hAnsi="Arial" w:cs="Arial"/>
          <w:b/>
          <w:bCs/>
          <w:sz w:val="24"/>
          <w:szCs w:val="24"/>
          <w:lang w:val="en-US"/>
        </w:rPr>
      </w:pPr>
      <w:r w:rsidRPr="00FE6F22">
        <w:rPr>
          <w:rFonts w:ascii="Arial" w:hAnsi="Arial" w:cs="Arial"/>
          <w:b/>
          <w:bCs/>
          <w:sz w:val="24"/>
          <w:szCs w:val="24"/>
          <w:lang w:val="en-US"/>
        </w:rPr>
        <w:t>Action Plan</w:t>
      </w:r>
    </w:p>
    <w:p w14:paraId="39BF891B" w14:textId="77777777" w:rsidR="00FC5113" w:rsidRPr="00FE6F22" w:rsidRDefault="00FC5113" w:rsidP="00FE6F22">
      <w:pPr>
        <w:spacing w:line="360" w:lineRule="auto"/>
        <w:jc w:val="both"/>
        <w:rPr>
          <w:rFonts w:ascii="Arial" w:hAnsi="Arial" w:cs="Arial"/>
          <w:sz w:val="24"/>
          <w:szCs w:val="24"/>
          <w:lang w:val="en-US"/>
        </w:rPr>
      </w:pPr>
      <w:r w:rsidRPr="00FE6F22">
        <w:rPr>
          <w:rFonts w:ascii="Arial" w:hAnsi="Arial" w:cs="Arial"/>
          <w:sz w:val="24"/>
          <w:szCs w:val="24"/>
          <w:lang w:val="en-US"/>
        </w:rPr>
        <w:t xml:space="preserve">For future strategic analyses, </w:t>
      </w:r>
      <w:r w:rsidR="0042092A" w:rsidRPr="00FE6F22">
        <w:rPr>
          <w:rFonts w:ascii="Arial" w:hAnsi="Arial" w:cs="Arial"/>
          <w:sz w:val="24"/>
          <w:szCs w:val="24"/>
        </w:rPr>
        <w:t>I will (1) first mapping my theoretical frameworks against required data types and subsequently starting research, thus saving time on a futile search of information that does not exist; (2) using analyst reports and industry commentary in addition to company information to reduce the influence of management bias on my analysis; (3) setting aside more time to search Google scholar with narrowed search terms and Boolean operators to find firm specific academic studies; and (4) clearly stating in my analysis what corporate disclosures can be limited to</w:t>
      </w:r>
      <w:r w:rsidRPr="00FE6F22">
        <w:rPr>
          <w:rFonts w:ascii="Arial" w:hAnsi="Arial" w:cs="Arial"/>
          <w:sz w:val="24"/>
          <w:szCs w:val="24"/>
          <w:lang w:val="en-US"/>
        </w:rPr>
        <w:t>.</w:t>
      </w:r>
    </w:p>
    <w:p w14:paraId="03FBB60A" w14:textId="77777777" w:rsidR="005A7207" w:rsidRPr="00FE6F22" w:rsidRDefault="005A7207" w:rsidP="00FE6F22">
      <w:pPr>
        <w:spacing w:line="360" w:lineRule="auto"/>
        <w:jc w:val="both"/>
        <w:rPr>
          <w:rFonts w:ascii="Arial" w:hAnsi="Arial" w:cs="Arial"/>
          <w:sz w:val="24"/>
          <w:szCs w:val="24"/>
          <w:lang w:val="en-US"/>
        </w:rPr>
      </w:pPr>
    </w:p>
    <w:p w14:paraId="6A836051" w14:textId="77777777" w:rsidR="00311AED" w:rsidRPr="00FE6F22" w:rsidRDefault="00311AED" w:rsidP="00FE6F22">
      <w:pPr>
        <w:spacing w:line="360" w:lineRule="auto"/>
        <w:jc w:val="both"/>
        <w:rPr>
          <w:rFonts w:ascii="Arial" w:hAnsi="Arial" w:cs="Arial"/>
          <w:sz w:val="24"/>
          <w:szCs w:val="24"/>
          <w:lang w:val="en-US"/>
        </w:rPr>
      </w:pPr>
    </w:p>
    <w:p w14:paraId="4D12F697" w14:textId="77777777" w:rsidR="00311AED" w:rsidRPr="00FE6F22" w:rsidRDefault="00311AED" w:rsidP="00FE6F22">
      <w:pPr>
        <w:spacing w:line="360" w:lineRule="auto"/>
        <w:jc w:val="both"/>
        <w:rPr>
          <w:rFonts w:ascii="Arial" w:hAnsi="Arial" w:cs="Arial"/>
          <w:sz w:val="24"/>
          <w:szCs w:val="24"/>
        </w:rPr>
      </w:pPr>
    </w:p>
    <w:p w14:paraId="6B8ADFA9" w14:textId="77777777" w:rsidR="002E55AA" w:rsidRPr="00FE6F22" w:rsidRDefault="002E55AA" w:rsidP="00FE6F22">
      <w:pPr>
        <w:spacing w:line="360" w:lineRule="auto"/>
        <w:jc w:val="both"/>
        <w:rPr>
          <w:rFonts w:ascii="Arial" w:hAnsi="Arial" w:cs="Arial"/>
          <w:sz w:val="24"/>
          <w:szCs w:val="24"/>
          <w:lang w:val="en-US"/>
        </w:rPr>
      </w:pPr>
    </w:p>
    <w:p w14:paraId="49B34A4F" w14:textId="77777777" w:rsidR="00513965" w:rsidRPr="00FE6F22" w:rsidRDefault="00513965" w:rsidP="00FE6F22">
      <w:pPr>
        <w:spacing w:line="360" w:lineRule="auto"/>
        <w:rPr>
          <w:rFonts w:ascii="Arial" w:eastAsiaTheme="majorEastAsia" w:hAnsi="Arial" w:cs="Arial"/>
          <w:b/>
          <w:bCs/>
          <w:color w:val="2E74B5" w:themeColor="accent1" w:themeShade="BF"/>
          <w:sz w:val="24"/>
          <w:szCs w:val="24"/>
        </w:rPr>
      </w:pPr>
      <w:r w:rsidRPr="00FE6F22">
        <w:rPr>
          <w:rFonts w:ascii="Arial" w:hAnsi="Arial" w:cs="Arial"/>
          <w:sz w:val="24"/>
          <w:szCs w:val="24"/>
        </w:rPr>
        <w:br w:type="page"/>
      </w:r>
    </w:p>
    <w:p w14:paraId="7E369289" w14:textId="77777777" w:rsidR="008E3138" w:rsidRPr="00FE6F22" w:rsidRDefault="004561EB" w:rsidP="00FE6F22">
      <w:pPr>
        <w:pStyle w:val="Heading1"/>
        <w:spacing w:line="360" w:lineRule="auto"/>
        <w:jc w:val="both"/>
        <w:rPr>
          <w:rFonts w:ascii="Arial" w:hAnsi="Arial" w:cs="Arial"/>
          <w:sz w:val="24"/>
          <w:szCs w:val="24"/>
        </w:rPr>
      </w:pPr>
      <w:bookmarkStart w:id="17" w:name="_Toc225456787"/>
      <w:r w:rsidRPr="00FE6F22">
        <w:rPr>
          <w:rFonts w:ascii="Arial" w:hAnsi="Arial" w:cs="Arial"/>
          <w:sz w:val="24"/>
          <w:szCs w:val="24"/>
        </w:rPr>
        <w:lastRenderedPageBreak/>
        <w:t>References</w:t>
      </w:r>
      <w:bookmarkEnd w:id="17"/>
    </w:p>
    <w:p w14:paraId="0EA089CF" w14:textId="77777777" w:rsidR="002C176E" w:rsidRPr="00FE6F22" w:rsidRDefault="002C176E" w:rsidP="00FE6F22">
      <w:pPr>
        <w:pStyle w:val="NormalWeb"/>
        <w:numPr>
          <w:ilvl w:val="0"/>
          <w:numId w:val="13"/>
        </w:numPr>
        <w:spacing w:line="360" w:lineRule="auto"/>
        <w:rPr>
          <w:rFonts w:ascii="Arial" w:hAnsi="Arial" w:cs="Arial"/>
        </w:rPr>
      </w:pPr>
      <w:r w:rsidRPr="00FE6F22">
        <w:rPr>
          <w:rFonts w:ascii="Arial" w:hAnsi="Arial" w:cs="Arial"/>
        </w:rPr>
        <w:t>CAPA - Centre for Aviation (2023) European aviation market analysis. Sydney: CAPA.</w:t>
      </w:r>
    </w:p>
    <w:p w14:paraId="3FD37D60" w14:textId="77777777" w:rsidR="002C176E" w:rsidRPr="00FE6F22" w:rsidRDefault="002C176E" w:rsidP="00FE6F22">
      <w:pPr>
        <w:pStyle w:val="NormalWeb"/>
        <w:numPr>
          <w:ilvl w:val="0"/>
          <w:numId w:val="13"/>
        </w:numPr>
        <w:spacing w:line="360" w:lineRule="auto"/>
        <w:rPr>
          <w:rFonts w:ascii="Arial" w:hAnsi="Arial" w:cs="Arial"/>
        </w:rPr>
      </w:pPr>
      <w:r w:rsidRPr="00FE6F22">
        <w:rPr>
          <w:rFonts w:ascii="Arial" w:hAnsi="Arial" w:cs="Arial"/>
        </w:rPr>
        <w:t>Ansoff, H.I. (1957) ‘Strategies for diversification’, Harvard Business Review, 35(5), pp. 113–124.</w:t>
      </w:r>
    </w:p>
    <w:p w14:paraId="2F7DA80A" w14:textId="77777777" w:rsidR="002C176E" w:rsidRPr="00FE6F22" w:rsidRDefault="002C176E" w:rsidP="00FE6F22">
      <w:pPr>
        <w:pStyle w:val="NormalWeb"/>
        <w:numPr>
          <w:ilvl w:val="0"/>
          <w:numId w:val="13"/>
        </w:numPr>
        <w:spacing w:line="360" w:lineRule="auto"/>
        <w:rPr>
          <w:rFonts w:ascii="Arial" w:hAnsi="Arial" w:cs="Arial"/>
        </w:rPr>
      </w:pPr>
      <w:r w:rsidRPr="00FE6F22">
        <w:rPr>
          <w:rFonts w:ascii="Arial" w:hAnsi="Arial" w:cs="Arial"/>
        </w:rPr>
        <w:t>Barney, J. (1991) ‘Firm resources and sustained competitive advantage’, Journal of Management, 17(1), pp. 99–120.</w:t>
      </w:r>
    </w:p>
    <w:p w14:paraId="02A44B26" w14:textId="77777777" w:rsidR="002C176E" w:rsidRPr="00FE6F22" w:rsidRDefault="002C176E" w:rsidP="00FE6F22">
      <w:pPr>
        <w:pStyle w:val="NormalWeb"/>
        <w:numPr>
          <w:ilvl w:val="0"/>
          <w:numId w:val="13"/>
        </w:numPr>
        <w:spacing w:line="360" w:lineRule="auto"/>
        <w:rPr>
          <w:rFonts w:ascii="Arial" w:hAnsi="Arial" w:cs="Arial"/>
        </w:rPr>
      </w:pPr>
      <w:r w:rsidRPr="00FE6F22">
        <w:rPr>
          <w:rFonts w:ascii="Arial" w:hAnsi="Arial" w:cs="Arial"/>
        </w:rPr>
        <w:t xml:space="preserve">Deegan, C. and </w:t>
      </w:r>
      <w:proofErr w:type="spellStart"/>
      <w:r w:rsidRPr="00FE6F22">
        <w:rPr>
          <w:rFonts w:ascii="Arial" w:hAnsi="Arial" w:cs="Arial"/>
        </w:rPr>
        <w:t>Unerman</w:t>
      </w:r>
      <w:proofErr w:type="spellEnd"/>
      <w:r w:rsidRPr="00FE6F22">
        <w:rPr>
          <w:rFonts w:ascii="Arial" w:hAnsi="Arial" w:cs="Arial"/>
        </w:rPr>
        <w:t xml:space="preserve">, J. (2011) Financial accounting theory. 2nd </w:t>
      </w:r>
      <w:proofErr w:type="spellStart"/>
      <w:r w:rsidRPr="00FE6F22">
        <w:rPr>
          <w:rFonts w:ascii="Arial" w:hAnsi="Arial" w:cs="Arial"/>
        </w:rPr>
        <w:t>edn</w:t>
      </w:r>
      <w:proofErr w:type="spellEnd"/>
      <w:r w:rsidRPr="00FE6F22">
        <w:rPr>
          <w:rFonts w:ascii="Arial" w:hAnsi="Arial" w:cs="Arial"/>
        </w:rPr>
        <w:t>. New York: McGraw-Hill.</w:t>
      </w:r>
    </w:p>
    <w:p w14:paraId="73E3972A" w14:textId="77777777" w:rsidR="002C176E" w:rsidRPr="00FE6F22" w:rsidRDefault="00972AD4" w:rsidP="00FE6F22">
      <w:pPr>
        <w:pStyle w:val="NormalWeb"/>
        <w:numPr>
          <w:ilvl w:val="0"/>
          <w:numId w:val="13"/>
        </w:numPr>
        <w:spacing w:line="360" w:lineRule="auto"/>
        <w:rPr>
          <w:rFonts w:ascii="Arial" w:hAnsi="Arial" w:cs="Arial"/>
        </w:rPr>
      </w:pPr>
      <w:r w:rsidRPr="00FE6F22">
        <w:rPr>
          <w:rFonts w:ascii="Arial" w:hAnsi="Arial" w:cs="Arial"/>
        </w:rPr>
        <w:t>E</w:t>
      </w:r>
      <w:r w:rsidR="002C176E" w:rsidRPr="00FE6F22">
        <w:rPr>
          <w:rFonts w:ascii="Arial" w:hAnsi="Arial" w:cs="Arial"/>
        </w:rPr>
        <w:t>asyJet plc (2025) Annual Report and Accounts 2025. Available at: https://s203.q4cdn.com/522538739/files/doc_financials/2025/q4/easyJetARA25_DIGITAL_sm.pdf (Accessed: 26 March 2026).</w:t>
      </w:r>
    </w:p>
    <w:p w14:paraId="7D2B2676" w14:textId="77777777" w:rsidR="002C176E" w:rsidRPr="00FE6F22" w:rsidRDefault="00972AD4" w:rsidP="00FE6F22">
      <w:pPr>
        <w:pStyle w:val="NormalWeb"/>
        <w:numPr>
          <w:ilvl w:val="0"/>
          <w:numId w:val="13"/>
        </w:numPr>
        <w:spacing w:line="360" w:lineRule="auto"/>
        <w:rPr>
          <w:rFonts w:ascii="Arial" w:hAnsi="Arial" w:cs="Arial"/>
        </w:rPr>
      </w:pPr>
      <w:r w:rsidRPr="00FE6F22">
        <w:rPr>
          <w:rFonts w:ascii="Arial" w:hAnsi="Arial" w:cs="Arial"/>
        </w:rPr>
        <w:t>E</w:t>
      </w:r>
      <w:r w:rsidR="002C176E" w:rsidRPr="00FE6F22">
        <w:rPr>
          <w:rFonts w:ascii="Arial" w:hAnsi="Arial" w:cs="Arial"/>
        </w:rPr>
        <w:t xml:space="preserve">asyJet plc (2025) Anti-bribery and corruption policy. Available at: </w:t>
      </w:r>
      <w:hyperlink r:id="rId17" w:history="1">
        <w:r w:rsidR="003D2DF9" w:rsidRPr="00FE6F22">
          <w:rPr>
            <w:rStyle w:val="Hyperlink"/>
            <w:rFonts w:ascii="Arial" w:hAnsi="Arial" w:cs="Arial"/>
          </w:rPr>
          <w:t>https://s203.q4cdn.com/522538739/files/policies/2025/Anti-Bribery-and-Corruption-Policy-Final-Feb25.pdf</w:t>
        </w:r>
      </w:hyperlink>
      <w:r w:rsidR="003D2DF9" w:rsidRPr="00FE6F22">
        <w:rPr>
          <w:rFonts w:ascii="Arial" w:hAnsi="Arial" w:cs="Arial"/>
        </w:rPr>
        <w:t xml:space="preserve"> </w:t>
      </w:r>
      <w:r w:rsidR="002C176E" w:rsidRPr="00FE6F22">
        <w:rPr>
          <w:rFonts w:ascii="Arial" w:hAnsi="Arial" w:cs="Arial"/>
        </w:rPr>
        <w:t>(Accessed: 26 March 2026).</w:t>
      </w:r>
    </w:p>
    <w:p w14:paraId="7B6F658A" w14:textId="77777777" w:rsidR="002C176E" w:rsidRPr="00FE6F22" w:rsidRDefault="00972AD4" w:rsidP="00FE6F22">
      <w:pPr>
        <w:pStyle w:val="NormalWeb"/>
        <w:numPr>
          <w:ilvl w:val="0"/>
          <w:numId w:val="13"/>
        </w:numPr>
        <w:spacing w:line="360" w:lineRule="auto"/>
        <w:rPr>
          <w:rFonts w:ascii="Arial" w:hAnsi="Arial" w:cs="Arial"/>
        </w:rPr>
      </w:pPr>
      <w:r w:rsidRPr="00FE6F22">
        <w:rPr>
          <w:rFonts w:ascii="Arial" w:hAnsi="Arial" w:cs="Arial"/>
        </w:rPr>
        <w:t>E</w:t>
      </w:r>
      <w:r w:rsidR="002C176E" w:rsidRPr="00FE6F22">
        <w:rPr>
          <w:rFonts w:ascii="Arial" w:hAnsi="Arial" w:cs="Arial"/>
        </w:rPr>
        <w:t xml:space="preserve">asyJet plc (2025) Anti-fraud policy. Available at: </w:t>
      </w:r>
      <w:hyperlink r:id="rId18" w:history="1">
        <w:r w:rsidR="003D2DF9" w:rsidRPr="00FE6F22">
          <w:rPr>
            <w:rStyle w:val="Hyperlink"/>
            <w:rFonts w:ascii="Arial" w:hAnsi="Arial" w:cs="Arial"/>
          </w:rPr>
          <w:t>https://s203.q4cdn.com/522538739/files/policies/anti-fraud-policy.pdf</w:t>
        </w:r>
      </w:hyperlink>
      <w:r w:rsidR="003D2DF9" w:rsidRPr="00FE6F22">
        <w:rPr>
          <w:rFonts w:ascii="Arial" w:hAnsi="Arial" w:cs="Arial"/>
        </w:rPr>
        <w:t xml:space="preserve"> </w:t>
      </w:r>
      <w:r w:rsidR="002C176E" w:rsidRPr="00FE6F22">
        <w:rPr>
          <w:rFonts w:ascii="Arial" w:hAnsi="Arial" w:cs="Arial"/>
        </w:rPr>
        <w:t>(Accessed: 26 March 2026).</w:t>
      </w:r>
    </w:p>
    <w:p w14:paraId="7B9755E4" w14:textId="77777777" w:rsidR="002C176E" w:rsidRPr="00FE6F22" w:rsidRDefault="00972AD4" w:rsidP="00FE6F22">
      <w:pPr>
        <w:pStyle w:val="NormalWeb"/>
        <w:numPr>
          <w:ilvl w:val="0"/>
          <w:numId w:val="13"/>
        </w:numPr>
        <w:spacing w:line="360" w:lineRule="auto"/>
        <w:rPr>
          <w:rFonts w:ascii="Arial" w:hAnsi="Arial" w:cs="Arial"/>
        </w:rPr>
      </w:pPr>
      <w:r w:rsidRPr="00FE6F22">
        <w:rPr>
          <w:rFonts w:ascii="Arial" w:hAnsi="Arial" w:cs="Arial"/>
        </w:rPr>
        <w:t>E</w:t>
      </w:r>
      <w:r w:rsidR="002C176E" w:rsidRPr="00FE6F22">
        <w:rPr>
          <w:rFonts w:ascii="Arial" w:hAnsi="Arial" w:cs="Arial"/>
        </w:rPr>
        <w:t xml:space="preserve">asyJet plc (2025) Bullying and harassment policy. Available at: </w:t>
      </w:r>
      <w:hyperlink r:id="rId19" w:history="1">
        <w:r w:rsidR="003D2DF9" w:rsidRPr="00FE6F22">
          <w:rPr>
            <w:rStyle w:val="Hyperlink"/>
            <w:rFonts w:ascii="Arial" w:hAnsi="Arial" w:cs="Arial"/>
          </w:rPr>
          <w:t>https://s203.q4cdn.com/522538739/files/policies/Bullying-and-Harassment-Policy-POLGLO009-Global.pdf</w:t>
        </w:r>
      </w:hyperlink>
      <w:r w:rsidR="003D2DF9" w:rsidRPr="00FE6F22">
        <w:rPr>
          <w:rFonts w:ascii="Arial" w:hAnsi="Arial" w:cs="Arial"/>
        </w:rPr>
        <w:t xml:space="preserve"> </w:t>
      </w:r>
      <w:r w:rsidR="002C176E" w:rsidRPr="00FE6F22">
        <w:rPr>
          <w:rFonts w:ascii="Arial" w:hAnsi="Arial" w:cs="Arial"/>
        </w:rPr>
        <w:t>(Accessed: 26 March 2026).</w:t>
      </w:r>
    </w:p>
    <w:p w14:paraId="77C70848" w14:textId="77777777" w:rsidR="002C176E" w:rsidRPr="00FE6F22" w:rsidRDefault="00972AD4" w:rsidP="00FE6F22">
      <w:pPr>
        <w:pStyle w:val="NormalWeb"/>
        <w:numPr>
          <w:ilvl w:val="0"/>
          <w:numId w:val="13"/>
        </w:numPr>
        <w:spacing w:line="360" w:lineRule="auto"/>
        <w:rPr>
          <w:rFonts w:ascii="Arial" w:hAnsi="Arial" w:cs="Arial"/>
        </w:rPr>
      </w:pPr>
      <w:r w:rsidRPr="00FE6F22">
        <w:rPr>
          <w:rFonts w:ascii="Arial" w:hAnsi="Arial" w:cs="Arial"/>
        </w:rPr>
        <w:t>E</w:t>
      </w:r>
      <w:r w:rsidR="002C176E" w:rsidRPr="00FE6F22">
        <w:rPr>
          <w:rFonts w:ascii="Arial" w:hAnsi="Arial" w:cs="Arial"/>
        </w:rPr>
        <w:t xml:space="preserve">asyJet plc (2025) France Gender Equality Index Results 2025. Available at: </w:t>
      </w:r>
      <w:hyperlink r:id="rId20" w:history="1">
        <w:r w:rsidR="003D2DF9" w:rsidRPr="00FE6F22">
          <w:rPr>
            <w:rStyle w:val="Hyperlink"/>
            <w:rFonts w:ascii="Arial" w:hAnsi="Arial" w:cs="Arial"/>
          </w:rPr>
          <w:t>https://s203.q4cdn.com/522538739/files/doc_downloads/2025/04/2025_easyjet-France_Gender-Equality-Index_Results.pdf</w:t>
        </w:r>
      </w:hyperlink>
      <w:r w:rsidR="003D2DF9" w:rsidRPr="00FE6F22">
        <w:rPr>
          <w:rFonts w:ascii="Arial" w:hAnsi="Arial" w:cs="Arial"/>
        </w:rPr>
        <w:t xml:space="preserve"> </w:t>
      </w:r>
      <w:r w:rsidR="002C176E" w:rsidRPr="00FE6F22">
        <w:rPr>
          <w:rFonts w:ascii="Arial" w:hAnsi="Arial" w:cs="Arial"/>
        </w:rPr>
        <w:t>(Accessed: 26 March 2026).</w:t>
      </w:r>
    </w:p>
    <w:p w14:paraId="2995A71F" w14:textId="77777777" w:rsidR="002C176E" w:rsidRPr="00FE6F22" w:rsidRDefault="00972AD4" w:rsidP="00FE6F22">
      <w:pPr>
        <w:pStyle w:val="NormalWeb"/>
        <w:numPr>
          <w:ilvl w:val="0"/>
          <w:numId w:val="13"/>
        </w:numPr>
        <w:spacing w:line="360" w:lineRule="auto"/>
        <w:rPr>
          <w:rFonts w:ascii="Arial" w:hAnsi="Arial" w:cs="Arial"/>
        </w:rPr>
      </w:pPr>
      <w:r w:rsidRPr="00FE6F22">
        <w:rPr>
          <w:rFonts w:ascii="Arial" w:hAnsi="Arial" w:cs="Arial"/>
        </w:rPr>
        <w:t>E</w:t>
      </w:r>
      <w:r w:rsidR="002C176E" w:rsidRPr="00FE6F22">
        <w:rPr>
          <w:rFonts w:ascii="Arial" w:hAnsi="Arial" w:cs="Arial"/>
        </w:rPr>
        <w:t xml:space="preserve">asyJet plc (2025) UK Gender Pay Gap Report. Available at: </w:t>
      </w:r>
      <w:hyperlink r:id="rId21" w:history="1">
        <w:r w:rsidR="003D2DF9" w:rsidRPr="00FE6F22">
          <w:rPr>
            <w:rStyle w:val="Hyperlink"/>
            <w:rFonts w:ascii="Arial" w:hAnsi="Arial" w:cs="Arial"/>
          </w:rPr>
          <w:t>https://s203.q4cdn.com/522538739/files/doc_downloads/2025/03/UK-Gender-Pay-Gap-Report-FINAL.pdf</w:t>
        </w:r>
      </w:hyperlink>
      <w:r w:rsidR="003D2DF9" w:rsidRPr="00FE6F22">
        <w:rPr>
          <w:rFonts w:ascii="Arial" w:hAnsi="Arial" w:cs="Arial"/>
        </w:rPr>
        <w:t xml:space="preserve"> </w:t>
      </w:r>
      <w:r w:rsidR="002C176E" w:rsidRPr="00FE6F22">
        <w:rPr>
          <w:rFonts w:ascii="Arial" w:hAnsi="Arial" w:cs="Arial"/>
        </w:rPr>
        <w:t>(Accessed: 26 March 2026).</w:t>
      </w:r>
    </w:p>
    <w:p w14:paraId="6D391891" w14:textId="77777777" w:rsidR="002C176E" w:rsidRPr="00FE6F22" w:rsidRDefault="00972AD4" w:rsidP="00FE6F22">
      <w:pPr>
        <w:pStyle w:val="NormalWeb"/>
        <w:numPr>
          <w:ilvl w:val="0"/>
          <w:numId w:val="13"/>
        </w:numPr>
        <w:spacing w:line="360" w:lineRule="auto"/>
        <w:rPr>
          <w:rFonts w:ascii="Arial" w:hAnsi="Arial" w:cs="Arial"/>
        </w:rPr>
      </w:pPr>
      <w:r w:rsidRPr="00FE6F22">
        <w:rPr>
          <w:rFonts w:ascii="Arial" w:hAnsi="Arial" w:cs="Arial"/>
        </w:rPr>
        <w:t>E</w:t>
      </w:r>
      <w:r w:rsidR="002C176E" w:rsidRPr="00FE6F22">
        <w:rPr>
          <w:rFonts w:ascii="Arial" w:hAnsi="Arial" w:cs="Arial"/>
        </w:rPr>
        <w:t xml:space="preserve">asyJet plc (2026) Corporate homepage. Available at: </w:t>
      </w:r>
      <w:hyperlink r:id="rId22" w:history="1">
        <w:r w:rsidR="003D2DF9" w:rsidRPr="00FE6F22">
          <w:rPr>
            <w:rStyle w:val="Hyperlink"/>
            <w:rFonts w:ascii="Arial" w:hAnsi="Arial" w:cs="Arial"/>
          </w:rPr>
          <w:t>https://corporate.easyjet.com/home/default.aspx</w:t>
        </w:r>
      </w:hyperlink>
      <w:r w:rsidR="003D2DF9" w:rsidRPr="00FE6F22">
        <w:rPr>
          <w:rFonts w:ascii="Arial" w:hAnsi="Arial" w:cs="Arial"/>
        </w:rPr>
        <w:t xml:space="preserve"> </w:t>
      </w:r>
      <w:r w:rsidR="002C176E" w:rsidRPr="00FE6F22">
        <w:rPr>
          <w:rFonts w:ascii="Arial" w:hAnsi="Arial" w:cs="Arial"/>
        </w:rPr>
        <w:t>(Accessed: 26 March 2026).</w:t>
      </w:r>
    </w:p>
    <w:p w14:paraId="42705761" w14:textId="77777777" w:rsidR="002C176E" w:rsidRPr="00FE6F22" w:rsidRDefault="00972AD4" w:rsidP="00FE6F22">
      <w:pPr>
        <w:pStyle w:val="NormalWeb"/>
        <w:numPr>
          <w:ilvl w:val="0"/>
          <w:numId w:val="13"/>
        </w:numPr>
        <w:spacing w:line="360" w:lineRule="auto"/>
        <w:rPr>
          <w:rFonts w:ascii="Arial" w:hAnsi="Arial" w:cs="Arial"/>
        </w:rPr>
      </w:pPr>
      <w:r w:rsidRPr="00FE6F22">
        <w:rPr>
          <w:rFonts w:ascii="Arial" w:hAnsi="Arial" w:cs="Arial"/>
        </w:rPr>
        <w:t>E</w:t>
      </w:r>
      <w:r w:rsidR="002C176E" w:rsidRPr="00FE6F22">
        <w:rPr>
          <w:rFonts w:ascii="Arial" w:hAnsi="Arial" w:cs="Arial"/>
        </w:rPr>
        <w:t xml:space="preserve">asyJet plc (2026) Business model. Available at: </w:t>
      </w:r>
      <w:hyperlink r:id="rId23" w:history="1">
        <w:r w:rsidR="003D2DF9" w:rsidRPr="00FE6F22">
          <w:rPr>
            <w:rStyle w:val="Hyperlink"/>
            <w:rFonts w:ascii="Arial" w:hAnsi="Arial" w:cs="Arial"/>
          </w:rPr>
          <w:t>https://corporate.easyjet.com/about/business-model/default.aspx</w:t>
        </w:r>
      </w:hyperlink>
      <w:r w:rsidR="003D2DF9" w:rsidRPr="00FE6F22">
        <w:rPr>
          <w:rFonts w:ascii="Arial" w:hAnsi="Arial" w:cs="Arial"/>
        </w:rPr>
        <w:t xml:space="preserve"> </w:t>
      </w:r>
      <w:r w:rsidR="002C176E" w:rsidRPr="00FE6F22">
        <w:rPr>
          <w:rFonts w:ascii="Arial" w:hAnsi="Arial" w:cs="Arial"/>
        </w:rPr>
        <w:t>(Accessed: 26 March 2026).</w:t>
      </w:r>
    </w:p>
    <w:p w14:paraId="6AD502DF" w14:textId="77777777" w:rsidR="002C176E" w:rsidRPr="00FE6F22" w:rsidRDefault="00972AD4" w:rsidP="00FE6F22">
      <w:pPr>
        <w:pStyle w:val="NormalWeb"/>
        <w:numPr>
          <w:ilvl w:val="0"/>
          <w:numId w:val="13"/>
        </w:numPr>
        <w:spacing w:line="360" w:lineRule="auto"/>
        <w:rPr>
          <w:rFonts w:ascii="Arial" w:hAnsi="Arial" w:cs="Arial"/>
        </w:rPr>
      </w:pPr>
      <w:r w:rsidRPr="00FE6F22">
        <w:rPr>
          <w:rFonts w:ascii="Arial" w:hAnsi="Arial" w:cs="Arial"/>
        </w:rPr>
        <w:lastRenderedPageBreak/>
        <w:t>E</w:t>
      </w:r>
      <w:r w:rsidR="002C176E" w:rsidRPr="00FE6F22">
        <w:rPr>
          <w:rFonts w:ascii="Arial" w:hAnsi="Arial" w:cs="Arial"/>
        </w:rPr>
        <w:t xml:space="preserve">asyJet plc (2026) Electronic communications. Available at: </w:t>
      </w:r>
      <w:hyperlink r:id="rId24" w:history="1">
        <w:r w:rsidR="003D2DF9" w:rsidRPr="00FE6F22">
          <w:rPr>
            <w:rStyle w:val="Hyperlink"/>
            <w:rFonts w:ascii="Arial" w:hAnsi="Arial" w:cs="Arial"/>
          </w:rPr>
          <w:t>https://corporate.easyjet.com/investors/shareholder-services/Electronic-Communications/default.aspx</w:t>
        </w:r>
      </w:hyperlink>
      <w:r w:rsidR="003D2DF9" w:rsidRPr="00FE6F22">
        <w:rPr>
          <w:rFonts w:ascii="Arial" w:hAnsi="Arial" w:cs="Arial"/>
        </w:rPr>
        <w:t xml:space="preserve"> </w:t>
      </w:r>
      <w:r w:rsidR="002C176E" w:rsidRPr="00FE6F22">
        <w:rPr>
          <w:rFonts w:ascii="Arial" w:hAnsi="Arial" w:cs="Arial"/>
        </w:rPr>
        <w:t>(Accessed: 26 March 2026).</w:t>
      </w:r>
    </w:p>
    <w:p w14:paraId="08DC0EAA" w14:textId="77777777" w:rsidR="002C176E" w:rsidRPr="00FE6F22" w:rsidRDefault="00972AD4" w:rsidP="00FE6F22">
      <w:pPr>
        <w:pStyle w:val="NormalWeb"/>
        <w:numPr>
          <w:ilvl w:val="0"/>
          <w:numId w:val="13"/>
        </w:numPr>
        <w:spacing w:line="360" w:lineRule="auto"/>
        <w:rPr>
          <w:rFonts w:ascii="Arial" w:hAnsi="Arial" w:cs="Arial"/>
        </w:rPr>
      </w:pPr>
      <w:r w:rsidRPr="00FE6F22">
        <w:rPr>
          <w:rFonts w:ascii="Arial" w:hAnsi="Arial" w:cs="Arial"/>
        </w:rPr>
        <w:t>E</w:t>
      </w:r>
      <w:r w:rsidR="002C176E" w:rsidRPr="00FE6F22">
        <w:rPr>
          <w:rFonts w:ascii="Arial" w:hAnsi="Arial" w:cs="Arial"/>
        </w:rPr>
        <w:t xml:space="preserve">asyJet plc (2026) Governance. Available at: </w:t>
      </w:r>
      <w:hyperlink r:id="rId25" w:history="1">
        <w:r w:rsidR="003D2DF9" w:rsidRPr="00FE6F22">
          <w:rPr>
            <w:rStyle w:val="Hyperlink"/>
            <w:rFonts w:ascii="Arial" w:hAnsi="Arial" w:cs="Arial"/>
          </w:rPr>
          <w:t>https://corporate.easyjet.com/about/governance/default.aspx</w:t>
        </w:r>
      </w:hyperlink>
      <w:r w:rsidR="003D2DF9" w:rsidRPr="00FE6F22">
        <w:rPr>
          <w:rFonts w:ascii="Arial" w:hAnsi="Arial" w:cs="Arial"/>
        </w:rPr>
        <w:t xml:space="preserve"> </w:t>
      </w:r>
      <w:r w:rsidR="002C176E" w:rsidRPr="00FE6F22">
        <w:rPr>
          <w:rFonts w:ascii="Arial" w:hAnsi="Arial" w:cs="Arial"/>
        </w:rPr>
        <w:t>(Accessed: 26 March 2026).</w:t>
      </w:r>
    </w:p>
    <w:p w14:paraId="7D2B47BA" w14:textId="77777777" w:rsidR="002C176E" w:rsidRPr="00FE6F22" w:rsidRDefault="00972AD4" w:rsidP="00FE6F22">
      <w:pPr>
        <w:pStyle w:val="NormalWeb"/>
        <w:numPr>
          <w:ilvl w:val="0"/>
          <w:numId w:val="13"/>
        </w:numPr>
        <w:spacing w:line="360" w:lineRule="auto"/>
        <w:rPr>
          <w:rFonts w:ascii="Arial" w:hAnsi="Arial" w:cs="Arial"/>
        </w:rPr>
      </w:pPr>
      <w:r w:rsidRPr="00FE6F22">
        <w:rPr>
          <w:rFonts w:ascii="Arial" w:hAnsi="Arial" w:cs="Arial"/>
        </w:rPr>
        <w:t>E</w:t>
      </w:r>
      <w:r w:rsidR="002C176E" w:rsidRPr="00FE6F22">
        <w:rPr>
          <w:rFonts w:ascii="Arial" w:hAnsi="Arial" w:cs="Arial"/>
        </w:rPr>
        <w:t xml:space="preserve">asyJet plc (2026) Investment case. Available at: </w:t>
      </w:r>
      <w:hyperlink r:id="rId26" w:history="1">
        <w:r w:rsidR="003D2DF9" w:rsidRPr="00FE6F22">
          <w:rPr>
            <w:rStyle w:val="Hyperlink"/>
            <w:rFonts w:ascii="Arial" w:hAnsi="Arial" w:cs="Arial"/>
          </w:rPr>
          <w:t>https://corporate.easyjet.com/about/Investment-case/default.aspx</w:t>
        </w:r>
      </w:hyperlink>
      <w:r w:rsidR="003D2DF9" w:rsidRPr="00FE6F22">
        <w:rPr>
          <w:rFonts w:ascii="Arial" w:hAnsi="Arial" w:cs="Arial"/>
        </w:rPr>
        <w:t xml:space="preserve"> </w:t>
      </w:r>
      <w:r w:rsidR="002C176E" w:rsidRPr="00FE6F22">
        <w:rPr>
          <w:rFonts w:ascii="Arial" w:hAnsi="Arial" w:cs="Arial"/>
        </w:rPr>
        <w:t>(Accessed: 26 March 2026).</w:t>
      </w:r>
    </w:p>
    <w:p w14:paraId="006B9EB7" w14:textId="77777777" w:rsidR="002C176E" w:rsidRPr="00FE6F22" w:rsidRDefault="00972AD4" w:rsidP="00FE6F22">
      <w:pPr>
        <w:pStyle w:val="NormalWeb"/>
        <w:numPr>
          <w:ilvl w:val="0"/>
          <w:numId w:val="13"/>
        </w:numPr>
        <w:spacing w:line="360" w:lineRule="auto"/>
        <w:rPr>
          <w:rFonts w:ascii="Arial" w:hAnsi="Arial" w:cs="Arial"/>
        </w:rPr>
      </w:pPr>
      <w:r w:rsidRPr="00FE6F22">
        <w:rPr>
          <w:rFonts w:ascii="Arial" w:hAnsi="Arial" w:cs="Arial"/>
        </w:rPr>
        <w:t>E</w:t>
      </w:r>
      <w:r w:rsidR="002C176E" w:rsidRPr="00FE6F22">
        <w:rPr>
          <w:rFonts w:ascii="Arial" w:hAnsi="Arial" w:cs="Arial"/>
        </w:rPr>
        <w:t xml:space="preserve">asyJet plc (2026) Leadership. Available at: </w:t>
      </w:r>
      <w:hyperlink r:id="rId27" w:history="1">
        <w:r w:rsidR="003D2DF9" w:rsidRPr="00FE6F22">
          <w:rPr>
            <w:rStyle w:val="Hyperlink"/>
            <w:rFonts w:ascii="Arial" w:hAnsi="Arial" w:cs="Arial"/>
          </w:rPr>
          <w:t>https://corporate.easyjet.com/about/leadership/default.aspx</w:t>
        </w:r>
      </w:hyperlink>
      <w:r w:rsidR="003D2DF9" w:rsidRPr="00FE6F22">
        <w:rPr>
          <w:rFonts w:ascii="Arial" w:hAnsi="Arial" w:cs="Arial"/>
        </w:rPr>
        <w:t xml:space="preserve"> </w:t>
      </w:r>
      <w:r w:rsidR="002C176E" w:rsidRPr="00FE6F22">
        <w:rPr>
          <w:rFonts w:ascii="Arial" w:hAnsi="Arial" w:cs="Arial"/>
        </w:rPr>
        <w:t>(Accessed: 26 March 2026).</w:t>
      </w:r>
    </w:p>
    <w:p w14:paraId="3BB47493" w14:textId="77777777" w:rsidR="002C176E" w:rsidRPr="00FE6F22" w:rsidRDefault="00972AD4" w:rsidP="00FE6F22">
      <w:pPr>
        <w:pStyle w:val="NormalWeb"/>
        <w:numPr>
          <w:ilvl w:val="0"/>
          <w:numId w:val="13"/>
        </w:numPr>
        <w:spacing w:line="360" w:lineRule="auto"/>
        <w:rPr>
          <w:rFonts w:ascii="Arial" w:hAnsi="Arial" w:cs="Arial"/>
        </w:rPr>
      </w:pPr>
      <w:r w:rsidRPr="00FE6F22">
        <w:rPr>
          <w:rFonts w:ascii="Arial" w:hAnsi="Arial" w:cs="Arial"/>
        </w:rPr>
        <w:t>E</w:t>
      </w:r>
      <w:r w:rsidR="002C176E" w:rsidRPr="00FE6F22">
        <w:rPr>
          <w:rFonts w:ascii="Arial" w:hAnsi="Arial" w:cs="Arial"/>
        </w:rPr>
        <w:t xml:space="preserve">asyJet plc (2026) Modern Slavery Act statement. Available at: </w:t>
      </w:r>
      <w:hyperlink r:id="rId28" w:history="1">
        <w:r w:rsidR="003D2DF9" w:rsidRPr="00FE6F22">
          <w:rPr>
            <w:rStyle w:val="Hyperlink"/>
            <w:rFonts w:ascii="Arial" w:hAnsi="Arial" w:cs="Arial"/>
          </w:rPr>
          <w:t>https://corporate.easyjet.com/sustainability/modern-slavery-act-statement/default.aspx</w:t>
        </w:r>
      </w:hyperlink>
      <w:r w:rsidR="003D2DF9" w:rsidRPr="00FE6F22">
        <w:rPr>
          <w:rFonts w:ascii="Arial" w:hAnsi="Arial" w:cs="Arial"/>
        </w:rPr>
        <w:t xml:space="preserve"> </w:t>
      </w:r>
      <w:r w:rsidR="002C176E" w:rsidRPr="00FE6F22">
        <w:rPr>
          <w:rFonts w:ascii="Arial" w:hAnsi="Arial" w:cs="Arial"/>
        </w:rPr>
        <w:t>(Accessed: 26 March 2026).</w:t>
      </w:r>
    </w:p>
    <w:p w14:paraId="14E8F7AF" w14:textId="77777777" w:rsidR="002C176E" w:rsidRPr="00FE6F22" w:rsidRDefault="00972AD4" w:rsidP="00FE6F22">
      <w:pPr>
        <w:pStyle w:val="NormalWeb"/>
        <w:numPr>
          <w:ilvl w:val="0"/>
          <w:numId w:val="13"/>
        </w:numPr>
        <w:spacing w:line="360" w:lineRule="auto"/>
        <w:rPr>
          <w:rFonts w:ascii="Arial" w:hAnsi="Arial" w:cs="Arial"/>
        </w:rPr>
      </w:pPr>
      <w:r w:rsidRPr="00FE6F22">
        <w:rPr>
          <w:rFonts w:ascii="Arial" w:hAnsi="Arial" w:cs="Arial"/>
        </w:rPr>
        <w:t>E</w:t>
      </w:r>
      <w:r w:rsidR="002C176E" w:rsidRPr="00FE6F22">
        <w:rPr>
          <w:rFonts w:ascii="Arial" w:hAnsi="Arial" w:cs="Arial"/>
        </w:rPr>
        <w:t xml:space="preserve">asyJet plc (2026) Net zero pathway. Available at: </w:t>
      </w:r>
      <w:hyperlink r:id="rId29" w:history="1">
        <w:r w:rsidR="003D2DF9" w:rsidRPr="00FE6F22">
          <w:rPr>
            <w:rStyle w:val="Hyperlink"/>
            <w:rFonts w:ascii="Arial" w:hAnsi="Arial" w:cs="Arial"/>
          </w:rPr>
          <w:t>https://corporate.easyjet.com/sustainability/net-zero-pathway/default.aspx</w:t>
        </w:r>
      </w:hyperlink>
      <w:r w:rsidR="003D2DF9" w:rsidRPr="00FE6F22">
        <w:rPr>
          <w:rFonts w:ascii="Arial" w:hAnsi="Arial" w:cs="Arial"/>
        </w:rPr>
        <w:t xml:space="preserve"> </w:t>
      </w:r>
      <w:r w:rsidR="002C176E" w:rsidRPr="00FE6F22">
        <w:rPr>
          <w:rFonts w:ascii="Arial" w:hAnsi="Arial" w:cs="Arial"/>
        </w:rPr>
        <w:t>(Accessed: 26 March 2026).</w:t>
      </w:r>
    </w:p>
    <w:p w14:paraId="4872B011" w14:textId="77777777" w:rsidR="002C176E" w:rsidRPr="00FE6F22" w:rsidRDefault="00972AD4" w:rsidP="00FE6F22">
      <w:pPr>
        <w:pStyle w:val="NormalWeb"/>
        <w:numPr>
          <w:ilvl w:val="0"/>
          <w:numId w:val="13"/>
        </w:numPr>
        <w:spacing w:line="360" w:lineRule="auto"/>
        <w:rPr>
          <w:rFonts w:ascii="Arial" w:hAnsi="Arial" w:cs="Arial"/>
        </w:rPr>
      </w:pPr>
      <w:r w:rsidRPr="00FE6F22">
        <w:rPr>
          <w:rFonts w:ascii="Arial" w:hAnsi="Arial" w:cs="Arial"/>
        </w:rPr>
        <w:t>E</w:t>
      </w:r>
      <w:r w:rsidR="002C176E" w:rsidRPr="00FE6F22">
        <w:rPr>
          <w:rFonts w:ascii="Arial" w:hAnsi="Arial" w:cs="Arial"/>
        </w:rPr>
        <w:t xml:space="preserve">asyJet plc (2026) Our journey (history). Available at: </w:t>
      </w:r>
      <w:hyperlink r:id="rId30" w:anchor="history" w:history="1">
        <w:r w:rsidR="003D2DF9" w:rsidRPr="00FE6F22">
          <w:rPr>
            <w:rStyle w:val="Hyperlink"/>
            <w:rFonts w:ascii="Arial" w:hAnsi="Arial" w:cs="Arial"/>
          </w:rPr>
          <w:t>https://corporate.easyjet.com/about/our-journey/default.aspx#history</w:t>
        </w:r>
      </w:hyperlink>
      <w:r w:rsidR="003D2DF9" w:rsidRPr="00FE6F22">
        <w:rPr>
          <w:rFonts w:ascii="Arial" w:hAnsi="Arial" w:cs="Arial"/>
        </w:rPr>
        <w:t xml:space="preserve"> </w:t>
      </w:r>
      <w:r w:rsidR="002C176E" w:rsidRPr="00FE6F22">
        <w:rPr>
          <w:rFonts w:ascii="Arial" w:hAnsi="Arial" w:cs="Arial"/>
        </w:rPr>
        <w:t>(Accessed: 26 March 2026).</w:t>
      </w:r>
    </w:p>
    <w:p w14:paraId="72D95E8E" w14:textId="77777777" w:rsidR="002C176E" w:rsidRPr="00FE6F22" w:rsidRDefault="00972AD4" w:rsidP="00FE6F22">
      <w:pPr>
        <w:pStyle w:val="NormalWeb"/>
        <w:numPr>
          <w:ilvl w:val="0"/>
          <w:numId w:val="13"/>
        </w:numPr>
        <w:spacing w:line="360" w:lineRule="auto"/>
        <w:rPr>
          <w:rFonts w:ascii="Arial" w:hAnsi="Arial" w:cs="Arial"/>
        </w:rPr>
      </w:pPr>
      <w:r w:rsidRPr="00FE6F22">
        <w:rPr>
          <w:rFonts w:ascii="Arial" w:hAnsi="Arial" w:cs="Arial"/>
        </w:rPr>
        <w:t>E</w:t>
      </w:r>
      <w:r w:rsidR="002C176E" w:rsidRPr="00FE6F22">
        <w:rPr>
          <w:rFonts w:ascii="Arial" w:hAnsi="Arial" w:cs="Arial"/>
        </w:rPr>
        <w:t xml:space="preserve">asyJet plc (2026) Reports and presentations. Available at: </w:t>
      </w:r>
      <w:hyperlink r:id="rId31" w:anchor="/investors/reports-and-presentations/default.aspx" w:history="1">
        <w:r w:rsidR="003D2DF9" w:rsidRPr="00FE6F22">
          <w:rPr>
            <w:rStyle w:val="Hyperlink"/>
            <w:rFonts w:ascii="Arial" w:hAnsi="Arial" w:cs="Arial"/>
          </w:rPr>
          <w:t>https://corporate.easyjet.com/investors/reports-and-presentations/default.aspx#/investors/reports-and-presentations/default.aspx</w:t>
        </w:r>
      </w:hyperlink>
      <w:r w:rsidR="003D2DF9" w:rsidRPr="00FE6F22">
        <w:rPr>
          <w:rFonts w:ascii="Arial" w:hAnsi="Arial" w:cs="Arial"/>
        </w:rPr>
        <w:t xml:space="preserve"> </w:t>
      </w:r>
      <w:r w:rsidR="002C176E" w:rsidRPr="00FE6F22">
        <w:rPr>
          <w:rFonts w:ascii="Arial" w:hAnsi="Arial" w:cs="Arial"/>
        </w:rPr>
        <w:t>(Accessed: 26 March 2026).</w:t>
      </w:r>
    </w:p>
    <w:p w14:paraId="180D5A62" w14:textId="77777777" w:rsidR="002C176E" w:rsidRPr="00FE6F22" w:rsidRDefault="00972AD4" w:rsidP="00FE6F22">
      <w:pPr>
        <w:pStyle w:val="NormalWeb"/>
        <w:numPr>
          <w:ilvl w:val="0"/>
          <w:numId w:val="13"/>
        </w:numPr>
        <w:spacing w:line="360" w:lineRule="auto"/>
        <w:rPr>
          <w:rFonts w:ascii="Arial" w:hAnsi="Arial" w:cs="Arial"/>
        </w:rPr>
      </w:pPr>
      <w:r w:rsidRPr="00FE6F22">
        <w:rPr>
          <w:rFonts w:ascii="Arial" w:hAnsi="Arial" w:cs="Arial"/>
        </w:rPr>
        <w:t>E</w:t>
      </w:r>
      <w:r w:rsidR="002C176E" w:rsidRPr="00FE6F22">
        <w:rPr>
          <w:rFonts w:ascii="Arial" w:hAnsi="Arial" w:cs="Arial"/>
        </w:rPr>
        <w:t xml:space="preserve">asyJet plc (2026) Shareholder meetings. Available at: </w:t>
      </w:r>
      <w:hyperlink r:id="rId32" w:history="1">
        <w:r w:rsidR="003D2DF9" w:rsidRPr="00FE6F22">
          <w:rPr>
            <w:rStyle w:val="Hyperlink"/>
            <w:rFonts w:ascii="Arial" w:hAnsi="Arial" w:cs="Arial"/>
          </w:rPr>
          <w:t>https://corporate.easyjet.com/investors/shareholder-services/shareholder-meetings/default.aspx</w:t>
        </w:r>
      </w:hyperlink>
      <w:r w:rsidR="003D2DF9" w:rsidRPr="00FE6F22">
        <w:rPr>
          <w:rFonts w:ascii="Arial" w:hAnsi="Arial" w:cs="Arial"/>
        </w:rPr>
        <w:t xml:space="preserve"> </w:t>
      </w:r>
      <w:r w:rsidR="002C176E" w:rsidRPr="00FE6F22">
        <w:rPr>
          <w:rFonts w:ascii="Arial" w:hAnsi="Arial" w:cs="Arial"/>
        </w:rPr>
        <w:t>(Accessed: 26 March 2026).</w:t>
      </w:r>
    </w:p>
    <w:p w14:paraId="5351318D" w14:textId="77777777" w:rsidR="002C176E" w:rsidRPr="00FE6F22" w:rsidRDefault="00972AD4" w:rsidP="00FE6F22">
      <w:pPr>
        <w:pStyle w:val="NormalWeb"/>
        <w:numPr>
          <w:ilvl w:val="0"/>
          <w:numId w:val="13"/>
        </w:numPr>
        <w:spacing w:line="360" w:lineRule="auto"/>
        <w:rPr>
          <w:rFonts w:ascii="Arial" w:hAnsi="Arial" w:cs="Arial"/>
        </w:rPr>
      </w:pPr>
      <w:r w:rsidRPr="00FE6F22">
        <w:rPr>
          <w:rFonts w:ascii="Arial" w:hAnsi="Arial" w:cs="Arial"/>
        </w:rPr>
        <w:t>E</w:t>
      </w:r>
      <w:r w:rsidR="002C176E" w:rsidRPr="00FE6F22">
        <w:rPr>
          <w:rFonts w:ascii="Arial" w:hAnsi="Arial" w:cs="Arial"/>
        </w:rPr>
        <w:t>asyJet plc (2026) Dividends. Available at: https://corporate.easyjet.com/investors/shareholder-services/Dividends/default.aspx (Accessed: 26 March 2026).</w:t>
      </w:r>
    </w:p>
    <w:p w14:paraId="6CE6C0CB" w14:textId="77777777" w:rsidR="002C176E" w:rsidRPr="00FE6F22" w:rsidRDefault="00972AD4" w:rsidP="00FE6F22">
      <w:pPr>
        <w:pStyle w:val="NormalWeb"/>
        <w:numPr>
          <w:ilvl w:val="0"/>
          <w:numId w:val="13"/>
        </w:numPr>
        <w:spacing w:line="360" w:lineRule="auto"/>
        <w:rPr>
          <w:rFonts w:ascii="Arial" w:hAnsi="Arial" w:cs="Arial"/>
        </w:rPr>
      </w:pPr>
      <w:r w:rsidRPr="00FE6F22">
        <w:rPr>
          <w:rFonts w:ascii="Arial" w:hAnsi="Arial" w:cs="Arial"/>
        </w:rPr>
        <w:t>E</w:t>
      </w:r>
      <w:r w:rsidR="002C176E" w:rsidRPr="00FE6F22">
        <w:rPr>
          <w:rFonts w:ascii="Arial" w:hAnsi="Arial" w:cs="Arial"/>
        </w:rPr>
        <w:t xml:space="preserve">asyJet plc (2026) Strategy. Available at: </w:t>
      </w:r>
      <w:hyperlink r:id="rId33" w:history="1">
        <w:r w:rsidR="003D2DF9" w:rsidRPr="00FE6F22">
          <w:rPr>
            <w:rStyle w:val="Hyperlink"/>
            <w:rFonts w:ascii="Arial" w:hAnsi="Arial" w:cs="Arial"/>
          </w:rPr>
          <w:t>https://corporate.easyjet.com/about/strategy/default.aspx</w:t>
        </w:r>
      </w:hyperlink>
      <w:r w:rsidR="003D2DF9" w:rsidRPr="00FE6F22">
        <w:rPr>
          <w:rFonts w:ascii="Arial" w:hAnsi="Arial" w:cs="Arial"/>
        </w:rPr>
        <w:t xml:space="preserve"> </w:t>
      </w:r>
      <w:r w:rsidR="002C176E" w:rsidRPr="00FE6F22">
        <w:rPr>
          <w:rFonts w:ascii="Arial" w:hAnsi="Arial" w:cs="Arial"/>
        </w:rPr>
        <w:t>(Accessed: 26 March 2026).</w:t>
      </w:r>
    </w:p>
    <w:p w14:paraId="6B7F0C07" w14:textId="77777777" w:rsidR="002C176E" w:rsidRPr="00FE6F22" w:rsidRDefault="00972AD4" w:rsidP="00FE6F22">
      <w:pPr>
        <w:pStyle w:val="NormalWeb"/>
        <w:numPr>
          <w:ilvl w:val="0"/>
          <w:numId w:val="13"/>
        </w:numPr>
        <w:spacing w:line="360" w:lineRule="auto"/>
        <w:rPr>
          <w:rFonts w:ascii="Arial" w:hAnsi="Arial" w:cs="Arial"/>
        </w:rPr>
      </w:pPr>
      <w:r w:rsidRPr="00FE6F22">
        <w:rPr>
          <w:rFonts w:ascii="Arial" w:hAnsi="Arial" w:cs="Arial"/>
        </w:rPr>
        <w:lastRenderedPageBreak/>
        <w:t>E</w:t>
      </w:r>
      <w:r w:rsidR="002C176E" w:rsidRPr="00FE6F22">
        <w:rPr>
          <w:rFonts w:ascii="Arial" w:hAnsi="Arial" w:cs="Arial"/>
        </w:rPr>
        <w:t xml:space="preserve">asyJet plc (2026) What we do. Available at: </w:t>
      </w:r>
      <w:hyperlink r:id="rId34" w:history="1">
        <w:r w:rsidR="003D2DF9" w:rsidRPr="00FE6F22">
          <w:rPr>
            <w:rStyle w:val="Hyperlink"/>
            <w:rFonts w:ascii="Arial" w:hAnsi="Arial" w:cs="Arial"/>
          </w:rPr>
          <w:t>https://corporate.easyjet.com/about/what-we-do/default.aspx</w:t>
        </w:r>
      </w:hyperlink>
      <w:r w:rsidR="003D2DF9" w:rsidRPr="00FE6F22">
        <w:rPr>
          <w:rFonts w:ascii="Arial" w:hAnsi="Arial" w:cs="Arial"/>
        </w:rPr>
        <w:t xml:space="preserve"> </w:t>
      </w:r>
      <w:r w:rsidR="002C176E" w:rsidRPr="00FE6F22">
        <w:rPr>
          <w:rFonts w:ascii="Arial" w:hAnsi="Arial" w:cs="Arial"/>
        </w:rPr>
        <w:t>(Accessed: 26 March 2026).</w:t>
      </w:r>
    </w:p>
    <w:p w14:paraId="03FD521F" w14:textId="77777777" w:rsidR="002C176E" w:rsidRPr="00FE6F22" w:rsidRDefault="00972AD4" w:rsidP="00FE6F22">
      <w:pPr>
        <w:pStyle w:val="NormalWeb"/>
        <w:numPr>
          <w:ilvl w:val="0"/>
          <w:numId w:val="13"/>
        </w:numPr>
        <w:spacing w:line="360" w:lineRule="auto"/>
        <w:rPr>
          <w:rFonts w:ascii="Arial" w:hAnsi="Arial" w:cs="Arial"/>
        </w:rPr>
      </w:pPr>
      <w:r w:rsidRPr="00FE6F22">
        <w:rPr>
          <w:rFonts w:ascii="Arial" w:hAnsi="Arial" w:cs="Arial"/>
        </w:rPr>
        <w:t>E</w:t>
      </w:r>
      <w:r w:rsidR="002C176E" w:rsidRPr="00FE6F22">
        <w:rPr>
          <w:rFonts w:ascii="Arial" w:hAnsi="Arial" w:cs="Arial"/>
        </w:rPr>
        <w:t xml:space="preserve">asyJet plc (2026) France Gender Equality Index Results 2026. Available at: </w:t>
      </w:r>
      <w:hyperlink r:id="rId35" w:history="1">
        <w:r w:rsidR="003D2DF9" w:rsidRPr="00FE6F22">
          <w:rPr>
            <w:rStyle w:val="Hyperlink"/>
            <w:rFonts w:ascii="Arial" w:hAnsi="Arial" w:cs="Arial"/>
          </w:rPr>
          <w:t>https://s203.q4cdn.com/522538739/files/doc_downloads/2026/03/2026_easyjet-France_Gender-Equality-Index_Results-eJ-Branding.pdf</w:t>
        </w:r>
      </w:hyperlink>
      <w:r w:rsidR="003D2DF9" w:rsidRPr="00FE6F22">
        <w:rPr>
          <w:rFonts w:ascii="Arial" w:hAnsi="Arial" w:cs="Arial"/>
        </w:rPr>
        <w:t xml:space="preserve"> </w:t>
      </w:r>
      <w:r w:rsidR="002C176E" w:rsidRPr="00FE6F22">
        <w:rPr>
          <w:rFonts w:ascii="Arial" w:hAnsi="Arial" w:cs="Arial"/>
        </w:rPr>
        <w:t>(Accessed: 26 March 2026).</w:t>
      </w:r>
    </w:p>
    <w:p w14:paraId="28442031" w14:textId="77777777" w:rsidR="002C176E" w:rsidRPr="00FE6F22" w:rsidRDefault="002C176E" w:rsidP="00FE6F22">
      <w:pPr>
        <w:pStyle w:val="NormalWeb"/>
        <w:numPr>
          <w:ilvl w:val="0"/>
          <w:numId w:val="13"/>
        </w:numPr>
        <w:spacing w:line="360" w:lineRule="auto"/>
        <w:rPr>
          <w:rFonts w:ascii="Arial" w:hAnsi="Arial" w:cs="Arial"/>
        </w:rPr>
      </w:pPr>
      <w:proofErr w:type="spellStart"/>
      <w:r w:rsidRPr="00FE6F22">
        <w:rPr>
          <w:rFonts w:ascii="Arial" w:hAnsi="Arial" w:cs="Arial"/>
        </w:rPr>
        <w:t>Gössling</w:t>
      </w:r>
      <w:proofErr w:type="spellEnd"/>
      <w:r w:rsidRPr="00FE6F22">
        <w:rPr>
          <w:rFonts w:ascii="Arial" w:hAnsi="Arial" w:cs="Arial"/>
        </w:rPr>
        <w:t xml:space="preserve">, S. and </w:t>
      </w:r>
      <w:proofErr w:type="spellStart"/>
      <w:r w:rsidRPr="00FE6F22">
        <w:rPr>
          <w:rFonts w:ascii="Arial" w:hAnsi="Arial" w:cs="Arial"/>
        </w:rPr>
        <w:t>Humpe</w:t>
      </w:r>
      <w:proofErr w:type="spellEnd"/>
      <w:r w:rsidRPr="00FE6F22">
        <w:rPr>
          <w:rFonts w:ascii="Arial" w:hAnsi="Arial" w:cs="Arial"/>
        </w:rPr>
        <w:t xml:space="preserve">, A. (2020) ‘The global scale, distribution and growth of aviation: Implications for climate change’, Global Environmental Change, 65, 102194. Available at: </w:t>
      </w:r>
      <w:hyperlink r:id="rId36" w:history="1">
        <w:r w:rsidR="003D2DF9" w:rsidRPr="00FE6F22">
          <w:rPr>
            <w:rStyle w:val="Hyperlink"/>
            <w:rFonts w:ascii="Arial" w:hAnsi="Arial" w:cs="Arial"/>
          </w:rPr>
          <w:t>https://doi.org/10.1016/j.gloenvcha.2020.102194</w:t>
        </w:r>
      </w:hyperlink>
      <w:r w:rsidR="003D2DF9" w:rsidRPr="00FE6F22">
        <w:rPr>
          <w:rFonts w:ascii="Arial" w:hAnsi="Arial" w:cs="Arial"/>
        </w:rPr>
        <w:t xml:space="preserve"> </w:t>
      </w:r>
      <w:r w:rsidRPr="00FE6F22">
        <w:rPr>
          <w:rFonts w:ascii="Arial" w:hAnsi="Arial" w:cs="Arial"/>
        </w:rPr>
        <w:t>(Accessed: 26 March 2026).</w:t>
      </w:r>
    </w:p>
    <w:p w14:paraId="5893C2BA" w14:textId="77777777" w:rsidR="002C176E" w:rsidRPr="00FE6F22" w:rsidRDefault="002C176E" w:rsidP="00FE6F22">
      <w:pPr>
        <w:pStyle w:val="NormalWeb"/>
        <w:numPr>
          <w:ilvl w:val="0"/>
          <w:numId w:val="13"/>
        </w:numPr>
        <w:spacing w:line="360" w:lineRule="auto"/>
        <w:rPr>
          <w:rFonts w:ascii="Arial" w:hAnsi="Arial" w:cs="Arial"/>
        </w:rPr>
      </w:pPr>
      <w:r w:rsidRPr="00FE6F22">
        <w:rPr>
          <w:rFonts w:ascii="Arial" w:hAnsi="Arial" w:cs="Arial"/>
        </w:rPr>
        <w:t>Kaplan, R.S. and Norton, D.P. (1992) ‘The balanced scorecard—measures that drive performance’, Harvard Business Review, 70(1), pp. 71–79.</w:t>
      </w:r>
    </w:p>
    <w:p w14:paraId="37A24BFD" w14:textId="77777777" w:rsidR="002C176E" w:rsidRPr="00FE6F22" w:rsidRDefault="002C176E" w:rsidP="00FE6F22">
      <w:pPr>
        <w:pStyle w:val="NormalWeb"/>
        <w:numPr>
          <w:ilvl w:val="0"/>
          <w:numId w:val="13"/>
        </w:numPr>
        <w:spacing w:line="360" w:lineRule="auto"/>
        <w:rPr>
          <w:rFonts w:ascii="Arial" w:hAnsi="Arial" w:cs="Arial"/>
        </w:rPr>
      </w:pPr>
      <w:proofErr w:type="spellStart"/>
      <w:r w:rsidRPr="00FE6F22">
        <w:rPr>
          <w:rFonts w:ascii="Arial" w:hAnsi="Arial" w:cs="Arial"/>
        </w:rPr>
        <w:t>Mihalčinová</w:t>
      </w:r>
      <w:proofErr w:type="spellEnd"/>
      <w:r w:rsidRPr="00FE6F22">
        <w:rPr>
          <w:rFonts w:ascii="Arial" w:hAnsi="Arial" w:cs="Arial"/>
        </w:rPr>
        <w:t xml:space="preserve">, N. and </w:t>
      </w:r>
      <w:proofErr w:type="spellStart"/>
      <w:r w:rsidRPr="00FE6F22">
        <w:rPr>
          <w:rFonts w:ascii="Arial" w:hAnsi="Arial" w:cs="Arial"/>
        </w:rPr>
        <w:t>Badánik</w:t>
      </w:r>
      <w:proofErr w:type="spellEnd"/>
      <w:r w:rsidRPr="00FE6F22">
        <w:rPr>
          <w:rFonts w:ascii="Arial" w:hAnsi="Arial" w:cs="Arial"/>
        </w:rPr>
        <w:t>, B. (2023) Marketing of low-cost carriers. Available at: https://repozitar.uniza.sk (Accessed: 26 March 2026).</w:t>
      </w:r>
    </w:p>
    <w:p w14:paraId="6849EA65" w14:textId="77777777" w:rsidR="002C176E" w:rsidRPr="00FE6F22" w:rsidRDefault="002C176E" w:rsidP="00FE6F22">
      <w:pPr>
        <w:pStyle w:val="NormalWeb"/>
        <w:numPr>
          <w:ilvl w:val="0"/>
          <w:numId w:val="13"/>
        </w:numPr>
        <w:spacing w:line="360" w:lineRule="auto"/>
        <w:rPr>
          <w:rFonts w:ascii="Arial" w:hAnsi="Arial" w:cs="Arial"/>
        </w:rPr>
      </w:pPr>
      <w:r w:rsidRPr="00FE6F22">
        <w:rPr>
          <w:rFonts w:ascii="Arial" w:hAnsi="Arial" w:cs="Arial"/>
        </w:rPr>
        <w:t>Mintzberg, H., Ahlstrand, B. and Lampel, J. (1998) Strategy safari: A guided tour through the wilds of strategic management. New York: Free Press.</w:t>
      </w:r>
    </w:p>
    <w:p w14:paraId="76B21B73" w14:textId="77777777" w:rsidR="002C176E" w:rsidRPr="00FE6F22" w:rsidRDefault="002C176E" w:rsidP="00FE6F22">
      <w:pPr>
        <w:pStyle w:val="NormalWeb"/>
        <w:numPr>
          <w:ilvl w:val="0"/>
          <w:numId w:val="13"/>
        </w:numPr>
        <w:spacing w:line="360" w:lineRule="auto"/>
        <w:rPr>
          <w:rFonts w:ascii="Arial" w:hAnsi="Arial" w:cs="Arial"/>
        </w:rPr>
      </w:pPr>
      <w:r w:rsidRPr="00FE6F22">
        <w:rPr>
          <w:rFonts w:ascii="Arial" w:hAnsi="Arial" w:cs="Arial"/>
        </w:rPr>
        <w:t>OAG (2024) The leading airline groups in Europe by capacity. London: OAG.</w:t>
      </w:r>
    </w:p>
    <w:p w14:paraId="29D40729" w14:textId="77777777" w:rsidR="002C176E" w:rsidRPr="00FE6F22" w:rsidRDefault="002C176E" w:rsidP="00FE6F22">
      <w:pPr>
        <w:pStyle w:val="NormalWeb"/>
        <w:numPr>
          <w:ilvl w:val="0"/>
          <w:numId w:val="13"/>
        </w:numPr>
        <w:spacing w:line="360" w:lineRule="auto"/>
        <w:rPr>
          <w:rFonts w:ascii="Arial" w:hAnsi="Arial" w:cs="Arial"/>
        </w:rPr>
      </w:pPr>
      <w:r w:rsidRPr="00FE6F22">
        <w:rPr>
          <w:rFonts w:ascii="Arial" w:hAnsi="Arial" w:cs="Arial"/>
        </w:rPr>
        <w:t>Porter, M.E. (1980) Competitive strategy: Techniques for analyzing industries and competitors. New York: Free Press.</w:t>
      </w:r>
    </w:p>
    <w:p w14:paraId="46237773" w14:textId="77777777" w:rsidR="002C176E" w:rsidRPr="00FE6F22" w:rsidRDefault="002C176E" w:rsidP="00FE6F22">
      <w:pPr>
        <w:pStyle w:val="NormalWeb"/>
        <w:numPr>
          <w:ilvl w:val="0"/>
          <w:numId w:val="13"/>
        </w:numPr>
        <w:spacing w:line="360" w:lineRule="auto"/>
        <w:rPr>
          <w:rFonts w:ascii="Arial" w:hAnsi="Arial" w:cs="Arial"/>
        </w:rPr>
      </w:pPr>
      <w:r w:rsidRPr="00FE6F22">
        <w:rPr>
          <w:rFonts w:ascii="Arial" w:hAnsi="Arial" w:cs="Arial"/>
        </w:rPr>
        <w:t xml:space="preserve">S&amp;P Global Ratings (2025) easyJet upgraded to ‘BBB+’ on strong performance. Available at: </w:t>
      </w:r>
      <w:hyperlink r:id="rId37" w:history="1">
        <w:r w:rsidR="003D2DF9" w:rsidRPr="00FE6F22">
          <w:rPr>
            <w:rStyle w:val="Hyperlink"/>
            <w:rFonts w:ascii="Arial" w:hAnsi="Arial" w:cs="Arial"/>
          </w:rPr>
          <w:t>https://www.spglobal.com</w:t>
        </w:r>
      </w:hyperlink>
      <w:r w:rsidR="003D2DF9" w:rsidRPr="00FE6F22">
        <w:rPr>
          <w:rFonts w:ascii="Arial" w:hAnsi="Arial" w:cs="Arial"/>
        </w:rPr>
        <w:t xml:space="preserve"> </w:t>
      </w:r>
      <w:r w:rsidRPr="00FE6F22">
        <w:rPr>
          <w:rFonts w:ascii="Arial" w:hAnsi="Arial" w:cs="Arial"/>
        </w:rPr>
        <w:t>(Accessed: 26 March 2026).</w:t>
      </w:r>
    </w:p>
    <w:p w14:paraId="59AA6286" w14:textId="77777777" w:rsidR="002C176E" w:rsidRPr="00FE6F22" w:rsidRDefault="002C176E" w:rsidP="00FE6F22">
      <w:pPr>
        <w:pStyle w:val="NormalWeb"/>
        <w:numPr>
          <w:ilvl w:val="0"/>
          <w:numId w:val="13"/>
        </w:numPr>
        <w:spacing w:line="360" w:lineRule="auto"/>
        <w:rPr>
          <w:rFonts w:ascii="Arial" w:hAnsi="Arial" w:cs="Arial"/>
        </w:rPr>
      </w:pPr>
      <w:r w:rsidRPr="00FE6F22">
        <w:rPr>
          <w:rFonts w:ascii="Arial" w:hAnsi="Arial" w:cs="Arial"/>
        </w:rPr>
        <w:t xml:space="preserve">SWOT &amp; PESTLE.com (2026) EasyJet BCG matrix analysis. Available at: </w:t>
      </w:r>
      <w:hyperlink r:id="rId38" w:history="1">
        <w:r w:rsidR="003D2DF9" w:rsidRPr="00FE6F22">
          <w:rPr>
            <w:rStyle w:val="Hyperlink"/>
            <w:rFonts w:ascii="Arial" w:hAnsi="Arial" w:cs="Arial"/>
          </w:rPr>
          <w:t>https://swotandpestle.com</w:t>
        </w:r>
      </w:hyperlink>
      <w:r w:rsidR="003D2DF9" w:rsidRPr="00FE6F22">
        <w:rPr>
          <w:rFonts w:ascii="Arial" w:hAnsi="Arial" w:cs="Arial"/>
        </w:rPr>
        <w:t xml:space="preserve"> </w:t>
      </w:r>
      <w:r w:rsidRPr="00FE6F22">
        <w:rPr>
          <w:rFonts w:ascii="Arial" w:hAnsi="Arial" w:cs="Arial"/>
        </w:rPr>
        <w:t>(Accessed: 26 March 2026).</w:t>
      </w:r>
    </w:p>
    <w:p w14:paraId="78929029" w14:textId="77777777" w:rsidR="002C176E" w:rsidRPr="00FE6F22" w:rsidRDefault="002C176E" w:rsidP="00FE6F22">
      <w:pPr>
        <w:pStyle w:val="NormalWeb"/>
        <w:numPr>
          <w:ilvl w:val="0"/>
          <w:numId w:val="13"/>
        </w:numPr>
        <w:spacing w:line="360" w:lineRule="auto"/>
        <w:rPr>
          <w:rFonts w:ascii="Arial" w:hAnsi="Arial" w:cs="Arial"/>
        </w:rPr>
      </w:pPr>
      <w:r w:rsidRPr="00FE6F22">
        <w:rPr>
          <w:rFonts w:ascii="Arial" w:hAnsi="Arial" w:cs="Arial"/>
        </w:rPr>
        <w:t xml:space="preserve">The Armchair Trader (2025) Turbulence ahead for easyJet shareholders? Available at: </w:t>
      </w:r>
      <w:hyperlink r:id="rId39" w:history="1">
        <w:r w:rsidR="003D2DF9" w:rsidRPr="00FE6F22">
          <w:rPr>
            <w:rStyle w:val="Hyperlink"/>
            <w:rFonts w:ascii="Arial" w:hAnsi="Arial" w:cs="Arial"/>
          </w:rPr>
          <w:t>https://www.thearmchairtrader.com</w:t>
        </w:r>
      </w:hyperlink>
      <w:r w:rsidR="003D2DF9" w:rsidRPr="00FE6F22">
        <w:rPr>
          <w:rFonts w:ascii="Arial" w:hAnsi="Arial" w:cs="Arial"/>
        </w:rPr>
        <w:t xml:space="preserve"> </w:t>
      </w:r>
      <w:r w:rsidRPr="00FE6F22">
        <w:rPr>
          <w:rFonts w:ascii="Arial" w:hAnsi="Arial" w:cs="Arial"/>
        </w:rPr>
        <w:t>(Accessed: 26 March 2026).</w:t>
      </w:r>
    </w:p>
    <w:p w14:paraId="29B15ACC" w14:textId="77777777" w:rsidR="00DC3CCD" w:rsidRPr="00FE6F22" w:rsidRDefault="00DC3CCD" w:rsidP="00FE6F22">
      <w:pPr>
        <w:pStyle w:val="NormalWeb"/>
        <w:spacing w:line="360" w:lineRule="auto"/>
        <w:rPr>
          <w:rFonts w:ascii="Arial" w:hAnsi="Arial" w:cs="Arial"/>
        </w:rPr>
      </w:pPr>
    </w:p>
    <w:p w14:paraId="13F51F26" w14:textId="77777777" w:rsidR="000577D1" w:rsidRPr="00FE6F22" w:rsidRDefault="000577D1" w:rsidP="00FE6F22">
      <w:pPr>
        <w:pStyle w:val="NormalWeb"/>
        <w:spacing w:before="0" w:line="360" w:lineRule="auto"/>
        <w:rPr>
          <w:rFonts w:ascii="Arial" w:hAnsi="Arial" w:cs="Arial"/>
        </w:rPr>
      </w:pPr>
    </w:p>
    <w:sectPr w:rsidR="000577D1" w:rsidRPr="00FE6F22" w:rsidSect="0098736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5440B6" w14:textId="77777777" w:rsidR="005418AA" w:rsidRDefault="005418AA" w:rsidP="008C45E0">
      <w:pPr>
        <w:spacing w:after="0" w:line="240" w:lineRule="auto"/>
      </w:pPr>
      <w:r>
        <w:separator/>
      </w:r>
    </w:p>
  </w:endnote>
  <w:endnote w:type="continuationSeparator" w:id="0">
    <w:p w14:paraId="3D08D827" w14:textId="77777777" w:rsidR="005418AA" w:rsidRDefault="005418AA" w:rsidP="008C45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8559981"/>
      <w:docPartObj>
        <w:docPartGallery w:val="Page Numbers (Bottom of Page)"/>
        <w:docPartUnique/>
      </w:docPartObj>
    </w:sdtPr>
    <w:sdtEndPr>
      <w:rPr>
        <w:noProof/>
      </w:rPr>
    </w:sdtEndPr>
    <w:sdtContent>
      <w:p w14:paraId="007F33ED" w14:textId="77777777" w:rsidR="002C176E" w:rsidRDefault="004155E1">
        <w:pPr>
          <w:pStyle w:val="Footer"/>
          <w:jc w:val="center"/>
        </w:pPr>
        <w:r>
          <w:rPr>
            <w:noProof/>
            <w:lang w:val="en-US"/>
          </w:rPr>
          <w:drawing>
            <wp:anchor distT="0" distB="0" distL="114300" distR="114300" simplePos="0" relativeHeight="251661312" behindDoc="0" locked="0" layoutInCell="1" allowOverlap="1" wp14:anchorId="1BF33B18" wp14:editId="5D2ECDB3">
              <wp:simplePos x="0" y="0"/>
              <wp:positionH relativeFrom="column">
                <wp:posOffset>3131389</wp:posOffset>
              </wp:positionH>
              <wp:positionV relativeFrom="paragraph">
                <wp:posOffset>-32936</wp:posOffset>
              </wp:positionV>
              <wp:extent cx="2760453" cy="577723"/>
              <wp:effectExtent l="171450" t="171450" r="382905" b="35623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2760454" cy="577723"/>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rsidR="002C176E">
          <w:fldChar w:fldCharType="begin"/>
        </w:r>
        <w:r w:rsidR="002C176E">
          <w:instrText xml:space="preserve"> PAGE   \* MERGEFORMAT </w:instrText>
        </w:r>
        <w:r w:rsidR="002C176E">
          <w:fldChar w:fldCharType="separate"/>
        </w:r>
        <w:r w:rsidR="00CF0944">
          <w:rPr>
            <w:noProof/>
          </w:rPr>
          <w:t>4</w:t>
        </w:r>
        <w:r w:rsidR="002C176E">
          <w:rPr>
            <w:noProof/>
          </w:rPr>
          <w:fldChar w:fldCharType="end"/>
        </w:r>
      </w:p>
    </w:sdtContent>
  </w:sdt>
  <w:p w14:paraId="2AF7CCF6" w14:textId="77777777" w:rsidR="002C176E" w:rsidRDefault="002C17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3EA982" w14:textId="77777777" w:rsidR="005418AA" w:rsidRDefault="005418AA" w:rsidP="008C45E0">
      <w:pPr>
        <w:spacing w:after="0" w:line="240" w:lineRule="auto"/>
      </w:pPr>
      <w:r>
        <w:separator/>
      </w:r>
    </w:p>
  </w:footnote>
  <w:footnote w:type="continuationSeparator" w:id="0">
    <w:p w14:paraId="78C2748F" w14:textId="77777777" w:rsidR="005418AA" w:rsidRDefault="005418AA" w:rsidP="008C45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A31E2" w14:textId="77777777" w:rsidR="001D7B72" w:rsidRDefault="001D7B72">
    <w:pPr>
      <w:pStyle w:val="Header"/>
    </w:pPr>
    <w:r>
      <w:rPr>
        <w:noProof/>
        <w:lang w:val="en-US"/>
      </w:rPr>
      <w:drawing>
        <wp:anchor distT="0" distB="0" distL="114300" distR="114300" simplePos="0" relativeHeight="251659264" behindDoc="0" locked="0" layoutInCell="1" allowOverlap="1" wp14:anchorId="2C052FAA" wp14:editId="5E025E94">
          <wp:simplePos x="0" y="0"/>
          <wp:positionH relativeFrom="column">
            <wp:posOffset>-206543</wp:posOffset>
          </wp:positionH>
          <wp:positionV relativeFrom="paragraph">
            <wp:posOffset>-431800</wp:posOffset>
          </wp:positionV>
          <wp:extent cx="3045124" cy="655607"/>
          <wp:effectExtent l="171450" t="171450" r="384175" b="35433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3045124" cy="655607"/>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6E1E6D"/>
    <w:multiLevelType w:val="hybridMultilevel"/>
    <w:tmpl w:val="ECE243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3C61D7"/>
    <w:multiLevelType w:val="hybridMultilevel"/>
    <w:tmpl w:val="D86C2BC4"/>
    <w:lvl w:ilvl="0" w:tplc="86F007BA">
      <w:start w:val="5"/>
      <w:numFmt w:val="decimal"/>
      <w:lvlText w:val="%1."/>
      <w:lvlJc w:val="left"/>
      <w:pPr>
        <w:ind w:left="720" w:hanging="360"/>
      </w:pPr>
      <w:rPr>
        <w:rFonts w:eastAsiaTheme="minorHAnsi" w:hint="default"/>
        <w:b w:val="0"/>
        <w:color w:val="auto"/>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7702564"/>
    <w:multiLevelType w:val="multilevel"/>
    <w:tmpl w:val="54A0D4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02A04BA"/>
    <w:multiLevelType w:val="multilevel"/>
    <w:tmpl w:val="1C6CE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75130A"/>
    <w:multiLevelType w:val="multilevel"/>
    <w:tmpl w:val="556ED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311660"/>
    <w:multiLevelType w:val="hybridMultilevel"/>
    <w:tmpl w:val="D1F066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2544D72"/>
    <w:multiLevelType w:val="hybridMultilevel"/>
    <w:tmpl w:val="BE0A00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50B7C17"/>
    <w:multiLevelType w:val="hybridMultilevel"/>
    <w:tmpl w:val="224C2B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A0D7431"/>
    <w:multiLevelType w:val="hybridMultilevel"/>
    <w:tmpl w:val="F3AA87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D2C33FC"/>
    <w:multiLevelType w:val="hybridMultilevel"/>
    <w:tmpl w:val="5204DB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D5D02AF"/>
    <w:multiLevelType w:val="multilevel"/>
    <w:tmpl w:val="6786F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68652C7"/>
    <w:multiLevelType w:val="multilevel"/>
    <w:tmpl w:val="B40CBB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C790111"/>
    <w:multiLevelType w:val="multilevel"/>
    <w:tmpl w:val="1EEEF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3E6D4F"/>
    <w:multiLevelType w:val="multilevel"/>
    <w:tmpl w:val="15EA326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6"/>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704477513">
    <w:abstractNumId w:val="6"/>
  </w:num>
  <w:num w:numId="2" w16cid:durableId="1551577226">
    <w:abstractNumId w:val="3"/>
  </w:num>
  <w:num w:numId="3" w16cid:durableId="1920944056">
    <w:abstractNumId w:val="12"/>
  </w:num>
  <w:num w:numId="4" w16cid:durableId="865292987">
    <w:abstractNumId w:val="11"/>
  </w:num>
  <w:num w:numId="5" w16cid:durableId="428046524">
    <w:abstractNumId w:val="2"/>
  </w:num>
  <w:num w:numId="6" w16cid:durableId="1228763251">
    <w:abstractNumId w:val="10"/>
  </w:num>
  <w:num w:numId="7" w16cid:durableId="18555649">
    <w:abstractNumId w:val="13"/>
  </w:num>
  <w:num w:numId="8" w16cid:durableId="787970788">
    <w:abstractNumId w:val="9"/>
  </w:num>
  <w:num w:numId="9" w16cid:durableId="1553541763">
    <w:abstractNumId w:val="7"/>
  </w:num>
  <w:num w:numId="10" w16cid:durableId="1029066026">
    <w:abstractNumId w:val="1"/>
  </w:num>
  <w:num w:numId="11" w16cid:durableId="408846181">
    <w:abstractNumId w:val="5"/>
  </w:num>
  <w:num w:numId="12" w16cid:durableId="1483307796">
    <w:abstractNumId w:val="4"/>
  </w:num>
  <w:num w:numId="13" w16cid:durableId="791248398">
    <w:abstractNumId w:val="0"/>
  </w:num>
  <w:num w:numId="14" w16cid:durableId="1413939542">
    <w:abstractNumId w:val="8"/>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1EB"/>
    <w:rsid w:val="000067B3"/>
    <w:rsid w:val="000115F5"/>
    <w:rsid w:val="00013BC8"/>
    <w:rsid w:val="00015806"/>
    <w:rsid w:val="00015AA7"/>
    <w:rsid w:val="00023282"/>
    <w:rsid w:val="00023AE7"/>
    <w:rsid w:val="00024BBE"/>
    <w:rsid w:val="0002538B"/>
    <w:rsid w:val="00027A1E"/>
    <w:rsid w:val="0003784D"/>
    <w:rsid w:val="00042399"/>
    <w:rsid w:val="000446D0"/>
    <w:rsid w:val="00044D56"/>
    <w:rsid w:val="00047F90"/>
    <w:rsid w:val="00050C1A"/>
    <w:rsid w:val="00051666"/>
    <w:rsid w:val="000577D1"/>
    <w:rsid w:val="00061153"/>
    <w:rsid w:val="00065F4C"/>
    <w:rsid w:val="00065F6B"/>
    <w:rsid w:val="000707C9"/>
    <w:rsid w:val="00070DC8"/>
    <w:rsid w:val="0007195E"/>
    <w:rsid w:val="000738BD"/>
    <w:rsid w:val="000755F5"/>
    <w:rsid w:val="000836EA"/>
    <w:rsid w:val="000837F8"/>
    <w:rsid w:val="00086CD1"/>
    <w:rsid w:val="00090580"/>
    <w:rsid w:val="000A0A3E"/>
    <w:rsid w:val="000A6CA6"/>
    <w:rsid w:val="000B16C8"/>
    <w:rsid w:val="000B5FFF"/>
    <w:rsid w:val="000C03CF"/>
    <w:rsid w:val="000C1E6B"/>
    <w:rsid w:val="000C39F0"/>
    <w:rsid w:val="000C3CE7"/>
    <w:rsid w:val="000D18AA"/>
    <w:rsid w:val="000D4595"/>
    <w:rsid w:val="000D50D9"/>
    <w:rsid w:val="000E3733"/>
    <w:rsid w:val="000E530B"/>
    <w:rsid w:val="000F0181"/>
    <w:rsid w:val="000F4B59"/>
    <w:rsid w:val="000F5921"/>
    <w:rsid w:val="000F731B"/>
    <w:rsid w:val="00101F5D"/>
    <w:rsid w:val="001026D9"/>
    <w:rsid w:val="00111B4C"/>
    <w:rsid w:val="00112EEF"/>
    <w:rsid w:val="001137B7"/>
    <w:rsid w:val="00113DE1"/>
    <w:rsid w:val="00113FB0"/>
    <w:rsid w:val="0011570E"/>
    <w:rsid w:val="00116758"/>
    <w:rsid w:val="001172BC"/>
    <w:rsid w:val="001231DE"/>
    <w:rsid w:val="00134DCD"/>
    <w:rsid w:val="0013533D"/>
    <w:rsid w:val="00135C1B"/>
    <w:rsid w:val="001438E9"/>
    <w:rsid w:val="00143A38"/>
    <w:rsid w:val="00145784"/>
    <w:rsid w:val="0014669C"/>
    <w:rsid w:val="00146B8F"/>
    <w:rsid w:val="00152BB6"/>
    <w:rsid w:val="00162D7C"/>
    <w:rsid w:val="001668A8"/>
    <w:rsid w:val="0016791D"/>
    <w:rsid w:val="00170445"/>
    <w:rsid w:val="0017159B"/>
    <w:rsid w:val="00174256"/>
    <w:rsid w:val="0017554C"/>
    <w:rsid w:val="0018043A"/>
    <w:rsid w:val="0018283B"/>
    <w:rsid w:val="00183449"/>
    <w:rsid w:val="0018566B"/>
    <w:rsid w:val="00185692"/>
    <w:rsid w:val="001875CD"/>
    <w:rsid w:val="001A0528"/>
    <w:rsid w:val="001A1120"/>
    <w:rsid w:val="001A1789"/>
    <w:rsid w:val="001A3B94"/>
    <w:rsid w:val="001A6536"/>
    <w:rsid w:val="001B071D"/>
    <w:rsid w:val="001B6D55"/>
    <w:rsid w:val="001B761E"/>
    <w:rsid w:val="001B7879"/>
    <w:rsid w:val="001C0F9F"/>
    <w:rsid w:val="001C71AC"/>
    <w:rsid w:val="001C76E3"/>
    <w:rsid w:val="001D7407"/>
    <w:rsid w:val="001D7B72"/>
    <w:rsid w:val="001E04B4"/>
    <w:rsid w:val="001E0D5D"/>
    <w:rsid w:val="001E0DB9"/>
    <w:rsid w:val="001E10B2"/>
    <w:rsid w:val="001E2BB8"/>
    <w:rsid w:val="001E370F"/>
    <w:rsid w:val="001E658B"/>
    <w:rsid w:val="001E70BD"/>
    <w:rsid w:val="001F0F74"/>
    <w:rsid w:val="001F0FB5"/>
    <w:rsid w:val="001F2D01"/>
    <w:rsid w:val="001F57A7"/>
    <w:rsid w:val="001F675A"/>
    <w:rsid w:val="001F7B4F"/>
    <w:rsid w:val="00200562"/>
    <w:rsid w:val="00200A86"/>
    <w:rsid w:val="00201345"/>
    <w:rsid w:val="00204EFC"/>
    <w:rsid w:val="002064F3"/>
    <w:rsid w:val="00206E11"/>
    <w:rsid w:val="002075BB"/>
    <w:rsid w:val="00213F5B"/>
    <w:rsid w:val="00214B9F"/>
    <w:rsid w:val="00216AC4"/>
    <w:rsid w:val="00216B03"/>
    <w:rsid w:val="002200B0"/>
    <w:rsid w:val="002225A3"/>
    <w:rsid w:val="00222FEF"/>
    <w:rsid w:val="0022585A"/>
    <w:rsid w:val="00226CC9"/>
    <w:rsid w:val="0023111D"/>
    <w:rsid w:val="00231956"/>
    <w:rsid w:val="00235D59"/>
    <w:rsid w:val="0023662F"/>
    <w:rsid w:val="00240227"/>
    <w:rsid w:val="002423B1"/>
    <w:rsid w:val="00244898"/>
    <w:rsid w:val="002452FE"/>
    <w:rsid w:val="00245313"/>
    <w:rsid w:val="002505C9"/>
    <w:rsid w:val="00250EE7"/>
    <w:rsid w:val="00251ED2"/>
    <w:rsid w:val="00252494"/>
    <w:rsid w:val="0025338C"/>
    <w:rsid w:val="00257F6E"/>
    <w:rsid w:val="00262477"/>
    <w:rsid w:val="00270BEB"/>
    <w:rsid w:val="002713B0"/>
    <w:rsid w:val="00271961"/>
    <w:rsid w:val="00272F0A"/>
    <w:rsid w:val="00275324"/>
    <w:rsid w:val="002771FC"/>
    <w:rsid w:val="002811FC"/>
    <w:rsid w:val="002828A3"/>
    <w:rsid w:val="00286811"/>
    <w:rsid w:val="00286EBD"/>
    <w:rsid w:val="0029431B"/>
    <w:rsid w:val="002A079B"/>
    <w:rsid w:val="002A0AF7"/>
    <w:rsid w:val="002A589B"/>
    <w:rsid w:val="002A6CE8"/>
    <w:rsid w:val="002B1450"/>
    <w:rsid w:val="002B184C"/>
    <w:rsid w:val="002B6B70"/>
    <w:rsid w:val="002C0340"/>
    <w:rsid w:val="002C15B8"/>
    <w:rsid w:val="002C176E"/>
    <w:rsid w:val="002C29F5"/>
    <w:rsid w:val="002C2DF7"/>
    <w:rsid w:val="002D1264"/>
    <w:rsid w:val="002E1EF1"/>
    <w:rsid w:val="002E55AA"/>
    <w:rsid w:val="002E7359"/>
    <w:rsid w:val="002E7D36"/>
    <w:rsid w:val="002E7D83"/>
    <w:rsid w:val="002F114C"/>
    <w:rsid w:val="002F147C"/>
    <w:rsid w:val="002F3B04"/>
    <w:rsid w:val="002F71C6"/>
    <w:rsid w:val="00302FC3"/>
    <w:rsid w:val="00311A3F"/>
    <w:rsid w:val="00311AED"/>
    <w:rsid w:val="00311EA2"/>
    <w:rsid w:val="00311F23"/>
    <w:rsid w:val="0031560D"/>
    <w:rsid w:val="00315BE1"/>
    <w:rsid w:val="003173F9"/>
    <w:rsid w:val="003207E2"/>
    <w:rsid w:val="003211CF"/>
    <w:rsid w:val="00322000"/>
    <w:rsid w:val="003249D7"/>
    <w:rsid w:val="0032516B"/>
    <w:rsid w:val="003304E1"/>
    <w:rsid w:val="003335F7"/>
    <w:rsid w:val="00334782"/>
    <w:rsid w:val="0034272E"/>
    <w:rsid w:val="00344644"/>
    <w:rsid w:val="00344D8F"/>
    <w:rsid w:val="00346CCD"/>
    <w:rsid w:val="0035184B"/>
    <w:rsid w:val="0035326E"/>
    <w:rsid w:val="003558CF"/>
    <w:rsid w:val="00362EE2"/>
    <w:rsid w:val="00364B06"/>
    <w:rsid w:val="00364EB6"/>
    <w:rsid w:val="00372870"/>
    <w:rsid w:val="00373773"/>
    <w:rsid w:val="00377078"/>
    <w:rsid w:val="00384B97"/>
    <w:rsid w:val="00385A1E"/>
    <w:rsid w:val="00385E67"/>
    <w:rsid w:val="003900AC"/>
    <w:rsid w:val="00393DD9"/>
    <w:rsid w:val="003A608D"/>
    <w:rsid w:val="003B2E2E"/>
    <w:rsid w:val="003B5634"/>
    <w:rsid w:val="003C0F29"/>
    <w:rsid w:val="003C3115"/>
    <w:rsid w:val="003D2DF9"/>
    <w:rsid w:val="003D5C94"/>
    <w:rsid w:val="003E0AFE"/>
    <w:rsid w:val="003E10FB"/>
    <w:rsid w:val="003F0C8D"/>
    <w:rsid w:val="003F170D"/>
    <w:rsid w:val="003F1C2D"/>
    <w:rsid w:val="003F333C"/>
    <w:rsid w:val="003F5550"/>
    <w:rsid w:val="003F6A32"/>
    <w:rsid w:val="003F75D3"/>
    <w:rsid w:val="0040503C"/>
    <w:rsid w:val="00406ADA"/>
    <w:rsid w:val="00413BB3"/>
    <w:rsid w:val="00414646"/>
    <w:rsid w:val="004155E1"/>
    <w:rsid w:val="00417405"/>
    <w:rsid w:val="0042092A"/>
    <w:rsid w:val="0042328F"/>
    <w:rsid w:val="004257CB"/>
    <w:rsid w:val="00430DB7"/>
    <w:rsid w:val="00431551"/>
    <w:rsid w:val="00432714"/>
    <w:rsid w:val="004428B6"/>
    <w:rsid w:val="00443979"/>
    <w:rsid w:val="00445781"/>
    <w:rsid w:val="00446DF5"/>
    <w:rsid w:val="00450A5D"/>
    <w:rsid w:val="0045483F"/>
    <w:rsid w:val="004561EB"/>
    <w:rsid w:val="00462414"/>
    <w:rsid w:val="00462770"/>
    <w:rsid w:val="00462ED2"/>
    <w:rsid w:val="00463EB2"/>
    <w:rsid w:val="00464CDB"/>
    <w:rsid w:val="00465A23"/>
    <w:rsid w:val="00466373"/>
    <w:rsid w:val="0047085A"/>
    <w:rsid w:val="00471335"/>
    <w:rsid w:val="00472AB5"/>
    <w:rsid w:val="00474194"/>
    <w:rsid w:val="0047499A"/>
    <w:rsid w:val="0047767D"/>
    <w:rsid w:val="00480122"/>
    <w:rsid w:val="004808A5"/>
    <w:rsid w:val="00482006"/>
    <w:rsid w:val="00483400"/>
    <w:rsid w:val="00483A69"/>
    <w:rsid w:val="0048417B"/>
    <w:rsid w:val="0048503A"/>
    <w:rsid w:val="004959ED"/>
    <w:rsid w:val="004978C1"/>
    <w:rsid w:val="004A4694"/>
    <w:rsid w:val="004B1B7A"/>
    <w:rsid w:val="004B1F81"/>
    <w:rsid w:val="004B23DF"/>
    <w:rsid w:val="004B43CF"/>
    <w:rsid w:val="004B60DD"/>
    <w:rsid w:val="004C0549"/>
    <w:rsid w:val="004C2C49"/>
    <w:rsid w:val="004C7CE4"/>
    <w:rsid w:val="004D1F88"/>
    <w:rsid w:val="004D2A05"/>
    <w:rsid w:val="004D2A2E"/>
    <w:rsid w:val="004E0449"/>
    <w:rsid w:val="004E0A37"/>
    <w:rsid w:val="004E1024"/>
    <w:rsid w:val="004E1F5C"/>
    <w:rsid w:val="004E68CE"/>
    <w:rsid w:val="004F015E"/>
    <w:rsid w:val="004F1C2C"/>
    <w:rsid w:val="004F23E3"/>
    <w:rsid w:val="004F405B"/>
    <w:rsid w:val="005010C9"/>
    <w:rsid w:val="00503E84"/>
    <w:rsid w:val="00510BE5"/>
    <w:rsid w:val="00510EC0"/>
    <w:rsid w:val="0051180C"/>
    <w:rsid w:val="0051244D"/>
    <w:rsid w:val="00513965"/>
    <w:rsid w:val="00513C53"/>
    <w:rsid w:val="00516A6C"/>
    <w:rsid w:val="00520AAE"/>
    <w:rsid w:val="00522678"/>
    <w:rsid w:val="005229A8"/>
    <w:rsid w:val="00524469"/>
    <w:rsid w:val="00525B46"/>
    <w:rsid w:val="005347DF"/>
    <w:rsid w:val="005407E1"/>
    <w:rsid w:val="005418AA"/>
    <w:rsid w:val="005468AC"/>
    <w:rsid w:val="00546C8D"/>
    <w:rsid w:val="00556320"/>
    <w:rsid w:val="0055746C"/>
    <w:rsid w:val="00562BE4"/>
    <w:rsid w:val="005672CD"/>
    <w:rsid w:val="00567BA3"/>
    <w:rsid w:val="005701B2"/>
    <w:rsid w:val="005730E8"/>
    <w:rsid w:val="00573B66"/>
    <w:rsid w:val="00584E9C"/>
    <w:rsid w:val="005915CF"/>
    <w:rsid w:val="00592522"/>
    <w:rsid w:val="00593E97"/>
    <w:rsid w:val="0059436C"/>
    <w:rsid w:val="005945D9"/>
    <w:rsid w:val="005A055E"/>
    <w:rsid w:val="005A1A0E"/>
    <w:rsid w:val="005A1F09"/>
    <w:rsid w:val="005A3332"/>
    <w:rsid w:val="005A3B2A"/>
    <w:rsid w:val="005A4A93"/>
    <w:rsid w:val="005A61D5"/>
    <w:rsid w:val="005A7207"/>
    <w:rsid w:val="005B5703"/>
    <w:rsid w:val="005B60D3"/>
    <w:rsid w:val="005B76ED"/>
    <w:rsid w:val="005C0DB9"/>
    <w:rsid w:val="005C462C"/>
    <w:rsid w:val="005C59BC"/>
    <w:rsid w:val="005C5AC3"/>
    <w:rsid w:val="005C7088"/>
    <w:rsid w:val="005D06FA"/>
    <w:rsid w:val="005D139E"/>
    <w:rsid w:val="005D5232"/>
    <w:rsid w:val="005E03C0"/>
    <w:rsid w:val="005E33F1"/>
    <w:rsid w:val="005E3769"/>
    <w:rsid w:val="005E4072"/>
    <w:rsid w:val="005E69E8"/>
    <w:rsid w:val="005E7B3B"/>
    <w:rsid w:val="005E7D13"/>
    <w:rsid w:val="005F4213"/>
    <w:rsid w:val="005F6357"/>
    <w:rsid w:val="005F639F"/>
    <w:rsid w:val="005F69B8"/>
    <w:rsid w:val="005F7C87"/>
    <w:rsid w:val="00600DC0"/>
    <w:rsid w:val="006016A5"/>
    <w:rsid w:val="00602A5A"/>
    <w:rsid w:val="0061143F"/>
    <w:rsid w:val="006142B4"/>
    <w:rsid w:val="00616EBD"/>
    <w:rsid w:val="006174DF"/>
    <w:rsid w:val="00622C32"/>
    <w:rsid w:val="00624C35"/>
    <w:rsid w:val="00626C3F"/>
    <w:rsid w:val="00630929"/>
    <w:rsid w:val="00632B42"/>
    <w:rsid w:val="006334D6"/>
    <w:rsid w:val="00635148"/>
    <w:rsid w:val="0064559B"/>
    <w:rsid w:val="0065001D"/>
    <w:rsid w:val="006534E4"/>
    <w:rsid w:val="0065412B"/>
    <w:rsid w:val="00657C64"/>
    <w:rsid w:val="00662AC8"/>
    <w:rsid w:val="0067005C"/>
    <w:rsid w:val="006738CC"/>
    <w:rsid w:val="0068086E"/>
    <w:rsid w:val="00682A70"/>
    <w:rsid w:val="0068320C"/>
    <w:rsid w:val="00685A46"/>
    <w:rsid w:val="00687C1E"/>
    <w:rsid w:val="00693C55"/>
    <w:rsid w:val="00697ACF"/>
    <w:rsid w:val="00697DA1"/>
    <w:rsid w:val="006A488E"/>
    <w:rsid w:val="006B0ADC"/>
    <w:rsid w:val="006B5938"/>
    <w:rsid w:val="006B5BB7"/>
    <w:rsid w:val="006C1901"/>
    <w:rsid w:val="006C4AF8"/>
    <w:rsid w:val="006C4CA3"/>
    <w:rsid w:val="006D24E1"/>
    <w:rsid w:val="006D2ECE"/>
    <w:rsid w:val="006D5224"/>
    <w:rsid w:val="006D7E5C"/>
    <w:rsid w:val="006D7F47"/>
    <w:rsid w:val="006E0F18"/>
    <w:rsid w:val="006E1C0E"/>
    <w:rsid w:val="006E6670"/>
    <w:rsid w:val="006F5EBA"/>
    <w:rsid w:val="007003A2"/>
    <w:rsid w:val="00703CAB"/>
    <w:rsid w:val="00703FBE"/>
    <w:rsid w:val="00706432"/>
    <w:rsid w:val="00712F8D"/>
    <w:rsid w:val="00717B05"/>
    <w:rsid w:val="0072476B"/>
    <w:rsid w:val="00724ACF"/>
    <w:rsid w:val="007259D9"/>
    <w:rsid w:val="00726C31"/>
    <w:rsid w:val="0073108C"/>
    <w:rsid w:val="007321E8"/>
    <w:rsid w:val="00735CCF"/>
    <w:rsid w:val="00743D10"/>
    <w:rsid w:val="00752F27"/>
    <w:rsid w:val="00760023"/>
    <w:rsid w:val="00760D82"/>
    <w:rsid w:val="00763904"/>
    <w:rsid w:val="00766E15"/>
    <w:rsid w:val="0076741B"/>
    <w:rsid w:val="00767458"/>
    <w:rsid w:val="00770B0E"/>
    <w:rsid w:val="00771099"/>
    <w:rsid w:val="00774F26"/>
    <w:rsid w:val="0079103C"/>
    <w:rsid w:val="007A0E92"/>
    <w:rsid w:val="007A2B94"/>
    <w:rsid w:val="007A3152"/>
    <w:rsid w:val="007A4AA9"/>
    <w:rsid w:val="007C13EE"/>
    <w:rsid w:val="007C36EF"/>
    <w:rsid w:val="007C7AFC"/>
    <w:rsid w:val="007E5784"/>
    <w:rsid w:val="007E5C27"/>
    <w:rsid w:val="007F7024"/>
    <w:rsid w:val="007F77C7"/>
    <w:rsid w:val="008011DB"/>
    <w:rsid w:val="00807818"/>
    <w:rsid w:val="00807E6F"/>
    <w:rsid w:val="00812759"/>
    <w:rsid w:val="0081282D"/>
    <w:rsid w:val="00813C4B"/>
    <w:rsid w:val="00816D70"/>
    <w:rsid w:val="008221D7"/>
    <w:rsid w:val="008222E5"/>
    <w:rsid w:val="00827A8B"/>
    <w:rsid w:val="0083545B"/>
    <w:rsid w:val="008364F4"/>
    <w:rsid w:val="00840C3C"/>
    <w:rsid w:val="00841E46"/>
    <w:rsid w:val="0084437D"/>
    <w:rsid w:val="0084609C"/>
    <w:rsid w:val="00846808"/>
    <w:rsid w:val="008474D3"/>
    <w:rsid w:val="00847998"/>
    <w:rsid w:val="0085082C"/>
    <w:rsid w:val="00850BF3"/>
    <w:rsid w:val="00856E93"/>
    <w:rsid w:val="008572FA"/>
    <w:rsid w:val="00864CE3"/>
    <w:rsid w:val="008656DE"/>
    <w:rsid w:val="00866CEF"/>
    <w:rsid w:val="00867BE0"/>
    <w:rsid w:val="008700B5"/>
    <w:rsid w:val="00871EA0"/>
    <w:rsid w:val="00874A0E"/>
    <w:rsid w:val="00874BF6"/>
    <w:rsid w:val="0087586E"/>
    <w:rsid w:val="00875A3E"/>
    <w:rsid w:val="00875DD6"/>
    <w:rsid w:val="0087707D"/>
    <w:rsid w:val="0088104B"/>
    <w:rsid w:val="00882934"/>
    <w:rsid w:val="00886D5D"/>
    <w:rsid w:val="00890DBF"/>
    <w:rsid w:val="00896E68"/>
    <w:rsid w:val="00896E87"/>
    <w:rsid w:val="008977D7"/>
    <w:rsid w:val="008A5558"/>
    <w:rsid w:val="008A768E"/>
    <w:rsid w:val="008B3A44"/>
    <w:rsid w:val="008B5C1D"/>
    <w:rsid w:val="008B6098"/>
    <w:rsid w:val="008B7A4C"/>
    <w:rsid w:val="008C0917"/>
    <w:rsid w:val="008C30E9"/>
    <w:rsid w:val="008C3ABE"/>
    <w:rsid w:val="008C45E0"/>
    <w:rsid w:val="008C57F7"/>
    <w:rsid w:val="008D2EF7"/>
    <w:rsid w:val="008D3530"/>
    <w:rsid w:val="008D51E5"/>
    <w:rsid w:val="008D65B9"/>
    <w:rsid w:val="008E3138"/>
    <w:rsid w:val="008E37D8"/>
    <w:rsid w:val="008F4830"/>
    <w:rsid w:val="008F4B10"/>
    <w:rsid w:val="008F5347"/>
    <w:rsid w:val="008F5FEF"/>
    <w:rsid w:val="008F782D"/>
    <w:rsid w:val="00900D98"/>
    <w:rsid w:val="00901B64"/>
    <w:rsid w:val="0090280D"/>
    <w:rsid w:val="00905574"/>
    <w:rsid w:val="00907A70"/>
    <w:rsid w:val="0091655C"/>
    <w:rsid w:val="009225E6"/>
    <w:rsid w:val="00923033"/>
    <w:rsid w:val="00925978"/>
    <w:rsid w:val="00926EEA"/>
    <w:rsid w:val="00927831"/>
    <w:rsid w:val="00931C38"/>
    <w:rsid w:val="00932A91"/>
    <w:rsid w:val="00934875"/>
    <w:rsid w:val="009351FD"/>
    <w:rsid w:val="0093634F"/>
    <w:rsid w:val="00942B60"/>
    <w:rsid w:val="00943C93"/>
    <w:rsid w:val="009448CE"/>
    <w:rsid w:val="0094554C"/>
    <w:rsid w:val="0095002B"/>
    <w:rsid w:val="00954D4E"/>
    <w:rsid w:val="00960CDF"/>
    <w:rsid w:val="00962CC2"/>
    <w:rsid w:val="00962D25"/>
    <w:rsid w:val="0096588B"/>
    <w:rsid w:val="0096725B"/>
    <w:rsid w:val="009675B1"/>
    <w:rsid w:val="009726AD"/>
    <w:rsid w:val="00972AD4"/>
    <w:rsid w:val="009804BC"/>
    <w:rsid w:val="00987360"/>
    <w:rsid w:val="00990467"/>
    <w:rsid w:val="009922AE"/>
    <w:rsid w:val="00994108"/>
    <w:rsid w:val="009944F3"/>
    <w:rsid w:val="009A15B9"/>
    <w:rsid w:val="009A2C32"/>
    <w:rsid w:val="009A30E5"/>
    <w:rsid w:val="009A50B4"/>
    <w:rsid w:val="009B52CA"/>
    <w:rsid w:val="009C1AAD"/>
    <w:rsid w:val="009C7B70"/>
    <w:rsid w:val="009D1380"/>
    <w:rsid w:val="009D1E5B"/>
    <w:rsid w:val="009D2BB4"/>
    <w:rsid w:val="009D39A1"/>
    <w:rsid w:val="009D534D"/>
    <w:rsid w:val="009D5E52"/>
    <w:rsid w:val="009D7A3D"/>
    <w:rsid w:val="009E2F95"/>
    <w:rsid w:val="009E37D1"/>
    <w:rsid w:val="009E3B34"/>
    <w:rsid w:val="009E3DE1"/>
    <w:rsid w:val="009E5ECC"/>
    <w:rsid w:val="009E6C3D"/>
    <w:rsid w:val="009E7D78"/>
    <w:rsid w:val="009E7F8E"/>
    <w:rsid w:val="009F186C"/>
    <w:rsid w:val="009F73C2"/>
    <w:rsid w:val="00A00654"/>
    <w:rsid w:val="00A006D4"/>
    <w:rsid w:val="00A050CD"/>
    <w:rsid w:val="00A078B7"/>
    <w:rsid w:val="00A07CCE"/>
    <w:rsid w:val="00A10060"/>
    <w:rsid w:val="00A11BC3"/>
    <w:rsid w:val="00A14057"/>
    <w:rsid w:val="00A15BCD"/>
    <w:rsid w:val="00A2454B"/>
    <w:rsid w:val="00A3264A"/>
    <w:rsid w:val="00A32FC9"/>
    <w:rsid w:val="00A348DA"/>
    <w:rsid w:val="00A40162"/>
    <w:rsid w:val="00A414D3"/>
    <w:rsid w:val="00A4304F"/>
    <w:rsid w:val="00A46928"/>
    <w:rsid w:val="00A5151D"/>
    <w:rsid w:val="00A537DC"/>
    <w:rsid w:val="00A54462"/>
    <w:rsid w:val="00A5671F"/>
    <w:rsid w:val="00A600E1"/>
    <w:rsid w:val="00A62234"/>
    <w:rsid w:val="00A63848"/>
    <w:rsid w:val="00A65E7B"/>
    <w:rsid w:val="00A733CD"/>
    <w:rsid w:val="00A80DAA"/>
    <w:rsid w:val="00A87AB7"/>
    <w:rsid w:val="00A90321"/>
    <w:rsid w:val="00A91D23"/>
    <w:rsid w:val="00A92110"/>
    <w:rsid w:val="00AA0038"/>
    <w:rsid w:val="00AA01FB"/>
    <w:rsid w:val="00AA2744"/>
    <w:rsid w:val="00AB050A"/>
    <w:rsid w:val="00AB3E54"/>
    <w:rsid w:val="00AB3FE6"/>
    <w:rsid w:val="00AB6E3F"/>
    <w:rsid w:val="00AC03B2"/>
    <w:rsid w:val="00AC2091"/>
    <w:rsid w:val="00AC3EC9"/>
    <w:rsid w:val="00AC4D67"/>
    <w:rsid w:val="00AD35FD"/>
    <w:rsid w:val="00AD7B87"/>
    <w:rsid w:val="00AE27D8"/>
    <w:rsid w:val="00AE4FC9"/>
    <w:rsid w:val="00AE539E"/>
    <w:rsid w:val="00AE5C3B"/>
    <w:rsid w:val="00AF5D0F"/>
    <w:rsid w:val="00AF5E2E"/>
    <w:rsid w:val="00AF6EB0"/>
    <w:rsid w:val="00B014F4"/>
    <w:rsid w:val="00B022C3"/>
    <w:rsid w:val="00B048C8"/>
    <w:rsid w:val="00B10800"/>
    <w:rsid w:val="00B11005"/>
    <w:rsid w:val="00B117F9"/>
    <w:rsid w:val="00B13077"/>
    <w:rsid w:val="00B140EC"/>
    <w:rsid w:val="00B15CC0"/>
    <w:rsid w:val="00B20268"/>
    <w:rsid w:val="00B23810"/>
    <w:rsid w:val="00B255F0"/>
    <w:rsid w:val="00B26063"/>
    <w:rsid w:val="00B36E20"/>
    <w:rsid w:val="00B41DCC"/>
    <w:rsid w:val="00B42DF3"/>
    <w:rsid w:val="00B474EC"/>
    <w:rsid w:val="00B47F79"/>
    <w:rsid w:val="00B51529"/>
    <w:rsid w:val="00B51C81"/>
    <w:rsid w:val="00B5394E"/>
    <w:rsid w:val="00B54A9D"/>
    <w:rsid w:val="00B54E04"/>
    <w:rsid w:val="00B56ACE"/>
    <w:rsid w:val="00B57677"/>
    <w:rsid w:val="00B61DCF"/>
    <w:rsid w:val="00B61E82"/>
    <w:rsid w:val="00B623EB"/>
    <w:rsid w:val="00B6514D"/>
    <w:rsid w:val="00B6718A"/>
    <w:rsid w:val="00B70D5A"/>
    <w:rsid w:val="00B73858"/>
    <w:rsid w:val="00B74D7F"/>
    <w:rsid w:val="00B7638B"/>
    <w:rsid w:val="00B8090E"/>
    <w:rsid w:val="00B818F5"/>
    <w:rsid w:val="00B81AEB"/>
    <w:rsid w:val="00B81C7C"/>
    <w:rsid w:val="00B8447E"/>
    <w:rsid w:val="00B866ED"/>
    <w:rsid w:val="00B87CB1"/>
    <w:rsid w:val="00B90889"/>
    <w:rsid w:val="00B93327"/>
    <w:rsid w:val="00B9458B"/>
    <w:rsid w:val="00B95689"/>
    <w:rsid w:val="00B9612E"/>
    <w:rsid w:val="00BA0FA5"/>
    <w:rsid w:val="00BA14A9"/>
    <w:rsid w:val="00BA6DE9"/>
    <w:rsid w:val="00BB1457"/>
    <w:rsid w:val="00BB1814"/>
    <w:rsid w:val="00BB2A47"/>
    <w:rsid w:val="00BB2B4C"/>
    <w:rsid w:val="00BB51B8"/>
    <w:rsid w:val="00BB53F2"/>
    <w:rsid w:val="00BC64C0"/>
    <w:rsid w:val="00BC7482"/>
    <w:rsid w:val="00BD023E"/>
    <w:rsid w:val="00BD48A1"/>
    <w:rsid w:val="00BD68E6"/>
    <w:rsid w:val="00BE126F"/>
    <w:rsid w:val="00BE2544"/>
    <w:rsid w:val="00BE3921"/>
    <w:rsid w:val="00BE4437"/>
    <w:rsid w:val="00BE4DD3"/>
    <w:rsid w:val="00BE618B"/>
    <w:rsid w:val="00BF19FA"/>
    <w:rsid w:val="00BF27A3"/>
    <w:rsid w:val="00BF3EED"/>
    <w:rsid w:val="00BF4D56"/>
    <w:rsid w:val="00C00A42"/>
    <w:rsid w:val="00C0332A"/>
    <w:rsid w:val="00C0462C"/>
    <w:rsid w:val="00C07F3E"/>
    <w:rsid w:val="00C12A38"/>
    <w:rsid w:val="00C20598"/>
    <w:rsid w:val="00C256A7"/>
    <w:rsid w:val="00C26DD5"/>
    <w:rsid w:val="00C3038A"/>
    <w:rsid w:val="00C30CFA"/>
    <w:rsid w:val="00C32A58"/>
    <w:rsid w:val="00C32E0A"/>
    <w:rsid w:val="00C35C95"/>
    <w:rsid w:val="00C37249"/>
    <w:rsid w:val="00C37550"/>
    <w:rsid w:val="00C37A6E"/>
    <w:rsid w:val="00C45884"/>
    <w:rsid w:val="00C46DE5"/>
    <w:rsid w:val="00C47568"/>
    <w:rsid w:val="00C51641"/>
    <w:rsid w:val="00C53BAC"/>
    <w:rsid w:val="00C55451"/>
    <w:rsid w:val="00C61C08"/>
    <w:rsid w:val="00C636E0"/>
    <w:rsid w:val="00C70FE2"/>
    <w:rsid w:val="00C7208C"/>
    <w:rsid w:val="00C818C1"/>
    <w:rsid w:val="00C851FC"/>
    <w:rsid w:val="00C87706"/>
    <w:rsid w:val="00C91CA4"/>
    <w:rsid w:val="00C921A5"/>
    <w:rsid w:val="00CA6373"/>
    <w:rsid w:val="00CA6A3A"/>
    <w:rsid w:val="00CA7B8E"/>
    <w:rsid w:val="00CB1314"/>
    <w:rsid w:val="00CB2CE7"/>
    <w:rsid w:val="00CB482F"/>
    <w:rsid w:val="00CB4A9B"/>
    <w:rsid w:val="00CB7A8A"/>
    <w:rsid w:val="00CB7D55"/>
    <w:rsid w:val="00CC313A"/>
    <w:rsid w:val="00CC66D8"/>
    <w:rsid w:val="00CC6BA8"/>
    <w:rsid w:val="00CC793E"/>
    <w:rsid w:val="00CE1036"/>
    <w:rsid w:val="00CE2CA0"/>
    <w:rsid w:val="00CE3467"/>
    <w:rsid w:val="00CE6B96"/>
    <w:rsid w:val="00CE7101"/>
    <w:rsid w:val="00CF0944"/>
    <w:rsid w:val="00CF16CD"/>
    <w:rsid w:val="00CF7650"/>
    <w:rsid w:val="00D0049E"/>
    <w:rsid w:val="00D0084A"/>
    <w:rsid w:val="00D00A93"/>
    <w:rsid w:val="00D023F9"/>
    <w:rsid w:val="00D03334"/>
    <w:rsid w:val="00D0346F"/>
    <w:rsid w:val="00D03692"/>
    <w:rsid w:val="00D036DD"/>
    <w:rsid w:val="00D07C8E"/>
    <w:rsid w:val="00D1417F"/>
    <w:rsid w:val="00D14D96"/>
    <w:rsid w:val="00D163C4"/>
    <w:rsid w:val="00D16AB1"/>
    <w:rsid w:val="00D20F0C"/>
    <w:rsid w:val="00D20FA4"/>
    <w:rsid w:val="00D27F7C"/>
    <w:rsid w:val="00D31978"/>
    <w:rsid w:val="00D3208E"/>
    <w:rsid w:val="00D337FB"/>
    <w:rsid w:val="00D376CA"/>
    <w:rsid w:val="00D42D18"/>
    <w:rsid w:val="00D43FFB"/>
    <w:rsid w:val="00D44D99"/>
    <w:rsid w:val="00D53A70"/>
    <w:rsid w:val="00D54BED"/>
    <w:rsid w:val="00D55FDC"/>
    <w:rsid w:val="00D62AEC"/>
    <w:rsid w:val="00D6620F"/>
    <w:rsid w:val="00D72CED"/>
    <w:rsid w:val="00D73387"/>
    <w:rsid w:val="00D745FF"/>
    <w:rsid w:val="00D80516"/>
    <w:rsid w:val="00D82788"/>
    <w:rsid w:val="00D861D2"/>
    <w:rsid w:val="00D923B3"/>
    <w:rsid w:val="00D933D3"/>
    <w:rsid w:val="00D950DF"/>
    <w:rsid w:val="00D952C0"/>
    <w:rsid w:val="00D95ABF"/>
    <w:rsid w:val="00D97D17"/>
    <w:rsid w:val="00DA16F8"/>
    <w:rsid w:val="00DA34DB"/>
    <w:rsid w:val="00DA4536"/>
    <w:rsid w:val="00DA6156"/>
    <w:rsid w:val="00DA6403"/>
    <w:rsid w:val="00DA78EE"/>
    <w:rsid w:val="00DB1DA5"/>
    <w:rsid w:val="00DB3380"/>
    <w:rsid w:val="00DB483C"/>
    <w:rsid w:val="00DB48B0"/>
    <w:rsid w:val="00DB5711"/>
    <w:rsid w:val="00DB7A39"/>
    <w:rsid w:val="00DC0A0A"/>
    <w:rsid w:val="00DC1A5B"/>
    <w:rsid w:val="00DC39DB"/>
    <w:rsid w:val="00DC3CCD"/>
    <w:rsid w:val="00DC5367"/>
    <w:rsid w:val="00DC78A3"/>
    <w:rsid w:val="00DD115C"/>
    <w:rsid w:val="00DD1FEE"/>
    <w:rsid w:val="00DD391E"/>
    <w:rsid w:val="00DD4BA8"/>
    <w:rsid w:val="00DD6FD0"/>
    <w:rsid w:val="00DD7700"/>
    <w:rsid w:val="00DD795F"/>
    <w:rsid w:val="00DD7F6B"/>
    <w:rsid w:val="00DF01CA"/>
    <w:rsid w:val="00DF02AB"/>
    <w:rsid w:val="00DF2902"/>
    <w:rsid w:val="00DF2E8C"/>
    <w:rsid w:val="00DF2F72"/>
    <w:rsid w:val="00E0039F"/>
    <w:rsid w:val="00E068F4"/>
    <w:rsid w:val="00E07823"/>
    <w:rsid w:val="00E1241F"/>
    <w:rsid w:val="00E140ED"/>
    <w:rsid w:val="00E148B4"/>
    <w:rsid w:val="00E1602C"/>
    <w:rsid w:val="00E3000E"/>
    <w:rsid w:val="00E30F9C"/>
    <w:rsid w:val="00E31D5C"/>
    <w:rsid w:val="00E34CF4"/>
    <w:rsid w:val="00E439FF"/>
    <w:rsid w:val="00E44D02"/>
    <w:rsid w:val="00E4524E"/>
    <w:rsid w:val="00E46A8F"/>
    <w:rsid w:val="00E46E14"/>
    <w:rsid w:val="00E54A66"/>
    <w:rsid w:val="00E54A6B"/>
    <w:rsid w:val="00E5507F"/>
    <w:rsid w:val="00E570DE"/>
    <w:rsid w:val="00E6062B"/>
    <w:rsid w:val="00E6083D"/>
    <w:rsid w:val="00E71EAB"/>
    <w:rsid w:val="00E914E4"/>
    <w:rsid w:val="00E95538"/>
    <w:rsid w:val="00EA2BCD"/>
    <w:rsid w:val="00EA39AF"/>
    <w:rsid w:val="00EA6897"/>
    <w:rsid w:val="00EA723B"/>
    <w:rsid w:val="00EB09A7"/>
    <w:rsid w:val="00EB121A"/>
    <w:rsid w:val="00EB1D0C"/>
    <w:rsid w:val="00EB53DD"/>
    <w:rsid w:val="00EB76DB"/>
    <w:rsid w:val="00EC03CF"/>
    <w:rsid w:val="00EC1278"/>
    <w:rsid w:val="00EC59AB"/>
    <w:rsid w:val="00EC75D8"/>
    <w:rsid w:val="00ED04CC"/>
    <w:rsid w:val="00ED1D1E"/>
    <w:rsid w:val="00ED6502"/>
    <w:rsid w:val="00EE0D2D"/>
    <w:rsid w:val="00EE160F"/>
    <w:rsid w:val="00EE34E7"/>
    <w:rsid w:val="00EE784F"/>
    <w:rsid w:val="00EE7B5D"/>
    <w:rsid w:val="00EF0E2B"/>
    <w:rsid w:val="00EF1783"/>
    <w:rsid w:val="00EF6A41"/>
    <w:rsid w:val="00F015A9"/>
    <w:rsid w:val="00F03544"/>
    <w:rsid w:val="00F045BC"/>
    <w:rsid w:val="00F047AD"/>
    <w:rsid w:val="00F060A9"/>
    <w:rsid w:val="00F10445"/>
    <w:rsid w:val="00F21D4F"/>
    <w:rsid w:val="00F23201"/>
    <w:rsid w:val="00F30E26"/>
    <w:rsid w:val="00F31753"/>
    <w:rsid w:val="00F349CF"/>
    <w:rsid w:val="00F34BF5"/>
    <w:rsid w:val="00F34EBC"/>
    <w:rsid w:val="00F35E07"/>
    <w:rsid w:val="00F427B0"/>
    <w:rsid w:val="00F446A4"/>
    <w:rsid w:val="00F45791"/>
    <w:rsid w:val="00F47019"/>
    <w:rsid w:val="00F47AE4"/>
    <w:rsid w:val="00F51CB6"/>
    <w:rsid w:val="00F54653"/>
    <w:rsid w:val="00F54B6C"/>
    <w:rsid w:val="00F55F08"/>
    <w:rsid w:val="00F60858"/>
    <w:rsid w:val="00F648F9"/>
    <w:rsid w:val="00F676EC"/>
    <w:rsid w:val="00F716F0"/>
    <w:rsid w:val="00F75D10"/>
    <w:rsid w:val="00F770B5"/>
    <w:rsid w:val="00F83B65"/>
    <w:rsid w:val="00F841FD"/>
    <w:rsid w:val="00F87DB6"/>
    <w:rsid w:val="00F94D07"/>
    <w:rsid w:val="00FA2217"/>
    <w:rsid w:val="00FA2FDD"/>
    <w:rsid w:val="00FA372B"/>
    <w:rsid w:val="00FB327D"/>
    <w:rsid w:val="00FB4539"/>
    <w:rsid w:val="00FB49F4"/>
    <w:rsid w:val="00FB57F0"/>
    <w:rsid w:val="00FB771B"/>
    <w:rsid w:val="00FB798F"/>
    <w:rsid w:val="00FC223F"/>
    <w:rsid w:val="00FC34E6"/>
    <w:rsid w:val="00FC5113"/>
    <w:rsid w:val="00FD0388"/>
    <w:rsid w:val="00FD0FF6"/>
    <w:rsid w:val="00FD192E"/>
    <w:rsid w:val="00FD7843"/>
    <w:rsid w:val="00FE005A"/>
    <w:rsid w:val="00FE02ED"/>
    <w:rsid w:val="00FE5D9D"/>
    <w:rsid w:val="00FE6F22"/>
    <w:rsid w:val="00FF1045"/>
    <w:rsid w:val="00FF453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F79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0388"/>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D54BED"/>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2075BB"/>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EF0E2B"/>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61EB"/>
    <w:rPr>
      <w:color w:val="0563C1" w:themeColor="hyperlink"/>
      <w:u w:val="single"/>
    </w:rPr>
  </w:style>
  <w:style w:type="table" w:styleId="TableGrid">
    <w:name w:val="Table Grid"/>
    <w:basedOn w:val="TableNormal"/>
    <w:uiPriority w:val="59"/>
    <w:rsid w:val="00FD0388"/>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D0388"/>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FD0388"/>
    <w:pPr>
      <w:spacing w:line="276" w:lineRule="auto"/>
      <w:outlineLvl w:val="9"/>
    </w:pPr>
    <w:rPr>
      <w:lang w:val="en-US" w:eastAsia="ja-JP"/>
    </w:rPr>
  </w:style>
  <w:style w:type="paragraph" w:styleId="BalloonText">
    <w:name w:val="Balloon Text"/>
    <w:basedOn w:val="Normal"/>
    <w:link w:val="BalloonTextChar"/>
    <w:uiPriority w:val="99"/>
    <w:semiHidden/>
    <w:unhideWhenUsed/>
    <w:rsid w:val="00FD03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0388"/>
    <w:rPr>
      <w:rFonts w:ascii="Tahoma" w:hAnsi="Tahoma" w:cs="Tahoma"/>
      <w:sz w:val="16"/>
      <w:szCs w:val="16"/>
    </w:rPr>
  </w:style>
  <w:style w:type="paragraph" w:styleId="TOC1">
    <w:name w:val="toc 1"/>
    <w:basedOn w:val="Normal"/>
    <w:next w:val="Normal"/>
    <w:autoRedefine/>
    <w:uiPriority w:val="39"/>
    <w:unhideWhenUsed/>
    <w:rsid w:val="008C45E0"/>
    <w:pPr>
      <w:spacing w:after="100"/>
    </w:pPr>
  </w:style>
  <w:style w:type="paragraph" w:styleId="Header">
    <w:name w:val="header"/>
    <w:basedOn w:val="Normal"/>
    <w:link w:val="HeaderChar"/>
    <w:uiPriority w:val="99"/>
    <w:unhideWhenUsed/>
    <w:rsid w:val="008C45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45E0"/>
  </w:style>
  <w:style w:type="paragraph" w:styleId="Footer">
    <w:name w:val="footer"/>
    <w:basedOn w:val="Normal"/>
    <w:link w:val="FooterChar"/>
    <w:uiPriority w:val="99"/>
    <w:unhideWhenUsed/>
    <w:rsid w:val="008C45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45E0"/>
  </w:style>
  <w:style w:type="paragraph" w:styleId="ListParagraph">
    <w:name w:val="List Paragraph"/>
    <w:basedOn w:val="Normal"/>
    <w:uiPriority w:val="34"/>
    <w:qFormat/>
    <w:rsid w:val="00622C32"/>
    <w:pPr>
      <w:ind w:left="720"/>
      <w:contextualSpacing/>
    </w:pPr>
  </w:style>
  <w:style w:type="character" w:customStyle="1" w:styleId="Heading3Char">
    <w:name w:val="Heading 3 Char"/>
    <w:basedOn w:val="DefaultParagraphFont"/>
    <w:link w:val="Heading3"/>
    <w:uiPriority w:val="9"/>
    <w:rsid w:val="002075BB"/>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rsid w:val="00EF0E2B"/>
    <w:rPr>
      <w:rFonts w:asciiTheme="majorHAnsi" w:eastAsiaTheme="majorEastAsia" w:hAnsiTheme="majorHAnsi" w:cstheme="majorBidi"/>
      <w:b/>
      <w:bCs/>
      <w:i/>
      <w:iCs/>
      <w:color w:val="5B9BD5" w:themeColor="accent1"/>
    </w:rPr>
  </w:style>
  <w:style w:type="table" w:styleId="MediumShading2-Accent3">
    <w:name w:val="Medium Shading 2 Accent 3"/>
    <w:basedOn w:val="TableNormal"/>
    <w:uiPriority w:val="64"/>
    <w:rsid w:val="00417405"/>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B818F5"/>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Strong">
    <w:name w:val="Strong"/>
    <w:basedOn w:val="DefaultParagraphFont"/>
    <w:uiPriority w:val="22"/>
    <w:qFormat/>
    <w:rsid w:val="00B818F5"/>
    <w:rPr>
      <w:b/>
      <w:bCs/>
    </w:rPr>
  </w:style>
  <w:style w:type="character" w:styleId="Emphasis">
    <w:name w:val="Emphasis"/>
    <w:basedOn w:val="DefaultParagraphFont"/>
    <w:uiPriority w:val="20"/>
    <w:qFormat/>
    <w:rsid w:val="00A4304F"/>
    <w:rPr>
      <w:i/>
      <w:iCs/>
    </w:rPr>
  </w:style>
  <w:style w:type="table" w:styleId="LightShading-Accent3">
    <w:name w:val="Light Shading Accent 3"/>
    <w:basedOn w:val="TableNormal"/>
    <w:uiPriority w:val="60"/>
    <w:rsid w:val="00A4304F"/>
    <w:pPr>
      <w:spacing w:after="0"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paragraph" w:styleId="NormalWeb">
    <w:name w:val="Normal (Web)"/>
    <w:basedOn w:val="Normal"/>
    <w:uiPriority w:val="99"/>
    <w:unhideWhenUsed/>
    <w:rsid w:val="00E54A66"/>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NoSpacing">
    <w:name w:val="No Spacing"/>
    <w:uiPriority w:val="1"/>
    <w:qFormat/>
    <w:rsid w:val="00385E67"/>
    <w:pPr>
      <w:spacing w:after="0" w:line="240" w:lineRule="auto"/>
    </w:pPr>
  </w:style>
  <w:style w:type="character" w:styleId="FollowedHyperlink">
    <w:name w:val="FollowedHyperlink"/>
    <w:basedOn w:val="DefaultParagraphFont"/>
    <w:uiPriority w:val="99"/>
    <w:semiHidden/>
    <w:unhideWhenUsed/>
    <w:rsid w:val="0034272E"/>
    <w:rPr>
      <w:color w:val="954F72" w:themeColor="followedHyperlink"/>
      <w:u w:val="single"/>
    </w:rPr>
  </w:style>
  <w:style w:type="character" w:customStyle="1" w:styleId="Heading2Char">
    <w:name w:val="Heading 2 Char"/>
    <w:basedOn w:val="DefaultParagraphFont"/>
    <w:link w:val="Heading2"/>
    <w:uiPriority w:val="9"/>
    <w:rsid w:val="00D54BED"/>
    <w:rPr>
      <w:rFonts w:asciiTheme="majorHAnsi" w:eastAsiaTheme="majorEastAsia" w:hAnsiTheme="majorHAnsi" w:cstheme="majorBidi"/>
      <w:b/>
      <w:bCs/>
      <w:color w:val="5B9BD5" w:themeColor="accent1"/>
      <w:sz w:val="26"/>
      <w:szCs w:val="26"/>
    </w:rPr>
  </w:style>
  <w:style w:type="paragraph" w:styleId="TOC2">
    <w:name w:val="toc 2"/>
    <w:basedOn w:val="Normal"/>
    <w:next w:val="Normal"/>
    <w:autoRedefine/>
    <w:uiPriority w:val="39"/>
    <w:unhideWhenUsed/>
    <w:rsid w:val="00712F8D"/>
    <w:pPr>
      <w:spacing w:after="100"/>
      <w:ind w:left="220"/>
    </w:pPr>
  </w:style>
  <w:style w:type="paragraph" w:styleId="TOC3">
    <w:name w:val="toc 3"/>
    <w:basedOn w:val="Normal"/>
    <w:next w:val="Normal"/>
    <w:autoRedefine/>
    <w:uiPriority w:val="39"/>
    <w:unhideWhenUsed/>
    <w:rsid w:val="001875CD"/>
    <w:pPr>
      <w:spacing w:after="100"/>
      <w:ind w:left="440"/>
    </w:pPr>
  </w:style>
  <w:style w:type="paragraph" w:styleId="Caption">
    <w:name w:val="caption"/>
    <w:basedOn w:val="Normal"/>
    <w:next w:val="Normal"/>
    <w:uiPriority w:val="35"/>
    <w:unhideWhenUsed/>
    <w:qFormat/>
    <w:rsid w:val="005229A8"/>
    <w:pPr>
      <w:spacing w:after="200" w:line="240" w:lineRule="auto"/>
    </w:pPr>
    <w:rPr>
      <w:b/>
      <w:bCs/>
      <w:color w:val="5B9BD5" w:themeColor="accent1"/>
      <w:sz w:val="18"/>
      <w:szCs w:val="18"/>
    </w:rPr>
  </w:style>
  <w:style w:type="paragraph" w:styleId="TableofFigures">
    <w:name w:val="table of figures"/>
    <w:basedOn w:val="Normal"/>
    <w:next w:val="Normal"/>
    <w:uiPriority w:val="99"/>
    <w:unhideWhenUsed/>
    <w:rsid w:val="009922AE"/>
    <w:pPr>
      <w:spacing w:after="0"/>
    </w:pPr>
  </w:style>
  <w:style w:type="table" w:styleId="MediumShading1-Accent6">
    <w:name w:val="Medium Shading 1 Accent 6"/>
    <w:basedOn w:val="TableNormal"/>
    <w:uiPriority w:val="63"/>
    <w:rsid w:val="000D50D9"/>
    <w:pPr>
      <w:spacing w:after="0"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character" w:styleId="PlaceholderText">
    <w:name w:val="Placeholder Text"/>
    <w:basedOn w:val="DefaultParagraphFont"/>
    <w:uiPriority w:val="99"/>
    <w:semiHidden/>
    <w:rsid w:val="0096725B"/>
    <w:rPr>
      <w:color w:val="808080"/>
    </w:rPr>
  </w:style>
  <w:style w:type="paragraph" w:customStyle="1" w:styleId="ds-markdown-paragraph">
    <w:name w:val="ds-markdown-paragraph"/>
    <w:basedOn w:val="Normal"/>
    <w:rsid w:val="00697DA1"/>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CommentText">
    <w:name w:val="annotation text"/>
    <w:basedOn w:val="Normal"/>
    <w:link w:val="CommentTextChar"/>
    <w:unhideWhenUsed/>
    <w:rsid w:val="002C29F5"/>
    <w:pPr>
      <w:spacing w:after="0" w:line="240" w:lineRule="auto"/>
    </w:pPr>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rsid w:val="002C29F5"/>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792012">
      <w:bodyDiv w:val="1"/>
      <w:marLeft w:val="0"/>
      <w:marRight w:val="0"/>
      <w:marTop w:val="0"/>
      <w:marBottom w:val="0"/>
      <w:divBdr>
        <w:top w:val="none" w:sz="0" w:space="0" w:color="auto"/>
        <w:left w:val="none" w:sz="0" w:space="0" w:color="auto"/>
        <w:bottom w:val="none" w:sz="0" w:space="0" w:color="auto"/>
        <w:right w:val="none" w:sz="0" w:space="0" w:color="auto"/>
      </w:divBdr>
    </w:div>
    <w:div w:id="59523654">
      <w:bodyDiv w:val="1"/>
      <w:marLeft w:val="0"/>
      <w:marRight w:val="0"/>
      <w:marTop w:val="0"/>
      <w:marBottom w:val="0"/>
      <w:divBdr>
        <w:top w:val="none" w:sz="0" w:space="0" w:color="auto"/>
        <w:left w:val="none" w:sz="0" w:space="0" w:color="auto"/>
        <w:bottom w:val="none" w:sz="0" w:space="0" w:color="auto"/>
        <w:right w:val="none" w:sz="0" w:space="0" w:color="auto"/>
      </w:divBdr>
    </w:div>
    <w:div w:id="90318221">
      <w:bodyDiv w:val="1"/>
      <w:marLeft w:val="0"/>
      <w:marRight w:val="0"/>
      <w:marTop w:val="0"/>
      <w:marBottom w:val="0"/>
      <w:divBdr>
        <w:top w:val="none" w:sz="0" w:space="0" w:color="auto"/>
        <w:left w:val="none" w:sz="0" w:space="0" w:color="auto"/>
        <w:bottom w:val="none" w:sz="0" w:space="0" w:color="auto"/>
        <w:right w:val="none" w:sz="0" w:space="0" w:color="auto"/>
      </w:divBdr>
    </w:div>
    <w:div w:id="98380608">
      <w:bodyDiv w:val="1"/>
      <w:marLeft w:val="0"/>
      <w:marRight w:val="0"/>
      <w:marTop w:val="0"/>
      <w:marBottom w:val="0"/>
      <w:divBdr>
        <w:top w:val="none" w:sz="0" w:space="0" w:color="auto"/>
        <w:left w:val="none" w:sz="0" w:space="0" w:color="auto"/>
        <w:bottom w:val="none" w:sz="0" w:space="0" w:color="auto"/>
        <w:right w:val="none" w:sz="0" w:space="0" w:color="auto"/>
      </w:divBdr>
    </w:div>
    <w:div w:id="111822946">
      <w:bodyDiv w:val="1"/>
      <w:marLeft w:val="0"/>
      <w:marRight w:val="0"/>
      <w:marTop w:val="0"/>
      <w:marBottom w:val="0"/>
      <w:divBdr>
        <w:top w:val="none" w:sz="0" w:space="0" w:color="auto"/>
        <w:left w:val="none" w:sz="0" w:space="0" w:color="auto"/>
        <w:bottom w:val="none" w:sz="0" w:space="0" w:color="auto"/>
        <w:right w:val="none" w:sz="0" w:space="0" w:color="auto"/>
      </w:divBdr>
    </w:div>
    <w:div w:id="214515268">
      <w:bodyDiv w:val="1"/>
      <w:marLeft w:val="0"/>
      <w:marRight w:val="0"/>
      <w:marTop w:val="0"/>
      <w:marBottom w:val="0"/>
      <w:divBdr>
        <w:top w:val="none" w:sz="0" w:space="0" w:color="auto"/>
        <w:left w:val="none" w:sz="0" w:space="0" w:color="auto"/>
        <w:bottom w:val="none" w:sz="0" w:space="0" w:color="auto"/>
        <w:right w:val="none" w:sz="0" w:space="0" w:color="auto"/>
      </w:divBdr>
    </w:div>
    <w:div w:id="302925965">
      <w:bodyDiv w:val="1"/>
      <w:marLeft w:val="0"/>
      <w:marRight w:val="0"/>
      <w:marTop w:val="0"/>
      <w:marBottom w:val="0"/>
      <w:divBdr>
        <w:top w:val="none" w:sz="0" w:space="0" w:color="auto"/>
        <w:left w:val="none" w:sz="0" w:space="0" w:color="auto"/>
        <w:bottom w:val="none" w:sz="0" w:space="0" w:color="auto"/>
        <w:right w:val="none" w:sz="0" w:space="0" w:color="auto"/>
      </w:divBdr>
    </w:div>
    <w:div w:id="306085863">
      <w:bodyDiv w:val="1"/>
      <w:marLeft w:val="0"/>
      <w:marRight w:val="0"/>
      <w:marTop w:val="0"/>
      <w:marBottom w:val="0"/>
      <w:divBdr>
        <w:top w:val="none" w:sz="0" w:space="0" w:color="auto"/>
        <w:left w:val="none" w:sz="0" w:space="0" w:color="auto"/>
        <w:bottom w:val="none" w:sz="0" w:space="0" w:color="auto"/>
        <w:right w:val="none" w:sz="0" w:space="0" w:color="auto"/>
      </w:divBdr>
    </w:div>
    <w:div w:id="311566375">
      <w:bodyDiv w:val="1"/>
      <w:marLeft w:val="0"/>
      <w:marRight w:val="0"/>
      <w:marTop w:val="0"/>
      <w:marBottom w:val="0"/>
      <w:divBdr>
        <w:top w:val="none" w:sz="0" w:space="0" w:color="auto"/>
        <w:left w:val="none" w:sz="0" w:space="0" w:color="auto"/>
        <w:bottom w:val="none" w:sz="0" w:space="0" w:color="auto"/>
        <w:right w:val="none" w:sz="0" w:space="0" w:color="auto"/>
      </w:divBdr>
    </w:div>
    <w:div w:id="313408992">
      <w:bodyDiv w:val="1"/>
      <w:marLeft w:val="0"/>
      <w:marRight w:val="0"/>
      <w:marTop w:val="0"/>
      <w:marBottom w:val="0"/>
      <w:divBdr>
        <w:top w:val="none" w:sz="0" w:space="0" w:color="auto"/>
        <w:left w:val="none" w:sz="0" w:space="0" w:color="auto"/>
        <w:bottom w:val="none" w:sz="0" w:space="0" w:color="auto"/>
        <w:right w:val="none" w:sz="0" w:space="0" w:color="auto"/>
      </w:divBdr>
    </w:div>
    <w:div w:id="340402135">
      <w:bodyDiv w:val="1"/>
      <w:marLeft w:val="0"/>
      <w:marRight w:val="0"/>
      <w:marTop w:val="0"/>
      <w:marBottom w:val="0"/>
      <w:divBdr>
        <w:top w:val="none" w:sz="0" w:space="0" w:color="auto"/>
        <w:left w:val="none" w:sz="0" w:space="0" w:color="auto"/>
        <w:bottom w:val="none" w:sz="0" w:space="0" w:color="auto"/>
        <w:right w:val="none" w:sz="0" w:space="0" w:color="auto"/>
      </w:divBdr>
    </w:div>
    <w:div w:id="347877120">
      <w:bodyDiv w:val="1"/>
      <w:marLeft w:val="0"/>
      <w:marRight w:val="0"/>
      <w:marTop w:val="0"/>
      <w:marBottom w:val="0"/>
      <w:divBdr>
        <w:top w:val="none" w:sz="0" w:space="0" w:color="auto"/>
        <w:left w:val="none" w:sz="0" w:space="0" w:color="auto"/>
        <w:bottom w:val="none" w:sz="0" w:space="0" w:color="auto"/>
        <w:right w:val="none" w:sz="0" w:space="0" w:color="auto"/>
      </w:divBdr>
    </w:div>
    <w:div w:id="370805813">
      <w:bodyDiv w:val="1"/>
      <w:marLeft w:val="0"/>
      <w:marRight w:val="0"/>
      <w:marTop w:val="0"/>
      <w:marBottom w:val="0"/>
      <w:divBdr>
        <w:top w:val="none" w:sz="0" w:space="0" w:color="auto"/>
        <w:left w:val="none" w:sz="0" w:space="0" w:color="auto"/>
        <w:bottom w:val="none" w:sz="0" w:space="0" w:color="auto"/>
        <w:right w:val="none" w:sz="0" w:space="0" w:color="auto"/>
      </w:divBdr>
      <w:divsChild>
        <w:div w:id="351033574">
          <w:marLeft w:val="0"/>
          <w:marRight w:val="0"/>
          <w:marTop w:val="0"/>
          <w:marBottom w:val="0"/>
          <w:divBdr>
            <w:top w:val="none" w:sz="0" w:space="0" w:color="auto"/>
            <w:left w:val="none" w:sz="0" w:space="0" w:color="auto"/>
            <w:bottom w:val="none" w:sz="0" w:space="0" w:color="auto"/>
            <w:right w:val="none" w:sz="0" w:space="0" w:color="auto"/>
          </w:divBdr>
        </w:div>
      </w:divsChild>
    </w:div>
    <w:div w:id="381247111">
      <w:bodyDiv w:val="1"/>
      <w:marLeft w:val="0"/>
      <w:marRight w:val="0"/>
      <w:marTop w:val="0"/>
      <w:marBottom w:val="0"/>
      <w:divBdr>
        <w:top w:val="none" w:sz="0" w:space="0" w:color="auto"/>
        <w:left w:val="none" w:sz="0" w:space="0" w:color="auto"/>
        <w:bottom w:val="none" w:sz="0" w:space="0" w:color="auto"/>
        <w:right w:val="none" w:sz="0" w:space="0" w:color="auto"/>
      </w:divBdr>
    </w:div>
    <w:div w:id="403263154">
      <w:bodyDiv w:val="1"/>
      <w:marLeft w:val="0"/>
      <w:marRight w:val="0"/>
      <w:marTop w:val="0"/>
      <w:marBottom w:val="0"/>
      <w:divBdr>
        <w:top w:val="none" w:sz="0" w:space="0" w:color="auto"/>
        <w:left w:val="none" w:sz="0" w:space="0" w:color="auto"/>
        <w:bottom w:val="none" w:sz="0" w:space="0" w:color="auto"/>
        <w:right w:val="none" w:sz="0" w:space="0" w:color="auto"/>
      </w:divBdr>
    </w:div>
    <w:div w:id="414670462">
      <w:bodyDiv w:val="1"/>
      <w:marLeft w:val="0"/>
      <w:marRight w:val="0"/>
      <w:marTop w:val="0"/>
      <w:marBottom w:val="0"/>
      <w:divBdr>
        <w:top w:val="none" w:sz="0" w:space="0" w:color="auto"/>
        <w:left w:val="none" w:sz="0" w:space="0" w:color="auto"/>
        <w:bottom w:val="none" w:sz="0" w:space="0" w:color="auto"/>
        <w:right w:val="none" w:sz="0" w:space="0" w:color="auto"/>
      </w:divBdr>
    </w:div>
    <w:div w:id="415060301">
      <w:bodyDiv w:val="1"/>
      <w:marLeft w:val="0"/>
      <w:marRight w:val="0"/>
      <w:marTop w:val="0"/>
      <w:marBottom w:val="0"/>
      <w:divBdr>
        <w:top w:val="none" w:sz="0" w:space="0" w:color="auto"/>
        <w:left w:val="none" w:sz="0" w:space="0" w:color="auto"/>
        <w:bottom w:val="none" w:sz="0" w:space="0" w:color="auto"/>
        <w:right w:val="none" w:sz="0" w:space="0" w:color="auto"/>
      </w:divBdr>
    </w:div>
    <w:div w:id="429201924">
      <w:bodyDiv w:val="1"/>
      <w:marLeft w:val="0"/>
      <w:marRight w:val="0"/>
      <w:marTop w:val="0"/>
      <w:marBottom w:val="0"/>
      <w:divBdr>
        <w:top w:val="none" w:sz="0" w:space="0" w:color="auto"/>
        <w:left w:val="none" w:sz="0" w:space="0" w:color="auto"/>
        <w:bottom w:val="none" w:sz="0" w:space="0" w:color="auto"/>
        <w:right w:val="none" w:sz="0" w:space="0" w:color="auto"/>
      </w:divBdr>
    </w:div>
    <w:div w:id="435100370">
      <w:bodyDiv w:val="1"/>
      <w:marLeft w:val="0"/>
      <w:marRight w:val="0"/>
      <w:marTop w:val="0"/>
      <w:marBottom w:val="0"/>
      <w:divBdr>
        <w:top w:val="none" w:sz="0" w:space="0" w:color="auto"/>
        <w:left w:val="none" w:sz="0" w:space="0" w:color="auto"/>
        <w:bottom w:val="none" w:sz="0" w:space="0" w:color="auto"/>
        <w:right w:val="none" w:sz="0" w:space="0" w:color="auto"/>
      </w:divBdr>
    </w:div>
    <w:div w:id="458451906">
      <w:bodyDiv w:val="1"/>
      <w:marLeft w:val="0"/>
      <w:marRight w:val="0"/>
      <w:marTop w:val="0"/>
      <w:marBottom w:val="0"/>
      <w:divBdr>
        <w:top w:val="none" w:sz="0" w:space="0" w:color="auto"/>
        <w:left w:val="none" w:sz="0" w:space="0" w:color="auto"/>
        <w:bottom w:val="none" w:sz="0" w:space="0" w:color="auto"/>
        <w:right w:val="none" w:sz="0" w:space="0" w:color="auto"/>
      </w:divBdr>
    </w:div>
    <w:div w:id="478309294">
      <w:bodyDiv w:val="1"/>
      <w:marLeft w:val="0"/>
      <w:marRight w:val="0"/>
      <w:marTop w:val="0"/>
      <w:marBottom w:val="0"/>
      <w:divBdr>
        <w:top w:val="none" w:sz="0" w:space="0" w:color="auto"/>
        <w:left w:val="none" w:sz="0" w:space="0" w:color="auto"/>
        <w:bottom w:val="none" w:sz="0" w:space="0" w:color="auto"/>
        <w:right w:val="none" w:sz="0" w:space="0" w:color="auto"/>
      </w:divBdr>
    </w:div>
    <w:div w:id="480732523">
      <w:bodyDiv w:val="1"/>
      <w:marLeft w:val="0"/>
      <w:marRight w:val="0"/>
      <w:marTop w:val="0"/>
      <w:marBottom w:val="0"/>
      <w:divBdr>
        <w:top w:val="none" w:sz="0" w:space="0" w:color="auto"/>
        <w:left w:val="none" w:sz="0" w:space="0" w:color="auto"/>
        <w:bottom w:val="none" w:sz="0" w:space="0" w:color="auto"/>
        <w:right w:val="none" w:sz="0" w:space="0" w:color="auto"/>
      </w:divBdr>
    </w:div>
    <w:div w:id="508060868">
      <w:bodyDiv w:val="1"/>
      <w:marLeft w:val="0"/>
      <w:marRight w:val="0"/>
      <w:marTop w:val="0"/>
      <w:marBottom w:val="0"/>
      <w:divBdr>
        <w:top w:val="none" w:sz="0" w:space="0" w:color="auto"/>
        <w:left w:val="none" w:sz="0" w:space="0" w:color="auto"/>
        <w:bottom w:val="none" w:sz="0" w:space="0" w:color="auto"/>
        <w:right w:val="none" w:sz="0" w:space="0" w:color="auto"/>
      </w:divBdr>
    </w:div>
    <w:div w:id="509805350">
      <w:bodyDiv w:val="1"/>
      <w:marLeft w:val="0"/>
      <w:marRight w:val="0"/>
      <w:marTop w:val="0"/>
      <w:marBottom w:val="0"/>
      <w:divBdr>
        <w:top w:val="none" w:sz="0" w:space="0" w:color="auto"/>
        <w:left w:val="none" w:sz="0" w:space="0" w:color="auto"/>
        <w:bottom w:val="none" w:sz="0" w:space="0" w:color="auto"/>
        <w:right w:val="none" w:sz="0" w:space="0" w:color="auto"/>
      </w:divBdr>
    </w:div>
    <w:div w:id="533151557">
      <w:bodyDiv w:val="1"/>
      <w:marLeft w:val="0"/>
      <w:marRight w:val="0"/>
      <w:marTop w:val="0"/>
      <w:marBottom w:val="0"/>
      <w:divBdr>
        <w:top w:val="none" w:sz="0" w:space="0" w:color="auto"/>
        <w:left w:val="none" w:sz="0" w:space="0" w:color="auto"/>
        <w:bottom w:val="none" w:sz="0" w:space="0" w:color="auto"/>
        <w:right w:val="none" w:sz="0" w:space="0" w:color="auto"/>
      </w:divBdr>
    </w:div>
    <w:div w:id="539165870">
      <w:bodyDiv w:val="1"/>
      <w:marLeft w:val="0"/>
      <w:marRight w:val="0"/>
      <w:marTop w:val="0"/>
      <w:marBottom w:val="0"/>
      <w:divBdr>
        <w:top w:val="none" w:sz="0" w:space="0" w:color="auto"/>
        <w:left w:val="none" w:sz="0" w:space="0" w:color="auto"/>
        <w:bottom w:val="none" w:sz="0" w:space="0" w:color="auto"/>
        <w:right w:val="none" w:sz="0" w:space="0" w:color="auto"/>
      </w:divBdr>
    </w:div>
    <w:div w:id="539364430">
      <w:bodyDiv w:val="1"/>
      <w:marLeft w:val="0"/>
      <w:marRight w:val="0"/>
      <w:marTop w:val="0"/>
      <w:marBottom w:val="0"/>
      <w:divBdr>
        <w:top w:val="none" w:sz="0" w:space="0" w:color="auto"/>
        <w:left w:val="none" w:sz="0" w:space="0" w:color="auto"/>
        <w:bottom w:val="none" w:sz="0" w:space="0" w:color="auto"/>
        <w:right w:val="none" w:sz="0" w:space="0" w:color="auto"/>
      </w:divBdr>
    </w:div>
    <w:div w:id="569968011">
      <w:bodyDiv w:val="1"/>
      <w:marLeft w:val="0"/>
      <w:marRight w:val="0"/>
      <w:marTop w:val="0"/>
      <w:marBottom w:val="0"/>
      <w:divBdr>
        <w:top w:val="none" w:sz="0" w:space="0" w:color="auto"/>
        <w:left w:val="none" w:sz="0" w:space="0" w:color="auto"/>
        <w:bottom w:val="none" w:sz="0" w:space="0" w:color="auto"/>
        <w:right w:val="none" w:sz="0" w:space="0" w:color="auto"/>
      </w:divBdr>
    </w:div>
    <w:div w:id="573466461">
      <w:bodyDiv w:val="1"/>
      <w:marLeft w:val="0"/>
      <w:marRight w:val="0"/>
      <w:marTop w:val="0"/>
      <w:marBottom w:val="0"/>
      <w:divBdr>
        <w:top w:val="none" w:sz="0" w:space="0" w:color="auto"/>
        <w:left w:val="none" w:sz="0" w:space="0" w:color="auto"/>
        <w:bottom w:val="none" w:sz="0" w:space="0" w:color="auto"/>
        <w:right w:val="none" w:sz="0" w:space="0" w:color="auto"/>
      </w:divBdr>
    </w:div>
    <w:div w:id="595096465">
      <w:bodyDiv w:val="1"/>
      <w:marLeft w:val="0"/>
      <w:marRight w:val="0"/>
      <w:marTop w:val="0"/>
      <w:marBottom w:val="0"/>
      <w:divBdr>
        <w:top w:val="none" w:sz="0" w:space="0" w:color="auto"/>
        <w:left w:val="none" w:sz="0" w:space="0" w:color="auto"/>
        <w:bottom w:val="none" w:sz="0" w:space="0" w:color="auto"/>
        <w:right w:val="none" w:sz="0" w:space="0" w:color="auto"/>
      </w:divBdr>
    </w:div>
    <w:div w:id="612176120">
      <w:bodyDiv w:val="1"/>
      <w:marLeft w:val="0"/>
      <w:marRight w:val="0"/>
      <w:marTop w:val="0"/>
      <w:marBottom w:val="0"/>
      <w:divBdr>
        <w:top w:val="none" w:sz="0" w:space="0" w:color="auto"/>
        <w:left w:val="none" w:sz="0" w:space="0" w:color="auto"/>
        <w:bottom w:val="none" w:sz="0" w:space="0" w:color="auto"/>
        <w:right w:val="none" w:sz="0" w:space="0" w:color="auto"/>
      </w:divBdr>
    </w:div>
    <w:div w:id="624039472">
      <w:bodyDiv w:val="1"/>
      <w:marLeft w:val="0"/>
      <w:marRight w:val="0"/>
      <w:marTop w:val="0"/>
      <w:marBottom w:val="0"/>
      <w:divBdr>
        <w:top w:val="none" w:sz="0" w:space="0" w:color="auto"/>
        <w:left w:val="none" w:sz="0" w:space="0" w:color="auto"/>
        <w:bottom w:val="none" w:sz="0" w:space="0" w:color="auto"/>
        <w:right w:val="none" w:sz="0" w:space="0" w:color="auto"/>
      </w:divBdr>
    </w:div>
    <w:div w:id="633680027">
      <w:bodyDiv w:val="1"/>
      <w:marLeft w:val="0"/>
      <w:marRight w:val="0"/>
      <w:marTop w:val="0"/>
      <w:marBottom w:val="0"/>
      <w:divBdr>
        <w:top w:val="none" w:sz="0" w:space="0" w:color="auto"/>
        <w:left w:val="none" w:sz="0" w:space="0" w:color="auto"/>
        <w:bottom w:val="none" w:sz="0" w:space="0" w:color="auto"/>
        <w:right w:val="none" w:sz="0" w:space="0" w:color="auto"/>
      </w:divBdr>
    </w:div>
    <w:div w:id="659768673">
      <w:bodyDiv w:val="1"/>
      <w:marLeft w:val="0"/>
      <w:marRight w:val="0"/>
      <w:marTop w:val="0"/>
      <w:marBottom w:val="0"/>
      <w:divBdr>
        <w:top w:val="none" w:sz="0" w:space="0" w:color="auto"/>
        <w:left w:val="none" w:sz="0" w:space="0" w:color="auto"/>
        <w:bottom w:val="none" w:sz="0" w:space="0" w:color="auto"/>
        <w:right w:val="none" w:sz="0" w:space="0" w:color="auto"/>
      </w:divBdr>
    </w:div>
    <w:div w:id="673067162">
      <w:bodyDiv w:val="1"/>
      <w:marLeft w:val="0"/>
      <w:marRight w:val="0"/>
      <w:marTop w:val="0"/>
      <w:marBottom w:val="0"/>
      <w:divBdr>
        <w:top w:val="none" w:sz="0" w:space="0" w:color="auto"/>
        <w:left w:val="none" w:sz="0" w:space="0" w:color="auto"/>
        <w:bottom w:val="none" w:sz="0" w:space="0" w:color="auto"/>
        <w:right w:val="none" w:sz="0" w:space="0" w:color="auto"/>
      </w:divBdr>
    </w:div>
    <w:div w:id="690037121">
      <w:bodyDiv w:val="1"/>
      <w:marLeft w:val="0"/>
      <w:marRight w:val="0"/>
      <w:marTop w:val="0"/>
      <w:marBottom w:val="0"/>
      <w:divBdr>
        <w:top w:val="none" w:sz="0" w:space="0" w:color="auto"/>
        <w:left w:val="none" w:sz="0" w:space="0" w:color="auto"/>
        <w:bottom w:val="none" w:sz="0" w:space="0" w:color="auto"/>
        <w:right w:val="none" w:sz="0" w:space="0" w:color="auto"/>
      </w:divBdr>
      <w:divsChild>
        <w:div w:id="1684743548">
          <w:marLeft w:val="300"/>
          <w:marRight w:val="0"/>
          <w:marTop w:val="0"/>
          <w:marBottom w:val="300"/>
          <w:divBdr>
            <w:top w:val="none" w:sz="0" w:space="0" w:color="auto"/>
            <w:left w:val="none" w:sz="0" w:space="0" w:color="auto"/>
            <w:bottom w:val="none" w:sz="0" w:space="0" w:color="auto"/>
            <w:right w:val="none" w:sz="0" w:space="0" w:color="auto"/>
          </w:divBdr>
        </w:div>
      </w:divsChild>
    </w:div>
    <w:div w:id="692389133">
      <w:bodyDiv w:val="1"/>
      <w:marLeft w:val="0"/>
      <w:marRight w:val="0"/>
      <w:marTop w:val="0"/>
      <w:marBottom w:val="0"/>
      <w:divBdr>
        <w:top w:val="none" w:sz="0" w:space="0" w:color="auto"/>
        <w:left w:val="none" w:sz="0" w:space="0" w:color="auto"/>
        <w:bottom w:val="none" w:sz="0" w:space="0" w:color="auto"/>
        <w:right w:val="none" w:sz="0" w:space="0" w:color="auto"/>
      </w:divBdr>
    </w:div>
    <w:div w:id="706762954">
      <w:bodyDiv w:val="1"/>
      <w:marLeft w:val="0"/>
      <w:marRight w:val="0"/>
      <w:marTop w:val="0"/>
      <w:marBottom w:val="0"/>
      <w:divBdr>
        <w:top w:val="none" w:sz="0" w:space="0" w:color="auto"/>
        <w:left w:val="none" w:sz="0" w:space="0" w:color="auto"/>
        <w:bottom w:val="none" w:sz="0" w:space="0" w:color="auto"/>
        <w:right w:val="none" w:sz="0" w:space="0" w:color="auto"/>
      </w:divBdr>
    </w:div>
    <w:div w:id="725841722">
      <w:bodyDiv w:val="1"/>
      <w:marLeft w:val="0"/>
      <w:marRight w:val="0"/>
      <w:marTop w:val="0"/>
      <w:marBottom w:val="0"/>
      <w:divBdr>
        <w:top w:val="none" w:sz="0" w:space="0" w:color="auto"/>
        <w:left w:val="none" w:sz="0" w:space="0" w:color="auto"/>
        <w:bottom w:val="none" w:sz="0" w:space="0" w:color="auto"/>
        <w:right w:val="none" w:sz="0" w:space="0" w:color="auto"/>
      </w:divBdr>
    </w:div>
    <w:div w:id="729622213">
      <w:bodyDiv w:val="1"/>
      <w:marLeft w:val="0"/>
      <w:marRight w:val="0"/>
      <w:marTop w:val="0"/>
      <w:marBottom w:val="0"/>
      <w:divBdr>
        <w:top w:val="none" w:sz="0" w:space="0" w:color="auto"/>
        <w:left w:val="none" w:sz="0" w:space="0" w:color="auto"/>
        <w:bottom w:val="none" w:sz="0" w:space="0" w:color="auto"/>
        <w:right w:val="none" w:sz="0" w:space="0" w:color="auto"/>
      </w:divBdr>
    </w:div>
    <w:div w:id="744109784">
      <w:bodyDiv w:val="1"/>
      <w:marLeft w:val="0"/>
      <w:marRight w:val="0"/>
      <w:marTop w:val="0"/>
      <w:marBottom w:val="0"/>
      <w:divBdr>
        <w:top w:val="none" w:sz="0" w:space="0" w:color="auto"/>
        <w:left w:val="none" w:sz="0" w:space="0" w:color="auto"/>
        <w:bottom w:val="none" w:sz="0" w:space="0" w:color="auto"/>
        <w:right w:val="none" w:sz="0" w:space="0" w:color="auto"/>
      </w:divBdr>
    </w:div>
    <w:div w:id="746419353">
      <w:bodyDiv w:val="1"/>
      <w:marLeft w:val="0"/>
      <w:marRight w:val="0"/>
      <w:marTop w:val="0"/>
      <w:marBottom w:val="0"/>
      <w:divBdr>
        <w:top w:val="none" w:sz="0" w:space="0" w:color="auto"/>
        <w:left w:val="none" w:sz="0" w:space="0" w:color="auto"/>
        <w:bottom w:val="none" w:sz="0" w:space="0" w:color="auto"/>
        <w:right w:val="none" w:sz="0" w:space="0" w:color="auto"/>
      </w:divBdr>
    </w:div>
    <w:div w:id="749809331">
      <w:bodyDiv w:val="1"/>
      <w:marLeft w:val="0"/>
      <w:marRight w:val="0"/>
      <w:marTop w:val="0"/>
      <w:marBottom w:val="0"/>
      <w:divBdr>
        <w:top w:val="none" w:sz="0" w:space="0" w:color="auto"/>
        <w:left w:val="none" w:sz="0" w:space="0" w:color="auto"/>
        <w:bottom w:val="none" w:sz="0" w:space="0" w:color="auto"/>
        <w:right w:val="none" w:sz="0" w:space="0" w:color="auto"/>
      </w:divBdr>
    </w:div>
    <w:div w:id="801920708">
      <w:bodyDiv w:val="1"/>
      <w:marLeft w:val="0"/>
      <w:marRight w:val="0"/>
      <w:marTop w:val="0"/>
      <w:marBottom w:val="0"/>
      <w:divBdr>
        <w:top w:val="none" w:sz="0" w:space="0" w:color="auto"/>
        <w:left w:val="none" w:sz="0" w:space="0" w:color="auto"/>
        <w:bottom w:val="none" w:sz="0" w:space="0" w:color="auto"/>
        <w:right w:val="none" w:sz="0" w:space="0" w:color="auto"/>
      </w:divBdr>
    </w:div>
    <w:div w:id="803889110">
      <w:bodyDiv w:val="1"/>
      <w:marLeft w:val="0"/>
      <w:marRight w:val="0"/>
      <w:marTop w:val="0"/>
      <w:marBottom w:val="0"/>
      <w:divBdr>
        <w:top w:val="none" w:sz="0" w:space="0" w:color="auto"/>
        <w:left w:val="none" w:sz="0" w:space="0" w:color="auto"/>
        <w:bottom w:val="none" w:sz="0" w:space="0" w:color="auto"/>
        <w:right w:val="none" w:sz="0" w:space="0" w:color="auto"/>
      </w:divBdr>
    </w:div>
    <w:div w:id="830874301">
      <w:bodyDiv w:val="1"/>
      <w:marLeft w:val="0"/>
      <w:marRight w:val="0"/>
      <w:marTop w:val="0"/>
      <w:marBottom w:val="0"/>
      <w:divBdr>
        <w:top w:val="none" w:sz="0" w:space="0" w:color="auto"/>
        <w:left w:val="none" w:sz="0" w:space="0" w:color="auto"/>
        <w:bottom w:val="none" w:sz="0" w:space="0" w:color="auto"/>
        <w:right w:val="none" w:sz="0" w:space="0" w:color="auto"/>
      </w:divBdr>
      <w:divsChild>
        <w:div w:id="1672367784">
          <w:marLeft w:val="547"/>
          <w:marRight w:val="0"/>
          <w:marTop w:val="0"/>
          <w:marBottom w:val="0"/>
          <w:divBdr>
            <w:top w:val="none" w:sz="0" w:space="0" w:color="auto"/>
            <w:left w:val="none" w:sz="0" w:space="0" w:color="auto"/>
            <w:bottom w:val="none" w:sz="0" w:space="0" w:color="auto"/>
            <w:right w:val="none" w:sz="0" w:space="0" w:color="auto"/>
          </w:divBdr>
        </w:div>
      </w:divsChild>
    </w:div>
    <w:div w:id="842091863">
      <w:bodyDiv w:val="1"/>
      <w:marLeft w:val="0"/>
      <w:marRight w:val="0"/>
      <w:marTop w:val="0"/>
      <w:marBottom w:val="0"/>
      <w:divBdr>
        <w:top w:val="none" w:sz="0" w:space="0" w:color="auto"/>
        <w:left w:val="none" w:sz="0" w:space="0" w:color="auto"/>
        <w:bottom w:val="none" w:sz="0" w:space="0" w:color="auto"/>
        <w:right w:val="none" w:sz="0" w:space="0" w:color="auto"/>
      </w:divBdr>
    </w:div>
    <w:div w:id="886138088">
      <w:bodyDiv w:val="1"/>
      <w:marLeft w:val="0"/>
      <w:marRight w:val="0"/>
      <w:marTop w:val="0"/>
      <w:marBottom w:val="0"/>
      <w:divBdr>
        <w:top w:val="none" w:sz="0" w:space="0" w:color="auto"/>
        <w:left w:val="none" w:sz="0" w:space="0" w:color="auto"/>
        <w:bottom w:val="none" w:sz="0" w:space="0" w:color="auto"/>
        <w:right w:val="none" w:sz="0" w:space="0" w:color="auto"/>
      </w:divBdr>
    </w:div>
    <w:div w:id="923606229">
      <w:bodyDiv w:val="1"/>
      <w:marLeft w:val="0"/>
      <w:marRight w:val="0"/>
      <w:marTop w:val="0"/>
      <w:marBottom w:val="0"/>
      <w:divBdr>
        <w:top w:val="none" w:sz="0" w:space="0" w:color="auto"/>
        <w:left w:val="none" w:sz="0" w:space="0" w:color="auto"/>
        <w:bottom w:val="none" w:sz="0" w:space="0" w:color="auto"/>
        <w:right w:val="none" w:sz="0" w:space="0" w:color="auto"/>
      </w:divBdr>
    </w:div>
    <w:div w:id="958336031">
      <w:bodyDiv w:val="1"/>
      <w:marLeft w:val="0"/>
      <w:marRight w:val="0"/>
      <w:marTop w:val="0"/>
      <w:marBottom w:val="0"/>
      <w:divBdr>
        <w:top w:val="none" w:sz="0" w:space="0" w:color="auto"/>
        <w:left w:val="none" w:sz="0" w:space="0" w:color="auto"/>
        <w:bottom w:val="none" w:sz="0" w:space="0" w:color="auto"/>
        <w:right w:val="none" w:sz="0" w:space="0" w:color="auto"/>
      </w:divBdr>
    </w:div>
    <w:div w:id="971325640">
      <w:bodyDiv w:val="1"/>
      <w:marLeft w:val="0"/>
      <w:marRight w:val="0"/>
      <w:marTop w:val="0"/>
      <w:marBottom w:val="0"/>
      <w:divBdr>
        <w:top w:val="none" w:sz="0" w:space="0" w:color="auto"/>
        <w:left w:val="none" w:sz="0" w:space="0" w:color="auto"/>
        <w:bottom w:val="none" w:sz="0" w:space="0" w:color="auto"/>
        <w:right w:val="none" w:sz="0" w:space="0" w:color="auto"/>
      </w:divBdr>
    </w:div>
    <w:div w:id="972715605">
      <w:bodyDiv w:val="1"/>
      <w:marLeft w:val="0"/>
      <w:marRight w:val="0"/>
      <w:marTop w:val="0"/>
      <w:marBottom w:val="0"/>
      <w:divBdr>
        <w:top w:val="none" w:sz="0" w:space="0" w:color="auto"/>
        <w:left w:val="none" w:sz="0" w:space="0" w:color="auto"/>
        <w:bottom w:val="none" w:sz="0" w:space="0" w:color="auto"/>
        <w:right w:val="none" w:sz="0" w:space="0" w:color="auto"/>
      </w:divBdr>
    </w:div>
    <w:div w:id="1017735818">
      <w:bodyDiv w:val="1"/>
      <w:marLeft w:val="0"/>
      <w:marRight w:val="0"/>
      <w:marTop w:val="0"/>
      <w:marBottom w:val="0"/>
      <w:divBdr>
        <w:top w:val="none" w:sz="0" w:space="0" w:color="auto"/>
        <w:left w:val="none" w:sz="0" w:space="0" w:color="auto"/>
        <w:bottom w:val="none" w:sz="0" w:space="0" w:color="auto"/>
        <w:right w:val="none" w:sz="0" w:space="0" w:color="auto"/>
      </w:divBdr>
    </w:div>
    <w:div w:id="1027489029">
      <w:bodyDiv w:val="1"/>
      <w:marLeft w:val="0"/>
      <w:marRight w:val="0"/>
      <w:marTop w:val="0"/>
      <w:marBottom w:val="0"/>
      <w:divBdr>
        <w:top w:val="none" w:sz="0" w:space="0" w:color="auto"/>
        <w:left w:val="none" w:sz="0" w:space="0" w:color="auto"/>
        <w:bottom w:val="none" w:sz="0" w:space="0" w:color="auto"/>
        <w:right w:val="none" w:sz="0" w:space="0" w:color="auto"/>
      </w:divBdr>
    </w:div>
    <w:div w:id="1030685858">
      <w:bodyDiv w:val="1"/>
      <w:marLeft w:val="0"/>
      <w:marRight w:val="0"/>
      <w:marTop w:val="0"/>
      <w:marBottom w:val="0"/>
      <w:divBdr>
        <w:top w:val="none" w:sz="0" w:space="0" w:color="auto"/>
        <w:left w:val="none" w:sz="0" w:space="0" w:color="auto"/>
        <w:bottom w:val="none" w:sz="0" w:space="0" w:color="auto"/>
        <w:right w:val="none" w:sz="0" w:space="0" w:color="auto"/>
      </w:divBdr>
    </w:div>
    <w:div w:id="1031146426">
      <w:bodyDiv w:val="1"/>
      <w:marLeft w:val="0"/>
      <w:marRight w:val="0"/>
      <w:marTop w:val="0"/>
      <w:marBottom w:val="0"/>
      <w:divBdr>
        <w:top w:val="none" w:sz="0" w:space="0" w:color="auto"/>
        <w:left w:val="none" w:sz="0" w:space="0" w:color="auto"/>
        <w:bottom w:val="none" w:sz="0" w:space="0" w:color="auto"/>
        <w:right w:val="none" w:sz="0" w:space="0" w:color="auto"/>
      </w:divBdr>
    </w:div>
    <w:div w:id="1036124625">
      <w:bodyDiv w:val="1"/>
      <w:marLeft w:val="0"/>
      <w:marRight w:val="0"/>
      <w:marTop w:val="0"/>
      <w:marBottom w:val="0"/>
      <w:divBdr>
        <w:top w:val="none" w:sz="0" w:space="0" w:color="auto"/>
        <w:left w:val="none" w:sz="0" w:space="0" w:color="auto"/>
        <w:bottom w:val="none" w:sz="0" w:space="0" w:color="auto"/>
        <w:right w:val="none" w:sz="0" w:space="0" w:color="auto"/>
      </w:divBdr>
    </w:div>
    <w:div w:id="1037043318">
      <w:bodyDiv w:val="1"/>
      <w:marLeft w:val="0"/>
      <w:marRight w:val="0"/>
      <w:marTop w:val="0"/>
      <w:marBottom w:val="0"/>
      <w:divBdr>
        <w:top w:val="none" w:sz="0" w:space="0" w:color="auto"/>
        <w:left w:val="none" w:sz="0" w:space="0" w:color="auto"/>
        <w:bottom w:val="none" w:sz="0" w:space="0" w:color="auto"/>
        <w:right w:val="none" w:sz="0" w:space="0" w:color="auto"/>
      </w:divBdr>
    </w:div>
    <w:div w:id="1058087309">
      <w:bodyDiv w:val="1"/>
      <w:marLeft w:val="0"/>
      <w:marRight w:val="0"/>
      <w:marTop w:val="0"/>
      <w:marBottom w:val="0"/>
      <w:divBdr>
        <w:top w:val="none" w:sz="0" w:space="0" w:color="auto"/>
        <w:left w:val="none" w:sz="0" w:space="0" w:color="auto"/>
        <w:bottom w:val="none" w:sz="0" w:space="0" w:color="auto"/>
        <w:right w:val="none" w:sz="0" w:space="0" w:color="auto"/>
      </w:divBdr>
    </w:div>
    <w:div w:id="1067458841">
      <w:bodyDiv w:val="1"/>
      <w:marLeft w:val="0"/>
      <w:marRight w:val="0"/>
      <w:marTop w:val="0"/>
      <w:marBottom w:val="0"/>
      <w:divBdr>
        <w:top w:val="none" w:sz="0" w:space="0" w:color="auto"/>
        <w:left w:val="none" w:sz="0" w:space="0" w:color="auto"/>
        <w:bottom w:val="none" w:sz="0" w:space="0" w:color="auto"/>
        <w:right w:val="none" w:sz="0" w:space="0" w:color="auto"/>
      </w:divBdr>
    </w:div>
    <w:div w:id="1079135700">
      <w:bodyDiv w:val="1"/>
      <w:marLeft w:val="0"/>
      <w:marRight w:val="0"/>
      <w:marTop w:val="0"/>
      <w:marBottom w:val="0"/>
      <w:divBdr>
        <w:top w:val="none" w:sz="0" w:space="0" w:color="auto"/>
        <w:left w:val="none" w:sz="0" w:space="0" w:color="auto"/>
        <w:bottom w:val="none" w:sz="0" w:space="0" w:color="auto"/>
        <w:right w:val="none" w:sz="0" w:space="0" w:color="auto"/>
      </w:divBdr>
    </w:div>
    <w:div w:id="1089883757">
      <w:bodyDiv w:val="1"/>
      <w:marLeft w:val="0"/>
      <w:marRight w:val="0"/>
      <w:marTop w:val="0"/>
      <w:marBottom w:val="0"/>
      <w:divBdr>
        <w:top w:val="none" w:sz="0" w:space="0" w:color="auto"/>
        <w:left w:val="none" w:sz="0" w:space="0" w:color="auto"/>
        <w:bottom w:val="none" w:sz="0" w:space="0" w:color="auto"/>
        <w:right w:val="none" w:sz="0" w:space="0" w:color="auto"/>
      </w:divBdr>
    </w:div>
    <w:div w:id="1093547094">
      <w:bodyDiv w:val="1"/>
      <w:marLeft w:val="0"/>
      <w:marRight w:val="0"/>
      <w:marTop w:val="0"/>
      <w:marBottom w:val="0"/>
      <w:divBdr>
        <w:top w:val="none" w:sz="0" w:space="0" w:color="auto"/>
        <w:left w:val="none" w:sz="0" w:space="0" w:color="auto"/>
        <w:bottom w:val="none" w:sz="0" w:space="0" w:color="auto"/>
        <w:right w:val="none" w:sz="0" w:space="0" w:color="auto"/>
      </w:divBdr>
    </w:div>
    <w:div w:id="1114984950">
      <w:bodyDiv w:val="1"/>
      <w:marLeft w:val="0"/>
      <w:marRight w:val="0"/>
      <w:marTop w:val="0"/>
      <w:marBottom w:val="0"/>
      <w:divBdr>
        <w:top w:val="none" w:sz="0" w:space="0" w:color="auto"/>
        <w:left w:val="none" w:sz="0" w:space="0" w:color="auto"/>
        <w:bottom w:val="none" w:sz="0" w:space="0" w:color="auto"/>
        <w:right w:val="none" w:sz="0" w:space="0" w:color="auto"/>
      </w:divBdr>
    </w:div>
    <w:div w:id="1127895909">
      <w:bodyDiv w:val="1"/>
      <w:marLeft w:val="0"/>
      <w:marRight w:val="0"/>
      <w:marTop w:val="0"/>
      <w:marBottom w:val="0"/>
      <w:divBdr>
        <w:top w:val="none" w:sz="0" w:space="0" w:color="auto"/>
        <w:left w:val="none" w:sz="0" w:space="0" w:color="auto"/>
        <w:bottom w:val="none" w:sz="0" w:space="0" w:color="auto"/>
        <w:right w:val="none" w:sz="0" w:space="0" w:color="auto"/>
      </w:divBdr>
    </w:div>
    <w:div w:id="1131482824">
      <w:bodyDiv w:val="1"/>
      <w:marLeft w:val="0"/>
      <w:marRight w:val="0"/>
      <w:marTop w:val="0"/>
      <w:marBottom w:val="0"/>
      <w:divBdr>
        <w:top w:val="none" w:sz="0" w:space="0" w:color="auto"/>
        <w:left w:val="none" w:sz="0" w:space="0" w:color="auto"/>
        <w:bottom w:val="none" w:sz="0" w:space="0" w:color="auto"/>
        <w:right w:val="none" w:sz="0" w:space="0" w:color="auto"/>
      </w:divBdr>
    </w:div>
    <w:div w:id="1187715913">
      <w:bodyDiv w:val="1"/>
      <w:marLeft w:val="0"/>
      <w:marRight w:val="0"/>
      <w:marTop w:val="0"/>
      <w:marBottom w:val="0"/>
      <w:divBdr>
        <w:top w:val="none" w:sz="0" w:space="0" w:color="auto"/>
        <w:left w:val="none" w:sz="0" w:space="0" w:color="auto"/>
        <w:bottom w:val="none" w:sz="0" w:space="0" w:color="auto"/>
        <w:right w:val="none" w:sz="0" w:space="0" w:color="auto"/>
      </w:divBdr>
    </w:div>
    <w:div w:id="1196113280">
      <w:bodyDiv w:val="1"/>
      <w:marLeft w:val="0"/>
      <w:marRight w:val="0"/>
      <w:marTop w:val="0"/>
      <w:marBottom w:val="0"/>
      <w:divBdr>
        <w:top w:val="none" w:sz="0" w:space="0" w:color="auto"/>
        <w:left w:val="none" w:sz="0" w:space="0" w:color="auto"/>
        <w:bottom w:val="none" w:sz="0" w:space="0" w:color="auto"/>
        <w:right w:val="none" w:sz="0" w:space="0" w:color="auto"/>
      </w:divBdr>
    </w:div>
    <w:div w:id="1213347767">
      <w:bodyDiv w:val="1"/>
      <w:marLeft w:val="0"/>
      <w:marRight w:val="0"/>
      <w:marTop w:val="0"/>
      <w:marBottom w:val="0"/>
      <w:divBdr>
        <w:top w:val="none" w:sz="0" w:space="0" w:color="auto"/>
        <w:left w:val="none" w:sz="0" w:space="0" w:color="auto"/>
        <w:bottom w:val="none" w:sz="0" w:space="0" w:color="auto"/>
        <w:right w:val="none" w:sz="0" w:space="0" w:color="auto"/>
      </w:divBdr>
    </w:div>
    <w:div w:id="1223562761">
      <w:bodyDiv w:val="1"/>
      <w:marLeft w:val="0"/>
      <w:marRight w:val="0"/>
      <w:marTop w:val="0"/>
      <w:marBottom w:val="0"/>
      <w:divBdr>
        <w:top w:val="none" w:sz="0" w:space="0" w:color="auto"/>
        <w:left w:val="none" w:sz="0" w:space="0" w:color="auto"/>
        <w:bottom w:val="none" w:sz="0" w:space="0" w:color="auto"/>
        <w:right w:val="none" w:sz="0" w:space="0" w:color="auto"/>
      </w:divBdr>
    </w:div>
    <w:div w:id="1242374820">
      <w:bodyDiv w:val="1"/>
      <w:marLeft w:val="0"/>
      <w:marRight w:val="0"/>
      <w:marTop w:val="0"/>
      <w:marBottom w:val="0"/>
      <w:divBdr>
        <w:top w:val="none" w:sz="0" w:space="0" w:color="auto"/>
        <w:left w:val="none" w:sz="0" w:space="0" w:color="auto"/>
        <w:bottom w:val="none" w:sz="0" w:space="0" w:color="auto"/>
        <w:right w:val="none" w:sz="0" w:space="0" w:color="auto"/>
      </w:divBdr>
    </w:div>
    <w:div w:id="1276139721">
      <w:bodyDiv w:val="1"/>
      <w:marLeft w:val="0"/>
      <w:marRight w:val="0"/>
      <w:marTop w:val="0"/>
      <w:marBottom w:val="0"/>
      <w:divBdr>
        <w:top w:val="none" w:sz="0" w:space="0" w:color="auto"/>
        <w:left w:val="none" w:sz="0" w:space="0" w:color="auto"/>
        <w:bottom w:val="none" w:sz="0" w:space="0" w:color="auto"/>
        <w:right w:val="none" w:sz="0" w:space="0" w:color="auto"/>
      </w:divBdr>
    </w:div>
    <w:div w:id="1286738052">
      <w:bodyDiv w:val="1"/>
      <w:marLeft w:val="0"/>
      <w:marRight w:val="0"/>
      <w:marTop w:val="0"/>
      <w:marBottom w:val="0"/>
      <w:divBdr>
        <w:top w:val="none" w:sz="0" w:space="0" w:color="auto"/>
        <w:left w:val="none" w:sz="0" w:space="0" w:color="auto"/>
        <w:bottom w:val="none" w:sz="0" w:space="0" w:color="auto"/>
        <w:right w:val="none" w:sz="0" w:space="0" w:color="auto"/>
      </w:divBdr>
    </w:div>
    <w:div w:id="1306474586">
      <w:bodyDiv w:val="1"/>
      <w:marLeft w:val="0"/>
      <w:marRight w:val="0"/>
      <w:marTop w:val="0"/>
      <w:marBottom w:val="0"/>
      <w:divBdr>
        <w:top w:val="none" w:sz="0" w:space="0" w:color="auto"/>
        <w:left w:val="none" w:sz="0" w:space="0" w:color="auto"/>
        <w:bottom w:val="none" w:sz="0" w:space="0" w:color="auto"/>
        <w:right w:val="none" w:sz="0" w:space="0" w:color="auto"/>
      </w:divBdr>
    </w:div>
    <w:div w:id="1319764614">
      <w:bodyDiv w:val="1"/>
      <w:marLeft w:val="0"/>
      <w:marRight w:val="0"/>
      <w:marTop w:val="0"/>
      <w:marBottom w:val="0"/>
      <w:divBdr>
        <w:top w:val="none" w:sz="0" w:space="0" w:color="auto"/>
        <w:left w:val="none" w:sz="0" w:space="0" w:color="auto"/>
        <w:bottom w:val="none" w:sz="0" w:space="0" w:color="auto"/>
        <w:right w:val="none" w:sz="0" w:space="0" w:color="auto"/>
      </w:divBdr>
    </w:div>
    <w:div w:id="1335301405">
      <w:bodyDiv w:val="1"/>
      <w:marLeft w:val="0"/>
      <w:marRight w:val="0"/>
      <w:marTop w:val="0"/>
      <w:marBottom w:val="0"/>
      <w:divBdr>
        <w:top w:val="none" w:sz="0" w:space="0" w:color="auto"/>
        <w:left w:val="none" w:sz="0" w:space="0" w:color="auto"/>
        <w:bottom w:val="none" w:sz="0" w:space="0" w:color="auto"/>
        <w:right w:val="none" w:sz="0" w:space="0" w:color="auto"/>
      </w:divBdr>
    </w:div>
    <w:div w:id="1336608566">
      <w:bodyDiv w:val="1"/>
      <w:marLeft w:val="0"/>
      <w:marRight w:val="0"/>
      <w:marTop w:val="0"/>
      <w:marBottom w:val="0"/>
      <w:divBdr>
        <w:top w:val="none" w:sz="0" w:space="0" w:color="auto"/>
        <w:left w:val="none" w:sz="0" w:space="0" w:color="auto"/>
        <w:bottom w:val="none" w:sz="0" w:space="0" w:color="auto"/>
        <w:right w:val="none" w:sz="0" w:space="0" w:color="auto"/>
      </w:divBdr>
    </w:div>
    <w:div w:id="1347443649">
      <w:bodyDiv w:val="1"/>
      <w:marLeft w:val="0"/>
      <w:marRight w:val="0"/>
      <w:marTop w:val="0"/>
      <w:marBottom w:val="0"/>
      <w:divBdr>
        <w:top w:val="none" w:sz="0" w:space="0" w:color="auto"/>
        <w:left w:val="none" w:sz="0" w:space="0" w:color="auto"/>
        <w:bottom w:val="none" w:sz="0" w:space="0" w:color="auto"/>
        <w:right w:val="none" w:sz="0" w:space="0" w:color="auto"/>
      </w:divBdr>
    </w:div>
    <w:div w:id="1353022930">
      <w:bodyDiv w:val="1"/>
      <w:marLeft w:val="0"/>
      <w:marRight w:val="0"/>
      <w:marTop w:val="0"/>
      <w:marBottom w:val="0"/>
      <w:divBdr>
        <w:top w:val="none" w:sz="0" w:space="0" w:color="auto"/>
        <w:left w:val="none" w:sz="0" w:space="0" w:color="auto"/>
        <w:bottom w:val="none" w:sz="0" w:space="0" w:color="auto"/>
        <w:right w:val="none" w:sz="0" w:space="0" w:color="auto"/>
      </w:divBdr>
    </w:div>
    <w:div w:id="1357387453">
      <w:bodyDiv w:val="1"/>
      <w:marLeft w:val="0"/>
      <w:marRight w:val="0"/>
      <w:marTop w:val="0"/>
      <w:marBottom w:val="0"/>
      <w:divBdr>
        <w:top w:val="none" w:sz="0" w:space="0" w:color="auto"/>
        <w:left w:val="none" w:sz="0" w:space="0" w:color="auto"/>
        <w:bottom w:val="none" w:sz="0" w:space="0" w:color="auto"/>
        <w:right w:val="none" w:sz="0" w:space="0" w:color="auto"/>
      </w:divBdr>
    </w:div>
    <w:div w:id="1376462109">
      <w:bodyDiv w:val="1"/>
      <w:marLeft w:val="0"/>
      <w:marRight w:val="0"/>
      <w:marTop w:val="0"/>
      <w:marBottom w:val="0"/>
      <w:divBdr>
        <w:top w:val="none" w:sz="0" w:space="0" w:color="auto"/>
        <w:left w:val="none" w:sz="0" w:space="0" w:color="auto"/>
        <w:bottom w:val="none" w:sz="0" w:space="0" w:color="auto"/>
        <w:right w:val="none" w:sz="0" w:space="0" w:color="auto"/>
      </w:divBdr>
    </w:div>
    <w:div w:id="1379361189">
      <w:bodyDiv w:val="1"/>
      <w:marLeft w:val="0"/>
      <w:marRight w:val="0"/>
      <w:marTop w:val="0"/>
      <w:marBottom w:val="0"/>
      <w:divBdr>
        <w:top w:val="none" w:sz="0" w:space="0" w:color="auto"/>
        <w:left w:val="none" w:sz="0" w:space="0" w:color="auto"/>
        <w:bottom w:val="none" w:sz="0" w:space="0" w:color="auto"/>
        <w:right w:val="none" w:sz="0" w:space="0" w:color="auto"/>
      </w:divBdr>
    </w:div>
    <w:div w:id="1380545358">
      <w:bodyDiv w:val="1"/>
      <w:marLeft w:val="0"/>
      <w:marRight w:val="0"/>
      <w:marTop w:val="0"/>
      <w:marBottom w:val="0"/>
      <w:divBdr>
        <w:top w:val="none" w:sz="0" w:space="0" w:color="auto"/>
        <w:left w:val="none" w:sz="0" w:space="0" w:color="auto"/>
        <w:bottom w:val="none" w:sz="0" w:space="0" w:color="auto"/>
        <w:right w:val="none" w:sz="0" w:space="0" w:color="auto"/>
      </w:divBdr>
    </w:div>
    <w:div w:id="1389721151">
      <w:bodyDiv w:val="1"/>
      <w:marLeft w:val="0"/>
      <w:marRight w:val="0"/>
      <w:marTop w:val="0"/>
      <w:marBottom w:val="0"/>
      <w:divBdr>
        <w:top w:val="none" w:sz="0" w:space="0" w:color="auto"/>
        <w:left w:val="none" w:sz="0" w:space="0" w:color="auto"/>
        <w:bottom w:val="none" w:sz="0" w:space="0" w:color="auto"/>
        <w:right w:val="none" w:sz="0" w:space="0" w:color="auto"/>
      </w:divBdr>
    </w:div>
    <w:div w:id="1429422746">
      <w:bodyDiv w:val="1"/>
      <w:marLeft w:val="0"/>
      <w:marRight w:val="0"/>
      <w:marTop w:val="0"/>
      <w:marBottom w:val="0"/>
      <w:divBdr>
        <w:top w:val="none" w:sz="0" w:space="0" w:color="auto"/>
        <w:left w:val="none" w:sz="0" w:space="0" w:color="auto"/>
        <w:bottom w:val="none" w:sz="0" w:space="0" w:color="auto"/>
        <w:right w:val="none" w:sz="0" w:space="0" w:color="auto"/>
      </w:divBdr>
    </w:div>
    <w:div w:id="1430811679">
      <w:bodyDiv w:val="1"/>
      <w:marLeft w:val="0"/>
      <w:marRight w:val="0"/>
      <w:marTop w:val="0"/>
      <w:marBottom w:val="0"/>
      <w:divBdr>
        <w:top w:val="none" w:sz="0" w:space="0" w:color="auto"/>
        <w:left w:val="none" w:sz="0" w:space="0" w:color="auto"/>
        <w:bottom w:val="none" w:sz="0" w:space="0" w:color="auto"/>
        <w:right w:val="none" w:sz="0" w:space="0" w:color="auto"/>
      </w:divBdr>
    </w:div>
    <w:div w:id="1442913850">
      <w:bodyDiv w:val="1"/>
      <w:marLeft w:val="0"/>
      <w:marRight w:val="0"/>
      <w:marTop w:val="0"/>
      <w:marBottom w:val="0"/>
      <w:divBdr>
        <w:top w:val="none" w:sz="0" w:space="0" w:color="auto"/>
        <w:left w:val="none" w:sz="0" w:space="0" w:color="auto"/>
        <w:bottom w:val="none" w:sz="0" w:space="0" w:color="auto"/>
        <w:right w:val="none" w:sz="0" w:space="0" w:color="auto"/>
      </w:divBdr>
    </w:div>
    <w:div w:id="1445929188">
      <w:bodyDiv w:val="1"/>
      <w:marLeft w:val="0"/>
      <w:marRight w:val="0"/>
      <w:marTop w:val="0"/>
      <w:marBottom w:val="0"/>
      <w:divBdr>
        <w:top w:val="none" w:sz="0" w:space="0" w:color="auto"/>
        <w:left w:val="none" w:sz="0" w:space="0" w:color="auto"/>
        <w:bottom w:val="none" w:sz="0" w:space="0" w:color="auto"/>
        <w:right w:val="none" w:sz="0" w:space="0" w:color="auto"/>
      </w:divBdr>
    </w:div>
    <w:div w:id="1450509859">
      <w:bodyDiv w:val="1"/>
      <w:marLeft w:val="0"/>
      <w:marRight w:val="0"/>
      <w:marTop w:val="0"/>
      <w:marBottom w:val="0"/>
      <w:divBdr>
        <w:top w:val="none" w:sz="0" w:space="0" w:color="auto"/>
        <w:left w:val="none" w:sz="0" w:space="0" w:color="auto"/>
        <w:bottom w:val="none" w:sz="0" w:space="0" w:color="auto"/>
        <w:right w:val="none" w:sz="0" w:space="0" w:color="auto"/>
      </w:divBdr>
    </w:div>
    <w:div w:id="1455363680">
      <w:bodyDiv w:val="1"/>
      <w:marLeft w:val="0"/>
      <w:marRight w:val="0"/>
      <w:marTop w:val="0"/>
      <w:marBottom w:val="0"/>
      <w:divBdr>
        <w:top w:val="none" w:sz="0" w:space="0" w:color="auto"/>
        <w:left w:val="none" w:sz="0" w:space="0" w:color="auto"/>
        <w:bottom w:val="none" w:sz="0" w:space="0" w:color="auto"/>
        <w:right w:val="none" w:sz="0" w:space="0" w:color="auto"/>
      </w:divBdr>
    </w:div>
    <w:div w:id="1473712376">
      <w:bodyDiv w:val="1"/>
      <w:marLeft w:val="0"/>
      <w:marRight w:val="0"/>
      <w:marTop w:val="0"/>
      <w:marBottom w:val="0"/>
      <w:divBdr>
        <w:top w:val="none" w:sz="0" w:space="0" w:color="auto"/>
        <w:left w:val="none" w:sz="0" w:space="0" w:color="auto"/>
        <w:bottom w:val="none" w:sz="0" w:space="0" w:color="auto"/>
        <w:right w:val="none" w:sz="0" w:space="0" w:color="auto"/>
      </w:divBdr>
    </w:div>
    <w:div w:id="1487044322">
      <w:bodyDiv w:val="1"/>
      <w:marLeft w:val="0"/>
      <w:marRight w:val="0"/>
      <w:marTop w:val="0"/>
      <w:marBottom w:val="0"/>
      <w:divBdr>
        <w:top w:val="none" w:sz="0" w:space="0" w:color="auto"/>
        <w:left w:val="none" w:sz="0" w:space="0" w:color="auto"/>
        <w:bottom w:val="none" w:sz="0" w:space="0" w:color="auto"/>
        <w:right w:val="none" w:sz="0" w:space="0" w:color="auto"/>
      </w:divBdr>
    </w:div>
    <w:div w:id="1489907079">
      <w:bodyDiv w:val="1"/>
      <w:marLeft w:val="0"/>
      <w:marRight w:val="0"/>
      <w:marTop w:val="0"/>
      <w:marBottom w:val="0"/>
      <w:divBdr>
        <w:top w:val="none" w:sz="0" w:space="0" w:color="auto"/>
        <w:left w:val="none" w:sz="0" w:space="0" w:color="auto"/>
        <w:bottom w:val="none" w:sz="0" w:space="0" w:color="auto"/>
        <w:right w:val="none" w:sz="0" w:space="0" w:color="auto"/>
      </w:divBdr>
    </w:div>
    <w:div w:id="1511096244">
      <w:bodyDiv w:val="1"/>
      <w:marLeft w:val="0"/>
      <w:marRight w:val="0"/>
      <w:marTop w:val="0"/>
      <w:marBottom w:val="0"/>
      <w:divBdr>
        <w:top w:val="none" w:sz="0" w:space="0" w:color="auto"/>
        <w:left w:val="none" w:sz="0" w:space="0" w:color="auto"/>
        <w:bottom w:val="none" w:sz="0" w:space="0" w:color="auto"/>
        <w:right w:val="none" w:sz="0" w:space="0" w:color="auto"/>
      </w:divBdr>
    </w:div>
    <w:div w:id="1526403703">
      <w:bodyDiv w:val="1"/>
      <w:marLeft w:val="0"/>
      <w:marRight w:val="0"/>
      <w:marTop w:val="0"/>
      <w:marBottom w:val="0"/>
      <w:divBdr>
        <w:top w:val="none" w:sz="0" w:space="0" w:color="auto"/>
        <w:left w:val="none" w:sz="0" w:space="0" w:color="auto"/>
        <w:bottom w:val="none" w:sz="0" w:space="0" w:color="auto"/>
        <w:right w:val="none" w:sz="0" w:space="0" w:color="auto"/>
      </w:divBdr>
    </w:div>
    <w:div w:id="1568342831">
      <w:bodyDiv w:val="1"/>
      <w:marLeft w:val="0"/>
      <w:marRight w:val="0"/>
      <w:marTop w:val="0"/>
      <w:marBottom w:val="0"/>
      <w:divBdr>
        <w:top w:val="none" w:sz="0" w:space="0" w:color="auto"/>
        <w:left w:val="none" w:sz="0" w:space="0" w:color="auto"/>
        <w:bottom w:val="none" w:sz="0" w:space="0" w:color="auto"/>
        <w:right w:val="none" w:sz="0" w:space="0" w:color="auto"/>
      </w:divBdr>
    </w:div>
    <w:div w:id="1584290995">
      <w:bodyDiv w:val="1"/>
      <w:marLeft w:val="0"/>
      <w:marRight w:val="0"/>
      <w:marTop w:val="0"/>
      <w:marBottom w:val="0"/>
      <w:divBdr>
        <w:top w:val="none" w:sz="0" w:space="0" w:color="auto"/>
        <w:left w:val="none" w:sz="0" w:space="0" w:color="auto"/>
        <w:bottom w:val="none" w:sz="0" w:space="0" w:color="auto"/>
        <w:right w:val="none" w:sz="0" w:space="0" w:color="auto"/>
      </w:divBdr>
    </w:div>
    <w:div w:id="1596940858">
      <w:bodyDiv w:val="1"/>
      <w:marLeft w:val="0"/>
      <w:marRight w:val="0"/>
      <w:marTop w:val="0"/>
      <w:marBottom w:val="0"/>
      <w:divBdr>
        <w:top w:val="none" w:sz="0" w:space="0" w:color="auto"/>
        <w:left w:val="none" w:sz="0" w:space="0" w:color="auto"/>
        <w:bottom w:val="none" w:sz="0" w:space="0" w:color="auto"/>
        <w:right w:val="none" w:sz="0" w:space="0" w:color="auto"/>
      </w:divBdr>
    </w:div>
    <w:div w:id="1600062365">
      <w:bodyDiv w:val="1"/>
      <w:marLeft w:val="0"/>
      <w:marRight w:val="0"/>
      <w:marTop w:val="0"/>
      <w:marBottom w:val="0"/>
      <w:divBdr>
        <w:top w:val="none" w:sz="0" w:space="0" w:color="auto"/>
        <w:left w:val="none" w:sz="0" w:space="0" w:color="auto"/>
        <w:bottom w:val="none" w:sz="0" w:space="0" w:color="auto"/>
        <w:right w:val="none" w:sz="0" w:space="0" w:color="auto"/>
      </w:divBdr>
    </w:div>
    <w:div w:id="1606617072">
      <w:bodyDiv w:val="1"/>
      <w:marLeft w:val="0"/>
      <w:marRight w:val="0"/>
      <w:marTop w:val="0"/>
      <w:marBottom w:val="0"/>
      <w:divBdr>
        <w:top w:val="none" w:sz="0" w:space="0" w:color="auto"/>
        <w:left w:val="none" w:sz="0" w:space="0" w:color="auto"/>
        <w:bottom w:val="none" w:sz="0" w:space="0" w:color="auto"/>
        <w:right w:val="none" w:sz="0" w:space="0" w:color="auto"/>
      </w:divBdr>
    </w:div>
    <w:div w:id="1611932966">
      <w:bodyDiv w:val="1"/>
      <w:marLeft w:val="0"/>
      <w:marRight w:val="0"/>
      <w:marTop w:val="0"/>
      <w:marBottom w:val="0"/>
      <w:divBdr>
        <w:top w:val="none" w:sz="0" w:space="0" w:color="auto"/>
        <w:left w:val="none" w:sz="0" w:space="0" w:color="auto"/>
        <w:bottom w:val="none" w:sz="0" w:space="0" w:color="auto"/>
        <w:right w:val="none" w:sz="0" w:space="0" w:color="auto"/>
      </w:divBdr>
    </w:div>
    <w:div w:id="1673677197">
      <w:bodyDiv w:val="1"/>
      <w:marLeft w:val="0"/>
      <w:marRight w:val="0"/>
      <w:marTop w:val="0"/>
      <w:marBottom w:val="0"/>
      <w:divBdr>
        <w:top w:val="none" w:sz="0" w:space="0" w:color="auto"/>
        <w:left w:val="none" w:sz="0" w:space="0" w:color="auto"/>
        <w:bottom w:val="none" w:sz="0" w:space="0" w:color="auto"/>
        <w:right w:val="none" w:sz="0" w:space="0" w:color="auto"/>
      </w:divBdr>
    </w:div>
    <w:div w:id="1675037871">
      <w:bodyDiv w:val="1"/>
      <w:marLeft w:val="0"/>
      <w:marRight w:val="0"/>
      <w:marTop w:val="0"/>
      <w:marBottom w:val="0"/>
      <w:divBdr>
        <w:top w:val="none" w:sz="0" w:space="0" w:color="auto"/>
        <w:left w:val="none" w:sz="0" w:space="0" w:color="auto"/>
        <w:bottom w:val="none" w:sz="0" w:space="0" w:color="auto"/>
        <w:right w:val="none" w:sz="0" w:space="0" w:color="auto"/>
      </w:divBdr>
    </w:div>
    <w:div w:id="1689453452">
      <w:bodyDiv w:val="1"/>
      <w:marLeft w:val="0"/>
      <w:marRight w:val="0"/>
      <w:marTop w:val="0"/>
      <w:marBottom w:val="0"/>
      <w:divBdr>
        <w:top w:val="none" w:sz="0" w:space="0" w:color="auto"/>
        <w:left w:val="none" w:sz="0" w:space="0" w:color="auto"/>
        <w:bottom w:val="none" w:sz="0" w:space="0" w:color="auto"/>
        <w:right w:val="none" w:sz="0" w:space="0" w:color="auto"/>
      </w:divBdr>
    </w:div>
    <w:div w:id="1689746922">
      <w:bodyDiv w:val="1"/>
      <w:marLeft w:val="0"/>
      <w:marRight w:val="0"/>
      <w:marTop w:val="0"/>
      <w:marBottom w:val="0"/>
      <w:divBdr>
        <w:top w:val="none" w:sz="0" w:space="0" w:color="auto"/>
        <w:left w:val="none" w:sz="0" w:space="0" w:color="auto"/>
        <w:bottom w:val="none" w:sz="0" w:space="0" w:color="auto"/>
        <w:right w:val="none" w:sz="0" w:space="0" w:color="auto"/>
      </w:divBdr>
    </w:div>
    <w:div w:id="1699547252">
      <w:bodyDiv w:val="1"/>
      <w:marLeft w:val="0"/>
      <w:marRight w:val="0"/>
      <w:marTop w:val="0"/>
      <w:marBottom w:val="0"/>
      <w:divBdr>
        <w:top w:val="none" w:sz="0" w:space="0" w:color="auto"/>
        <w:left w:val="none" w:sz="0" w:space="0" w:color="auto"/>
        <w:bottom w:val="none" w:sz="0" w:space="0" w:color="auto"/>
        <w:right w:val="none" w:sz="0" w:space="0" w:color="auto"/>
      </w:divBdr>
    </w:div>
    <w:div w:id="1700082208">
      <w:bodyDiv w:val="1"/>
      <w:marLeft w:val="0"/>
      <w:marRight w:val="0"/>
      <w:marTop w:val="0"/>
      <w:marBottom w:val="0"/>
      <w:divBdr>
        <w:top w:val="none" w:sz="0" w:space="0" w:color="auto"/>
        <w:left w:val="none" w:sz="0" w:space="0" w:color="auto"/>
        <w:bottom w:val="none" w:sz="0" w:space="0" w:color="auto"/>
        <w:right w:val="none" w:sz="0" w:space="0" w:color="auto"/>
      </w:divBdr>
      <w:divsChild>
        <w:div w:id="585649078">
          <w:marLeft w:val="0"/>
          <w:marRight w:val="0"/>
          <w:marTop w:val="0"/>
          <w:marBottom w:val="0"/>
          <w:divBdr>
            <w:top w:val="none" w:sz="0" w:space="0" w:color="auto"/>
            <w:left w:val="none" w:sz="0" w:space="0" w:color="auto"/>
            <w:bottom w:val="none" w:sz="0" w:space="0" w:color="auto"/>
            <w:right w:val="none" w:sz="0" w:space="0" w:color="auto"/>
          </w:divBdr>
        </w:div>
      </w:divsChild>
    </w:div>
    <w:div w:id="1712416992">
      <w:bodyDiv w:val="1"/>
      <w:marLeft w:val="0"/>
      <w:marRight w:val="0"/>
      <w:marTop w:val="0"/>
      <w:marBottom w:val="0"/>
      <w:divBdr>
        <w:top w:val="none" w:sz="0" w:space="0" w:color="auto"/>
        <w:left w:val="none" w:sz="0" w:space="0" w:color="auto"/>
        <w:bottom w:val="none" w:sz="0" w:space="0" w:color="auto"/>
        <w:right w:val="none" w:sz="0" w:space="0" w:color="auto"/>
      </w:divBdr>
    </w:div>
    <w:div w:id="1722900223">
      <w:bodyDiv w:val="1"/>
      <w:marLeft w:val="0"/>
      <w:marRight w:val="0"/>
      <w:marTop w:val="0"/>
      <w:marBottom w:val="0"/>
      <w:divBdr>
        <w:top w:val="none" w:sz="0" w:space="0" w:color="auto"/>
        <w:left w:val="none" w:sz="0" w:space="0" w:color="auto"/>
        <w:bottom w:val="none" w:sz="0" w:space="0" w:color="auto"/>
        <w:right w:val="none" w:sz="0" w:space="0" w:color="auto"/>
      </w:divBdr>
    </w:div>
    <w:div w:id="1730109648">
      <w:bodyDiv w:val="1"/>
      <w:marLeft w:val="0"/>
      <w:marRight w:val="0"/>
      <w:marTop w:val="0"/>
      <w:marBottom w:val="0"/>
      <w:divBdr>
        <w:top w:val="none" w:sz="0" w:space="0" w:color="auto"/>
        <w:left w:val="none" w:sz="0" w:space="0" w:color="auto"/>
        <w:bottom w:val="none" w:sz="0" w:space="0" w:color="auto"/>
        <w:right w:val="none" w:sz="0" w:space="0" w:color="auto"/>
      </w:divBdr>
    </w:div>
    <w:div w:id="1749306853">
      <w:bodyDiv w:val="1"/>
      <w:marLeft w:val="0"/>
      <w:marRight w:val="0"/>
      <w:marTop w:val="0"/>
      <w:marBottom w:val="0"/>
      <w:divBdr>
        <w:top w:val="none" w:sz="0" w:space="0" w:color="auto"/>
        <w:left w:val="none" w:sz="0" w:space="0" w:color="auto"/>
        <w:bottom w:val="none" w:sz="0" w:space="0" w:color="auto"/>
        <w:right w:val="none" w:sz="0" w:space="0" w:color="auto"/>
      </w:divBdr>
    </w:div>
    <w:div w:id="1769888031">
      <w:bodyDiv w:val="1"/>
      <w:marLeft w:val="0"/>
      <w:marRight w:val="0"/>
      <w:marTop w:val="0"/>
      <w:marBottom w:val="0"/>
      <w:divBdr>
        <w:top w:val="none" w:sz="0" w:space="0" w:color="auto"/>
        <w:left w:val="none" w:sz="0" w:space="0" w:color="auto"/>
        <w:bottom w:val="none" w:sz="0" w:space="0" w:color="auto"/>
        <w:right w:val="none" w:sz="0" w:space="0" w:color="auto"/>
      </w:divBdr>
    </w:div>
    <w:div w:id="1773236853">
      <w:bodyDiv w:val="1"/>
      <w:marLeft w:val="0"/>
      <w:marRight w:val="0"/>
      <w:marTop w:val="0"/>
      <w:marBottom w:val="0"/>
      <w:divBdr>
        <w:top w:val="none" w:sz="0" w:space="0" w:color="auto"/>
        <w:left w:val="none" w:sz="0" w:space="0" w:color="auto"/>
        <w:bottom w:val="none" w:sz="0" w:space="0" w:color="auto"/>
        <w:right w:val="none" w:sz="0" w:space="0" w:color="auto"/>
      </w:divBdr>
    </w:div>
    <w:div w:id="1797094170">
      <w:bodyDiv w:val="1"/>
      <w:marLeft w:val="0"/>
      <w:marRight w:val="0"/>
      <w:marTop w:val="0"/>
      <w:marBottom w:val="0"/>
      <w:divBdr>
        <w:top w:val="none" w:sz="0" w:space="0" w:color="auto"/>
        <w:left w:val="none" w:sz="0" w:space="0" w:color="auto"/>
        <w:bottom w:val="none" w:sz="0" w:space="0" w:color="auto"/>
        <w:right w:val="none" w:sz="0" w:space="0" w:color="auto"/>
      </w:divBdr>
    </w:div>
    <w:div w:id="1800801017">
      <w:bodyDiv w:val="1"/>
      <w:marLeft w:val="0"/>
      <w:marRight w:val="0"/>
      <w:marTop w:val="0"/>
      <w:marBottom w:val="0"/>
      <w:divBdr>
        <w:top w:val="none" w:sz="0" w:space="0" w:color="auto"/>
        <w:left w:val="none" w:sz="0" w:space="0" w:color="auto"/>
        <w:bottom w:val="none" w:sz="0" w:space="0" w:color="auto"/>
        <w:right w:val="none" w:sz="0" w:space="0" w:color="auto"/>
      </w:divBdr>
    </w:div>
    <w:div w:id="1816800720">
      <w:bodyDiv w:val="1"/>
      <w:marLeft w:val="0"/>
      <w:marRight w:val="0"/>
      <w:marTop w:val="0"/>
      <w:marBottom w:val="0"/>
      <w:divBdr>
        <w:top w:val="none" w:sz="0" w:space="0" w:color="auto"/>
        <w:left w:val="none" w:sz="0" w:space="0" w:color="auto"/>
        <w:bottom w:val="none" w:sz="0" w:space="0" w:color="auto"/>
        <w:right w:val="none" w:sz="0" w:space="0" w:color="auto"/>
      </w:divBdr>
    </w:div>
    <w:div w:id="1823354629">
      <w:bodyDiv w:val="1"/>
      <w:marLeft w:val="0"/>
      <w:marRight w:val="0"/>
      <w:marTop w:val="0"/>
      <w:marBottom w:val="0"/>
      <w:divBdr>
        <w:top w:val="none" w:sz="0" w:space="0" w:color="auto"/>
        <w:left w:val="none" w:sz="0" w:space="0" w:color="auto"/>
        <w:bottom w:val="none" w:sz="0" w:space="0" w:color="auto"/>
        <w:right w:val="none" w:sz="0" w:space="0" w:color="auto"/>
      </w:divBdr>
    </w:div>
    <w:div w:id="1826775345">
      <w:bodyDiv w:val="1"/>
      <w:marLeft w:val="0"/>
      <w:marRight w:val="0"/>
      <w:marTop w:val="0"/>
      <w:marBottom w:val="0"/>
      <w:divBdr>
        <w:top w:val="none" w:sz="0" w:space="0" w:color="auto"/>
        <w:left w:val="none" w:sz="0" w:space="0" w:color="auto"/>
        <w:bottom w:val="none" w:sz="0" w:space="0" w:color="auto"/>
        <w:right w:val="none" w:sz="0" w:space="0" w:color="auto"/>
      </w:divBdr>
    </w:div>
    <w:div w:id="1838300233">
      <w:bodyDiv w:val="1"/>
      <w:marLeft w:val="0"/>
      <w:marRight w:val="0"/>
      <w:marTop w:val="0"/>
      <w:marBottom w:val="0"/>
      <w:divBdr>
        <w:top w:val="none" w:sz="0" w:space="0" w:color="auto"/>
        <w:left w:val="none" w:sz="0" w:space="0" w:color="auto"/>
        <w:bottom w:val="none" w:sz="0" w:space="0" w:color="auto"/>
        <w:right w:val="none" w:sz="0" w:space="0" w:color="auto"/>
      </w:divBdr>
    </w:div>
    <w:div w:id="1853295899">
      <w:bodyDiv w:val="1"/>
      <w:marLeft w:val="0"/>
      <w:marRight w:val="0"/>
      <w:marTop w:val="0"/>
      <w:marBottom w:val="0"/>
      <w:divBdr>
        <w:top w:val="none" w:sz="0" w:space="0" w:color="auto"/>
        <w:left w:val="none" w:sz="0" w:space="0" w:color="auto"/>
        <w:bottom w:val="none" w:sz="0" w:space="0" w:color="auto"/>
        <w:right w:val="none" w:sz="0" w:space="0" w:color="auto"/>
      </w:divBdr>
    </w:div>
    <w:div w:id="1877616462">
      <w:bodyDiv w:val="1"/>
      <w:marLeft w:val="0"/>
      <w:marRight w:val="0"/>
      <w:marTop w:val="0"/>
      <w:marBottom w:val="0"/>
      <w:divBdr>
        <w:top w:val="none" w:sz="0" w:space="0" w:color="auto"/>
        <w:left w:val="none" w:sz="0" w:space="0" w:color="auto"/>
        <w:bottom w:val="none" w:sz="0" w:space="0" w:color="auto"/>
        <w:right w:val="none" w:sz="0" w:space="0" w:color="auto"/>
      </w:divBdr>
    </w:div>
    <w:div w:id="1889367414">
      <w:bodyDiv w:val="1"/>
      <w:marLeft w:val="0"/>
      <w:marRight w:val="0"/>
      <w:marTop w:val="0"/>
      <w:marBottom w:val="0"/>
      <w:divBdr>
        <w:top w:val="none" w:sz="0" w:space="0" w:color="auto"/>
        <w:left w:val="none" w:sz="0" w:space="0" w:color="auto"/>
        <w:bottom w:val="none" w:sz="0" w:space="0" w:color="auto"/>
        <w:right w:val="none" w:sz="0" w:space="0" w:color="auto"/>
      </w:divBdr>
    </w:div>
    <w:div w:id="1903175493">
      <w:bodyDiv w:val="1"/>
      <w:marLeft w:val="0"/>
      <w:marRight w:val="0"/>
      <w:marTop w:val="0"/>
      <w:marBottom w:val="0"/>
      <w:divBdr>
        <w:top w:val="none" w:sz="0" w:space="0" w:color="auto"/>
        <w:left w:val="none" w:sz="0" w:space="0" w:color="auto"/>
        <w:bottom w:val="none" w:sz="0" w:space="0" w:color="auto"/>
        <w:right w:val="none" w:sz="0" w:space="0" w:color="auto"/>
      </w:divBdr>
      <w:divsChild>
        <w:div w:id="1940478133">
          <w:marLeft w:val="0"/>
          <w:marRight w:val="0"/>
          <w:marTop w:val="0"/>
          <w:marBottom w:val="0"/>
          <w:divBdr>
            <w:top w:val="none" w:sz="0" w:space="0" w:color="auto"/>
            <w:left w:val="none" w:sz="0" w:space="0" w:color="auto"/>
            <w:bottom w:val="none" w:sz="0" w:space="0" w:color="auto"/>
            <w:right w:val="none" w:sz="0" w:space="0" w:color="auto"/>
          </w:divBdr>
        </w:div>
        <w:div w:id="566500248">
          <w:marLeft w:val="0"/>
          <w:marRight w:val="0"/>
          <w:marTop w:val="0"/>
          <w:marBottom w:val="0"/>
          <w:divBdr>
            <w:top w:val="none" w:sz="0" w:space="0" w:color="auto"/>
            <w:left w:val="none" w:sz="0" w:space="0" w:color="auto"/>
            <w:bottom w:val="none" w:sz="0" w:space="0" w:color="auto"/>
            <w:right w:val="none" w:sz="0" w:space="0" w:color="auto"/>
          </w:divBdr>
        </w:div>
      </w:divsChild>
    </w:div>
    <w:div w:id="1936204561">
      <w:bodyDiv w:val="1"/>
      <w:marLeft w:val="0"/>
      <w:marRight w:val="0"/>
      <w:marTop w:val="0"/>
      <w:marBottom w:val="0"/>
      <w:divBdr>
        <w:top w:val="none" w:sz="0" w:space="0" w:color="auto"/>
        <w:left w:val="none" w:sz="0" w:space="0" w:color="auto"/>
        <w:bottom w:val="none" w:sz="0" w:space="0" w:color="auto"/>
        <w:right w:val="none" w:sz="0" w:space="0" w:color="auto"/>
      </w:divBdr>
    </w:div>
    <w:div w:id="1936356069">
      <w:bodyDiv w:val="1"/>
      <w:marLeft w:val="0"/>
      <w:marRight w:val="0"/>
      <w:marTop w:val="0"/>
      <w:marBottom w:val="0"/>
      <w:divBdr>
        <w:top w:val="none" w:sz="0" w:space="0" w:color="auto"/>
        <w:left w:val="none" w:sz="0" w:space="0" w:color="auto"/>
        <w:bottom w:val="none" w:sz="0" w:space="0" w:color="auto"/>
        <w:right w:val="none" w:sz="0" w:space="0" w:color="auto"/>
      </w:divBdr>
    </w:div>
    <w:div w:id="1945961224">
      <w:bodyDiv w:val="1"/>
      <w:marLeft w:val="0"/>
      <w:marRight w:val="0"/>
      <w:marTop w:val="0"/>
      <w:marBottom w:val="0"/>
      <w:divBdr>
        <w:top w:val="none" w:sz="0" w:space="0" w:color="auto"/>
        <w:left w:val="none" w:sz="0" w:space="0" w:color="auto"/>
        <w:bottom w:val="none" w:sz="0" w:space="0" w:color="auto"/>
        <w:right w:val="none" w:sz="0" w:space="0" w:color="auto"/>
      </w:divBdr>
    </w:div>
    <w:div w:id="1954746082">
      <w:bodyDiv w:val="1"/>
      <w:marLeft w:val="0"/>
      <w:marRight w:val="0"/>
      <w:marTop w:val="0"/>
      <w:marBottom w:val="0"/>
      <w:divBdr>
        <w:top w:val="none" w:sz="0" w:space="0" w:color="auto"/>
        <w:left w:val="none" w:sz="0" w:space="0" w:color="auto"/>
        <w:bottom w:val="none" w:sz="0" w:space="0" w:color="auto"/>
        <w:right w:val="none" w:sz="0" w:space="0" w:color="auto"/>
      </w:divBdr>
    </w:div>
    <w:div w:id="1956860376">
      <w:bodyDiv w:val="1"/>
      <w:marLeft w:val="0"/>
      <w:marRight w:val="0"/>
      <w:marTop w:val="0"/>
      <w:marBottom w:val="0"/>
      <w:divBdr>
        <w:top w:val="none" w:sz="0" w:space="0" w:color="auto"/>
        <w:left w:val="none" w:sz="0" w:space="0" w:color="auto"/>
        <w:bottom w:val="none" w:sz="0" w:space="0" w:color="auto"/>
        <w:right w:val="none" w:sz="0" w:space="0" w:color="auto"/>
      </w:divBdr>
    </w:div>
    <w:div w:id="1970745571">
      <w:bodyDiv w:val="1"/>
      <w:marLeft w:val="0"/>
      <w:marRight w:val="0"/>
      <w:marTop w:val="0"/>
      <w:marBottom w:val="0"/>
      <w:divBdr>
        <w:top w:val="none" w:sz="0" w:space="0" w:color="auto"/>
        <w:left w:val="none" w:sz="0" w:space="0" w:color="auto"/>
        <w:bottom w:val="none" w:sz="0" w:space="0" w:color="auto"/>
        <w:right w:val="none" w:sz="0" w:space="0" w:color="auto"/>
      </w:divBdr>
    </w:div>
    <w:div w:id="1977106283">
      <w:bodyDiv w:val="1"/>
      <w:marLeft w:val="0"/>
      <w:marRight w:val="0"/>
      <w:marTop w:val="0"/>
      <w:marBottom w:val="0"/>
      <w:divBdr>
        <w:top w:val="none" w:sz="0" w:space="0" w:color="auto"/>
        <w:left w:val="none" w:sz="0" w:space="0" w:color="auto"/>
        <w:bottom w:val="none" w:sz="0" w:space="0" w:color="auto"/>
        <w:right w:val="none" w:sz="0" w:space="0" w:color="auto"/>
      </w:divBdr>
    </w:div>
    <w:div w:id="1984122088">
      <w:bodyDiv w:val="1"/>
      <w:marLeft w:val="0"/>
      <w:marRight w:val="0"/>
      <w:marTop w:val="0"/>
      <w:marBottom w:val="0"/>
      <w:divBdr>
        <w:top w:val="none" w:sz="0" w:space="0" w:color="auto"/>
        <w:left w:val="none" w:sz="0" w:space="0" w:color="auto"/>
        <w:bottom w:val="none" w:sz="0" w:space="0" w:color="auto"/>
        <w:right w:val="none" w:sz="0" w:space="0" w:color="auto"/>
      </w:divBdr>
    </w:div>
    <w:div w:id="1989476372">
      <w:bodyDiv w:val="1"/>
      <w:marLeft w:val="0"/>
      <w:marRight w:val="0"/>
      <w:marTop w:val="0"/>
      <w:marBottom w:val="0"/>
      <w:divBdr>
        <w:top w:val="none" w:sz="0" w:space="0" w:color="auto"/>
        <w:left w:val="none" w:sz="0" w:space="0" w:color="auto"/>
        <w:bottom w:val="none" w:sz="0" w:space="0" w:color="auto"/>
        <w:right w:val="none" w:sz="0" w:space="0" w:color="auto"/>
      </w:divBdr>
      <w:divsChild>
        <w:div w:id="338696109">
          <w:marLeft w:val="300"/>
          <w:marRight w:val="0"/>
          <w:marTop w:val="0"/>
          <w:marBottom w:val="300"/>
          <w:divBdr>
            <w:top w:val="none" w:sz="0" w:space="0" w:color="auto"/>
            <w:left w:val="none" w:sz="0" w:space="0" w:color="auto"/>
            <w:bottom w:val="none" w:sz="0" w:space="0" w:color="auto"/>
            <w:right w:val="none" w:sz="0" w:space="0" w:color="auto"/>
          </w:divBdr>
        </w:div>
      </w:divsChild>
    </w:div>
    <w:div w:id="2040815620">
      <w:bodyDiv w:val="1"/>
      <w:marLeft w:val="0"/>
      <w:marRight w:val="0"/>
      <w:marTop w:val="0"/>
      <w:marBottom w:val="0"/>
      <w:divBdr>
        <w:top w:val="none" w:sz="0" w:space="0" w:color="auto"/>
        <w:left w:val="none" w:sz="0" w:space="0" w:color="auto"/>
        <w:bottom w:val="none" w:sz="0" w:space="0" w:color="auto"/>
        <w:right w:val="none" w:sz="0" w:space="0" w:color="auto"/>
      </w:divBdr>
    </w:div>
    <w:div w:id="2064329140">
      <w:bodyDiv w:val="1"/>
      <w:marLeft w:val="0"/>
      <w:marRight w:val="0"/>
      <w:marTop w:val="0"/>
      <w:marBottom w:val="0"/>
      <w:divBdr>
        <w:top w:val="none" w:sz="0" w:space="0" w:color="auto"/>
        <w:left w:val="none" w:sz="0" w:space="0" w:color="auto"/>
        <w:bottom w:val="none" w:sz="0" w:space="0" w:color="auto"/>
        <w:right w:val="none" w:sz="0" w:space="0" w:color="auto"/>
      </w:divBdr>
    </w:div>
    <w:div w:id="2106342535">
      <w:bodyDiv w:val="1"/>
      <w:marLeft w:val="0"/>
      <w:marRight w:val="0"/>
      <w:marTop w:val="0"/>
      <w:marBottom w:val="0"/>
      <w:divBdr>
        <w:top w:val="none" w:sz="0" w:space="0" w:color="auto"/>
        <w:left w:val="none" w:sz="0" w:space="0" w:color="auto"/>
        <w:bottom w:val="none" w:sz="0" w:space="0" w:color="auto"/>
        <w:right w:val="none" w:sz="0" w:space="0" w:color="auto"/>
      </w:divBdr>
    </w:div>
    <w:div w:id="2114470935">
      <w:bodyDiv w:val="1"/>
      <w:marLeft w:val="0"/>
      <w:marRight w:val="0"/>
      <w:marTop w:val="0"/>
      <w:marBottom w:val="0"/>
      <w:divBdr>
        <w:top w:val="none" w:sz="0" w:space="0" w:color="auto"/>
        <w:left w:val="none" w:sz="0" w:space="0" w:color="auto"/>
        <w:bottom w:val="none" w:sz="0" w:space="0" w:color="auto"/>
        <w:right w:val="none" w:sz="0" w:space="0" w:color="auto"/>
      </w:divBdr>
    </w:div>
    <w:div w:id="2133473194">
      <w:bodyDiv w:val="1"/>
      <w:marLeft w:val="0"/>
      <w:marRight w:val="0"/>
      <w:marTop w:val="0"/>
      <w:marBottom w:val="0"/>
      <w:divBdr>
        <w:top w:val="none" w:sz="0" w:space="0" w:color="auto"/>
        <w:left w:val="none" w:sz="0" w:space="0" w:color="auto"/>
        <w:bottom w:val="none" w:sz="0" w:space="0" w:color="auto"/>
        <w:right w:val="none" w:sz="0" w:space="0" w:color="auto"/>
      </w:divBdr>
    </w:div>
    <w:div w:id="2138374702">
      <w:bodyDiv w:val="1"/>
      <w:marLeft w:val="0"/>
      <w:marRight w:val="0"/>
      <w:marTop w:val="0"/>
      <w:marBottom w:val="0"/>
      <w:divBdr>
        <w:top w:val="none" w:sz="0" w:space="0" w:color="auto"/>
        <w:left w:val="none" w:sz="0" w:space="0" w:color="auto"/>
        <w:bottom w:val="none" w:sz="0" w:space="0" w:color="auto"/>
        <w:right w:val="none" w:sz="0" w:space="0" w:color="auto"/>
      </w:divBdr>
    </w:div>
    <w:div w:id="2140955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hyperlink" Target="https://s203.q4cdn.com/522538739/files/policies/anti-fraud-policy.pdf" TargetMode="External"/><Relationship Id="rId26" Type="http://schemas.openxmlformats.org/officeDocument/2006/relationships/hyperlink" Target="https://corporate.easyjet.com/about/Investment-case/default.aspx" TargetMode="External"/><Relationship Id="rId39" Type="http://schemas.openxmlformats.org/officeDocument/2006/relationships/hyperlink" Target="https://www.thearmchairtrader.com" TargetMode="External"/><Relationship Id="rId3" Type="http://schemas.openxmlformats.org/officeDocument/2006/relationships/styles" Target="styles.xml"/><Relationship Id="rId21" Type="http://schemas.openxmlformats.org/officeDocument/2006/relationships/hyperlink" Target="https://s203.q4cdn.com/522538739/files/doc_downloads/2025/03/UK-Gender-Pay-Gap-Report-FINAL.pdf" TargetMode="External"/><Relationship Id="rId34" Type="http://schemas.openxmlformats.org/officeDocument/2006/relationships/hyperlink" Target="https://corporate.easyjet.com/about/what-we-do/default.aspx"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s203.q4cdn.com/522538739/files/policies/2025/Anti-Bribery-and-Corruption-Policy-Final-Feb25.pdf" TargetMode="External"/><Relationship Id="rId25" Type="http://schemas.openxmlformats.org/officeDocument/2006/relationships/hyperlink" Target="https://corporate.easyjet.com/about/governance/default.aspx" TargetMode="External"/><Relationship Id="rId33" Type="http://schemas.openxmlformats.org/officeDocument/2006/relationships/hyperlink" Target="https://corporate.easyjet.com/about/strategy/default.aspx" TargetMode="External"/><Relationship Id="rId38" Type="http://schemas.openxmlformats.org/officeDocument/2006/relationships/hyperlink" Target="https://swotandpestle.com" TargetMode="External"/><Relationship Id="rId2" Type="http://schemas.openxmlformats.org/officeDocument/2006/relationships/numbering" Target="numbering.xml"/><Relationship Id="rId16" Type="http://schemas.openxmlformats.org/officeDocument/2006/relationships/hyperlink" Target="https://pestle.com/" TargetMode="External"/><Relationship Id="rId20" Type="http://schemas.openxmlformats.org/officeDocument/2006/relationships/hyperlink" Target="https://s203.q4cdn.com/522538739/files/doc_downloads/2025/04/2025_easyjet-France_Gender-Equality-Index_Results.pdf" TargetMode="External"/><Relationship Id="rId29" Type="http://schemas.openxmlformats.org/officeDocument/2006/relationships/hyperlink" Target="https://corporate.easyjet.com/sustainability/net-zero-pathway/default.aspx"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corporate.easyjet.com/investors/shareholder-services/Electronic-Communications/default.aspx" TargetMode="External"/><Relationship Id="rId32" Type="http://schemas.openxmlformats.org/officeDocument/2006/relationships/hyperlink" Target="https://corporate.easyjet.com/investors/shareholder-services/shareholder-meetings/default.aspx" TargetMode="External"/><Relationship Id="rId37" Type="http://schemas.openxmlformats.org/officeDocument/2006/relationships/hyperlink" Target="https://www.spglobal.com"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jet2.com/" TargetMode="External"/><Relationship Id="rId23" Type="http://schemas.openxmlformats.org/officeDocument/2006/relationships/hyperlink" Target="https://corporate.easyjet.com/about/business-model/default.aspx" TargetMode="External"/><Relationship Id="rId28" Type="http://schemas.openxmlformats.org/officeDocument/2006/relationships/hyperlink" Target="https://corporate.easyjet.com/sustainability/modern-slavery-act-statement/default.aspx" TargetMode="External"/><Relationship Id="rId36" Type="http://schemas.openxmlformats.org/officeDocument/2006/relationships/hyperlink" Target="https://doi.org/10.1016/j.gloenvcha.2020.102194" TargetMode="External"/><Relationship Id="rId10" Type="http://schemas.openxmlformats.org/officeDocument/2006/relationships/image" Target="media/image3.png"/><Relationship Id="rId19" Type="http://schemas.openxmlformats.org/officeDocument/2006/relationships/hyperlink" Target="https://s203.q4cdn.com/522538739/files/policies/Bullying-and-Harassment-Policy-POLGLO009-Global.pdf" TargetMode="External"/><Relationship Id="rId31" Type="http://schemas.openxmlformats.org/officeDocument/2006/relationships/hyperlink" Target="https://corporate.easyjet.com/investors/reports-and-presentations/default.asp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 Id="rId22" Type="http://schemas.openxmlformats.org/officeDocument/2006/relationships/hyperlink" Target="https://corporate.easyjet.com/home/default.aspx" TargetMode="External"/><Relationship Id="rId27" Type="http://schemas.openxmlformats.org/officeDocument/2006/relationships/hyperlink" Target="https://corporate.easyjet.com/about/leadership/default.aspx" TargetMode="External"/><Relationship Id="rId30" Type="http://schemas.openxmlformats.org/officeDocument/2006/relationships/hyperlink" Target="https://corporate.easyjet.com/about/our-journey/default.aspx" TargetMode="External"/><Relationship Id="rId35" Type="http://schemas.openxmlformats.org/officeDocument/2006/relationships/hyperlink" Target="https://s203.q4cdn.com/522538739/files/doc_downloads/2026/03/2026_easyjet-France_Gender-Equality-Index_Results-eJ-Branding.pdf"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C253631-D061-4F1F-B5A7-E41A848F20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6334</Words>
  <Characters>36109</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2026-03-27T11:55:00Z</dcterms:created>
  <dcterms:modified xsi:type="dcterms:W3CDTF">2026-03-27T12:03:00Z</dcterms:modified>
</cp:coreProperties>
</file>