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961A8" w14:textId="4363CCF4" w:rsidR="00913B58" w:rsidRDefault="00913B58" w:rsidP="00913B58">
      <w:pPr>
        <w:jc w:val="center"/>
        <w:rPr>
          <w:rFonts w:ascii="Arial" w:hAnsi="Arial" w:cs="Arial"/>
          <w:sz w:val="48"/>
          <w:szCs w:val="48"/>
        </w:rPr>
      </w:pPr>
      <w:r>
        <w:rPr>
          <w:noProof/>
        </w:rPr>
        <w:drawing>
          <wp:inline distT="0" distB="0" distL="0" distR="0" wp14:anchorId="66BA7325" wp14:editId="15B8F712">
            <wp:extent cx="2714625" cy="1357313"/>
            <wp:effectExtent l="0" t="0" r="0" b="0"/>
            <wp:docPr id="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3485" cy="1361743"/>
                    </a:xfrm>
                    <a:prstGeom prst="rect">
                      <a:avLst/>
                    </a:prstGeom>
                    <a:noFill/>
                    <a:ln>
                      <a:noFill/>
                    </a:ln>
                  </pic:spPr>
                </pic:pic>
              </a:graphicData>
            </a:graphic>
          </wp:inline>
        </w:drawing>
      </w:r>
    </w:p>
    <w:p w14:paraId="712166F7" w14:textId="77777777" w:rsidR="00913B58" w:rsidRDefault="00913B58" w:rsidP="00913B58">
      <w:pPr>
        <w:jc w:val="center"/>
        <w:rPr>
          <w:rFonts w:ascii="Arial" w:hAnsi="Arial" w:cs="Arial"/>
          <w:sz w:val="48"/>
          <w:szCs w:val="48"/>
        </w:rPr>
      </w:pPr>
    </w:p>
    <w:p w14:paraId="7F4C0472" w14:textId="77777777" w:rsidR="00913B58" w:rsidRPr="00913B58" w:rsidRDefault="00913B58" w:rsidP="00913B58">
      <w:pPr>
        <w:jc w:val="center"/>
        <w:rPr>
          <w:rFonts w:ascii="Arial" w:hAnsi="Arial" w:cs="Arial"/>
          <w:b/>
          <w:bCs/>
          <w:sz w:val="48"/>
          <w:szCs w:val="48"/>
        </w:rPr>
      </w:pPr>
    </w:p>
    <w:p w14:paraId="66AEDFDD" w14:textId="29781861" w:rsidR="00913B58" w:rsidRPr="00913B58" w:rsidRDefault="00913B58" w:rsidP="00913B58">
      <w:pPr>
        <w:jc w:val="center"/>
        <w:rPr>
          <w:rFonts w:ascii="Arial" w:hAnsi="Arial" w:cs="Arial"/>
          <w:sz w:val="48"/>
          <w:szCs w:val="48"/>
        </w:rPr>
      </w:pPr>
      <w:r w:rsidRPr="00913B58">
        <w:rPr>
          <w:rFonts w:ascii="Arial" w:hAnsi="Arial" w:cs="Arial"/>
          <w:b/>
          <w:bCs/>
          <w:sz w:val="48"/>
          <w:szCs w:val="48"/>
        </w:rPr>
        <w:t>Student Name</w:t>
      </w:r>
      <w:r w:rsidRPr="00913B58">
        <w:rPr>
          <w:rFonts w:ascii="Arial" w:hAnsi="Arial" w:cs="Arial"/>
          <w:sz w:val="48"/>
          <w:szCs w:val="48"/>
        </w:rPr>
        <w:t>: Saira Arif</w:t>
      </w:r>
    </w:p>
    <w:p w14:paraId="3C94D669" w14:textId="0E8CE7C0" w:rsidR="00913B58" w:rsidRPr="00913B58" w:rsidRDefault="00913B58" w:rsidP="00913B58">
      <w:pPr>
        <w:jc w:val="center"/>
        <w:rPr>
          <w:rFonts w:ascii="Arial" w:hAnsi="Arial" w:cs="Arial"/>
          <w:sz w:val="48"/>
          <w:szCs w:val="48"/>
        </w:rPr>
      </w:pPr>
      <w:r w:rsidRPr="00913B58">
        <w:rPr>
          <w:rFonts w:ascii="Arial" w:hAnsi="Arial" w:cs="Arial"/>
          <w:b/>
          <w:bCs/>
          <w:sz w:val="48"/>
          <w:szCs w:val="48"/>
        </w:rPr>
        <w:t>Student ID</w:t>
      </w:r>
      <w:r w:rsidRPr="00913B58">
        <w:rPr>
          <w:rFonts w:ascii="Arial" w:hAnsi="Arial" w:cs="Arial"/>
          <w:sz w:val="48"/>
          <w:szCs w:val="48"/>
        </w:rPr>
        <w:t>: 2220569</w:t>
      </w:r>
    </w:p>
    <w:p w14:paraId="6E348C23" w14:textId="386C47EF" w:rsidR="00913B58" w:rsidRPr="00913B58" w:rsidRDefault="00913B58" w:rsidP="00913B58">
      <w:pPr>
        <w:jc w:val="center"/>
        <w:rPr>
          <w:rFonts w:ascii="Arial" w:hAnsi="Arial" w:cs="Arial"/>
          <w:sz w:val="48"/>
          <w:szCs w:val="48"/>
        </w:rPr>
      </w:pPr>
      <w:r w:rsidRPr="00913B58">
        <w:rPr>
          <w:rFonts w:ascii="Arial" w:hAnsi="Arial" w:cs="Arial"/>
          <w:b/>
          <w:bCs/>
          <w:sz w:val="48"/>
          <w:szCs w:val="48"/>
        </w:rPr>
        <w:t>Module Title</w:t>
      </w:r>
      <w:r w:rsidRPr="00913B58">
        <w:rPr>
          <w:rFonts w:ascii="Arial" w:hAnsi="Arial" w:cs="Arial"/>
          <w:sz w:val="48"/>
          <w:szCs w:val="48"/>
        </w:rPr>
        <w:t>: Health, Wellbeing and Sustainable Development</w:t>
      </w:r>
    </w:p>
    <w:p w14:paraId="41FAADA3" w14:textId="1EF01137" w:rsidR="00913B58" w:rsidRPr="00913B58" w:rsidRDefault="00913B58" w:rsidP="00913B58">
      <w:pPr>
        <w:jc w:val="center"/>
        <w:rPr>
          <w:rFonts w:ascii="Arial" w:hAnsi="Arial" w:cs="Arial"/>
          <w:sz w:val="48"/>
          <w:szCs w:val="48"/>
        </w:rPr>
      </w:pPr>
      <w:r w:rsidRPr="00913B58">
        <w:rPr>
          <w:rFonts w:ascii="Arial" w:hAnsi="Arial" w:cs="Arial"/>
          <w:b/>
          <w:bCs/>
          <w:sz w:val="48"/>
          <w:szCs w:val="48"/>
        </w:rPr>
        <w:t>Module Code</w:t>
      </w:r>
      <w:r w:rsidRPr="00913B58">
        <w:rPr>
          <w:rFonts w:ascii="Arial" w:hAnsi="Arial" w:cs="Arial"/>
          <w:sz w:val="48"/>
          <w:szCs w:val="48"/>
        </w:rPr>
        <w:t>: BMHP6030</w:t>
      </w:r>
    </w:p>
    <w:p w14:paraId="5F462C1A" w14:textId="10556E11" w:rsidR="00913B58" w:rsidRPr="00913B58" w:rsidRDefault="00913B58" w:rsidP="00913B58">
      <w:pPr>
        <w:jc w:val="center"/>
        <w:rPr>
          <w:rFonts w:ascii="Arial" w:hAnsi="Arial" w:cs="Arial"/>
          <w:sz w:val="48"/>
          <w:szCs w:val="48"/>
        </w:rPr>
      </w:pPr>
      <w:proofErr w:type="gramStart"/>
      <w:r w:rsidRPr="00913B58">
        <w:rPr>
          <w:rFonts w:ascii="Arial" w:hAnsi="Arial" w:cs="Arial"/>
          <w:b/>
          <w:bCs/>
          <w:sz w:val="48"/>
          <w:szCs w:val="48"/>
        </w:rPr>
        <w:t>Tutor</w:t>
      </w:r>
      <w:r w:rsidRPr="00913B58">
        <w:rPr>
          <w:rFonts w:ascii="Arial" w:hAnsi="Arial" w:cs="Arial"/>
          <w:sz w:val="48"/>
          <w:szCs w:val="48"/>
        </w:rPr>
        <w:t xml:space="preserve"> :</w:t>
      </w:r>
      <w:proofErr w:type="gramEnd"/>
      <w:r w:rsidRPr="00913B58">
        <w:rPr>
          <w:rFonts w:ascii="Arial" w:hAnsi="Arial" w:cs="Arial"/>
          <w:sz w:val="48"/>
          <w:szCs w:val="48"/>
        </w:rPr>
        <w:t xml:space="preserve"> Tomy </w:t>
      </w:r>
      <w:proofErr w:type="spellStart"/>
      <w:r w:rsidRPr="00913B58">
        <w:rPr>
          <w:rFonts w:ascii="Arial" w:hAnsi="Arial" w:cs="Arial"/>
          <w:sz w:val="48"/>
          <w:szCs w:val="48"/>
        </w:rPr>
        <w:t>Adattu</w:t>
      </w:r>
      <w:proofErr w:type="spellEnd"/>
      <w:r w:rsidRPr="00913B58">
        <w:rPr>
          <w:rFonts w:ascii="Arial" w:hAnsi="Arial" w:cs="Arial"/>
          <w:sz w:val="48"/>
          <w:szCs w:val="48"/>
        </w:rPr>
        <w:t xml:space="preserve"> Chacko</w:t>
      </w:r>
    </w:p>
    <w:p w14:paraId="74DF9DFB" w14:textId="68E55B00" w:rsidR="00913B58" w:rsidRDefault="00913B58"/>
    <w:p w14:paraId="41E0FE7E" w14:textId="77777777" w:rsidR="00913B58" w:rsidRDefault="00913B58">
      <w:r>
        <w:br w:type="page"/>
      </w:r>
    </w:p>
    <w:p w14:paraId="62F194C6" w14:textId="2EAF287F" w:rsidR="00913B58" w:rsidRPr="00885E7C" w:rsidRDefault="005F0407" w:rsidP="00885E7C">
      <w:pPr>
        <w:spacing w:line="360" w:lineRule="auto"/>
        <w:rPr>
          <w:rFonts w:ascii="Arial" w:hAnsi="Arial" w:cs="Arial"/>
          <w:b/>
          <w:bCs/>
          <w:sz w:val="22"/>
          <w:szCs w:val="22"/>
        </w:rPr>
      </w:pPr>
      <w:r w:rsidRPr="00885E7C">
        <w:rPr>
          <w:rFonts w:ascii="Arial" w:hAnsi="Arial" w:cs="Arial"/>
          <w:b/>
          <w:bCs/>
          <w:sz w:val="22"/>
          <w:szCs w:val="22"/>
        </w:rPr>
        <w:lastRenderedPageBreak/>
        <w:t>Introduction:</w:t>
      </w:r>
    </w:p>
    <w:p w14:paraId="2E7AE39B" w14:textId="77777777" w:rsidR="00885E7C" w:rsidRPr="00885E7C" w:rsidRDefault="00885E7C" w:rsidP="00885E7C">
      <w:pPr>
        <w:spacing w:after="0"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In this report, I will examine how the United Nations Sustainable Development Goals (SDGs) seek to enhance health, well-being, and sustainability around the world. The SDGs were announced in 2015 as part of the 2030 Agenda for Sustainable Development and aim to address global concerns such as poverty, inequality, environmental degradation, and health. </w:t>
      </w:r>
    </w:p>
    <w:p w14:paraId="64D79DE4" w14:textId="77777777" w:rsidR="00885E7C" w:rsidRPr="00885E7C" w:rsidRDefault="00885E7C" w:rsidP="00885E7C">
      <w:pPr>
        <w:spacing w:after="0" w:line="360" w:lineRule="auto"/>
        <w:rPr>
          <w:rFonts w:ascii="Arial" w:eastAsia="Times New Roman" w:hAnsi="Arial" w:cs="Arial"/>
          <w:kern w:val="0"/>
          <w:sz w:val="22"/>
          <w:szCs w:val="22"/>
          <w:lang w:eastAsia="en-GB"/>
          <w14:ligatures w14:val="none"/>
        </w:rPr>
      </w:pPr>
    </w:p>
    <w:p w14:paraId="64035599" w14:textId="6E2C7C4A" w:rsidR="00885E7C" w:rsidRPr="00885E7C" w:rsidRDefault="00885E7C" w:rsidP="00885E7C">
      <w:pPr>
        <w:spacing w:after="0"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One of the most significant goals is</w:t>
      </w:r>
      <w:r w:rsidRPr="00885E7C">
        <w:rPr>
          <w:rFonts w:ascii="Arial" w:eastAsia="Times New Roman" w:hAnsi="Arial" w:cs="Arial"/>
          <w:b/>
          <w:bCs/>
          <w:kern w:val="0"/>
          <w:sz w:val="22"/>
          <w:szCs w:val="22"/>
          <w:lang w:eastAsia="en-GB"/>
          <w14:ligatures w14:val="none"/>
        </w:rPr>
        <w:t xml:space="preserve"> SDG 3</w:t>
      </w:r>
      <w:r w:rsidRPr="00885E7C">
        <w:rPr>
          <w:rFonts w:ascii="Arial" w:eastAsia="Times New Roman" w:hAnsi="Arial" w:cs="Arial"/>
          <w:kern w:val="0"/>
          <w:sz w:val="22"/>
          <w:szCs w:val="22"/>
          <w:lang w:eastAsia="en-GB"/>
          <w14:ligatures w14:val="none"/>
        </w:rPr>
        <w:t>: Good Health and Well-Being, which helps to secure healthy lifestyles and promote well-being for people of all ages.</w:t>
      </w:r>
    </w:p>
    <w:p w14:paraId="29D22624" w14:textId="3BA91599" w:rsidR="00885E7C" w:rsidRPr="00885E7C" w:rsidRDefault="00885E7C" w:rsidP="00885E7C">
      <w:pPr>
        <w:spacing w:after="0"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This objective aims to reduce disease-related fatalities, improve mental health, increase access to healthcare services, and strengthen health systems (United Nations, 2023). However, recent worldwide studies reveal that progress toward several SDG 3 targets has slowed due to issues such as the COVID-19 pandemic, health disparities, and mounting pressure on healthcare systems (World Health Organisation, 2023).</w:t>
      </w:r>
    </w:p>
    <w:p w14:paraId="45387D7A" w14:textId="1E72C2B3" w:rsidR="005D6864" w:rsidRPr="00885E7C" w:rsidRDefault="005D6864" w:rsidP="00885E7C">
      <w:pPr>
        <w:pStyle w:val="NormalWeb"/>
        <w:spacing w:line="360" w:lineRule="auto"/>
        <w:rPr>
          <w:rFonts w:ascii="Arial" w:hAnsi="Arial" w:cs="Arial"/>
          <w:sz w:val="22"/>
          <w:szCs w:val="22"/>
        </w:rPr>
      </w:pPr>
      <w:r w:rsidRPr="00885E7C">
        <w:rPr>
          <w:rFonts w:ascii="Arial" w:hAnsi="Arial" w:cs="Arial"/>
          <w:sz w:val="22"/>
          <w:szCs w:val="22"/>
        </w:rPr>
        <w:t xml:space="preserve">This report will focus mainly on </w:t>
      </w:r>
      <w:r w:rsidRPr="00885E7C">
        <w:rPr>
          <w:rStyle w:val="Strong"/>
          <w:rFonts w:ascii="Arial" w:eastAsiaTheme="majorEastAsia" w:hAnsi="Arial" w:cs="Arial"/>
          <w:sz w:val="22"/>
          <w:szCs w:val="22"/>
        </w:rPr>
        <w:t>SDG 3: Good Health and Well-Being</w:t>
      </w:r>
      <w:r w:rsidRPr="00885E7C">
        <w:rPr>
          <w:rFonts w:ascii="Arial" w:hAnsi="Arial" w:cs="Arial"/>
          <w:sz w:val="22"/>
          <w:szCs w:val="22"/>
        </w:rPr>
        <w:t xml:space="preserve"> and </w:t>
      </w:r>
      <w:r w:rsidRPr="00885E7C">
        <w:rPr>
          <w:rStyle w:val="Strong"/>
          <w:rFonts w:ascii="Arial" w:eastAsiaTheme="majorEastAsia" w:hAnsi="Arial" w:cs="Arial"/>
          <w:sz w:val="22"/>
          <w:szCs w:val="22"/>
        </w:rPr>
        <w:t>SDG 13: Climate Action</w:t>
      </w:r>
      <w:r w:rsidRPr="00885E7C">
        <w:rPr>
          <w:rFonts w:ascii="Arial" w:hAnsi="Arial" w:cs="Arial"/>
          <w:sz w:val="22"/>
          <w:szCs w:val="22"/>
        </w:rPr>
        <w:t xml:space="preserve">. Climate change is strongly connected to health because environmental factors such as air pollution, extreme weather events and food shortages can affect people’s physical and mental health (WHO, 2022). Because of this connection, actions taken to reduce climate change can also help improve health and </w:t>
      </w:r>
      <w:r w:rsidR="00885E7C" w:rsidRPr="00885E7C">
        <w:rPr>
          <w:rFonts w:ascii="Arial" w:hAnsi="Arial" w:cs="Arial"/>
          <w:sz w:val="22"/>
          <w:szCs w:val="22"/>
        </w:rPr>
        <w:t>well-being</w:t>
      </w:r>
      <w:r w:rsidRPr="00885E7C">
        <w:rPr>
          <w:rFonts w:ascii="Arial" w:hAnsi="Arial" w:cs="Arial"/>
          <w:sz w:val="22"/>
          <w:szCs w:val="22"/>
        </w:rPr>
        <w:t>.</w:t>
      </w:r>
    </w:p>
    <w:p w14:paraId="23329580" w14:textId="1A2ACC89" w:rsidR="005D6864"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I will first analyse how SDG 3 and SDG 13 impact the health and well-being of people at global, national, and local levels. It will then assess the effectiveness of national and local health, well-being, and sustainability initiatives. Finally, the report will offer recommendations for improving current policies and initiatives to support health and well-being better.</w:t>
      </w:r>
    </w:p>
    <w:p w14:paraId="1A4F25B3" w14:textId="77777777" w:rsidR="00885E7C" w:rsidRPr="00885E7C" w:rsidRDefault="00885E7C" w:rsidP="00885E7C">
      <w:pPr>
        <w:pStyle w:val="NormalWeb"/>
        <w:spacing w:line="360" w:lineRule="auto"/>
        <w:rPr>
          <w:rFonts w:ascii="Arial" w:hAnsi="Arial" w:cs="Arial"/>
          <w:sz w:val="22"/>
          <w:szCs w:val="22"/>
        </w:rPr>
      </w:pPr>
    </w:p>
    <w:p w14:paraId="07C9620E" w14:textId="4F5720EB"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Section 1: Good Health and Well-being </w:t>
      </w:r>
    </w:p>
    <w:p w14:paraId="38C14293" w14:textId="208FF5D0"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b/>
          <w:bCs/>
          <w:kern w:val="0"/>
          <w:sz w:val="22"/>
          <w:szCs w:val="22"/>
          <w:lang w:eastAsia="en-GB"/>
          <w14:ligatures w14:val="none"/>
        </w:rPr>
        <w:t>SDG 3: Good Health and Well-Being</w:t>
      </w:r>
      <w:r w:rsidRPr="00885E7C">
        <w:rPr>
          <w:rFonts w:ascii="Arial" w:eastAsia="Times New Roman" w:hAnsi="Arial" w:cs="Arial"/>
          <w:kern w:val="0"/>
          <w:sz w:val="22"/>
          <w:szCs w:val="22"/>
          <w:lang w:eastAsia="en-GB"/>
          <w14:ligatures w14:val="none"/>
        </w:rPr>
        <w:t xml:space="preserve"> is one of the 17 Sustainable Development Goals introduced by the United Nations in 2015 as part of the </w:t>
      </w:r>
      <w:r w:rsidRPr="00885E7C">
        <w:rPr>
          <w:rFonts w:ascii="Arial" w:eastAsia="Times New Roman" w:hAnsi="Arial" w:cs="Arial"/>
          <w:b/>
          <w:bCs/>
          <w:kern w:val="0"/>
          <w:sz w:val="22"/>
          <w:szCs w:val="22"/>
          <w:lang w:eastAsia="en-GB"/>
          <w14:ligatures w14:val="none"/>
        </w:rPr>
        <w:t>2030 Agenda for Sustainable Development</w:t>
      </w:r>
      <w:r w:rsidRPr="00885E7C">
        <w:rPr>
          <w:rFonts w:ascii="Arial" w:eastAsia="Times New Roman" w:hAnsi="Arial" w:cs="Arial"/>
          <w:kern w:val="0"/>
          <w:sz w:val="22"/>
          <w:szCs w:val="22"/>
          <w:lang w:eastAsia="en-GB"/>
          <w14:ligatures w14:val="none"/>
        </w:rPr>
        <w:t xml:space="preserve">. The aim of SDG 3 is to ensure healthy lives and promote well-being for people of all ages. The goal focuses on improving healthcare access, reducing deaths from preventable diseases, improving mental health and strengthening health systems worldwide. Key targets include reducing maternal and child mortality, ending epidemics such as HIV/AIDS and tuberculosis, and achieving </w:t>
      </w:r>
      <w:r w:rsidRPr="00885E7C">
        <w:rPr>
          <w:rFonts w:ascii="Arial" w:eastAsia="Times New Roman" w:hAnsi="Arial" w:cs="Arial"/>
          <w:b/>
          <w:bCs/>
          <w:kern w:val="0"/>
          <w:sz w:val="22"/>
          <w:szCs w:val="22"/>
          <w:lang w:eastAsia="en-GB"/>
          <w14:ligatures w14:val="none"/>
        </w:rPr>
        <w:t>universal health coverage</w:t>
      </w:r>
      <w:r w:rsidRPr="00885E7C">
        <w:rPr>
          <w:rFonts w:ascii="Arial" w:eastAsia="Times New Roman" w:hAnsi="Arial" w:cs="Arial"/>
          <w:kern w:val="0"/>
          <w:sz w:val="22"/>
          <w:szCs w:val="22"/>
          <w:lang w:eastAsia="en-GB"/>
          <w14:ligatures w14:val="none"/>
        </w:rPr>
        <w:t>, which means everyone can access healthcare services without financial hardship (United Nations, 2023).</w:t>
      </w:r>
    </w:p>
    <w:p w14:paraId="6923D087"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lastRenderedPageBreak/>
        <w:t>Health is strongly linked with other social factors such as education, income, housing and the environment. Because of this, improving health requires action from governments, healthcare systems and communities at global, national and local levels. Over the past decade, many policies and initiatives have been developed to support the achievement of SDG 3.</w:t>
      </w:r>
    </w:p>
    <w:p w14:paraId="1E03B4B2"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Global Policies and Initiatives</w:t>
      </w:r>
    </w:p>
    <w:p w14:paraId="0F37C87D" w14:textId="20E112BB"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At the global level, organisations such as the World Health Organisation (WHO) and the United Nations play a major role in supporting SDG 3 through international health strategies and partnerships. One key initiative is the </w:t>
      </w:r>
      <w:r w:rsidRPr="00885E7C">
        <w:rPr>
          <w:rFonts w:ascii="Arial" w:eastAsia="Times New Roman" w:hAnsi="Arial" w:cs="Arial"/>
          <w:b/>
          <w:bCs/>
          <w:kern w:val="0"/>
          <w:sz w:val="22"/>
          <w:szCs w:val="22"/>
          <w:lang w:eastAsia="en-GB"/>
          <w14:ligatures w14:val="none"/>
        </w:rPr>
        <w:t>Global Action Plan for Healthy Lives and Well-Being</w:t>
      </w:r>
      <w:r w:rsidRPr="00885E7C">
        <w:rPr>
          <w:rFonts w:ascii="Arial" w:eastAsia="Times New Roman" w:hAnsi="Arial" w:cs="Arial"/>
          <w:kern w:val="0"/>
          <w:sz w:val="22"/>
          <w:szCs w:val="22"/>
          <w:lang w:eastAsia="en-GB"/>
          <w14:ligatures w14:val="none"/>
        </w:rPr>
        <w:t>, which aims to strengthen cooperation between international organisations and support countries in improving healthcare systems (WHO, 2023).</w:t>
      </w:r>
    </w:p>
    <w:p w14:paraId="6A13233F" w14:textId="6E58F990"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Global health programmes have contributed to improvements in areas such as vaccination coverage, disease prevention and maternal health. For example, global vaccination campaigns have helped reduce deaths from preventable diseases such as measles and polio. According to the World Health Organisation (2023), child mortality rates have significantly decreased since 2000 due to better healthcare access and improved public health interventions.</w:t>
      </w:r>
    </w:p>
    <w:p w14:paraId="7B3C1ECB"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However, progress has not been equal across all countries. Low-income countries still face major challenges such as limited healthcare resources, shortages of trained healthcare workers and weak health systems. The COVID-19 pandemic also showed weaknesses in global health preparedness and disrupted many essential health services. A report by the United Nations (2023) found that progress towards many SDG 3 targets has slowed since the pandemic, showing that stronger global cooperation and investment in health systems are needed.</w:t>
      </w:r>
    </w:p>
    <w:p w14:paraId="4C765C10"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National Policies and Initiatives</w:t>
      </w:r>
    </w:p>
    <w:p w14:paraId="73B6B7A3"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At the national level, governments develop health policies and strategies that support the aims of SDG 3. In the United Kingdom, the healthcare system is mainly delivered through the National Health Service (NHS). The NHS provides healthcare services that are free at the point of use, which supports the principle of universal health coverage promoted by SDG 3.</w:t>
      </w:r>
    </w:p>
    <w:p w14:paraId="43AFE2A6"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lastRenderedPageBreak/>
        <w:t xml:space="preserve">The UK government has introduced several strategies to improve public health and wellbeing. One example is the </w:t>
      </w:r>
      <w:r w:rsidRPr="00885E7C">
        <w:rPr>
          <w:rFonts w:ascii="Arial" w:eastAsia="Times New Roman" w:hAnsi="Arial" w:cs="Arial"/>
          <w:b/>
          <w:bCs/>
          <w:kern w:val="0"/>
          <w:sz w:val="22"/>
          <w:szCs w:val="22"/>
          <w:lang w:eastAsia="en-GB"/>
          <w14:ligatures w14:val="none"/>
        </w:rPr>
        <w:t>Prevention Green Paper</w:t>
      </w:r>
      <w:r w:rsidRPr="00885E7C">
        <w:rPr>
          <w:rFonts w:ascii="Arial" w:eastAsia="Times New Roman" w:hAnsi="Arial" w:cs="Arial"/>
          <w:kern w:val="0"/>
          <w:sz w:val="22"/>
          <w:szCs w:val="22"/>
          <w:lang w:eastAsia="en-GB"/>
          <w14:ligatures w14:val="none"/>
        </w:rPr>
        <w:t>, which focuses on preventing illness rather than only treating diseases. This policy promotes healthier lifestyles, early disease detection and community-based health support (Department of Health and Social Care, 2019). Preventive approaches are important because they reduce pressure on healthcare systems and improve long-term health outcomes.</w:t>
      </w:r>
    </w:p>
    <w:p w14:paraId="4D96CCA6"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Another national initiative is the </w:t>
      </w:r>
      <w:r w:rsidRPr="00885E7C">
        <w:rPr>
          <w:rFonts w:ascii="Arial" w:eastAsia="Times New Roman" w:hAnsi="Arial" w:cs="Arial"/>
          <w:b/>
          <w:bCs/>
          <w:kern w:val="0"/>
          <w:sz w:val="22"/>
          <w:szCs w:val="22"/>
          <w:lang w:eastAsia="en-GB"/>
          <w14:ligatures w14:val="none"/>
        </w:rPr>
        <w:t>NHS Long Term Plan</w:t>
      </w:r>
      <w:r w:rsidRPr="00885E7C">
        <w:rPr>
          <w:rFonts w:ascii="Arial" w:eastAsia="Times New Roman" w:hAnsi="Arial" w:cs="Arial"/>
          <w:kern w:val="0"/>
          <w:sz w:val="22"/>
          <w:szCs w:val="22"/>
          <w:lang w:eastAsia="en-GB"/>
          <w14:ligatures w14:val="none"/>
        </w:rPr>
        <w:t>, which aims to improve services for mental health, cancer care and primary healthcare. The plan also focuses on reducing health inequalities and improving access to services in disadvantaged communities (NHS England, 2019).</w:t>
      </w:r>
    </w:p>
    <w:p w14:paraId="2D35EE0C"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Although these policies have helped improve health services in the UK, challenges still exist. Rising demand for healthcare services, an ageing population and staff shortages continue to place pressure on the NHS. In addition, health inequalities remain a major issue, as people living in poorer areas often experience worse health outcomes compared with those in wealthier communities (Marmot et al., 2020).</w:t>
      </w:r>
    </w:p>
    <w:p w14:paraId="08FA11DD"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Local Policies and Initiatives</w:t>
      </w:r>
    </w:p>
    <w:p w14:paraId="7C8BF40B" w14:textId="4C9A6141"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The Local governments also play an important role in improving health and well-being. In England, local authorities are responsible for many public health services such as health promotion, smoking cessation programmes and community wellbeing initiatives. Local public health teams work with healthcare providers, schools and community organisations to support healthier lifestyles and prevent illness.</w:t>
      </w:r>
    </w:p>
    <w:p w14:paraId="201E4302"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For example, local councils often run initiatives that encourage physical activity, healthy eating and mental health support within communities. These programmes may include community exercise schemes, mental health awareness campaigns and local health education projects. Such initiatives are important because they address the social factors that influence health, such as housing, education and access to healthy environments.</w:t>
      </w:r>
    </w:p>
    <w:p w14:paraId="43FD64B1" w14:textId="5991D80C"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However, local public health services often face limited funding and resources. According to The Health Foundation (2022), reductions in public health funding in England have affected the ability of local authorities to deliver effective prevention programmes. This can limit the impact of local initiatives and slow progress towards SDG 3.</w:t>
      </w:r>
    </w:p>
    <w:p w14:paraId="6B0CA048"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Theoretical Perspectives on Health</w:t>
      </w:r>
    </w:p>
    <w:p w14:paraId="5E6DDD05"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lastRenderedPageBreak/>
        <w:t xml:space="preserve">Understanding health inequalities can be supported by theories such as the </w:t>
      </w:r>
      <w:r w:rsidRPr="00885E7C">
        <w:rPr>
          <w:rFonts w:ascii="Arial" w:eastAsia="Times New Roman" w:hAnsi="Arial" w:cs="Arial"/>
          <w:b/>
          <w:bCs/>
          <w:kern w:val="0"/>
          <w:sz w:val="22"/>
          <w:szCs w:val="22"/>
          <w:lang w:eastAsia="en-GB"/>
          <w14:ligatures w14:val="none"/>
        </w:rPr>
        <w:t>Social Determinants of Health</w:t>
      </w:r>
      <w:r w:rsidRPr="00885E7C">
        <w:rPr>
          <w:rFonts w:ascii="Arial" w:eastAsia="Times New Roman" w:hAnsi="Arial" w:cs="Arial"/>
          <w:kern w:val="0"/>
          <w:sz w:val="22"/>
          <w:szCs w:val="22"/>
          <w:lang w:eastAsia="en-GB"/>
          <w14:ligatures w14:val="none"/>
        </w:rPr>
        <w:t xml:space="preserve"> model. This theory suggests that health is influenced by social and economic conditions such as income, education, employment and living conditions (WHO, 2022). According to this model, improving health outcomes requires addressing these wider social factors rather than focusing only on medical treatment.</w:t>
      </w:r>
    </w:p>
    <w:p w14:paraId="37C4F431"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Another important concept is the </w:t>
      </w:r>
      <w:r w:rsidRPr="00885E7C">
        <w:rPr>
          <w:rFonts w:ascii="Arial" w:eastAsia="Times New Roman" w:hAnsi="Arial" w:cs="Arial"/>
          <w:b/>
          <w:bCs/>
          <w:kern w:val="0"/>
          <w:sz w:val="22"/>
          <w:szCs w:val="22"/>
          <w:lang w:eastAsia="en-GB"/>
          <w14:ligatures w14:val="none"/>
        </w:rPr>
        <w:t>Health Promotion Model</w:t>
      </w:r>
      <w:r w:rsidRPr="00885E7C">
        <w:rPr>
          <w:rFonts w:ascii="Arial" w:eastAsia="Times New Roman" w:hAnsi="Arial" w:cs="Arial"/>
          <w:kern w:val="0"/>
          <w:sz w:val="22"/>
          <w:szCs w:val="22"/>
          <w:lang w:eastAsia="en-GB"/>
          <w14:ligatures w14:val="none"/>
        </w:rPr>
        <w:t>, which focuses on helping individuals and communities take control of their health through education, prevention and supportive environments. Health promotion strategies are widely used in public health programmes to encourage healthy behaviours and reduce the risk of disease.</w:t>
      </w:r>
    </w:p>
    <w:p w14:paraId="19D8BA72" w14:textId="40967F79"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These theories show that improving health and well-being requires a holistic approach that includes healthcare services, social policies and community support.</w:t>
      </w:r>
    </w:p>
    <w:p w14:paraId="2A755532"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Recommendations for Improvement</w:t>
      </w:r>
    </w:p>
    <w:p w14:paraId="72523853"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Although many initiatives support SDG 3, further improvements are needed to achieve the goal by 2030. One important recommendation is increasing investment in public health and prevention programmes. Preventive approaches such as health education, early screening and lifestyle interventions can reduce long-term health problems and lower healthcare costs.</w:t>
      </w:r>
    </w:p>
    <w:p w14:paraId="5747CE33"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Another recommendation is to reduce health inequalities by improving access to healthcare services in disadvantaged communities. Governments should focus on policies that address social determinants of health, including poverty, housing and education.</w:t>
      </w:r>
    </w:p>
    <w:p w14:paraId="171EDAB4" w14:textId="10B16E40" w:rsidR="00913B58" w:rsidRPr="005F0407" w:rsidRDefault="00885E7C" w:rsidP="005F0407">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Finally, stronger collaboration between global organisations, national governments and local communities is needed. By working together and sharing resources, countries can strengthen healthcare systems and improve health outcomes worldwide.</w:t>
      </w:r>
    </w:p>
    <w:p w14:paraId="34CB296B" w14:textId="167B3353" w:rsidR="00913B58" w:rsidRPr="00885E7C" w:rsidRDefault="00885E7C" w:rsidP="00885E7C">
      <w:pPr>
        <w:spacing w:line="360" w:lineRule="auto"/>
        <w:rPr>
          <w:rFonts w:ascii="Arial" w:hAnsi="Arial" w:cs="Arial"/>
          <w:sz w:val="22"/>
          <w:szCs w:val="22"/>
        </w:rPr>
      </w:pPr>
      <w:r w:rsidRPr="00885E7C">
        <w:rPr>
          <w:rFonts w:ascii="Arial" w:hAnsi="Arial" w:cs="Arial"/>
          <w:sz w:val="22"/>
          <w:szCs w:val="22"/>
        </w:rPr>
        <w:t>Section 2 Chosen SDG: Climate Action</w:t>
      </w:r>
    </w:p>
    <w:p w14:paraId="0C3027E5"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b/>
          <w:bCs/>
          <w:kern w:val="0"/>
          <w:sz w:val="22"/>
          <w:szCs w:val="22"/>
          <w:lang w:eastAsia="en-GB"/>
          <w14:ligatures w14:val="none"/>
        </w:rPr>
        <w:t>SDG 13: Climate Action</w:t>
      </w:r>
      <w:r w:rsidRPr="00885E7C">
        <w:rPr>
          <w:rFonts w:ascii="Arial" w:eastAsia="Times New Roman" w:hAnsi="Arial" w:cs="Arial"/>
          <w:kern w:val="0"/>
          <w:sz w:val="22"/>
          <w:szCs w:val="22"/>
          <w:lang w:eastAsia="en-GB"/>
          <w14:ligatures w14:val="none"/>
        </w:rPr>
        <w:t xml:space="preserve"> focuses on taking urgent action to reduce climate change and its impacts. Climate change is caused mainly by greenhouse gas emissions from human activities such as burning fossil fuels, transport and industrial production. These changes in the climate can affect people’s health and wellbeing in many ways. For example, higher temperatures can increase heat-related illnesses, while air pollution can lead to breathing problems and heart disease. Extreme weather events such as floods, storms and heatwaves can also damage homes, food supplies and health services (World Health Organization, 2022).</w:t>
      </w:r>
    </w:p>
    <w:p w14:paraId="2E774240"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lastRenderedPageBreak/>
        <w:t xml:space="preserve">Because of these impacts, climate action is closely connected to </w:t>
      </w:r>
      <w:r w:rsidRPr="00885E7C">
        <w:rPr>
          <w:rFonts w:ascii="Arial" w:eastAsia="Times New Roman" w:hAnsi="Arial" w:cs="Arial"/>
          <w:b/>
          <w:bCs/>
          <w:kern w:val="0"/>
          <w:sz w:val="22"/>
          <w:szCs w:val="22"/>
          <w:lang w:eastAsia="en-GB"/>
          <w14:ligatures w14:val="none"/>
        </w:rPr>
        <w:t>SDG 3: Good Health and Well-Being</w:t>
      </w:r>
      <w:r w:rsidRPr="00885E7C">
        <w:rPr>
          <w:rFonts w:ascii="Arial" w:eastAsia="Times New Roman" w:hAnsi="Arial" w:cs="Arial"/>
          <w:kern w:val="0"/>
          <w:sz w:val="22"/>
          <w:szCs w:val="22"/>
          <w:lang w:eastAsia="en-GB"/>
          <w14:ligatures w14:val="none"/>
        </w:rPr>
        <w:t>. Improving environmental conditions can help reduce health risks and improve quality of life. The aim of SDG 13 is to reduce greenhouse gas emissions, improve countries’ ability to deal with climate disasters and encourage sustainable development across all sectors (United Nations, 2023).</w:t>
      </w:r>
    </w:p>
    <w:p w14:paraId="303564B9"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Global Policies and Initiatives</w:t>
      </w:r>
    </w:p>
    <w:p w14:paraId="0B65CE06"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At the global level, climate action is supported through international agreements and cooperation between countries. One of the most important global agreements is the </w:t>
      </w:r>
      <w:r w:rsidRPr="00885E7C">
        <w:rPr>
          <w:rFonts w:ascii="Arial" w:eastAsia="Times New Roman" w:hAnsi="Arial" w:cs="Arial"/>
          <w:b/>
          <w:bCs/>
          <w:kern w:val="0"/>
          <w:sz w:val="22"/>
          <w:szCs w:val="22"/>
          <w:lang w:eastAsia="en-GB"/>
          <w14:ligatures w14:val="none"/>
        </w:rPr>
        <w:t>Paris Agreement</w:t>
      </w:r>
      <w:r w:rsidRPr="00885E7C">
        <w:rPr>
          <w:rFonts w:ascii="Arial" w:eastAsia="Times New Roman" w:hAnsi="Arial" w:cs="Arial"/>
          <w:kern w:val="0"/>
          <w:sz w:val="22"/>
          <w:szCs w:val="22"/>
          <w:lang w:eastAsia="en-GB"/>
          <w14:ligatures w14:val="none"/>
        </w:rPr>
        <w:t>, which was adopted in 2015. Under this agreement, countries committed to limiting global warming and reducing greenhouse gas emissions (United Nations, 2023). Each country is required to create national plans that show how they will reduce emissions and adapt to climate change.</w:t>
      </w:r>
    </w:p>
    <w:p w14:paraId="5B9D743A"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International organisations also support climate action through research, guidance and funding. The </w:t>
      </w:r>
      <w:r w:rsidRPr="00885E7C">
        <w:rPr>
          <w:rFonts w:ascii="Arial" w:eastAsia="Times New Roman" w:hAnsi="Arial" w:cs="Arial"/>
          <w:b/>
          <w:bCs/>
          <w:kern w:val="0"/>
          <w:sz w:val="22"/>
          <w:szCs w:val="22"/>
          <w:lang w:eastAsia="en-GB"/>
          <w14:ligatures w14:val="none"/>
        </w:rPr>
        <w:t>World Health Organization</w:t>
      </w:r>
      <w:r w:rsidRPr="00885E7C">
        <w:rPr>
          <w:rFonts w:ascii="Arial" w:eastAsia="Times New Roman" w:hAnsi="Arial" w:cs="Arial"/>
          <w:kern w:val="0"/>
          <w:sz w:val="22"/>
          <w:szCs w:val="22"/>
          <w:lang w:eastAsia="en-GB"/>
          <w14:ligatures w14:val="none"/>
        </w:rPr>
        <w:t xml:space="preserve"> has highlighted the link between climate change and health, stating that air pollution causes around seven million deaths every year worldwide (WHO, 2022). The organisation encourages governments to include health protection within climate policies.</w:t>
      </w:r>
    </w:p>
    <w:p w14:paraId="4280A9D0"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Global initiatives have helped increase awareness of climate change and encouraged many countries to adopt environmental policies. However, progress has been slow in some areas. Many countries are still producing high levels of greenhouse gases, and global temperatures continue to rise. This shows that stronger global cooperation and more ambitious policies are needed to achieve SDG 13.</w:t>
      </w:r>
    </w:p>
    <w:p w14:paraId="5CFF7B1C"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National Policies and Initiatives</w:t>
      </w:r>
    </w:p>
    <w:p w14:paraId="5022C640"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At the national level, governments develop policies to reduce emissions and protect the environment. In the United Kingdom, climate action is guided by the </w:t>
      </w:r>
      <w:r w:rsidRPr="00885E7C">
        <w:rPr>
          <w:rFonts w:ascii="Arial" w:eastAsia="Times New Roman" w:hAnsi="Arial" w:cs="Arial"/>
          <w:b/>
          <w:bCs/>
          <w:kern w:val="0"/>
          <w:sz w:val="22"/>
          <w:szCs w:val="22"/>
          <w:lang w:eastAsia="en-GB"/>
          <w14:ligatures w14:val="none"/>
        </w:rPr>
        <w:t>Net Zero Strategy</w:t>
      </w:r>
      <w:r w:rsidRPr="00885E7C">
        <w:rPr>
          <w:rFonts w:ascii="Arial" w:eastAsia="Times New Roman" w:hAnsi="Arial" w:cs="Arial"/>
          <w:kern w:val="0"/>
          <w:sz w:val="22"/>
          <w:szCs w:val="22"/>
          <w:lang w:eastAsia="en-GB"/>
          <w14:ligatures w14:val="none"/>
        </w:rPr>
        <w:t>, which aims to reduce greenhouse gas emissions and reach net zero by 2050 (UK Government, 2021). The strategy includes actions such as investing in renewable energy, improving building efficiency and encouraging electric vehicles.</w:t>
      </w:r>
    </w:p>
    <w:p w14:paraId="611C605C"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Another important policy is the </w:t>
      </w:r>
      <w:r w:rsidRPr="00885E7C">
        <w:rPr>
          <w:rFonts w:ascii="Arial" w:eastAsia="Times New Roman" w:hAnsi="Arial" w:cs="Arial"/>
          <w:b/>
          <w:bCs/>
          <w:kern w:val="0"/>
          <w:sz w:val="22"/>
          <w:szCs w:val="22"/>
          <w:lang w:eastAsia="en-GB"/>
          <w14:ligatures w14:val="none"/>
        </w:rPr>
        <w:t>Climate Change Act 2008</w:t>
      </w:r>
      <w:r w:rsidRPr="00885E7C">
        <w:rPr>
          <w:rFonts w:ascii="Arial" w:eastAsia="Times New Roman" w:hAnsi="Arial" w:cs="Arial"/>
          <w:kern w:val="0"/>
          <w:sz w:val="22"/>
          <w:szCs w:val="22"/>
          <w:lang w:eastAsia="en-GB"/>
          <w14:ligatures w14:val="none"/>
        </w:rPr>
        <w:t xml:space="preserve">, which requires the UK government to set legally binding targets to reduce carbon emissions. This law has helped </w:t>
      </w:r>
      <w:r w:rsidRPr="00885E7C">
        <w:rPr>
          <w:rFonts w:ascii="Arial" w:eastAsia="Times New Roman" w:hAnsi="Arial" w:cs="Arial"/>
          <w:kern w:val="0"/>
          <w:sz w:val="22"/>
          <w:szCs w:val="22"/>
          <w:lang w:eastAsia="en-GB"/>
          <w14:ligatures w14:val="none"/>
        </w:rPr>
        <w:lastRenderedPageBreak/>
        <w:t>the UK make progress in reducing emissions over the past decade (Committee on Climate Change, 2022).</w:t>
      </w:r>
    </w:p>
    <w:p w14:paraId="18A9A4D5"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National climate policies can improve health in several ways. For example, reducing pollution from cars and factories can improve air quality and reduce respiratory diseases. Encouraging active transport such as walking and cycling can also improve physical health and reduce obesity.</w:t>
      </w:r>
    </w:p>
    <w:p w14:paraId="3F253913"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However, some experts believe that current national policies are still not strong enough to meet climate targets. There are also concerns about the cost of climate policies and whether all communities will benefit equally. Some low-income households may struggle to afford new technologies such as electric vehicles or energy-efficient home improvements.</w:t>
      </w:r>
    </w:p>
    <w:p w14:paraId="120B6280"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Local Policies and Initiatives</w:t>
      </w:r>
    </w:p>
    <w:p w14:paraId="59CE7EBF"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Local governments also play an important role in climate action. Many councils across the UK have declared </w:t>
      </w:r>
      <w:r w:rsidRPr="00885E7C">
        <w:rPr>
          <w:rFonts w:ascii="Arial" w:eastAsia="Times New Roman" w:hAnsi="Arial" w:cs="Arial"/>
          <w:b/>
          <w:bCs/>
          <w:kern w:val="0"/>
          <w:sz w:val="22"/>
          <w:szCs w:val="22"/>
          <w:lang w:eastAsia="en-GB"/>
          <w14:ligatures w14:val="none"/>
        </w:rPr>
        <w:t>climate emergencies</w:t>
      </w:r>
      <w:r w:rsidRPr="00885E7C">
        <w:rPr>
          <w:rFonts w:ascii="Arial" w:eastAsia="Times New Roman" w:hAnsi="Arial" w:cs="Arial"/>
          <w:kern w:val="0"/>
          <w:sz w:val="22"/>
          <w:szCs w:val="22"/>
          <w:lang w:eastAsia="en-GB"/>
          <w14:ligatures w14:val="none"/>
        </w:rPr>
        <w:t xml:space="preserve"> and developed local climate action plans. These plans aim to reduce emissions and improve environmental sustainability within communities.</w:t>
      </w:r>
    </w:p>
    <w:p w14:paraId="61E152B5"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Local initiatives often focus on improving public transport, increasing recycling and creating more green spaces. Green spaces such as parks and community gardens can improve both physical and mental health by encouraging physical activity and reducing stress (The Health Foundation, 2022). Local councils may also promote cycling routes and encourage people to use public transport instead of cars.</w:t>
      </w:r>
    </w:p>
    <w:p w14:paraId="1C2EC41F"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Although these initiatives are helpful, local authorities often face challenges such as limited budgets and resources. Some councils may find it difficult to implement large environmental projects without support from national government funding.</w:t>
      </w:r>
    </w:p>
    <w:p w14:paraId="49268EFC"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Use of Theories</w:t>
      </w:r>
    </w:p>
    <w:p w14:paraId="67483C73"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One theory that helps explain the link between climate change and health is the </w:t>
      </w:r>
      <w:r w:rsidRPr="00885E7C">
        <w:rPr>
          <w:rFonts w:ascii="Arial" w:eastAsia="Times New Roman" w:hAnsi="Arial" w:cs="Arial"/>
          <w:b/>
          <w:bCs/>
          <w:kern w:val="0"/>
          <w:sz w:val="22"/>
          <w:szCs w:val="22"/>
          <w:lang w:eastAsia="en-GB"/>
          <w14:ligatures w14:val="none"/>
        </w:rPr>
        <w:t>Planetary Health theory</w:t>
      </w:r>
      <w:r w:rsidRPr="00885E7C">
        <w:rPr>
          <w:rFonts w:ascii="Arial" w:eastAsia="Times New Roman" w:hAnsi="Arial" w:cs="Arial"/>
          <w:kern w:val="0"/>
          <w:sz w:val="22"/>
          <w:szCs w:val="22"/>
          <w:lang w:eastAsia="en-GB"/>
          <w14:ligatures w14:val="none"/>
        </w:rPr>
        <w:t>. This theory suggests that human health depends on the health of the planet. When the environment is damaged through pollution, deforestation or climate change, it can also harm human health (</w:t>
      </w:r>
      <w:proofErr w:type="spellStart"/>
      <w:r w:rsidRPr="00885E7C">
        <w:rPr>
          <w:rFonts w:ascii="Arial" w:eastAsia="Times New Roman" w:hAnsi="Arial" w:cs="Arial"/>
          <w:kern w:val="0"/>
          <w:sz w:val="22"/>
          <w:szCs w:val="22"/>
          <w:lang w:eastAsia="en-GB"/>
          <w14:ligatures w14:val="none"/>
        </w:rPr>
        <w:t>Whitmee</w:t>
      </w:r>
      <w:proofErr w:type="spellEnd"/>
      <w:r w:rsidRPr="00885E7C">
        <w:rPr>
          <w:rFonts w:ascii="Arial" w:eastAsia="Times New Roman" w:hAnsi="Arial" w:cs="Arial"/>
          <w:kern w:val="0"/>
          <w:sz w:val="22"/>
          <w:szCs w:val="22"/>
          <w:lang w:eastAsia="en-GB"/>
          <w14:ligatures w14:val="none"/>
        </w:rPr>
        <w:t xml:space="preserve"> et al., 2015).</w:t>
      </w:r>
    </w:p>
    <w:p w14:paraId="5943FEFD"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Another useful concept is </w:t>
      </w:r>
      <w:r w:rsidRPr="00885E7C">
        <w:rPr>
          <w:rFonts w:ascii="Arial" w:eastAsia="Times New Roman" w:hAnsi="Arial" w:cs="Arial"/>
          <w:b/>
          <w:bCs/>
          <w:kern w:val="0"/>
          <w:sz w:val="22"/>
          <w:szCs w:val="22"/>
          <w:lang w:eastAsia="en-GB"/>
          <w14:ligatures w14:val="none"/>
        </w:rPr>
        <w:t>sustainable development</w:t>
      </w:r>
      <w:r w:rsidRPr="00885E7C">
        <w:rPr>
          <w:rFonts w:ascii="Arial" w:eastAsia="Times New Roman" w:hAnsi="Arial" w:cs="Arial"/>
          <w:kern w:val="0"/>
          <w:sz w:val="22"/>
          <w:szCs w:val="22"/>
          <w:lang w:eastAsia="en-GB"/>
          <w14:ligatures w14:val="none"/>
        </w:rPr>
        <w:t xml:space="preserve">. This approach focuses on meeting current needs while protecting resources for future generations. Climate action policies that </w:t>
      </w:r>
      <w:r w:rsidRPr="00885E7C">
        <w:rPr>
          <w:rFonts w:ascii="Arial" w:eastAsia="Times New Roman" w:hAnsi="Arial" w:cs="Arial"/>
          <w:kern w:val="0"/>
          <w:sz w:val="22"/>
          <w:szCs w:val="22"/>
          <w:lang w:eastAsia="en-GB"/>
          <w14:ligatures w14:val="none"/>
        </w:rPr>
        <w:lastRenderedPageBreak/>
        <w:t>follow sustainable development aim to balance economic growth, environmental protection and public health.</w:t>
      </w:r>
    </w:p>
    <w:p w14:paraId="209A0960" w14:textId="0FBC3DE4"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These theories show that protecting the environment is important not only for nature but also for human </w:t>
      </w:r>
      <w:r w:rsidR="005F0407">
        <w:rPr>
          <w:rFonts w:ascii="Arial" w:eastAsia="Times New Roman" w:hAnsi="Arial" w:cs="Arial"/>
          <w:kern w:val="0"/>
          <w:sz w:val="22"/>
          <w:szCs w:val="22"/>
          <w:lang w:eastAsia="en-GB"/>
          <w14:ligatures w14:val="none"/>
        </w:rPr>
        <w:t>well-being</w:t>
      </w:r>
      <w:r w:rsidRPr="00885E7C">
        <w:rPr>
          <w:rFonts w:ascii="Arial" w:eastAsia="Times New Roman" w:hAnsi="Arial" w:cs="Arial"/>
          <w:kern w:val="0"/>
          <w:sz w:val="22"/>
          <w:szCs w:val="22"/>
          <w:lang w:eastAsia="en-GB"/>
          <w14:ligatures w14:val="none"/>
        </w:rPr>
        <w:t>.</w:t>
      </w:r>
    </w:p>
    <w:p w14:paraId="50667D11"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Critical Evaluation</w:t>
      </w:r>
    </w:p>
    <w:p w14:paraId="06D8E32D"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Climate policies at global, national and local levels have helped raise awareness and encourage action to reduce climate change. Agreements such as the Paris Agreement have encouraged countries to set targets for reducing emissions. National policies such as the UK Net Zero Strategy have also helped reduce pollution and support cleaner energy.</w:t>
      </w:r>
    </w:p>
    <w:p w14:paraId="498FDB56"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 xml:space="preserve">However, progress remains slow and uneven across different countries. Some governments are not meeting their climate targets, and global emissions are still increasing. At the local level, many councils want to </w:t>
      </w:r>
      <w:proofErr w:type="gramStart"/>
      <w:r w:rsidRPr="00885E7C">
        <w:rPr>
          <w:rFonts w:ascii="Arial" w:eastAsia="Times New Roman" w:hAnsi="Arial" w:cs="Arial"/>
          <w:kern w:val="0"/>
          <w:sz w:val="22"/>
          <w:szCs w:val="22"/>
          <w:lang w:eastAsia="en-GB"/>
          <w14:ligatures w14:val="none"/>
        </w:rPr>
        <w:t>take action</w:t>
      </w:r>
      <w:proofErr w:type="gramEnd"/>
      <w:r w:rsidRPr="00885E7C">
        <w:rPr>
          <w:rFonts w:ascii="Arial" w:eastAsia="Times New Roman" w:hAnsi="Arial" w:cs="Arial"/>
          <w:kern w:val="0"/>
          <w:sz w:val="22"/>
          <w:szCs w:val="22"/>
          <w:lang w:eastAsia="en-GB"/>
          <w14:ligatures w14:val="none"/>
        </w:rPr>
        <w:t xml:space="preserve"> but do not have enough funding or resources.</w:t>
      </w:r>
    </w:p>
    <w:p w14:paraId="2EDE4F9B"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Another issue is that climate policies must be fair and inclusive. Some communities may be more affected by climate change or may struggle to afford new technologies that support climate action.</w:t>
      </w:r>
    </w:p>
    <w:p w14:paraId="21A0AD39" w14:textId="77777777" w:rsidR="00885E7C" w:rsidRPr="00885E7C" w:rsidRDefault="00885E7C" w:rsidP="00885E7C">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85E7C">
        <w:rPr>
          <w:rFonts w:ascii="Arial" w:eastAsia="Times New Roman" w:hAnsi="Arial" w:cs="Arial"/>
          <w:b/>
          <w:bCs/>
          <w:kern w:val="0"/>
          <w:sz w:val="22"/>
          <w:szCs w:val="22"/>
          <w:lang w:eastAsia="en-GB"/>
          <w14:ligatures w14:val="none"/>
        </w:rPr>
        <w:t>Recommendations</w:t>
      </w:r>
    </w:p>
    <w:p w14:paraId="2C223B3A" w14:textId="6F658620"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To improve progress towards SDG 13, governments should increase investment in renewable energy, such as wind and solar power. This can reduce pollution and protect public health.</w:t>
      </w:r>
    </w:p>
    <w:p w14:paraId="3846D98B"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National governments should also provide more financial support to local councils so they can implement climate initiatives such as green transport and energy-efficient housing.</w:t>
      </w:r>
    </w:p>
    <w:p w14:paraId="11146930"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Public education is also important. Raising awareness about climate change can encourage people to adopt more sustainable behaviours, such as reducing waste and using public transport.</w:t>
      </w:r>
    </w:p>
    <w:p w14:paraId="5714190C" w14:textId="77777777" w:rsidR="00885E7C" w:rsidRPr="00885E7C" w:rsidRDefault="00885E7C" w:rsidP="00885E7C">
      <w:pPr>
        <w:spacing w:before="100" w:beforeAutospacing="1" w:after="100" w:afterAutospacing="1" w:line="360" w:lineRule="auto"/>
        <w:rPr>
          <w:rFonts w:ascii="Arial" w:eastAsia="Times New Roman" w:hAnsi="Arial" w:cs="Arial"/>
          <w:kern w:val="0"/>
          <w:sz w:val="22"/>
          <w:szCs w:val="22"/>
          <w:lang w:eastAsia="en-GB"/>
          <w14:ligatures w14:val="none"/>
        </w:rPr>
      </w:pPr>
      <w:r w:rsidRPr="00885E7C">
        <w:rPr>
          <w:rFonts w:ascii="Arial" w:eastAsia="Times New Roman" w:hAnsi="Arial" w:cs="Arial"/>
          <w:kern w:val="0"/>
          <w:sz w:val="22"/>
          <w:szCs w:val="22"/>
          <w:lang w:eastAsia="en-GB"/>
          <w14:ligatures w14:val="none"/>
        </w:rPr>
        <w:t>Finally, health should be included in climate policies. Recognising the strong link between environmental protection and human health can help governments develop policies that improve both sustainability and wellbeing.</w:t>
      </w:r>
    </w:p>
    <w:p w14:paraId="33FD1F24" w14:textId="5343C05C" w:rsidR="00885E7C" w:rsidRPr="005F0407" w:rsidRDefault="00885E7C" w:rsidP="00885E7C">
      <w:pPr>
        <w:spacing w:line="360" w:lineRule="auto"/>
        <w:rPr>
          <w:rFonts w:ascii="Arial" w:hAnsi="Arial" w:cs="Arial"/>
          <w:b/>
          <w:bCs/>
          <w:sz w:val="22"/>
          <w:szCs w:val="22"/>
        </w:rPr>
      </w:pPr>
      <w:r w:rsidRPr="005F0407">
        <w:rPr>
          <w:rFonts w:ascii="Arial" w:hAnsi="Arial" w:cs="Arial"/>
          <w:b/>
          <w:bCs/>
          <w:sz w:val="22"/>
          <w:szCs w:val="22"/>
        </w:rPr>
        <w:t xml:space="preserve">Conclusion: </w:t>
      </w:r>
    </w:p>
    <w:p w14:paraId="6A97E0C1" w14:textId="788241CF"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lastRenderedPageBreak/>
        <w:t xml:space="preserve">This report looked at how </w:t>
      </w:r>
      <w:r w:rsidRPr="00885E7C">
        <w:rPr>
          <w:rStyle w:val="Strong"/>
          <w:rFonts w:ascii="Arial" w:eastAsiaTheme="majorEastAsia" w:hAnsi="Arial" w:cs="Arial"/>
          <w:sz w:val="22"/>
          <w:szCs w:val="22"/>
        </w:rPr>
        <w:t>SDG 3: Good Health and Well-Being</w:t>
      </w:r>
      <w:r w:rsidRPr="00885E7C">
        <w:rPr>
          <w:rFonts w:ascii="Arial" w:hAnsi="Arial" w:cs="Arial"/>
          <w:sz w:val="22"/>
          <w:szCs w:val="22"/>
        </w:rPr>
        <w:t xml:space="preserve"> and </w:t>
      </w:r>
      <w:r w:rsidRPr="00885E7C">
        <w:rPr>
          <w:rStyle w:val="Strong"/>
          <w:rFonts w:ascii="Arial" w:eastAsiaTheme="majorEastAsia" w:hAnsi="Arial" w:cs="Arial"/>
          <w:sz w:val="22"/>
          <w:szCs w:val="22"/>
        </w:rPr>
        <w:t>SDG 13: Climate Action</w:t>
      </w:r>
      <w:r w:rsidRPr="00885E7C">
        <w:rPr>
          <w:rFonts w:ascii="Arial" w:hAnsi="Arial" w:cs="Arial"/>
          <w:sz w:val="22"/>
          <w:szCs w:val="22"/>
        </w:rPr>
        <w:t xml:space="preserve"> affect people’s health and </w:t>
      </w:r>
      <w:r w:rsidR="005F0407">
        <w:rPr>
          <w:rFonts w:ascii="Arial" w:hAnsi="Arial" w:cs="Arial"/>
          <w:sz w:val="22"/>
          <w:szCs w:val="22"/>
        </w:rPr>
        <w:t>well-being</w:t>
      </w:r>
      <w:r w:rsidRPr="00885E7C">
        <w:rPr>
          <w:rFonts w:ascii="Arial" w:hAnsi="Arial" w:cs="Arial"/>
          <w:sz w:val="22"/>
          <w:szCs w:val="22"/>
        </w:rPr>
        <w:t xml:space="preserve"> at global, national and local levels. The report showed that health is not only about hospitals and doctors. Many other things also affect health, such as the environment, living conditions and government policies. Global actions, such as the </w:t>
      </w:r>
      <w:r w:rsidRPr="00885E7C">
        <w:rPr>
          <w:rStyle w:val="Strong"/>
          <w:rFonts w:ascii="Arial" w:eastAsiaTheme="majorEastAsia" w:hAnsi="Arial" w:cs="Arial"/>
          <w:sz w:val="22"/>
          <w:szCs w:val="22"/>
        </w:rPr>
        <w:t>Paris Agreement</w:t>
      </w:r>
      <w:r w:rsidRPr="00885E7C">
        <w:rPr>
          <w:rFonts w:ascii="Arial" w:hAnsi="Arial" w:cs="Arial"/>
          <w:sz w:val="22"/>
          <w:szCs w:val="22"/>
        </w:rPr>
        <w:t xml:space="preserve">, aim to reduce climate change and protect people’s health. At the national level, the UK government has introduced policies such as the </w:t>
      </w:r>
      <w:r w:rsidRPr="00885E7C">
        <w:rPr>
          <w:rStyle w:val="Strong"/>
          <w:rFonts w:ascii="Arial" w:eastAsiaTheme="majorEastAsia" w:hAnsi="Arial" w:cs="Arial"/>
          <w:sz w:val="22"/>
          <w:szCs w:val="22"/>
        </w:rPr>
        <w:t>Net Zero Strategy</w:t>
      </w:r>
      <w:r w:rsidRPr="00885E7C">
        <w:rPr>
          <w:rFonts w:ascii="Arial" w:hAnsi="Arial" w:cs="Arial"/>
          <w:sz w:val="22"/>
          <w:szCs w:val="22"/>
        </w:rPr>
        <w:t xml:space="preserve"> to reduce pollution and improve the environment. Local councils also support these goals through community health programmes, green spaces and environmental projects.</w:t>
      </w:r>
    </w:p>
    <w:p w14:paraId="5F963696" w14:textId="77777777"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One important point from this report is that the Sustainable Development Goals are connected to each other. For example, action on climate change can help improve health. When air pollution is reduced and environments are cleaner, people are less likely to suffer from breathing problems and other health issues. This shows that progress in one goal can support progress in another.</w:t>
      </w:r>
    </w:p>
    <w:p w14:paraId="20B8F69B" w14:textId="77777777"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However, the report also found some challenges. Some countries are not making fast enough progress on climate action, and many health systems are under pressure. Local councils may also have limited funding to run health and environmental programmes.</w:t>
      </w:r>
    </w:p>
    <w:p w14:paraId="72D9512D" w14:textId="77777777"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Overall, stronger cooperation between governments, organisations and communities is needed. More investment in prevention, cleaner environments and public health services can help improve health and wellbeing and support the achievement of the Sustainable Development Goals.</w:t>
      </w:r>
    </w:p>
    <w:p w14:paraId="61A9D7FA" w14:textId="117B790C" w:rsidR="00885E7C" w:rsidRPr="00885E7C" w:rsidRDefault="005F0407" w:rsidP="00885E7C">
      <w:pPr>
        <w:spacing w:line="360" w:lineRule="auto"/>
        <w:rPr>
          <w:rFonts w:ascii="Arial" w:hAnsi="Arial" w:cs="Arial"/>
          <w:sz w:val="22"/>
          <w:szCs w:val="22"/>
        </w:rPr>
      </w:pPr>
      <w:r w:rsidRPr="00885E7C">
        <w:rPr>
          <w:rFonts w:ascii="Arial" w:hAnsi="Arial" w:cs="Arial"/>
          <w:sz w:val="22"/>
          <w:szCs w:val="22"/>
        </w:rPr>
        <w:t>References</w:t>
      </w:r>
      <w:r w:rsidR="00885E7C" w:rsidRPr="00885E7C">
        <w:rPr>
          <w:rFonts w:ascii="Arial" w:hAnsi="Arial" w:cs="Arial"/>
          <w:sz w:val="22"/>
          <w:szCs w:val="22"/>
        </w:rPr>
        <w:t xml:space="preserve"> </w:t>
      </w:r>
    </w:p>
    <w:p w14:paraId="7CA1CB8A" w14:textId="2E756C1F"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Committee on Climate Change (2022) </w:t>
      </w:r>
      <w:r w:rsidRPr="00885E7C">
        <w:rPr>
          <w:rStyle w:val="Emphasis"/>
          <w:rFonts w:ascii="Arial" w:eastAsiaTheme="majorEastAsia" w:hAnsi="Arial" w:cs="Arial"/>
          <w:sz w:val="22"/>
          <w:szCs w:val="22"/>
        </w:rPr>
        <w:t>Progress in reducing UK emissions: 2022 report to Parliament</w:t>
      </w:r>
      <w:r w:rsidRPr="00885E7C">
        <w:rPr>
          <w:rFonts w:ascii="Arial" w:hAnsi="Arial" w:cs="Arial"/>
          <w:sz w:val="22"/>
          <w:szCs w:val="22"/>
        </w:rPr>
        <w:t xml:space="preserve">. London: Climate Change Committee. Available at: </w:t>
      </w:r>
      <w:hyperlink r:id="rId6" w:tgtFrame="_new" w:history="1">
        <w:r w:rsidRPr="00885E7C">
          <w:rPr>
            <w:rStyle w:val="Hyperlink"/>
            <w:rFonts w:ascii="Arial" w:eastAsiaTheme="majorEastAsia" w:hAnsi="Arial" w:cs="Arial"/>
            <w:sz w:val="22"/>
            <w:szCs w:val="22"/>
          </w:rPr>
          <w:t>https://www.theccc.org.uk</w:t>
        </w:r>
      </w:hyperlink>
      <w:r w:rsidRPr="00885E7C">
        <w:rPr>
          <w:rFonts w:ascii="Arial" w:hAnsi="Arial" w:cs="Arial"/>
          <w:sz w:val="22"/>
          <w:szCs w:val="22"/>
        </w:rPr>
        <w:t xml:space="preserve"> (Accessed: 13 March 2026).</w:t>
      </w:r>
    </w:p>
    <w:p w14:paraId="660A77AC" w14:textId="478CED9E"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Department of Health and Social Care (2019) </w:t>
      </w:r>
      <w:r w:rsidRPr="00885E7C">
        <w:rPr>
          <w:rStyle w:val="Emphasis"/>
          <w:rFonts w:ascii="Arial" w:eastAsiaTheme="majorEastAsia" w:hAnsi="Arial" w:cs="Arial"/>
          <w:sz w:val="22"/>
          <w:szCs w:val="22"/>
        </w:rPr>
        <w:t>Advancing our health: Prevention in the 2020s – consultation document</w:t>
      </w:r>
      <w:r w:rsidRPr="00885E7C">
        <w:rPr>
          <w:rFonts w:ascii="Arial" w:hAnsi="Arial" w:cs="Arial"/>
          <w:sz w:val="22"/>
          <w:szCs w:val="22"/>
        </w:rPr>
        <w:t xml:space="preserve">. London: UK Government. Available at: </w:t>
      </w:r>
      <w:hyperlink r:id="rId7" w:tgtFrame="_new" w:history="1">
        <w:r w:rsidRPr="00885E7C">
          <w:rPr>
            <w:rStyle w:val="Hyperlink"/>
            <w:rFonts w:ascii="Arial" w:eastAsiaTheme="majorEastAsia" w:hAnsi="Arial" w:cs="Arial"/>
            <w:sz w:val="22"/>
            <w:szCs w:val="22"/>
          </w:rPr>
          <w:t>https://www.gov.uk</w:t>
        </w:r>
      </w:hyperlink>
      <w:r w:rsidRPr="00885E7C">
        <w:rPr>
          <w:rFonts w:ascii="Arial" w:hAnsi="Arial" w:cs="Arial"/>
          <w:sz w:val="22"/>
          <w:szCs w:val="22"/>
        </w:rPr>
        <w:t xml:space="preserve"> (Accessed: 13 March 2026).</w:t>
      </w:r>
    </w:p>
    <w:p w14:paraId="3A9DFC25" w14:textId="70460758"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Marmot, M., Allen, J., Boyce, T., Goldblatt, P. and Morrison, J. (2020) </w:t>
      </w:r>
      <w:r w:rsidRPr="00885E7C">
        <w:rPr>
          <w:rStyle w:val="Emphasis"/>
          <w:rFonts w:ascii="Arial" w:eastAsiaTheme="majorEastAsia" w:hAnsi="Arial" w:cs="Arial"/>
          <w:sz w:val="22"/>
          <w:szCs w:val="22"/>
        </w:rPr>
        <w:t>Health equity in England: The Marmot Review 10 years on</w:t>
      </w:r>
      <w:r w:rsidRPr="00885E7C">
        <w:rPr>
          <w:rFonts w:ascii="Arial" w:hAnsi="Arial" w:cs="Arial"/>
          <w:sz w:val="22"/>
          <w:szCs w:val="22"/>
        </w:rPr>
        <w:t xml:space="preserve">. London: Institute of Health Equity. Available at: </w:t>
      </w:r>
      <w:hyperlink r:id="rId8" w:tgtFrame="_new" w:history="1">
        <w:r w:rsidRPr="00885E7C">
          <w:rPr>
            <w:rStyle w:val="Hyperlink"/>
            <w:rFonts w:ascii="Arial" w:eastAsiaTheme="majorEastAsia" w:hAnsi="Arial" w:cs="Arial"/>
            <w:sz w:val="22"/>
            <w:szCs w:val="22"/>
          </w:rPr>
          <w:t>https://www.health.org.uk</w:t>
        </w:r>
      </w:hyperlink>
      <w:r w:rsidRPr="00885E7C">
        <w:rPr>
          <w:rFonts w:ascii="Arial" w:hAnsi="Arial" w:cs="Arial"/>
          <w:sz w:val="22"/>
          <w:szCs w:val="22"/>
        </w:rPr>
        <w:t xml:space="preserve"> (Accessed: 14 March 2026).</w:t>
      </w:r>
    </w:p>
    <w:p w14:paraId="59DED82E" w14:textId="699E1B93"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lastRenderedPageBreak/>
        <w:t xml:space="preserve">NHS England (2019) </w:t>
      </w:r>
      <w:r w:rsidRPr="00885E7C">
        <w:rPr>
          <w:rStyle w:val="Emphasis"/>
          <w:rFonts w:ascii="Arial" w:eastAsiaTheme="majorEastAsia" w:hAnsi="Arial" w:cs="Arial"/>
          <w:sz w:val="22"/>
          <w:szCs w:val="22"/>
        </w:rPr>
        <w:t>The NHS Long Term Plan</w:t>
      </w:r>
      <w:r w:rsidRPr="00885E7C">
        <w:rPr>
          <w:rFonts w:ascii="Arial" w:hAnsi="Arial" w:cs="Arial"/>
          <w:sz w:val="22"/>
          <w:szCs w:val="22"/>
        </w:rPr>
        <w:t xml:space="preserve">. London: NHS England. Available at: </w:t>
      </w:r>
      <w:hyperlink r:id="rId9" w:tgtFrame="_new" w:history="1">
        <w:r w:rsidRPr="00885E7C">
          <w:rPr>
            <w:rStyle w:val="Hyperlink"/>
            <w:rFonts w:ascii="Arial" w:eastAsiaTheme="majorEastAsia" w:hAnsi="Arial" w:cs="Arial"/>
            <w:sz w:val="22"/>
            <w:szCs w:val="22"/>
          </w:rPr>
          <w:t>https://www.longtermplan.nhs.uk</w:t>
        </w:r>
      </w:hyperlink>
      <w:r w:rsidRPr="00885E7C">
        <w:rPr>
          <w:rFonts w:ascii="Arial" w:hAnsi="Arial" w:cs="Arial"/>
          <w:sz w:val="22"/>
          <w:szCs w:val="22"/>
        </w:rPr>
        <w:t xml:space="preserve"> (Accessed: 14 March 2026).</w:t>
      </w:r>
    </w:p>
    <w:p w14:paraId="55183427" w14:textId="6434B9F4"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The Health Foundation (2022) </w:t>
      </w:r>
      <w:r w:rsidRPr="00885E7C">
        <w:rPr>
          <w:rStyle w:val="Emphasis"/>
          <w:rFonts w:ascii="Arial" w:eastAsiaTheme="majorEastAsia" w:hAnsi="Arial" w:cs="Arial"/>
          <w:sz w:val="22"/>
          <w:szCs w:val="22"/>
        </w:rPr>
        <w:t>Climate change and health</w:t>
      </w:r>
      <w:r w:rsidRPr="00885E7C">
        <w:rPr>
          <w:rFonts w:ascii="Arial" w:hAnsi="Arial" w:cs="Arial"/>
          <w:sz w:val="22"/>
          <w:szCs w:val="22"/>
        </w:rPr>
        <w:t xml:space="preserve">. London: The Health Foundation. Available at: </w:t>
      </w:r>
      <w:hyperlink r:id="rId10" w:tgtFrame="_new" w:history="1">
        <w:r w:rsidRPr="00885E7C">
          <w:rPr>
            <w:rStyle w:val="Hyperlink"/>
            <w:rFonts w:ascii="Arial" w:eastAsiaTheme="majorEastAsia" w:hAnsi="Arial" w:cs="Arial"/>
            <w:sz w:val="22"/>
            <w:szCs w:val="22"/>
          </w:rPr>
          <w:t>https://www.health.org.uk</w:t>
        </w:r>
      </w:hyperlink>
      <w:r w:rsidRPr="00885E7C">
        <w:rPr>
          <w:rFonts w:ascii="Arial" w:hAnsi="Arial" w:cs="Arial"/>
          <w:sz w:val="22"/>
          <w:szCs w:val="22"/>
        </w:rPr>
        <w:t xml:space="preserve"> (Accessed: 16 March 2026).</w:t>
      </w:r>
    </w:p>
    <w:p w14:paraId="1C959509" w14:textId="754446C6"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UK Government (2021) </w:t>
      </w:r>
      <w:r w:rsidRPr="00885E7C">
        <w:rPr>
          <w:rStyle w:val="Emphasis"/>
          <w:rFonts w:ascii="Arial" w:eastAsiaTheme="majorEastAsia" w:hAnsi="Arial" w:cs="Arial"/>
          <w:sz w:val="22"/>
          <w:szCs w:val="22"/>
        </w:rPr>
        <w:t>Net Zero Strategy: Build Back Greener</w:t>
      </w:r>
      <w:r w:rsidRPr="00885E7C">
        <w:rPr>
          <w:rFonts w:ascii="Arial" w:hAnsi="Arial" w:cs="Arial"/>
          <w:sz w:val="22"/>
          <w:szCs w:val="22"/>
        </w:rPr>
        <w:t xml:space="preserve">. London: HM Government. Available at: </w:t>
      </w:r>
      <w:hyperlink r:id="rId11" w:tgtFrame="_new" w:history="1">
        <w:r w:rsidRPr="00885E7C">
          <w:rPr>
            <w:rStyle w:val="Hyperlink"/>
            <w:rFonts w:ascii="Arial" w:eastAsiaTheme="majorEastAsia" w:hAnsi="Arial" w:cs="Arial"/>
            <w:sz w:val="22"/>
            <w:szCs w:val="22"/>
          </w:rPr>
          <w:t>https://www.gov.uk</w:t>
        </w:r>
      </w:hyperlink>
      <w:r w:rsidRPr="00885E7C">
        <w:rPr>
          <w:rFonts w:ascii="Arial" w:hAnsi="Arial" w:cs="Arial"/>
          <w:sz w:val="22"/>
          <w:szCs w:val="22"/>
        </w:rPr>
        <w:t xml:space="preserve"> (Accessed: 16 March 2026).</w:t>
      </w:r>
    </w:p>
    <w:p w14:paraId="31833E15" w14:textId="4EDE2718"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United Nations (2023)</w:t>
      </w:r>
      <w:r w:rsidR="005F0407">
        <w:rPr>
          <w:rFonts w:ascii="Arial" w:hAnsi="Arial" w:cs="Arial"/>
          <w:sz w:val="22"/>
          <w:szCs w:val="22"/>
        </w:rPr>
        <w:t>.</w:t>
      </w:r>
      <w:r w:rsidRPr="00885E7C">
        <w:rPr>
          <w:rFonts w:ascii="Arial" w:hAnsi="Arial" w:cs="Arial"/>
          <w:sz w:val="22"/>
          <w:szCs w:val="22"/>
        </w:rPr>
        <w:t xml:space="preserve"> </w:t>
      </w:r>
      <w:r w:rsidRPr="00885E7C">
        <w:rPr>
          <w:rStyle w:val="Emphasis"/>
          <w:rFonts w:ascii="Arial" w:eastAsiaTheme="majorEastAsia" w:hAnsi="Arial" w:cs="Arial"/>
          <w:sz w:val="22"/>
          <w:szCs w:val="22"/>
        </w:rPr>
        <w:t>The Sustainable Development Goals Report 2023</w:t>
      </w:r>
      <w:r w:rsidRPr="00885E7C">
        <w:rPr>
          <w:rFonts w:ascii="Arial" w:hAnsi="Arial" w:cs="Arial"/>
          <w:sz w:val="22"/>
          <w:szCs w:val="22"/>
        </w:rPr>
        <w:t xml:space="preserve">. New York: United Nations. Available at: </w:t>
      </w:r>
      <w:hyperlink r:id="rId12" w:tgtFrame="_new" w:history="1">
        <w:r w:rsidRPr="00885E7C">
          <w:rPr>
            <w:rStyle w:val="Hyperlink"/>
            <w:rFonts w:ascii="Arial" w:eastAsiaTheme="majorEastAsia" w:hAnsi="Arial" w:cs="Arial"/>
            <w:sz w:val="22"/>
            <w:szCs w:val="22"/>
          </w:rPr>
          <w:t>https://unstats.un.org/sdgs</w:t>
        </w:r>
      </w:hyperlink>
      <w:r w:rsidRPr="00885E7C">
        <w:rPr>
          <w:rFonts w:ascii="Arial" w:hAnsi="Arial" w:cs="Arial"/>
          <w:sz w:val="22"/>
          <w:szCs w:val="22"/>
        </w:rPr>
        <w:t xml:space="preserve"> (Accessed: 17 March 2026).</w:t>
      </w:r>
    </w:p>
    <w:p w14:paraId="12F16DDE" w14:textId="77777777" w:rsidR="00885E7C" w:rsidRPr="00885E7C" w:rsidRDefault="00885E7C" w:rsidP="00885E7C">
      <w:pPr>
        <w:pStyle w:val="NormalWeb"/>
        <w:spacing w:line="360" w:lineRule="auto"/>
        <w:rPr>
          <w:rFonts w:ascii="Arial" w:hAnsi="Arial" w:cs="Arial"/>
          <w:sz w:val="22"/>
          <w:szCs w:val="22"/>
        </w:rPr>
      </w:pPr>
      <w:proofErr w:type="spellStart"/>
      <w:r w:rsidRPr="00885E7C">
        <w:rPr>
          <w:rFonts w:ascii="Arial" w:hAnsi="Arial" w:cs="Arial"/>
          <w:sz w:val="22"/>
          <w:szCs w:val="22"/>
        </w:rPr>
        <w:t>Whitmee</w:t>
      </w:r>
      <w:proofErr w:type="spellEnd"/>
      <w:r w:rsidRPr="00885E7C">
        <w:rPr>
          <w:rFonts w:ascii="Arial" w:hAnsi="Arial" w:cs="Arial"/>
          <w:sz w:val="22"/>
          <w:szCs w:val="22"/>
        </w:rPr>
        <w:t xml:space="preserve">, S., Haines, A., Beyrer, C., Boltz, F., Capon, A., Dias, B., Ezeh, A., Frumkin, H., Gong, P., Head, P. and Horton, R. (2015) ‘Safeguarding human health in the Anthropocene epoch: Report of The Rockefeller Foundation–Lancet Commission on planetary health’, </w:t>
      </w:r>
      <w:r w:rsidRPr="00885E7C">
        <w:rPr>
          <w:rStyle w:val="Emphasis"/>
          <w:rFonts w:ascii="Arial" w:eastAsiaTheme="majorEastAsia" w:hAnsi="Arial" w:cs="Arial"/>
          <w:sz w:val="22"/>
          <w:szCs w:val="22"/>
        </w:rPr>
        <w:t>The Lancet</w:t>
      </w:r>
      <w:r w:rsidRPr="00885E7C">
        <w:rPr>
          <w:rFonts w:ascii="Arial" w:hAnsi="Arial" w:cs="Arial"/>
          <w:sz w:val="22"/>
          <w:szCs w:val="22"/>
        </w:rPr>
        <w:t>, 386(10007), pp. 1973–2028.</w:t>
      </w:r>
    </w:p>
    <w:p w14:paraId="5310A701" w14:textId="26ADB98B"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World Health </w:t>
      </w:r>
      <w:r w:rsidR="005F0407">
        <w:rPr>
          <w:rFonts w:ascii="Arial" w:hAnsi="Arial" w:cs="Arial"/>
          <w:sz w:val="22"/>
          <w:szCs w:val="22"/>
        </w:rPr>
        <w:t>Organisation</w:t>
      </w:r>
      <w:r w:rsidRPr="00885E7C">
        <w:rPr>
          <w:rFonts w:ascii="Arial" w:hAnsi="Arial" w:cs="Arial"/>
          <w:sz w:val="22"/>
          <w:szCs w:val="22"/>
        </w:rPr>
        <w:t xml:space="preserve"> (2022) </w:t>
      </w:r>
      <w:r w:rsidRPr="00885E7C">
        <w:rPr>
          <w:rStyle w:val="Emphasis"/>
          <w:rFonts w:ascii="Arial" w:eastAsiaTheme="majorEastAsia" w:hAnsi="Arial" w:cs="Arial"/>
          <w:sz w:val="22"/>
          <w:szCs w:val="22"/>
        </w:rPr>
        <w:t>Climate change and health</w:t>
      </w:r>
      <w:r w:rsidRPr="00885E7C">
        <w:rPr>
          <w:rFonts w:ascii="Arial" w:hAnsi="Arial" w:cs="Arial"/>
          <w:sz w:val="22"/>
          <w:szCs w:val="22"/>
        </w:rPr>
        <w:t xml:space="preserve">. Geneva: World Health </w:t>
      </w:r>
      <w:r w:rsidR="005F0407">
        <w:rPr>
          <w:rFonts w:ascii="Arial" w:hAnsi="Arial" w:cs="Arial"/>
          <w:sz w:val="22"/>
          <w:szCs w:val="22"/>
        </w:rPr>
        <w:t>Organisation</w:t>
      </w:r>
      <w:r w:rsidRPr="00885E7C">
        <w:rPr>
          <w:rFonts w:ascii="Arial" w:hAnsi="Arial" w:cs="Arial"/>
          <w:sz w:val="22"/>
          <w:szCs w:val="22"/>
        </w:rPr>
        <w:t xml:space="preserve">. Available at: </w:t>
      </w:r>
      <w:hyperlink r:id="rId13" w:tgtFrame="_new" w:history="1">
        <w:r w:rsidRPr="00885E7C">
          <w:rPr>
            <w:rStyle w:val="Hyperlink"/>
            <w:rFonts w:ascii="Arial" w:eastAsiaTheme="majorEastAsia" w:hAnsi="Arial" w:cs="Arial"/>
            <w:sz w:val="22"/>
            <w:szCs w:val="22"/>
          </w:rPr>
          <w:t>https://www.who.int</w:t>
        </w:r>
      </w:hyperlink>
      <w:r w:rsidRPr="00885E7C">
        <w:rPr>
          <w:rFonts w:ascii="Arial" w:hAnsi="Arial" w:cs="Arial"/>
          <w:sz w:val="22"/>
          <w:szCs w:val="22"/>
        </w:rPr>
        <w:t xml:space="preserve"> (Accessed: 17 March 2026).</w:t>
      </w:r>
    </w:p>
    <w:p w14:paraId="40E3A489" w14:textId="4BF95A1D" w:rsidR="00885E7C" w:rsidRPr="00885E7C" w:rsidRDefault="00885E7C" w:rsidP="00885E7C">
      <w:pPr>
        <w:pStyle w:val="NormalWeb"/>
        <w:spacing w:line="360" w:lineRule="auto"/>
        <w:rPr>
          <w:rFonts w:ascii="Arial" w:hAnsi="Arial" w:cs="Arial"/>
          <w:sz w:val="22"/>
          <w:szCs w:val="22"/>
        </w:rPr>
      </w:pPr>
      <w:r w:rsidRPr="00885E7C">
        <w:rPr>
          <w:rFonts w:ascii="Arial" w:hAnsi="Arial" w:cs="Arial"/>
          <w:sz w:val="22"/>
          <w:szCs w:val="22"/>
        </w:rPr>
        <w:t xml:space="preserve">World Health </w:t>
      </w:r>
      <w:r w:rsidR="005F0407">
        <w:rPr>
          <w:rFonts w:ascii="Arial" w:hAnsi="Arial" w:cs="Arial"/>
          <w:sz w:val="22"/>
          <w:szCs w:val="22"/>
        </w:rPr>
        <w:t>Organisation</w:t>
      </w:r>
      <w:r w:rsidRPr="00885E7C">
        <w:rPr>
          <w:rFonts w:ascii="Arial" w:hAnsi="Arial" w:cs="Arial"/>
          <w:sz w:val="22"/>
          <w:szCs w:val="22"/>
        </w:rPr>
        <w:t xml:space="preserve"> (2023) </w:t>
      </w:r>
      <w:r w:rsidRPr="00885E7C">
        <w:rPr>
          <w:rStyle w:val="Emphasis"/>
          <w:rFonts w:ascii="Arial" w:eastAsiaTheme="majorEastAsia" w:hAnsi="Arial" w:cs="Arial"/>
          <w:sz w:val="22"/>
          <w:szCs w:val="22"/>
        </w:rPr>
        <w:t>Progress towards the Sustainable Development Goals: Health-related targets</w:t>
      </w:r>
      <w:r w:rsidRPr="00885E7C">
        <w:rPr>
          <w:rFonts w:ascii="Arial" w:hAnsi="Arial" w:cs="Arial"/>
          <w:sz w:val="22"/>
          <w:szCs w:val="22"/>
        </w:rPr>
        <w:t xml:space="preserve">. Geneva: World Health </w:t>
      </w:r>
      <w:r w:rsidR="005F0407">
        <w:rPr>
          <w:rFonts w:ascii="Arial" w:hAnsi="Arial" w:cs="Arial"/>
          <w:sz w:val="22"/>
          <w:szCs w:val="22"/>
        </w:rPr>
        <w:t>Organisation</w:t>
      </w:r>
      <w:r w:rsidRPr="00885E7C">
        <w:rPr>
          <w:rFonts w:ascii="Arial" w:hAnsi="Arial" w:cs="Arial"/>
          <w:sz w:val="22"/>
          <w:szCs w:val="22"/>
        </w:rPr>
        <w:t xml:space="preserve">. Available at: </w:t>
      </w:r>
      <w:hyperlink r:id="rId14" w:tgtFrame="_new" w:history="1">
        <w:r w:rsidRPr="00885E7C">
          <w:rPr>
            <w:rStyle w:val="Hyperlink"/>
            <w:rFonts w:ascii="Arial" w:eastAsiaTheme="majorEastAsia" w:hAnsi="Arial" w:cs="Arial"/>
            <w:sz w:val="22"/>
            <w:szCs w:val="22"/>
          </w:rPr>
          <w:t>https://www.who.int</w:t>
        </w:r>
      </w:hyperlink>
      <w:r w:rsidRPr="00885E7C">
        <w:rPr>
          <w:rFonts w:ascii="Arial" w:hAnsi="Arial" w:cs="Arial"/>
          <w:sz w:val="22"/>
          <w:szCs w:val="22"/>
        </w:rPr>
        <w:t xml:space="preserve"> (Accessed: 17 March 2026).</w:t>
      </w:r>
    </w:p>
    <w:p w14:paraId="58B250AA" w14:textId="77777777" w:rsidR="00885E7C" w:rsidRPr="00885E7C" w:rsidRDefault="00885E7C" w:rsidP="00885E7C">
      <w:pPr>
        <w:spacing w:line="360" w:lineRule="auto"/>
        <w:rPr>
          <w:rFonts w:ascii="Arial" w:hAnsi="Arial" w:cs="Arial"/>
          <w:sz w:val="22"/>
          <w:szCs w:val="22"/>
        </w:rPr>
      </w:pPr>
    </w:p>
    <w:sectPr w:rsidR="00885E7C" w:rsidRPr="00885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B58"/>
    <w:rsid w:val="00590D93"/>
    <w:rsid w:val="005D6864"/>
    <w:rsid w:val="005F0407"/>
    <w:rsid w:val="006D0CD3"/>
    <w:rsid w:val="00885E7C"/>
    <w:rsid w:val="00913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74568"/>
  <w15:chartTrackingRefBased/>
  <w15:docId w15:val="{A24B68A9-8191-484E-AFD6-F481943D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B58"/>
    <w:rPr>
      <w:rFonts w:eastAsiaTheme="majorEastAsia" w:cstheme="majorBidi"/>
      <w:color w:val="272727" w:themeColor="text1" w:themeTint="D8"/>
    </w:rPr>
  </w:style>
  <w:style w:type="paragraph" w:styleId="Title">
    <w:name w:val="Title"/>
    <w:basedOn w:val="Normal"/>
    <w:next w:val="Normal"/>
    <w:link w:val="TitleChar"/>
    <w:uiPriority w:val="10"/>
    <w:qFormat/>
    <w:rsid w:val="00913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B58"/>
    <w:pPr>
      <w:spacing w:before="160"/>
      <w:jc w:val="center"/>
    </w:pPr>
    <w:rPr>
      <w:i/>
      <w:iCs/>
      <w:color w:val="404040" w:themeColor="text1" w:themeTint="BF"/>
    </w:rPr>
  </w:style>
  <w:style w:type="character" w:customStyle="1" w:styleId="QuoteChar">
    <w:name w:val="Quote Char"/>
    <w:basedOn w:val="DefaultParagraphFont"/>
    <w:link w:val="Quote"/>
    <w:uiPriority w:val="29"/>
    <w:rsid w:val="00913B58"/>
    <w:rPr>
      <w:i/>
      <w:iCs/>
      <w:color w:val="404040" w:themeColor="text1" w:themeTint="BF"/>
    </w:rPr>
  </w:style>
  <w:style w:type="paragraph" w:styleId="ListParagraph">
    <w:name w:val="List Paragraph"/>
    <w:basedOn w:val="Normal"/>
    <w:uiPriority w:val="34"/>
    <w:qFormat/>
    <w:rsid w:val="00913B58"/>
    <w:pPr>
      <w:ind w:left="720"/>
      <w:contextualSpacing/>
    </w:pPr>
  </w:style>
  <w:style w:type="character" w:styleId="IntenseEmphasis">
    <w:name w:val="Intense Emphasis"/>
    <w:basedOn w:val="DefaultParagraphFont"/>
    <w:uiPriority w:val="21"/>
    <w:qFormat/>
    <w:rsid w:val="00913B58"/>
    <w:rPr>
      <w:i/>
      <w:iCs/>
      <w:color w:val="0F4761" w:themeColor="accent1" w:themeShade="BF"/>
    </w:rPr>
  </w:style>
  <w:style w:type="paragraph" w:styleId="IntenseQuote">
    <w:name w:val="Intense Quote"/>
    <w:basedOn w:val="Normal"/>
    <w:next w:val="Normal"/>
    <w:link w:val="IntenseQuoteChar"/>
    <w:uiPriority w:val="30"/>
    <w:qFormat/>
    <w:rsid w:val="00913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B58"/>
    <w:rPr>
      <w:i/>
      <w:iCs/>
      <w:color w:val="0F4761" w:themeColor="accent1" w:themeShade="BF"/>
    </w:rPr>
  </w:style>
  <w:style w:type="character" w:styleId="IntenseReference">
    <w:name w:val="Intense Reference"/>
    <w:basedOn w:val="DefaultParagraphFont"/>
    <w:uiPriority w:val="32"/>
    <w:qFormat/>
    <w:rsid w:val="00913B58"/>
    <w:rPr>
      <w:b/>
      <w:bCs/>
      <w:smallCaps/>
      <w:color w:val="0F4761" w:themeColor="accent1" w:themeShade="BF"/>
      <w:spacing w:val="5"/>
    </w:rPr>
  </w:style>
  <w:style w:type="paragraph" w:styleId="NormalWeb">
    <w:name w:val="Normal (Web)"/>
    <w:basedOn w:val="Normal"/>
    <w:uiPriority w:val="99"/>
    <w:semiHidden/>
    <w:unhideWhenUsed/>
    <w:rsid w:val="005D68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D6864"/>
    <w:rPr>
      <w:b/>
      <w:bCs/>
    </w:rPr>
  </w:style>
  <w:style w:type="character" w:styleId="Emphasis">
    <w:name w:val="Emphasis"/>
    <w:basedOn w:val="DefaultParagraphFont"/>
    <w:uiPriority w:val="20"/>
    <w:qFormat/>
    <w:rsid w:val="00885E7C"/>
    <w:rPr>
      <w:i/>
      <w:iCs/>
    </w:rPr>
  </w:style>
  <w:style w:type="character" w:styleId="Hyperlink">
    <w:name w:val="Hyperlink"/>
    <w:basedOn w:val="DefaultParagraphFont"/>
    <w:uiPriority w:val="99"/>
    <w:semiHidden/>
    <w:unhideWhenUsed/>
    <w:rsid w:val="00885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 TargetMode="External"/><Relationship Id="rId13"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gov.uk" TargetMode="External"/><Relationship Id="rId12" Type="http://schemas.openxmlformats.org/officeDocument/2006/relationships/hyperlink" Target="https://unstats.un.org/sdg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eccc.org.uk" TargetMode="External"/><Relationship Id="rId11" Type="http://schemas.openxmlformats.org/officeDocument/2006/relationships/hyperlink" Target="https://www.gov.uk"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health.org.uk" TargetMode="External"/><Relationship Id="rId4" Type="http://schemas.openxmlformats.org/officeDocument/2006/relationships/webSettings" Target="webSettings.xml"/><Relationship Id="rId9" Type="http://schemas.openxmlformats.org/officeDocument/2006/relationships/hyperlink" Target="https://www.longtermplan.nhs.uk"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9D8D0-F6CA-46EE-B3A6-8FE8A8775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Arif (2220569)</dc:creator>
  <cp:keywords/>
  <dc:description/>
  <cp:lastModifiedBy>Saira Arif (2220569)</cp:lastModifiedBy>
  <cp:revision>2</cp:revision>
  <dcterms:created xsi:type="dcterms:W3CDTF">2026-03-14T20:49:00Z</dcterms:created>
  <dcterms:modified xsi:type="dcterms:W3CDTF">2026-03-21T00:08:00Z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d36df42b-1cea-4b07-8a57-4210edee7b99</vt:lpwstr>
  </property>
</Properties>
</file>