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0F053" w14:textId="77777777" w:rsidR="00DB67C7" w:rsidRDefault="00DB67C7" w:rsidP="00E830E5">
      <w:pPr>
        <w:jc w:val="center"/>
        <w:rPr>
          <w:b/>
          <w:bCs/>
        </w:rPr>
      </w:pPr>
    </w:p>
    <w:p w14:paraId="4298036F" w14:textId="0FC29AC5" w:rsidR="00DB67C7" w:rsidRPr="00CE1838" w:rsidRDefault="00CC1DE0" w:rsidP="00C06F10">
      <w:pPr>
        <w:rPr>
          <w:b/>
          <w:bCs/>
          <w:sz w:val="40"/>
          <w:szCs w:val="40"/>
        </w:rPr>
      </w:pPr>
      <w:r w:rsidRPr="00CE1838">
        <w:rPr>
          <w:b/>
          <w:bCs/>
          <w:sz w:val="40"/>
          <w:szCs w:val="40"/>
        </w:rPr>
        <w:t>Research Methods BMSW7004</w:t>
      </w:r>
    </w:p>
    <w:p w14:paraId="2E38A39A" w14:textId="49CDE0C3" w:rsidR="008E5DDF" w:rsidRPr="00CE1838" w:rsidRDefault="008E5DDF" w:rsidP="008E5DDF">
      <w:pPr>
        <w:rPr>
          <w:b/>
          <w:bCs/>
          <w:sz w:val="40"/>
          <w:szCs w:val="40"/>
        </w:rPr>
      </w:pPr>
      <w:r w:rsidRPr="00CE1838">
        <w:rPr>
          <w:b/>
          <w:bCs/>
          <w:sz w:val="40"/>
          <w:szCs w:val="40"/>
        </w:rPr>
        <w:t xml:space="preserve">Assignment 1 - Presentation </w:t>
      </w:r>
    </w:p>
    <w:p w14:paraId="210709E1" w14:textId="2327880C" w:rsidR="00CC1DE0" w:rsidRPr="00CE1838" w:rsidRDefault="00CC1DE0" w:rsidP="00C06F10">
      <w:pPr>
        <w:rPr>
          <w:b/>
          <w:bCs/>
          <w:sz w:val="40"/>
          <w:szCs w:val="40"/>
        </w:rPr>
      </w:pPr>
      <w:r w:rsidRPr="00CE1838">
        <w:rPr>
          <w:b/>
          <w:bCs/>
          <w:sz w:val="40"/>
          <w:szCs w:val="40"/>
        </w:rPr>
        <w:t>June 2025</w:t>
      </w:r>
    </w:p>
    <w:p w14:paraId="156C47D0" w14:textId="77777777" w:rsidR="00DB67C7" w:rsidRPr="00CE1838" w:rsidRDefault="00DB67C7" w:rsidP="00C06F10">
      <w:pPr>
        <w:rPr>
          <w:b/>
          <w:bCs/>
          <w:sz w:val="40"/>
          <w:szCs w:val="40"/>
        </w:rPr>
      </w:pPr>
    </w:p>
    <w:p w14:paraId="39BD8557" w14:textId="77777777" w:rsidR="00DB67C7" w:rsidRPr="00CE1838" w:rsidRDefault="00DB67C7" w:rsidP="00C06F10">
      <w:pPr>
        <w:rPr>
          <w:b/>
          <w:bCs/>
          <w:sz w:val="40"/>
          <w:szCs w:val="40"/>
        </w:rPr>
      </w:pPr>
    </w:p>
    <w:p w14:paraId="43B4F370" w14:textId="141F39BE" w:rsidR="00DB67C7" w:rsidRPr="00CE1838" w:rsidRDefault="00C2475C" w:rsidP="00C06F10">
      <w:pPr>
        <w:rPr>
          <w:b/>
          <w:bCs/>
          <w:sz w:val="40"/>
          <w:szCs w:val="40"/>
        </w:rPr>
      </w:pPr>
      <w:r w:rsidRPr="00CE1838">
        <w:rPr>
          <w:b/>
          <w:bCs/>
          <w:sz w:val="40"/>
          <w:szCs w:val="40"/>
        </w:rPr>
        <w:t>Natalie Owens</w:t>
      </w:r>
    </w:p>
    <w:p w14:paraId="7A09F112" w14:textId="4D9D34CC" w:rsidR="00C2475C" w:rsidRPr="00CE1838" w:rsidRDefault="00C2475C" w:rsidP="00C06F10">
      <w:pPr>
        <w:rPr>
          <w:b/>
          <w:bCs/>
          <w:sz w:val="40"/>
          <w:szCs w:val="40"/>
        </w:rPr>
      </w:pPr>
      <w:r w:rsidRPr="00CE1838">
        <w:rPr>
          <w:b/>
          <w:bCs/>
          <w:sz w:val="40"/>
          <w:szCs w:val="40"/>
        </w:rPr>
        <w:t>2417672</w:t>
      </w:r>
    </w:p>
    <w:p w14:paraId="03E8F7F6" w14:textId="77777777" w:rsidR="00FD39EA" w:rsidRPr="00CE1838" w:rsidRDefault="00FD39EA" w:rsidP="00C06F10">
      <w:pPr>
        <w:rPr>
          <w:b/>
          <w:bCs/>
          <w:color w:val="FF0000"/>
          <w:sz w:val="40"/>
          <w:szCs w:val="40"/>
        </w:rPr>
      </w:pPr>
    </w:p>
    <w:p w14:paraId="0CC4B4A5" w14:textId="77777777" w:rsidR="000D6791" w:rsidRPr="00CE1838" w:rsidRDefault="000D6791" w:rsidP="00C06F10">
      <w:pPr>
        <w:rPr>
          <w:b/>
          <w:bCs/>
          <w:color w:val="FF0000"/>
          <w:sz w:val="40"/>
          <w:szCs w:val="40"/>
        </w:rPr>
      </w:pPr>
    </w:p>
    <w:p w14:paraId="11586620" w14:textId="77777777" w:rsidR="000D6791" w:rsidRPr="00CE1838" w:rsidRDefault="000D6791" w:rsidP="00C06F10">
      <w:pPr>
        <w:rPr>
          <w:b/>
          <w:bCs/>
          <w:color w:val="FF0000"/>
          <w:sz w:val="40"/>
          <w:szCs w:val="40"/>
        </w:rPr>
      </w:pPr>
    </w:p>
    <w:p w14:paraId="03E23CCC" w14:textId="77777777" w:rsidR="000D6791" w:rsidRPr="00CE1838" w:rsidRDefault="000D6791" w:rsidP="00C06F10">
      <w:pPr>
        <w:rPr>
          <w:b/>
          <w:bCs/>
          <w:color w:val="FF0000"/>
          <w:sz w:val="40"/>
          <w:szCs w:val="40"/>
        </w:rPr>
      </w:pPr>
    </w:p>
    <w:p w14:paraId="3A3D993D" w14:textId="77777777" w:rsidR="000D6791" w:rsidRDefault="000D6791" w:rsidP="00C06F10">
      <w:pPr>
        <w:rPr>
          <w:b/>
          <w:bCs/>
          <w:color w:val="FF0000"/>
        </w:rPr>
      </w:pPr>
    </w:p>
    <w:p w14:paraId="0EEE113F" w14:textId="77777777" w:rsidR="000D6791" w:rsidRDefault="000D6791" w:rsidP="00C06F10">
      <w:pPr>
        <w:rPr>
          <w:b/>
          <w:bCs/>
          <w:color w:val="FF0000"/>
        </w:rPr>
      </w:pPr>
    </w:p>
    <w:p w14:paraId="68409413" w14:textId="77777777" w:rsidR="000D6791" w:rsidRDefault="000D6791" w:rsidP="00C06F10">
      <w:pPr>
        <w:rPr>
          <w:b/>
          <w:bCs/>
          <w:color w:val="FF0000"/>
        </w:rPr>
      </w:pPr>
    </w:p>
    <w:p w14:paraId="38AE63C8" w14:textId="77777777" w:rsidR="000D6791" w:rsidRDefault="000D6791" w:rsidP="00C06F10">
      <w:pPr>
        <w:rPr>
          <w:b/>
          <w:bCs/>
          <w:color w:val="FF0000"/>
        </w:rPr>
      </w:pPr>
    </w:p>
    <w:p w14:paraId="7152E503" w14:textId="77777777" w:rsidR="000D6791" w:rsidRDefault="000D6791" w:rsidP="00C06F10">
      <w:pPr>
        <w:rPr>
          <w:b/>
          <w:bCs/>
          <w:color w:val="FF0000"/>
        </w:rPr>
      </w:pPr>
    </w:p>
    <w:p w14:paraId="7708596B" w14:textId="77777777" w:rsidR="000D6791" w:rsidRDefault="000D6791" w:rsidP="00C06F10">
      <w:pPr>
        <w:rPr>
          <w:b/>
          <w:bCs/>
          <w:color w:val="FF0000"/>
        </w:rPr>
      </w:pPr>
    </w:p>
    <w:p w14:paraId="4B79A1F6" w14:textId="77777777" w:rsidR="000D6791" w:rsidRDefault="000D6791" w:rsidP="00C06F10">
      <w:pPr>
        <w:rPr>
          <w:b/>
          <w:bCs/>
          <w:color w:val="FF0000"/>
        </w:rPr>
      </w:pPr>
    </w:p>
    <w:p w14:paraId="09CD50E3" w14:textId="77777777" w:rsidR="000D6791" w:rsidRDefault="000D6791" w:rsidP="00C06F10">
      <w:pPr>
        <w:rPr>
          <w:b/>
          <w:bCs/>
          <w:color w:val="FF0000"/>
        </w:rPr>
      </w:pPr>
    </w:p>
    <w:p w14:paraId="62158905" w14:textId="77777777" w:rsidR="000D6791" w:rsidRDefault="000D6791" w:rsidP="00C06F10">
      <w:pPr>
        <w:rPr>
          <w:b/>
          <w:bCs/>
          <w:color w:val="FF0000"/>
        </w:rPr>
      </w:pPr>
    </w:p>
    <w:p w14:paraId="17E21647" w14:textId="77777777" w:rsidR="000D6791" w:rsidRDefault="000D6791" w:rsidP="00C06F10">
      <w:pPr>
        <w:rPr>
          <w:b/>
          <w:bCs/>
          <w:color w:val="FF0000"/>
        </w:rPr>
      </w:pPr>
    </w:p>
    <w:p w14:paraId="00AFAD8D" w14:textId="77777777" w:rsidR="000D6791" w:rsidRDefault="000D6791" w:rsidP="00C06F10">
      <w:pPr>
        <w:rPr>
          <w:b/>
          <w:bCs/>
          <w:color w:val="FF0000"/>
        </w:rPr>
      </w:pPr>
    </w:p>
    <w:p w14:paraId="5B5EDEC3" w14:textId="77777777" w:rsidR="000D6791" w:rsidRDefault="000D6791" w:rsidP="00C06F10">
      <w:pPr>
        <w:rPr>
          <w:b/>
          <w:bCs/>
          <w:color w:val="FF0000"/>
        </w:rPr>
      </w:pPr>
    </w:p>
    <w:p w14:paraId="21BCFA0A" w14:textId="77777777" w:rsidR="000D6791" w:rsidRPr="00FD39EA" w:rsidRDefault="000D6791" w:rsidP="00C06F10">
      <w:pPr>
        <w:rPr>
          <w:b/>
          <w:bCs/>
          <w:color w:val="FF0000"/>
        </w:rPr>
      </w:pPr>
    </w:p>
    <w:p w14:paraId="4B5ABC88" w14:textId="29915C3B" w:rsidR="00FD39EA" w:rsidRDefault="00D213D3" w:rsidP="00C06F10">
      <w:pPr>
        <w:rPr>
          <w:b/>
          <w:bCs/>
        </w:rPr>
      </w:pPr>
      <w:r>
        <w:rPr>
          <w:b/>
          <w:bCs/>
        </w:rPr>
        <w:lastRenderedPageBreak/>
        <w:t>Front Page</w:t>
      </w:r>
    </w:p>
    <w:p w14:paraId="352D71AA" w14:textId="4AE5307F" w:rsidR="00A67265" w:rsidRDefault="00F63A24" w:rsidP="00C06F10">
      <w:r>
        <w:rPr>
          <w:noProof/>
        </w:rPr>
        <w:drawing>
          <wp:inline distT="0" distB="0" distL="0" distR="0" wp14:anchorId="558257AB" wp14:editId="432DBAD4">
            <wp:extent cx="5731510" cy="3223895"/>
            <wp:effectExtent l="0" t="0" r="0" b="0"/>
            <wp:docPr id="58358839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588390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4B926" w14:textId="77777777" w:rsidR="00A67265" w:rsidRDefault="00A67265" w:rsidP="00C06F10"/>
    <w:p w14:paraId="65909290" w14:textId="4C60BFE4" w:rsidR="00DB67C7" w:rsidRDefault="00D213D3" w:rsidP="00C06F10">
      <w:r>
        <w:t xml:space="preserve">Hi, thanks for the time today. </w:t>
      </w:r>
      <w:r w:rsidR="00C86001">
        <w:t xml:space="preserve">Apologies, </w:t>
      </w:r>
      <w:r w:rsidR="449A0B44">
        <w:t>I</w:t>
      </w:r>
      <w:r w:rsidR="003C4040">
        <w:t>’ll probably speak a bit fast as I am</w:t>
      </w:r>
      <w:r>
        <w:t xml:space="preserve"> a bit nervous. I have tried to put much of the detail on the slides as </w:t>
      </w:r>
      <w:r w:rsidR="00327377">
        <w:t>(</w:t>
      </w:r>
      <w:r>
        <w:t>although it doesn’t look as good</w:t>
      </w:r>
      <w:r w:rsidR="00327377">
        <w:t>)</w:t>
      </w:r>
      <w:r>
        <w:t xml:space="preserve"> it helps me stay focused and bring a cohesive narrative. </w:t>
      </w:r>
      <w:r w:rsidR="00A6009A">
        <w:t>The references are on the accompanying document that has been submitted.</w:t>
      </w:r>
    </w:p>
    <w:p w14:paraId="28ECC133" w14:textId="77777777" w:rsidR="00D213D3" w:rsidRDefault="00D213D3" w:rsidP="00C06F10"/>
    <w:p w14:paraId="66ACE1D0" w14:textId="7927F9FE" w:rsidR="00D213D3" w:rsidRPr="00D213D3" w:rsidRDefault="00D213D3" w:rsidP="00C06F10">
      <w:pPr>
        <w:rPr>
          <w:b/>
          <w:bCs/>
        </w:rPr>
      </w:pPr>
      <w:r w:rsidRPr="00D213D3">
        <w:rPr>
          <w:b/>
          <w:bCs/>
        </w:rPr>
        <w:t>Title</w:t>
      </w:r>
    </w:p>
    <w:p w14:paraId="09D84AF2" w14:textId="0A141A64" w:rsidR="000D6C57" w:rsidRPr="000D6C57" w:rsidRDefault="000D6C57" w:rsidP="00C06F10">
      <w:pPr>
        <w:rPr>
          <w:i/>
          <w:iCs/>
        </w:rPr>
      </w:pPr>
      <w:r w:rsidRPr="00483239">
        <w:rPr>
          <w:i/>
          <w:iCs/>
        </w:rPr>
        <w:t>Read slide</w:t>
      </w:r>
    </w:p>
    <w:p w14:paraId="3333E662" w14:textId="3E1CC6CB" w:rsidR="00F63A24" w:rsidRDefault="000B02FF" w:rsidP="00C06F10">
      <w:r>
        <w:rPr>
          <w:noProof/>
        </w:rPr>
        <w:drawing>
          <wp:inline distT="0" distB="0" distL="0" distR="0" wp14:anchorId="71031D7B" wp14:editId="2765CCD8">
            <wp:extent cx="5731510" cy="3223895"/>
            <wp:effectExtent l="0" t="0" r="0" b="0"/>
            <wp:docPr id="165498617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86175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E0E30" w14:textId="77777777" w:rsidR="00F63A24" w:rsidRDefault="00F63A24" w:rsidP="00C06F10"/>
    <w:p w14:paraId="74A30D42" w14:textId="450C958C" w:rsidR="00AC3595" w:rsidRPr="00554916" w:rsidRDefault="00554916" w:rsidP="00C06F10">
      <w:r w:rsidRPr="00401B30">
        <w:t>I’ve</w:t>
      </w:r>
      <w:r w:rsidR="00401B30" w:rsidRPr="00401B30">
        <w:t xml:space="preserve"> given the title</w:t>
      </w:r>
      <w:r w:rsidR="00A6009A">
        <w:t xml:space="preserve"> much</w:t>
      </w:r>
      <w:r w:rsidR="00401B30" w:rsidRPr="00401B30">
        <w:t xml:space="preserve"> thought</w:t>
      </w:r>
      <w:r w:rsidR="00401B30">
        <w:t>. It encapsulates where I am in my current role</w:t>
      </w:r>
      <w:r w:rsidR="003E4BF5">
        <w:t>.</w:t>
      </w:r>
      <w:r w:rsidR="00DF390D">
        <w:t xml:space="preserve"> I</w:t>
      </w:r>
      <w:r w:rsidR="00401B30">
        <w:t xml:space="preserve"> lead a team of Student Success Officers</w:t>
      </w:r>
      <w:r w:rsidR="00DF390D">
        <w:t xml:space="preserve"> and </w:t>
      </w:r>
      <w:r w:rsidR="00401B30">
        <w:t xml:space="preserve">we </w:t>
      </w:r>
      <w:r w:rsidR="003E4BF5">
        <w:t xml:space="preserve">are </w:t>
      </w:r>
      <w:r w:rsidR="00401B30">
        <w:t>begin</w:t>
      </w:r>
      <w:r w:rsidR="003E4BF5">
        <w:t>ning</w:t>
      </w:r>
      <w:r w:rsidR="00401B30">
        <w:t xml:space="preserve"> to </w:t>
      </w:r>
      <w:r w:rsidR="003166F7">
        <w:t>envision</w:t>
      </w:r>
      <w:r w:rsidR="00401B30">
        <w:t xml:space="preserve"> what expansion looks like</w:t>
      </w:r>
      <w:r w:rsidR="00672B0A">
        <w:t xml:space="preserve">. </w:t>
      </w:r>
      <w:r w:rsidR="00B964EC">
        <w:t>I am c</w:t>
      </w:r>
      <w:r w:rsidR="00672B0A">
        <w:t>urrently writing a business case and</w:t>
      </w:r>
      <w:r w:rsidR="0043706A">
        <w:t xml:space="preserve"> as such have consulted the literature</w:t>
      </w:r>
      <w:r w:rsidR="003E7A57">
        <w:t xml:space="preserve">. I have </w:t>
      </w:r>
      <w:r w:rsidR="009867BF">
        <w:t xml:space="preserve">discovered that </w:t>
      </w:r>
      <w:r w:rsidR="003E7A57">
        <w:t xml:space="preserve">there is still much </w:t>
      </w:r>
      <w:r w:rsidR="00F40B64">
        <w:t>discord</w:t>
      </w:r>
      <w:r w:rsidR="00B913F5">
        <w:t xml:space="preserve"> </w:t>
      </w:r>
      <w:r w:rsidR="00403DE4">
        <w:t>in this field.</w:t>
      </w:r>
      <w:r w:rsidR="00401B30">
        <w:rPr>
          <w:b/>
          <w:bCs/>
        </w:rPr>
        <w:t xml:space="preserve"> </w:t>
      </w:r>
      <w:r w:rsidR="00401B30" w:rsidRPr="00401B30">
        <w:rPr>
          <w:b/>
          <w:bCs/>
        </w:rPr>
        <w:t xml:space="preserve"> </w:t>
      </w:r>
      <w:r>
        <w:t>I am passionate about</w:t>
      </w:r>
      <w:r w:rsidR="00DB4204">
        <w:t xml:space="preserve"> under-represented</w:t>
      </w:r>
      <w:r>
        <w:t xml:space="preserve"> voices and hope to develop a study which </w:t>
      </w:r>
      <w:r w:rsidR="00997439">
        <w:t>accurately</w:t>
      </w:r>
      <w:r w:rsidR="00DB4204">
        <w:t xml:space="preserve"> and</w:t>
      </w:r>
      <w:r w:rsidR="00B603A8">
        <w:t xml:space="preserve"> equally</w:t>
      </w:r>
      <w:r w:rsidR="00997439">
        <w:t xml:space="preserve"> reflects all voices. </w:t>
      </w:r>
    </w:p>
    <w:p w14:paraId="4C4508A4" w14:textId="77777777" w:rsidR="00483239" w:rsidRDefault="00483239" w:rsidP="00C06F10">
      <w:pPr>
        <w:rPr>
          <w:b/>
          <w:bCs/>
        </w:rPr>
      </w:pPr>
    </w:p>
    <w:p w14:paraId="7CC7AFBB" w14:textId="125B1BC5" w:rsidR="00DB67C7" w:rsidRDefault="00750D0D" w:rsidP="00C06F10">
      <w:pPr>
        <w:rPr>
          <w:b/>
          <w:bCs/>
        </w:rPr>
      </w:pPr>
      <w:r>
        <w:rPr>
          <w:b/>
          <w:bCs/>
        </w:rPr>
        <w:t>Research Aim</w:t>
      </w:r>
    </w:p>
    <w:p w14:paraId="5914B006" w14:textId="203EE99E" w:rsidR="0048592C" w:rsidRPr="005614DE" w:rsidRDefault="00750BCD" w:rsidP="00C06F10">
      <w:pPr>
        <w:rPr>
          <w:i/>
          <w:iCs/>
        </w:rPr>
      </w:pPr>
      <w:r w:rsidRPr="00483239">
        <w:rPr>
          <w:i/>
          <w:iCs/>
        </w:rPr>
        <w:t>Read slid</w:t>
      </w:r>
      <w:r>
        <w:rPr>
          <w:i/>
          <w:iCs/>
        </w:rPr>
        <w:t>e</w:t>
      </w:r>
    </w:p>
    <w:p w14:paraId="48BA733C" w14:textId="328C6590" w:rsidR="005614DE" w:rsidRDefault="005614DE" w:rsidP="00C06F10">
      <w:r>
        <w:rPr>
          <w:noProof/>
        </w:rPr>
        <w:drawing>
          <wp:inline distT="0" distB="0" distL="0" distR="0" wp14:anchorId="3FEBF6C2" wp14:editId="3CC82D00">
            <wp:extent cx="5731510" cy="3223895"/>
            <wp:effectExtent l="0" t="0" r="0" b="0"/>
            <wp:docPr id="159716554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165543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ABE35" w14:textId="44D41787" w:rsidR="00826CA5" w:rsidRDefault="0093083F" w:rsidP="00C06F10">
      <w:r w:rsidRPr="003E7846">
        <w:t xml:space="preserve">A scan of the literature suggests a scarcity of research which </w:t>
      </w:r>
      <w:r w:rsidR="009903DB">
        <w:t>aims</w:t>
      </w:r>
      <w:r w:rsidRPr="003E7846">
        <w:t xml:space="preserve"> to understand the roles and voices of the main 3 stakeholders</w:t>
      </w:r>
      <w:r w:rsidR="00E85D36" w:rsidRPr="003E7846">
        <w:t xml:space="preserve"> </w:t>
      </w:r>
      <w:r w:rsidR="000F60DC">
        <w:t>and</w:t>
      </w:r>
      <w:r w:rsidR="00080204">
        <w:t xml:space="preserve"> </w:t>
      </w:r>
      <w:r w:rsidR="00BB2BBC">
        <w:t>even less which</w:t>
      </w:r>
      <w:r w:rsidR="000F60DC">
        <w:t xml:space="preserve"> present</w:t>
      </w:r>
      <w:r w:rsidR="00BB2BBC">
        <w:t xml:space="preserve"> </w:t>
      </w:r>
      <w:r w:rsidR="00C34DD5">
        <w:t xml:space="preserve">the </w:t>
      </w:r>
      <w:r w:rsidR="00BB2BBC">
        <w:t>findings</w:t>
      </w:r>
      <w:r w:rsidR="000F60DC">
        <w:t xml:space="preserve"> as equal contribut</w:t>
      </w:r>
      <w:r w:rsidR="00C34DD5">
        <w:t>ions</w:t>
      </w:r>
      <w:r w:rsidR="000F60DC">
        <w:t xml:space="preserve"> </w:t>
      </w:r>
      <w:r w:rsidR="00E85D36" w:rsidRPr="003E7846">
        <w:t>(Lowe, 202</w:t>
      </w:r>
      <w:r w:rsidR="00B03CEB">
        <w:t>4</w:t>
      </w:r>
      <w:r w:rsidR="00E85D36" w:rsidRPr="003E7846">
        <w:t>)</w:t>
      </w:r>
      <w:r w:rsidR="003E7846" w:rsidRPr="003E7846">
        <w:t>.</w:t>
      </w:r>
      <w:r w:rsidR="00574D8D">
        <w:t xml:space="preserve"> </w:t>
      </w:r>
    </w:p>
    <w:p w14:paraId="16EFB9FD" w14:textId="057C9E4D" w:rsidR="003E7846" w:rsidRPr="003E7846" w:rsidRDefault="00574D8D" w:rsidP="00C06F10">
      <w:r>
        <w:t xml:space="preserve">There is also a </w:t>
      </w:r>
      <w:r w:rsidR="00FB4512">
        <w:t>constructivist</w:t>
      </w:r>
      <w:r w:rsidR="004E2D64">
        <w:t xml:space="preserve"> </w:t>
      </w:r>
      <w:r w:rsidR="00FB4512">
        <w:t>aim</w:t>
      </w:r>
      <w:r w:rsidR="004E2D64">
        <w:t xml:space="preserve"> for the research to</w:t>
      </w:r>
      <w:r w:rsidR="00D57EC1">
        <w:t xml:space="preserve"> encourage a shared language</w:t>
      </w:r>
      <w:r w:rsidR="0071772B">
        <w:t xml:space="preserve"> and vision</w:t>
      </w:r>
      <w:r w:rsidR="001C3DF2">
        <w:t xml:space="preserve"> so that further work in the university can </w:t>
      </w:r>
      <w:r w:rsidR="00D30D6A">
        <w:t>move forward</w:t>
      </w:r>
      <w:r w:rsidR="00DD1ADE">
        <w:t xml:space="preserve"> effectively</w:t>
      </w:r>
      <w:r w:rsidR="0071772B">
        <w:t xml:space="preserve">. </w:t>
      </w:r>
      <w:r w:rsidR="004E2D64">
        <w:t xml:space="preserve"> </w:t>
      </w:r>
      <w:r w:rsidR="003E7846" w:rsidRPr="003E7846">
        <w:t xml:space="preserve"> </w:t>
      </w:r>
    </w:p>
    <w:p w14:paraId="7CD8B5FF" w14:textId="658B53D3" w:rsidR="004A58C9" w:rsidRDefault="004A58C9" w:rsidP="00C06F10">
      <w:pPr>
        <w:rPr>
          <w:b/>
          <w:bCs/>
        </w:rPr>
      </w:pPr>
    </w:p>
    <w:p w14:paraId="617F0F29" w14:textId="1BA2587E" w:rsidR="0071772B" w:rsidRDefault="001F710B" w:rsidP="00C06F10">
      <w:pPr>
        <w:rPr>
          <w:b/>
          <w:bCs/>
        </w:rPr>
      </w:pPr>
      <w:r>
        <w:rPr>
          <w:b/>
          <w:bCs/>
        </w:rPr>
        <w:t>Research Objectives</w:t>
      </w:r>
    </w:p>
    <w:p w14:paraId="17D92DB6" w14:textId="31C47BF6" w:rsidR="00B75AD6" w:rsidRPr="00DD1ADE" w:rsidRDefault="001F710B" w:rsidP="00750D0D">
      <w:pPr>
        <w:rPr>
          <w:i/>
          <w:iCs/>
        </w:rPr>
      </w:pPr>
      <w:r w:rsidRPr="004375F7">
        <w:rPr>
          <w:i/>
          <w:iCs/>
        </w:rPr>
        <w:t>Read slide</w:t>
      </w:r>
    </w:p>
    <w:p w14:paraId="263FFA07" w14:textId="26EF35CD" w:rsidR="00002CA3" w:rsidRDefault="00667DD1" w:rsidP="003E0A50">
      <w:r>
        <w:rPr>
          <w:noProof/>
        </w:rPr>
        <w:lastRenderedPageBreak/>
        <w:drawing>
          <wp:inline distT="0" distB="0" distL="0" distR="0" wp14:anchorId="6667ED27" wp14:editId="50261917">
            <wp:extent cx="5731510" cy="3223895"/>
            <wp:effectExtent l="0" t="0" r="0" b="0"/>
            <wp:docPr id="18226370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637087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6131A" w14:textId="2CF4D839" w:rsidR="00903095" w:rsidRDefault="00E21D1B" w:rsidP="003E0A50">
      <w:r>
        <w:t>R</w:t>
      </w:r>
      <w:r w:rsidR="00EA3903" w:rsidRPr="00A158B8">
        <w:t xml:space="preserve">esearch on student success </w:t>
      </w:r>
      <w:r>
        <w:t>may be</w:t>
      </w:r>
      <w:r w:rsidR="00EA3903" w:rsidRPr="00A158B8">
        <w:t xml:space="preserve"> dominated </w:t>
      </w:r>
      <w:r w:rsidR="003E2F42">
        <w:t xml:space="preserve">by </w:t>
      </w:r>
      <w:r w:rsidR="00D41F23">
        <w:t>those</w:t>
      </w:r>
      <w:r w:rsidR="006928B5" w:rsidRPr="00A158B8">
        <w:t xml:space="preserve"> in power positions</w:t>
      </w:r>
      <w:r w:rsidR="00C12378">
        <w:t>. F</w:t>
      </w:r>
      <w:r w:rsidR="0082572F">
        <w:t>or example,</w:t>
      </w:r>
      <w:r w:rsidR="006928B5" w:rsidRPr="00A158B8">
        <w:t xml:space="preserve"> the researcher who defines success as part of </w:t>
      </w:r>
      <w:r w:rsidR="00AC7665">
        <w:t>a</w:t>
      </w:r>
      <w:r w:rsidR="006928B5" w:rsidRPr="00A158B8">
        <w:t xml:space="preserve"> </w:t>
      </w:r>
      <w:r w:rsidR="00AC7665">
        <w:t>study</w:t>
      </w:r>
      <w:r w:rsidR="006928B5" w:rsidRPr="00A158B8">
        <w:t xml:space="preserve"> or through university senior leaders/policy makers via their publications </w:t>
      </w:r>
      <w:r w:rsidR="009F543D" w:rsidRPr="00A158B8">
        <w:t xml:space="preserve">and strategies </w:t>
      </w:r>
      <w:r w:rsidR="00764D7F" w:rsidRPr="00A158B8">
        <w:t>(e.g. Advance HE Student Success Framework</w:t>
      </w:r>
      <w:r w:rsidR="00E751F0">
        <w:t>, 2025</w:t>
      </w:r>
      <w:r w:rsidR="007F632B" w:rsidRPr="00A158B8">
        <w:t>)</w:t>
      </w:r>
      <w:r w:rsidR="0051086F">
        <w:t xml:space="preserve">. </w:t>
      </w:r>
      <w:r w:rsidR="00C12378">
        <w:t>T</w:t>
      </w:r>
      <w:r w:rsidR="00903095">
        <w:t xml:space="preserve">here is </w:t>
      </w:r>
      <w:r w:rsidR="00D00DA5">
        <w:t xml:space="preserve">a </w:t>
      </w:r>
      <w:r w:rsidR="00450036">
        <w:t xml:space="preserve">notable </w:t>
      </w:r>
      <w:r w:rsidR="00903095">
        <w:t xml:space="preserve">lack of </w:t>
      </w:r>
      <w:r w:rsidR="003806B0">
        <w:t>student voice</w:t>
      </w:r>
      <w:r w:rsidR="00CB7E80">
        <w:t>, a</w:t>
      </w:r>
      <w:r w:rsidR="00890433">
        <w:t>n</w:t>
      </w:r>
      <w:r w:rsidR="00CB7E80">
        <w:t xml:space="preserve"> aspect this study wishes to provide a platform for</w:t>
      </w:r>
      <w:r w:rsidR="00903095">
        <w:t xml:space="preserve">. </w:t>
      </w:r>
    </w:p>
    <w:p w14:paraId="28B4114A" w14:textId="269E6846" w:rsidR="003E0A50" w:rsidRPr="00A158B8" w:rsidRDefault="00903095" w:rsidP="003E0A50">
      <w:r>
        <w:t xml:space="preserve">Moreover, </w:t>
      </w:r>
      <w:r w:rsidR="003806B0">
        <w:t>measurement tools are usually linked to</w:t>
      </w:r>
      <w:r w:rsidR="00FE64D9">
        <w:t xml:space="preserve"> hard outcomes</w:t>
      </w:r>
      <w:r w:rsidR="0082572F">
        <w:t xml:space="preserve"> </w:t>
      </w:r>
      <w:r w:rsidR="00011B83">
        <w:t xml:space="preserve">such as </w:t>
      </w:r>
      <w:r w:rsidR="007F632B" w:rsidRPr="00A158B8">
        <w:t>attainment, retention and progression</w:t>
      </w:r>
      <w:r w:rsidR="00C655F3" w:rsidRPr="00A158B8">
        <w:t xml:space="preserve"> </w:t>
      </w:r>
      <w:r w:rsidR="00644C8A">
        <w:t>(HE Professional, 2020). This</w:t>
      </w:r>
      <w:r w:rsidR="00C64B87">
        <w:t xml:space="preserve"> is problematic as it fails to acknowledge t</w:t>
      </w:r>
      <w:r w:rsidR="00644C8A">
        <w:t>he individual difference</w:t>
      </w:r>
      <w:r w:rsidR="00C64B87">
        <w:t>s</w:t>
      </w:r>
      <w:r w:rsidR="00CE2530">
        <w:t xml:space="preserve"> and the strategic focus on the </w:t>
      </w:r>
      <w:r w:rsidR="00796627">
        <w:t>individual</w:t>
      </w:r>
      <w:r w:rsidR="00CE2530">
        <w:t xml:space="preserve"> </w:t>
      </w:r>
      <w:r w:rsidR="005B1F02">
        <w:t>institution</w:t>
      </w:r>
      <w:r w:rsidR="00CE2530">
        <w:t>.</w:t>
      </w:r>
      <w:r w:rsidR="00FD638E">
        <w:t xml:space="preserve"> University of Wales Trinity Saint David</w:t>
      </w:r>
      <w:r w:rsidR="003E0A50">
        <w:t xml:space="preserve"> focuses on employability and widening participation (UWTSD Annual Report: Equality and Diversity</w:t>
      </w:r>
      <w:r w:rsidR="0052161D">
        <w:t xml:space="preserve"> 2023/4) </w:t>
      </w:r>
      <w:r w:rsidR="003E0A50">
        <w:t>so it would be interesting to see if any of these themes translate to Student Success.</w:t>
      </w:r>
    </w:p>
    <w:p w14:paraId="2E6AC6BB" w14:textId="77777777" w:rsidR="00A7263D" w:rsidRDefault="00A7263D" w:rsidP="00A7263D"/>
    <w:p w14:paraId="1A44B379" w14:textId="4943E5BE" w:rsidR="008A7FCD" w:rsidRPr="007E16DB" w:rsidRDefault="00873CF6" w:rsidP="00A7263D">
      <w:pPr>
        <w:rPr>
          <w:b/>
          <w:bCs/>
        </w:rPr>
      </w:pPr>
      <w:r>
        <w:rPr>
          <w:b/>
          <w:bCs/>
        </w:rPr>
        <w:t>Research Methods</w:t>
      </w:r>
    </w:p>
    <w:p w14:paraId="6BC6914F" w14:textId="77777777" w:rsidR="00833808" w:rsidRDefault="00833808" w:rsidP="00A7263D"/>
    <w:p w14:paraId="1B61CE52" w14:textId="63A9D8CA" w:rsidR="00833808" w:rsidRDefault="00A00929" w:rsidP="00A7263D">
      <w:r>
        <w:rPr>
          <w:noProof/>
        </w:rPr>
        <w:lastRenderedPageBreak/>
        <w:drawing>
          <wp:inline distT="0" distB="0" distL="0" distR="0" wp14:anchorId="050412C2" wp14:editId="6109B063">
            <wp:extent cx="5731510" cy="3223895"/>
            <wp:effectExtent l="0" t="0" r="0" b="0"/>
            <wp:docPr id="17918205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82053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09B60" w14:textId="66C1297F" w:rsidR="00216B55" w:rsidRDefault="00216B55" w:rsidP="00A7263D">
      <w:r>
        <w:t xml:space="preserve">I looked into my own thoughts and values as a researcher and using </w:t>
      </w:r>
      <w:r w:rsidRPr="009C0351">
        <w:t>Burrell &amp; Morgan</w:t>
      </w:r>
      <w:r>
        <w:t>’s</w:t>
      </w:r>
      <w:r w:rsidRPr="009C0351">
        <w:t xml:space="preserve"> (1979)  objective/subjective &amp; regulation/change paradigm and </w:t>
      </w:r>
      <w:r>
        <w:t>terminology</w:t>
      </w:r>
      <w:r w:rsidRPr="009C0351">
        <w:t xml:space="preserve"> for each of the 4 domains </w:t>
      </w:r>
      <w:r w:rsidR="0097660C">
        <w:t xml:space="preserve">and broadly recognise myself as a </w:t>
      </w:r>
      <w:r w:rsidRPr="009C0351">
        <w:t xml:space="preserve">“radical humanist”. </w:t>
      </w:r>
    </w:p>
    <w:p w14:paraId="3BBA4F06" w14:textId="7722191F" w:rsidR="007C3AF1" w:rsidRDefault="00A7263D" w:rsidP="00C06F10">
      <w:r>
        <w:t>Having read</w:t>
      </w:r>
      <w:r w:rsidR="00BF1E28">
        <w:t xml:space="preserve"> around research philosophy</w:t>
      </w:r>
      <w:r w:rsidR="00BE4096">
        <w:t xml:space="preserve"> (e.g. Saunders &amp; Bristow, 2014)</w:t>
      </w:r>
      <w:r w:rsidR="00BF1E28">
        <w:t xml:space="preserve"> and</w:t>
      </w:r>
      <w:r w:rsidR="00CF02EB">
        <w:t xml:space="preserve"> undertaken the</w:t>
      </w:r>
      <w:r w:rsidR="00BF1E28">
        <w:t xml:space="preserve"> HARP assessment</w:t>
      </w:r>
      <w:r w:rsidR="004205FE">
        <w:t xml:space="preserve"> (2012,</w:t>
      </w:r>
      <w:r w:rsidR="00025972">
        <w:t xml:space="preserve"> </w:t>
      </w:r>
      <w:r w:rsidR="004205FE">
        <w:t>2019)</w:t>
      </w:r>
      <w:r w:rsidR="00463291">
        <w:t>,</w:t>
      </w:r>
      <w:r w:rsidR="004205FE">
        <w:t xml:space="preserve"> </w:t>
      </w:r>
      <w:r w:rsidR="00CF02EB">
        <w:t xml:space="preserve">I now </w:t>
      </w:r>
      <w:r w:rsidR="005F275E">
        <w:t>further</w:t>
      </w:r>
      <w:r w:rsidR="00CF02EB">
        <w:t xml:space="preserve"> understand my philosophical position and how that </w:t>
      </w:r>
      <w:r w:rsidR="00C029C8">
        <w:t xml:space="preserve">links to the research. Scoring highly (but unsurprisingly) on Post </w:t>
      </w:r>
      <w:r w:rsidR="00EC2A4F">
        <w:t>Modernism</w:t>
      </w:r>
      <w:r w:rsidR="00C029C8">
        <w:t>, Pragmatism and Interpretivism</w:t>
      </w:r>
      <w:r w:rsidR="000A2AC3">
        <w:t xml:space="preserve"> questions</w:t>
      </w:r>
      <w:r w:rsidR="004B1132">
        <w:t>,</w:t>
      </w:r>
      <w:r w:rsidR="000A2AC3">
        <w:t xml:space="preserve"> I accept that in </w:t>
      </w:r>
      <w:r w:rsidR="00384BC1">
        <w:t>undertaking</w:t>
      </w:r>
      <w:r w:rsidR="000A2AC3">
        <w:t xml:space="preserve"> this research</w:t>
      </w:r>
      <w:r w:rsidR="00B70B4F">
        <w:t>,</w:t>
      </w:r>
      <w:r w:rsidR="000A2AC3">
        <w:t xml:space="preserve"> </w:t>
      </w:r>
      <w:r w:rsidR="007D09AC">
        <w:t xml:space="preserve">I would like for </w:t>
      </w:r>
      <w:r w:rsidR="00384BC1">
        <w:t>people’s</w:t>
      </w:r>
      <w:r w:rsidR="007D09AC">
        <w:t xml:space="preserve"> views to be documented and considered, acknowledging </w:t>
      </w:r>
      <w:r w:rsidR="00B70B4F">
        <w:t xml:space="preserve">that </w:t>
      </w:r>
      <w:r w:rsidR="007D09AC">
        <w:t xml:space="preserve">there likely </w:t>
      </w:r>
      <w:r w:rsidR="00384BC1">
        <w:t>isn’t</w:t>
      </w:r>
      <w:r w:rsidR="007D09AC">
        <w:t xml:space="preserve"> one truth </w:t>
      </w:r>
      <w:r w:rsidR="004B1132">
        <w:t>(</w:t>
      </w:r>
      <w:r w:rsidR="007D09AC">
        <w:t xml:space="preserve">as the world is socially </w:t>
      </w:r>
      <w:r w:rsidR="00384BC1">
        <w:t>constructed</w:t>
      </w:r>
      <w:r w:rsidR="004B1132">
        <w:t>)</w:t>
      </w:r>
      <w:r w:rsidR="00ED5D26">
        <w:t xml:space="preserve">. However, I am </w:t>
      </w:r>
      <w:r w:rsidR="007D09AC">
        <w:t xml:space="preserve">resolute in the aim to tie this together pragmatically </w:t>
      </w:r>
      <w:r w:rsidR="00401D83">
        <w:t>and systematically</w:t>
      </w:r>
      <w:r w:rsidR="001B7578">
        <w:t xml:space="preserve"> </w:t>
      </w:r>
      <w:r w:rsidR="007D09AC">
        <w:t xml:space="preserve">to improve people’s </w:t>
      </w:r>
      <w:r w:rsidR="00926AA4">
        <w:t>understanding</w:t>
      </w:r>
      <w:r w:rsidR="007D09AC">
        <w:t xml:space="preserve"> of other stakeholder perspectives and move towards some </w:t>
      </w:r>
      <w:r w:rsidR="00B70B4F">
        <w:t>institution-wide</w:t>
      </w:r>
      <w:r w:rsidR="00926AA4">
        <w:t xml:space="preserve"> </w:t>
      </w:r>
      <w:r w:rsidR="007D09AC">
        <w:t>KPI’s</w:t>
      </w:r>
      <w:r w:rsidR="00926AA4">
        <w:t xml:space="preserve"> for student success operation</w:t>
      </w:r>
      <w:r w:rsidR="007D09AC">
        <w:t xml:space="preserve">. </w:t>
      </w:r>
    </w:p>
    <w:p w14:paraId="294C1E92" w14:textId="6354B25D" w:rsidR="00990FFF" w:rsidRDefault="00990FFF" w:rsidP="00990FFF">
      <w:r>
        <w:t>I argue</w:t>
      </w:r>
      <w:r w:rsidR="004B77E0">
        <w:t xml:space="preserve"> that the study </w:t>
      </w:r>
      <w:r>
        <w:t xml:space="preserve">is deductive in that I would like to touch on the definition, measure and collaborative working as the </w:t>
      </w:r>
      <w:r w:rsidR="001B7578">
        <w:t>three</w:t>
      </w:r>
      <w:r>
        <w:t xml:space="preserve"> themes but after that I would say its naturally an inductive approach to thematic analysis as there is not enough research in this area to make assumptions or develop conclusions (Delve &amp; </w:t>
      </w:r>
      <w:proofErr w:type="spellStart"/>
      <w:r>
        <w:t>Limpaecher</w:t>
      </w:r>
      <w:proofErr w:type="spellEnd"/>
      <w:r>
        <w:t>, 2024</w:t>
      </w:r>
      <w:r w:rsidR="00400A75">
        <w:t>;</w:t>
      </w:r>
      <w:r>
        <w:t xml:space="preserve"> Braun &amp; Clarke, 2006). </w:t>
      </w:r>
    </w:p>
    <w:p w14:paraId="0E743397" w14:textId="22A79BD0" w:rsidR="00301A77" w:rsidRDefault="00301A77" w:rsidP="00301A77">
      <w:r>
        <w:t>As part of this project timeline</w:t>
      </w:r>
      <w:r w:rsidR="004247C7">
        <w:t>,</w:t>
      </w:r>
      <w:r>
        <w:t xml:space="preserve"> I understand I will need to go through the University Ethics Board to seek approval and</w:t>
      </w:r>
      <w:r w:rsidR="004247C7">
        <w:t xml:space="preserve"> I</w:t>
      </w:r>
      <w:r>
        <w:t xml:space="preserve"> will need to seek permission explicitly to make contact with the student sample</w:t>
      </w:r>
      <w:r w:rsidR="00A97909">
        <w:t xml:space="preserve"> (both these actions will take some time)</w:t>
      </w:r>
      <w:r>
        <w:t>.</w:t>
      </w:r>
    </w:p>
    <w:p w14:paraId="5964855A" w14:textId="77777777" w:rsidR="00493A0D" w:rsidRDefault="00493A0D" w:rsidP="00E60D21">
      <w:pPr>
        <w:rPr>
          <w:b/>
          <w:bCs/>
        </w:rPr>
      </w:pPr>
    </w:p>
    <w:p w14:paraId="164D9C21" w14:textId="77777777" w:rsidR="00E60D21" w:rsidRDefault="00E60D21" w:rsidP="00E60D21">
      <w:pPr>
        <w:rPr>
          <w:b/>
          <w:bCs/>
        </w:rPr>
      </w:pPr>
      <w:r w:rsidRPr="009C0351">
        <w:rPr>
          <w:b/>
          <w:bCs/>
        </w:rPr>
        <w:t>Rationale</w:t>
      </w:r>
    </w:p>
    <w:p w14:paraId="1FF7183E" w14:textId="77777777" w:rsidR="000334DE" w:rsidRDefault="000334DE" w:rsidP="00E60D21"/>
    <w:p w14:paraId="540D073D" w14:textId="11482482" w:rsidR="000334DE" w:rsidRDefault="005D1463" w:rsidP="00E60D21">
      <w:r>
        <w:rPr>
          <w:noProof/>
        </w:rPr>
        <w:lastRenderedPageBreak/>
        <w:drawing>
          <wp:inline distT="0" distB="0" distL="0" distR="0" wp14:anchorId="17AD4EC5" wp14:editId="6D051FEF">
            <wp:extent cx="5731510" cy="3223895"/>
            <wp:effectExtent l="0" t="0" r="0" b="0"/>
            <wp:docPr id="14874626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46268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B68D8" w14:textId="600DD3A4" w:rsidR="00E60D21" w:rsidRDefault="00E60D21" w:rsidP="00E60D21">
      <w:r w:rsidRPr="00D03D82">
        <w:t>This work aligns closely t</w:t>
      </w:r>
      <w:r>
        <w:t xml:space="preserve">o my current working situation. </w:t>
      </w:r>
      <w:r w:rsidRPr="00D03D82">
        <w:t xml:space="preserve">I </w:t>
      </w:r>
      <w:r w:rsidR="00C9568F">
        <w:t xml:space="preserve">lead </w:t>
      </w:r>
      <w:r w:rsidRPr="00D03D82">
        <w:t xml:space="preserve">a team of </w:t>
      </w:r>
      <w:r>
        <w:t xml:space="preserve">Student Success Officers and </w:t>
      </w:r>
      <w:r w:rsidR="00294B3C">
        <w:t xml:space="preserve">I am </w:t>
      </w:r>
      <w:r>
        <w:t>currently looking at changing operations to better fit the need of the business (the university) and the buyers (the students).</w:t>
      </w:r>
      <w:r w:rsidR="00CA2AD9">
        <w:t xml:space="preserve"> </w:t>
      </w:r>
      <w:r>
        <w:t xml:space="preserve">Effective change requires </w:t>
      </w:r>
      <w:r w:rsidR="00450ED2">
        <w:t>transformational</w:t>
      </w:r>
      <w:r>
        <w:t xml:space="preserve"> leadership (Burns, 1978). It is intended that this study serves as an enabler for further discussion between key stakeholders, </w:t>
      </w:r>
      <w:r w:rsidR="006722BF">
        <w:t>to inform a</w:t>
      </w:r>
      <w:r>
        <w:t xml:space="preserve"> baseline of commonly shared values or perspectives and</w:t>
      </w:r>
      <w:r w:rsidR="00F406A0">
        <w:t xml:space="preserve"> form</w:t>
      </w:r>
      <w:r>
        <w:t xml:space="preserve"> the foundations for a trusting working relationship (Yue, Men &amp; Ferguson, 2019). </w:t>
      </w:r>
    </w:p>
    <w:p w14:paraId="45A1EB8D" w14:textId="54FF3E17" w:rsidR="00E60D21" w:rsidRDefault="00E60D21" w:rsidP="00E60D21">
      <w:r>
        <w:t>Whilst the area of Student Success is growing both in universities and in peer</w:t>
      </w:r>
      <w:r w:rsidR="006722BF">
        <w:t>-</w:t>
      </w:r>
      <w:r>
        <w:t xml:space="preserve">reviewed journals there is still </w:t>
      </w:r>
      <w:r w:rsidR="006722BF">
        <w:t>no</w:t>
      </w:r>
      <w:r>
        <w:t xml:space="preserve"> common agreement over its definition and much less an agreement regarding measures of success (Lowe, 202</w:t>
      </w:r>
      <w:r w:rsidR="00820A9F">
        <w:t>4</w:t>
      </w:r>
      <w:r>
        <w:t xml:space="preserve">). </w:t>
      </w:r>
    </w:p>
    <w:p w14:paraId="6FD66C31" w14:textId="140EB1F7" w:rsidR="00E60D21" w:rsidRDefault="00E60D21" w:rsidP="00E60D21">
      <w:r>
        <w:t xml:space="preserve">Moreover, very rarely are student co-creators in the student success definition. Early </w:t>
      </w:r>
      <w:r w:rsidR="004E0BD3">
        <w:t>r</w:t>
      </w:r>
      <w:r>
        <w:t>esearch suggests that some minority groups views of success can be the opposite of traditional views of student success. Some research (Weatherton &amp; Schussler</w:t>
      </w:r>
      <w:r w:rsidR="005D7E20">
        <w:t>,</w:t>
      </w:r>
      <w:r>
        <w:t xml:space="preserve"> 2021)</w:t>
      </w:r>
      <w:r w:rsidR="003A1962">
        <w:t xml:space="preserve"> has</w:t>
      </w:r>
      <w:r>
        <w:t xml:space="preserve"> highlighted the potential power differences between different stakeholder groups and the call for more student voice research in this area.   </w:t>
      </w:r>
      <w:r w:rsidR="00F94034">
        <w:t>Also some newer</w:t>
      </w:r>
      <w:r>
        <w:t xml:space="preserve"> research suggests that more holistic and broad terms of success should be considered (</w:t>
      </w:r>
      <w:proofErr w:type="spellStart"/>
      <w:r>
        <w:t>Gesun</w:t>
      </w:r>
      <w:proofErr w:type="spellEnd"/>
      <w:r>
        <w:t xml:space="preserve"> et al. 2021)</w:t>
      </w:r>
    </w:p>
    <w:p w14:paraId="0DA888D9" w14:textId="59A3956F" w:rsidR="00B05AD4" w:rsidRDefault="006720EC" w:rsidP="00C06F10">
      <w:r>
        <w:t>B</w:t>
      </w:r>
      <w:r w:rsidR="00E60D21">
        <w:t>usiness</w:t>
      </w:r>
      <w:r>
        <w:t xml:space="preserve"> development</w:t>
      </w:r>
      <w:r w:rsidR="00E60D21">
        <w:t xml:space="preserve"> requires</w:t>
      </w:r>
      <w:r>
        <w:t xml:space="preserve"> clear vision and</w:t>
      </w:r>
      <w:r w:rsidR="00E60D21">
        <w:t xml:space="preserve"> K</w:t>
      </w:r>
      <w:r w:rsidR="00515E1F">
        <w:t xml:space="preserve">ey </w:t>
      </w:r>
      <w:r w:rsidR="00E60D21">
        <w:t>P</w:t>
      </w:r>
      <w:r w:rsidR="00515E1F">
        <w:t xml:space="preserve">erformance </w:t>
      </w:r>
      <w:r w:rsidR="00E60D21">
        <w:t>I</w:t>
      </w:r>
      <w:r w:rsidR="00515E1F">
        <w:t>ndicator</w:t>
      </w:r>
      <w:r w:rsidR="00E60D21">
        <w:t>s</w:t>
      </w:r>
      <w:r w:rsidR="00515E1F">
        <w:t>. For this</w:t>
      </w:r>
      <w:r w:rsidR="00882A10">
        <w:t xml:space="preserve"> we need</w:t>
      </w:r>
      <w:r w:rsidR="00E60D21">
        <w:t xml:space="preserve"> an agreement around the terminology. Amplifying students voices </w:t>
      </w:r>
      <w:r w:rsidR="00067CD1">
        <w:t>through research is in itself a pragmatic</w:t>
      </w:r>
      <w:r w:rsidR="00E60D21">
        <w:t xml:space="preserve"> </w:t>
      </w:r>
      <w:r w:rsidR="00681298">
        <w:t>enabler activity</w:t>
      </w:r>
      <w:r w:rsidR="008D405D">
        <w:t xml:space="preserve"> as it re-addresses power dynamics and </w:t>
      </w:r>
      <w:r w:rsidR="009513B8">
        <w:t xml:space="preserve">forms </w:t>
      </w:r>
      <w:r w:rsidR="00E957CF">
        <w:t>part of a</w:t>
      </w:r>
      <w:r w:rsidR="009513B8">
        <w:t xml:space="preserve"> consultation</w:t>
      </w:r>
      <w:r w:rsidR="008E23F7">
        <w:t xml:space="preserve"> </w:t>
      </w:r>
      <w:r w:rsidR="00B72131">
        <w:t>(Jensen et al. 2018</w:t>
      </w:r>
      <w:r w:rsidR="000B007A">
        <w:t xml:space="preserve">, </w:t>
      </w:r>
      <w:r w:rsidR="00B72131">
        <w:t>Deng et al. 2022)</w:t>
      </w:r>
      <w:r w:rsidR="000B007A">
        <w:t>.</w:t>
      </w:r>
      <w:r w:rsidR="004610FE">
        <w:t xml:space="preserve"> It is my opinion that subjective</w:t>
      </w:r>
      <w:r w:rsidR="009954DD">
        <w:t xml:space="preserve"> responses from a qualitative approach is the best way forward at this point in time. </w:t>
      </w:r>
    </w:p>
    <w:p w14:paraId="44FEB67A" w14:textId="77777777" w:rsidR="00E60D21" w:rsidRDefault="00E60D21" w:rsidP="00C06F10"/>
    <w:p w14:paraId="0AA21089" w14:textId="3B738FF0" w:rsidR="0075040E" w:rsidRDefault="006A7596" w:rsidP="00C06F10">
      <w:pPr>
        <w:rPr>
          <w:b/>
          <w:bCs/>
        </w:rPr>
      </w:pPr>
      <w:r w:rsidRPr="006A7596">
        <w:rPr>
          <w:b/>
          <w:bCs/>
        </w:rPr>
        <w:t>Possible Questions</w:t>
      </w:r>
    </w:p>
    <w:p w14:paraId="2908AEC3" w14:textId="7DFEB836" w:rsidR="00BA26ED" w:rsidRDefault="00D73832" w:rsidP="00BA26ED">
      <w:r>
        <w:t>Given the literature and my position I suggest</w:t>
      </w:r>
      <w:r w:rsidR="00BA26ED">
        <w:t xml:space="preserve"> three main areas of enquiry</w:t>
      </w:r>
      <w:r>
        <w:t>.</w:t>
      </w:r>
    </w:p>
    <w:p w14:paraId="66C18498" w14:textId="4A0DEEB3" w:rsidR="00BA26ED" w:rsidRPr="000F6E01" w:rsidRDefault="000F6E01" w:rsidP="0045792D">
      <w:pPr>
        <w:rPr>
          <w:b/>
          <w:bCs/>
        </w:rPr>
      </w:pPr>
      <w:r>
        <w:t>Probing, open ended questions are created to elicit responses</w:t>
      </w:r>
      <w:r w:rsidR="0037504E">
        <w:t xml:space="preserve"> as I am aware that I am not in a position to know of </w:t>
      </w:r>
      <w:r w:rsidR="00FC2F4A">
        <w:t xml:space="preserve">all themes that will arise. </w:t>
      </w:r>
    </w:p>
    <w:p w14:paraId="74618C17" w14:textId="6EC8169E" w:rsidR="00A57DB0" w:rsidRPr="00EA433C" w:rsidRDefault="0022491D" w:rsidP="00C06F10">
      <w:pPr>
        <w:rPr>
          <w:i/>
          <w:iCs/>
        </w:rPr>
      </w:pPr>
      <w:r w:rsidRPr="0022491D">
        <w:rPr>
          <w:i/>
          <w:iCs/>
        </w:rPr>
        <w:lastRenderedPageBreak/>
        <w:t>Read slides</w:t>
      </w:r>
    </w:p>
    <w:p w14:paraId="3995FA26" w14:textId="7654396B" w:rsidR="00A57DB0" w:rsidRDefault="00BA26ED" w:rsidP="00C06F10">
      <w:r>
        <w:rPr>
          <w:noProof/>
        </w:rPr>
        <w:drawing>
          <wp:inline distT="0" distB="0" distL="0" distR="0" wp14:anchorId="182BACC5" wp14:editId="5B841A90">
            <wp:extent cx="5731510" cy="3223895"/>
            <wp:effectExtent l="0" t="0" r="0" b="0"/>
            <wp:docPr id="47489657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896578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FE5AC" w14:textId="7656896E" w:rsidR="006A7596" w:rsidRDefault="00366386" w:rsidP="00C06F10">
      <w:pPr>
        <w:rPr>
          <w:b/>
          <w:bCs/>
        </w:rPr>
      </w:pPr>
      <w:r>
        <w:rPr>
          <w:noProof/>
        </w:rPr>
        <w:drawing>
          <wp:inline distT="0" distB="0" distL="0" distR="0" wp14:anchorId="70E3334D" wp14:editId="4C1D309A">
            <wp:extent cx="5731510" cy="3223895"/>
            <wp:effectExtent l="0" t="0" r="0" b="0"/>
            <wp:docPr id="99240392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40392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15506" w14:textId="7CE95412" w:rsidR="00366386" w:rsidRPr="00AA6A04" w:rsidRDefault="006A7596" w:rsidP="006C77EF">
      <w:pPr>
        <w:rPr>
          <w:b/>
          <w:bCs/>
        </w:rPr>
      </w:pPr>
      <w:r>
        <w:rPr>
          <w:b/>
          <w:bCs/>
        </w:rPr>
        <w:t>Sample</w:t>
      </w:r>
    </w:p>
    <w:p w14:paraId="015FD78C" w14:textId="77777777" w:rsidR="00366386" w:rsidRDefault="00366386" w:rsidP="006C77EF"/>
    <w:p w14:paraId="32505A82" w14:textId="77777777" w:rsidR="00366386" w:rsidRDefault="00366386" w:rsidP="006C77EF"/>
    <w:p w14:paraId="38433366" w14:textId="77777777" w:rsidR="00366386" w:rsidRDefault="00366386" w:rsidP="006C77EF"/>
    <w:p w14:paraId="21F7FF2B" w14:textId="4E9B912E" w:rsidR="000F5136" w:rsidRDefault="000F5136" w:rsidP="006C77EF">
      <w:r>
        <w:rPr>
          <w:noProof/>
        </w:rPr>
        <w:lastRenderedPageBreak/>
        <w:drawing>
          <wp:inline distT="0" distB="0" distL="0" distR="0" wp14:anchorId="04783137" wp14:editId="579B7A3D">
            <wp:extent cx="5731510" cy="3223895"/>
            <wp:effectExtent l="0" t="0" r="0" b="0"/>
            <wp:docPr id="206646347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46347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4C686" w14:textId="767F9D54" w:rsidR="007A7544" w:rsidRDefault="007A7544" w:rsidP="006C77EF">
      <w:r>
        <w:t>It is imperative for this study to gather perspectives from</w:t>
      </w:r>
      <w:r w:rsidR="00DF75A0">
        <w:t xml:space="preserve"> specific</w:t>
      </w:r>
      <w:r w:rsidR="003E4B0E">
        <w:t xml:space="preserve"> strands</w:t>
      </w:r>
      <w:r>
        <w:t xml:space="preserve"> across the UWTSD community</w:t>
      </w:r>
      <w:r w:rsidR="00DF75A0">
        <w:t>.</w:t>
      </w:r>
      <w:r>
        <w:t xml:space="preserve"> In terms of the student sample pool, as the university community is diverse in nature (UWTSD, 202</w:t>
      </w:r>
      <w:r w:rsidR="0061180B">
        <w:t>5</w:t>
      </w:r>
      <w:r>
        <w:t>), and in line</w:t>
      </w:r>
      <w:r w:rsidR="001F3732">
        <w:t xml:space="preserve"> with</w:t>
      </w:r>
      <w:r>
        <w:t xml:space="preserve"> guidance</w:t>
      </w:r>
      <w:r w:rsidR="00610AA2">
        <w:t xml:space="preserve"> (HE Professional, 2020)</w:t>
      </w:r>
      <w:r>
        <w:t xml:space="preserve">, a smaller cohort, a CERT HE sample </w:t>
      </w:r>
      <w:r w:rsidR="00584CB6">
        <w:t>will be the focus</w:t>
      </w:r>
      <w:r>
        <w:t xml:space="preserve">. </w:t>
      </w:r>
      <w:r w:rsidR="00DA17B9">
        <w:t>Acad</w:t>
      </w:r>
      <w:r w:rsidR="00584CB6">
        <w:t>e</w:t>
      </w:r>
      <w:r w:rsidR="00DA17B9">
        <w:t xml:space="preserve">mics and policy makers/leaders have also been noted as appropriate participants. </w:t>
      </w:r>
    </w:p>
    <w:p w14:paraId="148CB8C0" w14:textId="44906410" w:rsidR="006C77EF" w:rsidRDefault="00DC240C" w:rsidP="006C77EF">
      <w:r>
        <w:t xml:space="preserve">Braun &amp; Clarke (2019) argue that data saturation </w:t>
      </w:r>
      <w:r w:rsidR="00A508D8">
        <w:t xml:space="preserve">may not be a realistic option due to restraints on </w:t>
      </w:r>
      <w:r w:rsidR="00E522A0">
        <w:t>resources</w:t>
      </w:r>
      <w:r w:rsidR="00A508D8">
        <w:t xml:space="preserve"> an</w:t>
      </w:r>
      <w:r w:rsidR="00AA4D82">
        <w:t>d sample</w:t>
      </w:r>
      <w:r w:rsidR="00E522A0">
        <w:t xml:space="preserve"> availability</w:t>
      </w:r>
      <w:r w:rsidR="00235D8D">
        <w:t>. A</w:t>
      </w:r>
      <w:r w:rsidR="00AA4D82">
        <w:t xml:space="preserve"> </w:t>
      </w:r>
      <w:r w:rsidR="00235D8D">
        <w:t>p</w:t>
      </w:r>
      <w:r w:rsidR="00AA4D82">
        <w:t xml:space="preserve">ragmatic way forward would be to carefully consider a </w:t>
      </w:r>
      <w:r w:rsidR="00AB737E">
        <w:t>sample size</w:t>
      </w:r>
      <w:r w:rsidR="00E33144">
        <w:t xml:space="preserve">, </w:t>
      </w:r>
      <w:r w:rsidR="00FB74B6">
        <w:t>which,</w:t>
      </w:r>
      <w:r w:rsidR="00E33144">
        <w:t xml:space="preserve"> based on the literature is approximately 12 in each group </w:t>
      </w:r>
      <w:r w:rsidR="00E46441">
        <w:t>(</w:t>
      </w:r>
      <w:r w:rsidR="00917E0C">
        <w:t>Ahmed, 2025</w:t>
      </w:r>
      <w:r w:rsidR="00E96457">
        <w:t>, Braun &amp; Clarke, 2006</w:t>
      </w:r>
      <w:r w:rsidR="00917E0C">
        <w:t>)</w:t>
      </w:r>
      <w:r w:rsidR="007F2DAF">
        <w:t>.</w:t>
      </w:r>
      <w:r w:rsidR="00DF736A">
        <w:t xml:space="preserve"> </w:t>
      </w:r>
    </w:p>
    <w:p w14:paraId="5109A9BC" w14:textId="2EB54102" w:rsidR="00DF736A" w:rsidRDefault="00A467EC" w:rsidP="007F2DAF">
      <w:r>
        <w:t>In terms of p</w:t>
      </w:r>
      <w:r w:rsidR="006C77EF">
        <w:t>ower analysis</w:t>
      </w:r>
      <w:r>
        <w:t>, it</w:t>
      </w:r>
      <w:r w:rsidR="006C77EF">
        <w:t xml:space="preserve"> is likely not an option due to the proposed structure of the study</w:t>
      </w:r>
      <w:r>
        <w:t xml:space="preserve"> i.e.</w:t>
      </w:r>
      <w:r w:rsidR="006C77EF">
        <w:t xml:space="preserve"> enabling multiple key stakeholder responses and the relatively small sample frame to choose from. Research suggests that having a small number of responses in one group means that having larger responses in another is likely to lead to diminishing returns (</w:t>
      </w:r>
      <w:r w:rsidR="00D93B66">
        <w:t xml:space="preserve">UCLA </w:t>
      </w:r>
      <w:r w:rsidR="006C77EF">
        <w:t>Advanced Research Computing, 2025). Therefore to promote equality</w:t>
      </w:r>
      <w:r w:rsidR="00E93898">
        <w:t>,</w:t>
      </w:r>
      <w:r w:rsidR="006C77EF">
        <w:t xml:space="preserve"> this study will close at 12 responses in each group. This study openly serves to start a </w:t>
      </w:r>
      <w:r w:rsidR="00E93898">
        <w:t>university-wide</w:t>
      </w:r>
      <w:r w:rsidR="006C77EF">
        <w:t xml:space="preserve"> discussion around themes. Once themes have been acknowledged</w:t>
      </w:r>
      <w:r w:rsidR="00E93898">
        <w:t>,</w:t>
      </w:r>
      <w:r w:rsidR="006C77EF">
        <w:t xml:space="preserve"> further studies could include a more objective, quantitative approach. </w:t>
      </w:r>
    </w:p>
    <w:p w14:paraId="0DC9FA76" w14:textId="3F9C836A" w:rsidR="00453EDD" w:rsidRPr="005F3BE0" w:rsidRDefault="00453EDD" w:rsidP="00453EDD"/>
    <w:p w14:paraId="3E025F96" w14:textId="610D7942" w:rsidR="00EF1497" w:rsidRDefault="00790CA5" w:rsidP="00790CA5">
      <w:pPr>
        <w:rPr>
          <w:b/>
          <w:bCs/>
        </w:rPr>
      </w:pPr>
      <w:r w:rsidRPr="00457BF1">
        <w:rPr>
          <w:b/>
          <w:bCs/>
        </w:rPr>
        <w:t>Analysis</w:t>
      </w:r>
    </w:p>
    <w:p w14:paraId="43C9BB08" w14:textId="353D1D1D" w:rsidR="00EF1497" w:rsidRDefault="00EF1497" w:rsidP="00790CA5">
      <w:pPr>
        <w:rPr>
          <w:i/>
          <w:iCs/>
        </w:rPr>
      </w:pPr>
      <w:r w:rsidRPr="00EF1497">
        <w:rPr>
          <w:i/>
          <w:iCs/>
        </w:rPr>
        <w:t>Read slide</w:t>
      </w:r>
    </w:p>
    <w:p w14:paraId="0571364D" w14:textId="2291FAE7" w:rsidR="00FF4CDE" w:rsidRPr="00EF1497" w:rsidRDefault="00401AE9" w:rsidP="00790CA5">
      <w:pPr>
        <w:rPr>
          <w:i/>
          <w:iCs/>
        </w:rPr>
      </w:pPr>
      <w:r>
        <w:rPr>
          <w:noProof/>
        </w:rPr>
        <w:lastRenderedPageBreak/>
        <w:drawing>
          <wp:inline distT="0" distB="0" distL="0" distR="0" wp14:anchorId="55534243" wp14:editId="73D9A64E">
            <wp:extent cx="5731510" cy="3223895"/>
            <wp:effectExtent l="0" t="0" r="0" b="0"/>
            <wp:docPr id="202161183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611833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201A6" w14:textId="5BB35BE0" w:rsidR="00790CA5" w:rsidRDefault="000E3E4B" w:rsidP="00790CA5">
      <w:r>
        <w:t>Thank you for listening</w:t>
      </w:r>
      <w:r w:rsidR="00234185">
        <w:t>.</w:t>
      </w:r>
    </w:p>
    <w:p w14:paraId="3B27E744" w14:textId="77777777" w:rsidR="00790CA5" w:rsidRDefault="00790CA5"/>
    <w:p w14:paraId="538FC885" w14:textId="77777777" w:rsidR="00234185" w:rsidRDefault="00234185"/>
    <w:p w14:paraId="0463B9A3" w14:textId="77777777" w:rsidR="00933A30" w:rsidRDefault="00933A30"/>
    <w:p w14:paraId="11932C81" w14:textId="77777777" w:rsidR="00933A30" w:rsidRDefault="00933A30"/>
    <w:p w14:paraId="0029ECF2" w14:textId="77777777" w:rsidR="00933A30" w:rsidRDefault="00933A30"/>
    <w:p w14:paraId="6800BD26" w14:textId="77777777" w:rsidR="00933A30" w:rsidRDefault="00933A30"/>
    <w:p w14:paraId="696206F2" w14:textId="77777777" w:rsidR="00933A30" w:rsidRDefault="00933A30"/>
    <w:p w14:paraId="61430847" w14:textId="77777777" w:rsidR="00933A30" w:rsidRDefault="00933A30"/>
    <w:p w14:paraId="43ECB0B1" w14:textId="77777777" w:rsidR="00933A30" w:rsidRDefault="00933A30"/>
    <w:p w14:paraId="357CEEB2" w14:textId="77777777" w:rsidR="00933A30" w:rsidRDefault="00933A30"/>
    <w:p w14:paraId="23383205" w14:textId="77777777" w:rsidR="00933A30" w:rsidRDefault="00933A30"/>
    <w:p w14:paraId="634C32EE" w14:textId="77777777" w:rsidR="00933A30" w:rsidRDefault="00933A30"/>
    <w:p w14:paraId="3694800F" w14:textId="77777777" w:rsidR="00933A30" w:rsidRDefault="00933A30"/>
    <w:p w14:paraId="26D6266C" w14:textId="77777777" w:rsidR="00933A30" w:rsidRDefault="00933A30"/>
    <w:p w14:paraId="35C7C9B7" w14:textId="77777777" w:rsidR="00933A30" w:rsidRDefault="00933A30"/>
    <w:p w14:paraId="20134BF3" w14:textId="77777777" w:rsidR="00933A30" w:rsidRDefault="00933A30"/>
    <w:p w14:paraId="2AE7F1DD" w14:textId="77777777" w:rsidR="00933A30" w:rsidRDefault="00933A30"/>
    <w:p w14:paraId="0487C8E3" w14:textId="77777777" w:rsidR="00933A30" w:rsidRDefault="00933A30"/>
    <w:p w14:paraId="616C4A58" w14:textId="12A6F1B4" w:rsidR="00853D5A" w:rsidRPr="00CE1838" w:rsidRDefault="00FF2810">
      <w:pPr>
        <w:rPr>
          <w:b/>
          <w:bCs/>
        </w:rPr>
      </w:pPr>
      <w:r w:rsidRPr="000D6791">
        <w:rPr>
          <w:b/>
          <w:bCs/>
        </w:rPr>
        <w:lastRenderedPageBreak/>
        <w:t>References</w:t>
      </w:r>
    </w:p>
    <w:p w14:paraId="2B55FE1E" w14:textId="049FAC18" w:rsidR="53949412" w:rsidRDefault="1DA41AFD" w:rsidP="1337CB67">
      <w:pPr>
        <w:spacing w:after="240"/>
      </w:pPr>
      <w:r>
        <w:t xml:space="preserve">Advance HE (2025) </w:t>
      </w:r>
      <w:r w:rsidRPr="1337CB67">
        <w:rPr>
          <w:rFonts w:ascii="Aptos" w:eastAsia="Aptos" w:hAnsi="Aptos" w:cs="Aptos"/>
          <w:i/>
        </w:rPr>
        <w:t>Framework for Student Access, Retention, Attainment and Progression.</w:t>
      </w:r>
      <w:r>
        <w:t xml:space="preserve">  Ava</w:t>
      </w:r>
      <w:r w:rsidR="1AFFFFB8">
        <w:t xml:space="preserve">ilable at: </w:t>
      </w:r>
      <w:hyperlink r:id="rId25">
        <w:r w:rsidRPr="1337CB67">
          <w:rPr>
            <w:rStyle w:val="Hyperlink"/>
          </w:rPr>
          <w:t>https://www.advance-he.ac.uk/knowledge-hub/framework-student-access-retention-attainment-and-progression</w:t>
        </w:r>
      </w:hyperlink>
      <w:r w:rsidR="1BA5FFB7">
        <w:t xml:space="preserve"> (Accessed: 7 June 2025).</w:t>
      </w:r>
    </w:p>
    <w:p w14:paraId="7762F21B" w14:textId="336602F9" w:rsidR="00890947" w:rsidRDefault="00890947" w:rsidP="7665CF02">
      <w:r w:rsidRPr="00890947">
        <w:t>Ahmed, S</w:t>
      </w:r>
      <w:r w:rsidR="00DD355B">
        <w:t>.</w:t>
      </w:r>
      <w:r w:rsidR="00B31953">
        <w:t>,</w:t>
      </w:r>
      <w:r w:rsidRPr="00890947">
        <w:t xml:space="preserve"> Mohammed, R</w:t>
      </w:r>
      <w:r w:rsidR="0040496E">
        <w:t xml:space="preserve">., </w:t>
      </w:r>
      <w:r w:rsidRPr="00890947">
        <w:t>Nashwan, A</w:t>
      </w:r>
      <w:r w:rsidR="0040496E">
        <w:t>.,</w:t>
      </w:r>
      <w:r w:rsidRPr="00890947">
        <w:t xml:space="preserve"> Ibrahim, R</w:t>
      </w:r>
      <w:r w:rsidR="00B31953">
        <w:t>.</w:t>
      </w:r>
      <w:r w:rsidR="0040496E">
        <w:t>,</w:t>
      </w:r>
      <w:r w:rsidRPr="00890947">
        <w:t xml:space="preserve"> </w:t>
      </w:r>
      <w:r w:rsidR="00F62993">
        <w:t>Abdalla</w:t>
      </w:r>
      <w:r w:rsidRPr="00890947">
        <w:t>, A</w:t>
      </w:r>
      <w:r w:rsidR="00B31953">
        <w:t>.</w:t>
      </w:r>
      <w:r w:rsidR="009E06B2">
        <w:t>,</w:t>
      </w:r>
      <w:r w:rsidRPr="00890947">
        <w:t xml:space="preserve"> Ameen, B</w:t>
      </w:r>
      <w:r w:rsidR="009E06B2">
        <w:t>.</w:t>
      </w:r>
      <w:r w:rsidRPr="00890947">
        <w:t xml:space="preserve"> </w:t>
      </w:r>
      <w:r w:rsidR="00B31953">
        <w:t>and</w:t>
      </w:r>
      <w:r w:rsidRPr="00890947">
        <w:t xml:space="preserve"> </w:t>
      </w:r>
      <w:proofErr w:type="spellStart"/>
      <w:r w:rsidRPr="00890947">
        <w:t>Khdir</w:t>
      </w:r>
      <w:proofErr w:type="spellEnd"/>
      <w:r w:rsidRPr="00890947">
        <w:t xml:space="preserve">, R. (2025). </w:t>
      </w:r>
      <w:r w:rsidR="00B31953">
        <w:t>‘</w:t>
      </w:r>
      <w:r w:rsidRPr="00890947">
        <w:t>Using thematic analysis in qualitative research</w:t>
      </w:r>
      <w:r w:rsidR="00B31953">
        <w:t>’,</w:t>
      </w:r>
      <w:r w:rsidRPr="00890947">
        <w:t xml:space="preserve"> </w:t>
      </w:r>
      <w:r w:rsidRPr="00540946">
        <w:rPr>
          <w:i/>
          <w:iCs/>
        </w:rPr>
        <w:t>Journal of Medicine Surgery and Public Health</w:t>
      </w:r>
      <w:r w:rsidR="00540946">
        <w:t>,</w:t>
      </w:r>
      <w:r w:rsidRPr="00890947">
        <w:t xml:space="preserve"> 6. </w:t>
      </w:r>
      <w:r w:rsidR="000E6B9F">
        <w:t xml:space="preserve">Available at </w:t>
      </w:r>
      <w:hyperlink r:id="rId26" w:history="1">
        <w:r w:rsidR="0070658A" w:rsidRPr="009A3869">
          <w:rPr>
            <w:rStyle w:val="Hyperlink"/>
          </w:rPr>
          <w:t>https://doi.org/10.1016/j.glmedi.2025.100198</w:t>
        </w:r>
      </w:hyperlink>
      <w:r w:rsidR="0070658A">
        <w:t xml:space="preserve"> (Accessed 8 June 2025)</w:t>
      </w:r>
    </w:p>
    <w:p w14:paraId="5401E4DE" w14:textId="162A7F51" w:rsidR="00D673F6" w:rsidRPr="008719D4" w:rsidRDefault="422C64A5" w:rsidP="7665CF02">
      <w:r>
        <w:t>Braun, V.</w:t>
      </w:r>
      <w:r w:rsidR="36E95566">
        <w:t xml:space="preserve"> and Clarke, V. (2006) </w:t>
      </w:r>
      <w:r w:rsidR="31264146" w:rsidRPr="7665CF02">
        <w:t>‘Using thematic analysis in psychology’,</w:t>
      </w:r>
      <w:r w:rsidR="31264146" w:rsidRPr="7665CF02">
        <w:rPr>
          <w:i/>
          <w:iCs/>
        </w:rPr>
        <w:t xml:space="preserve"> </w:t>
      </w:r>
      <w:r w:rsidR="6711E0EF" w:rsidRPr="7665CF02">
        <w:rPr>
          <w:i/>
          <w:iCs/>
        </w:rPr>
        <w:t>Qualitative Research in Psychology</w:t>
      </w:r>
      <w:r w:rsidR="6711E0EF" w:rsidRPr="7665CF02">
        <w:t>, 3(2), pp</w:t>
      </w:r>
      <w:r w:rsidR="583F53B0" w:rsidRPr="7665CF02">
        <w:t>.</w:t>
      </w:r>
      <w:r w:rsidR="6711E0EF" w:rsidRPr="7665CF02">
        <w:t xml:space="preserve"> 77-101. Available at: </w:t>
      </w:r>
      <w:hyperlink r:id="rId27">
        <w:r w:rsidR="6CE1FF59" w:rsidRPr="7665CF02">
          <w:rPr>
            <w:rStyle w:val="Hyperlink"/>
          </w:rPr>
          <w:t>https://doi.org/10.1191/1478088706qp063oa</w:t>
        </w:r>
      </w:hyperlink>
      <w:r w:rsidR="6CE1FF59" w:rsidRPr="7665CF02">
        <w:t xml:space="preserve"> (Accessed: 6 June 2025).</w:t>
      </w:r>
    </w:p>
    <w:p w14:paraId="4F48DB98" w14:textId="01827A9F" w:rsidR="00D673F6" w:rsidRPr="008719D4" w:rsidRDefault="6CE1FF59" w:rsidP="7665CF02">
      <w:r w:rsidRPr="7665CF02">
        <w:t>Braun, V. and Clarke, V. (2019) ‘To saturate or not to saturate? Questioning data saturation as a useful concept for thematic analysis and sample-size rationales’</w:t>
      </w:r>
      <w:r w:rsidR="654F432D" w:rsidRPr="7665CF02">
        <w:t xml:space="preserve">, </w:t>
      </w:r>
      <w:r w:rsidR="654F432D" w:rsidRPr="7665CF02">
        <w:rPr>
          <w:i/>
          <w:iCs/>
        </w:rPr>
        <w:t>Qualitative Research in Sport, Exercise and Health</w:t>
      </w:r>
      <w:r w:rsidR="654F432D" w:rsidRPr="7665CF02">
        <w:t xml:space="preserve">, 13(2), pp. </w:t>
      </w:r>
      <w:r w:rsidR="00257DBD" w:rsidRPr="7665CF02">
        <w:t xml:space="preserve">201-216. Available at: </w:t>
      </w:r>
      <w:hyperlink r:id="rId28">
        <w:r w:rsidR="00257DBD" w:rsidRPr="7665CF02">
          <w:rPr>
            <w:rStyle w:val="Hyperlink"/>
          </w:rPr>
          <w:t>https://doi.org/10.1080/2159676X.2019.1704846</w:t>
        </w:r>
      </w:hyperlink>
      <w:r w:rsidR="00257DBD" w:rsidRPr="7665CF02">
        <w:t xml:space="preserve"> (Accessed: 6 June 2025).</w:t>
      </w:r>
    </w:p>
    <w:p w14:paraId="64BB9F78" w14:textId="57E7D91C" w:rsidR="00D673F6" w:rsidRPr="008719D4" w:rsidRDefault="61FF0B46" w:rsidP="7665CF02">
      <w:r>
        <w:t>Burns, J.</w:t>
      </w:r>
      <w:r w:rsidR="1FD7BE81">
        <w:t>M.</w:t>
      </w:r>
      <w:r>
        <w:t xml:space="preserve"> (1978) </w:t>
      </w:r>
      <w:r w:rsidRPr="7665CF02">
        <w:rPr>
          <w:i/>
          <w:iCs/>
        </w:rPr>
        <w:t>Leadership</w:t>
      </w:r>
      <w:r w:rsidRPr="7665CF02">
        <w:t>. New Yo</w:t>
      </w:r>
      <w:r w:rsidR="251496CE" w:rsidRPr="7665CF02">
        <w:t>rk: Harper &amp; Row.</w:t>
      </w:r>
    </w:p>
    <w:p w14:paraId="36E3A045" w14:textId="63F1B4C4" w:rsidR="0039792A" w:rsidRDefault="356EBC66" w:rsidP="7665CF02">
      <w:r w:rsidRPr="7665CF02">
        <w:t xml:space="preserve">Burrell, G. and Morgan, G. (1979). </w:t>
      </w:r>
      <w:r w:rsidRPr="7665CF02">
        <w:rPr>
          <w:i/>
          <w:iCs/>
        </w:rPr>
        <w:t>Sociological Paradigms and Organisational Analysis: Elements of the Sociology of Corporate Life</w:t>
      </w:r>
      <w:r w:rsidR="77F75652" w:rsidRPr="7665CF02">
        <w:t xml:space="preserve">. </w:t>
      </w:r>
      <w:r w:rsidR="0B181D3A" w:rsidRPr="7665CF02">
        <w:t xml:space="preserve">London: </w:t>
      </w:r>
      <w:r w:rsidRPr="7665CF02">
        <w:t xml:space="preserve">Routledge. </w:t>
      </w:r>
      <w:r w:rsidR="117959E5" w:rsidRPr="7665CF02">
        <w:t xml:space="preserve">Available at: </w:t>
      </w:r>
      <w:hyperlink r:id="rId29">
        <w:r w:rsidRPr="7665CF02">
          <w:rPr>
            <w:rStyle w:val="Hyperlink"/>
          </w:rPr>
          <w:t>https://doi.org/10.4324/9781315242804</w:t>
        </w:r>
      </w:hyperlink>
      <w:r w:rsidRPr="7665CF02">
        <w:t xml:space="preserve"> </w:t>
      </w:r>
      <w:r w:rsidR="7CE4D565" w:rsidRPr="7665CF02">
        <w:t>(Accessed: 6 June 2025).</w:t>
      </w:r>
    </w:p>
    <w:p w14:paraId="645FAAEF" w14:textId="2AA40890" w:rsidR="1B2F748F" w:rsidRDefault="7CE4D565">
      <w:r w:rsidRPr="7665CF02">
        <w:t xml:space="preserve">Cresswell, J.W. and Creswell J.D. (2018) </w:t>
      </w:r>
      <w:r w:rsidRPr="7665CF02">
        <w:rPr>
          <w:i/>
          <w:iCs/>
        </w:rPr>
        <w:t>Research Design: Qualitative, Quantitative and Mixed Methods</w:t>
      </w:r>
      <w:r w:rsidRPr="7665CF02">
        <w:t>, Fifth Edition, Los Angeles: SAGE.</w:t>
      </w:r>
    </w:p>
    <w:p w14:paraId="041F9DC2" w14:textId="1707F934" w:rsidR="35A22F23" w:rsidRDefault="193AAC38">
      <w:pPr>
        <w:rPr>
          <w:rStyle w:val="Hyperlink"/>
        </w:rPr>
      </w:pPr>
      <w:r>
        <w:t xml:space="preserve">Delve, Ho, L., and </w:t>
      </w:r>
      <w:proofErr w:type="spellStart"/>
      <w:r>
        <w:t>Limpaecher</w:t>
      </w:r>
      <w:proofErr w:type="spellEnd"/>
      <w:r>
        <w:t xml:space="preserve">, A. (2024). </w:t>
      </w:r>
      <w:r w:rsidRPr="7BCF5BFD">
        <w:rPr>
          <w:i/>
        </w:rPr>
        <w:t>Inductive Thematic Analysis and Deductive Thematic Analysis in Qualitative Research</w:t>
      </w:r>
      <w:r w:rsidR="1BCED6BE" w:rsidRPr="7BCF5BFD">
        <w:rPr>
          <w:i/>
          <w:iCs/>
        </w:rPr>
        <w:t xml:space="preserve">. </w:t>
      </w:r>
      <w:r w:rsidR="1BCED6BE" w:rsidRPr="7BCF5BFD">
        <w:t>Available at:</w:t>
      </w:r>
      <w:r w:rsidRPr="7BCF5BFD">
        <w:rPr>
          <w:i/>
        </w:rPr>
        <w:t xml:space="preserve"> </w:t>
      </w:r>
      <w:hyperlink r:id="rId30">
        <w:r w:rsidRPr="1B2F748F">
          <w:rPr>
            <w:rStyle w:val="Hyperlink"/>
          </w:rPr>
          <w:t>https://delvetool.com/blog/inductive-deductive-thematic-analysis</w:t>
        </w:r>
      </w:hyperlink>
      <w:r w:rsidR="43392108">
        <w:t xml:space="preserve"> (Accessed: 7 June 2025).</w:t>
      </w:r>
    </w:p>
    <w:p w14:paraId="1C86DCB9" w14:textId="06AC3193" w:rsidR="008569F3" w:rsidRPr="008569F3" w:rsidRDefault="15FD34C2" w:rsidP="00826569">
      <w:r>
        <w:t xml:space="preserve">Deng, C., </w:t>
      </w:r>
      <w:proofErr w:type="spellStart"/>
      <w:r>
        <w:t>Gulseren</w:t>
      </w:r>
      <w:proofErr w:type="spellEnd"/>
      <w:r>
        <w:t xml:space="preserve">, D., Isola, C., </w:t>
      </w:r>
      <w:proofErr w:type="spellStart"/>
      <w:r>
        <w:t>Grocutt</w:t>
      </w:r>
      <w:proofErr w:type="spellEnd"/>
      <w:r>
        <w:t xml:space="preserve">, K., and Turner, N. (2022) ‘Transformational leadership effectiveness: an evidence-based primer’. </w:t>
      </w:r>
      <w:r w:rsidRPr="484E2030">
        <w:rPr>
          <w:i/>
        </w:rPr>
        <w:t>Human Resource Development International</w:t>
      </w:r>
      <w:r>
        <w:t xml:space="preserve">, 26(5), pp. 627-641. Available at: </w:t>
      </w:r>
      <w:hyperlink r:id="rId31">
        <w:r w:rsidRPr="1D124B9E">
          <w:rPr>
            <w:rStyle w:val="Hyperlink"/>
          </w:rPr>
          <w:t>https://doi.org/10.1080/13678868.2022.2135938</w:t>
        </w:r>
      </w:hyperlink>
      <w:r>
        <w:t xml:space="preserve">  (Accessed: 6 June 2025).</w:t>
      </w:r>
    </w:p>
    <w:p w14:paraId="70A3F0B3" w14:textId="7C1466AF" w:rsidR="00E234F0" w:rsidRDefault="008569F3" w:rsidP="008569F3">
      <w:pPr>
        <w:spacing w:after="240"/>
      </w:pPr>
      <w:proofErr w:type="spellStart"/>
      <w:r w:rsidRPr="008569F3">
        <w:t>Gesun</w:t>
      </w:r>
      <w:proofErr w:type="spellEnd"/>
      <w:r w:rsidRPr="008569F3">
        <w:t xml:space="preserve">, J. S., </w:t>
      </w:r>
      <w:r w:rsidR="00516DF1" w:rsidRPr="00312138">
        <w:t>Major, J. Berger, E., Godwin, A</w:t>
      </w:r>
      <w:r w:rsidR="00312138" w:rsidRPr="00312138">
        <w:t xml:space="preserve">, Jensen, K., </w:t>
      </w:r>
      <w:r w:rsidR="00312138">
        <w:t>Chen</w:t>
      </w:r>
      <w:r w:rsidR="00302148">
        <w:t xml:space="preserve"> and</w:t>
      </w:r>
      <w:r w:rsidR="00312138">
        <w:t xml:space="preserve"> </w:t>
      </w:r>
      <w:r w:rsidR="00302148">
        <w:t xml:space="preserve">Froiland, J. </w:t>
      </w:r>
      <w:r w:rsidRPr="008569F3">
        <w:t xml:space="preserve"> (2021). A Scoping Literature Review of Engineering Thriving to Rede</w:t>
      </w:r>
      <w:r w:rsidR="00302148">
        <w:t>f</w:t>
      </w:r>
      <w:r w:rsidRPr="008569F3">
        <w:t xml:space="preserve">ine Student Success. </w:t>
      </w:r>
      <w:r w:rsidRPr="008569F3">
        <w:rPr>
          <w:i/>
          <w:iCs/>
        </w:rPr>
        <w:t>Studies in Engineering Education</w:t>
      </w:r>
      <w:r w:rsidRPr="008569F3">
        <w:t>, 2(2), pp. 19–41</w:t>
      </w:r>
      <w:r w:rsidR="00CA4C02">
        <w:t>.</w:t>
      </w:r>
    </w:p>
    <w:p w14:paraId="2967FD26" w14:textId="7B8D23D1" w:rsidR="00BE69AB" w:rsidRDefault="43392108" w:rsidP="7665CF02">
      <w:pPr>
        <w:spacing w:after="240"/>
      </w:pPr>
      <w:r>
        <w:t xml:space="preserve">HE Professional (2020) </w:t>
      </w:r>
      <w:r w:rsidRPr="35154595">
        <w:rPr>
          <w:i/>
        </w:rPr>
        <w:t xml:space="preserve">Measuring Student Success in Higher </w:t>
      </w:r>
      <w:r w:rsidRPr="35154595">
        <w:rPr>
          <w:i/>
          <w:iCs/>
        </w:rPr>
        <w:t>Education.</w:t>
      </w:r>
      <w:r w:rsidR="18AB55DE">
        <w:t xml:space="preserve"> </w:t>
      </w:r>
      <w:r>
        <w:t xml:space="preserve">Available at: </w:t>
      </w:r>
      <w:hyperlink r:id="rId32">
        <w:r w:rsidRPr="71A819FC">
          <w:rPr>
            <w:rStyle w:val="Hyperlink"/>
          </w:rPr>
          <w:t>https://heprofessional.co.uk/edition/measuring-student-success-in-higher-education</w:t>
        </w:r>
      </w:hyperlink>
      <w:r>
        <w:t xml:space="preserve"> (Accessed: 7 June 2025).</w:t>
      </w:r>
    </w:p>
    <w:p w14:paraId="65650C5F" w14:textId="0363DED3" w:rsidR="00D673F6" w:rsidRPr="008719D4" w:rsidRDefault="77FF626C" w:rsidP="7665CF02">
      <w:pPr>
        <w:spacing w:after="240"/>
        <w:rPr>
          <w:rFonts w:ascii="Aptos" w:eastAsia="Aptos" w:hAnsi="Aptos" w:cs="Aptos"/>
        </w:rPr>
      </w:pPr>
      <w:r w:rsidRPr="7665CF02">
        <w:rPr>
          <w:rFonts w:ascii="Aptos" w:eastAsia="Aptos" w:hAnsi="Aptos" w:cs="Aptos"/>
        </w:rPr>
        <w:t xml:space="preserve">Jensen, U.T., Moynihan, D.P. and Salomonsen, H.H. (2018) ‘Communicating the Vision: How Face-to-Face Dialogue Facilitates Transformational Leadership’. </w:t>
      </w:r>
      <w:r w:rsidRPr="7665CF02">
        <w:rPr>
          <w:rFonts w:ascii="Aptos" w:eastAsia="Aptos" w:hAnsi="Aptos" w:cs="Aptos"/>
          <w:i/>
          <w:iCs/>
        </w:rPr>
        <w:t>Public Admin Rev</w:t>
      </w:r>
      <w:r w:rsidRPr="7665CF02">
        <w:rPr>
          <w:rFonts w:ascii="Aptos" w:eastAsia="Aptos" w:hAnsi="Aptos" w:cs="Aptos"/>
        </w:rPr>
        <w:t xml:space="preserve">, 78(3), </w:t>
      </w:r>
      <w:r w:rsidR="15B93EA7" w:rsidRPr="7665CF02">
        <w:rPr>
          <w:rFonts w:ascii="Aptos" w:eastAsia="Aptos" w:hAnsi="Aptos" w:cs="Aptos"/>
        </w:rPr>
        <w:t>pp.</w:t>
      </w:r>
      <w:r w:rsidRPr="7665CF02">
        <w:rPr>
          <w:rFonts w:ascii="Aptos" w:eastAsia="Aptos" w:hAnsi="Aptos" w:cs="Aptos"/>
        </w:rPr>
        <w:t xml:space="preserve"> 350-361. </w:t>
      </w:r>
      <w:r w:rsidR="1EB975D4" w:rsidRPr="7665CF02">
        <w:rPr>
          <w:rFonts w:ascii="Aptos" w:eastAsia="Aptos" w:hAnsi="Aptos" w:cs="Aptos"/>
        </w:rPr>
        <w:t xml:space="preserve">Available at: </w:t>
      </w:r>
      <w:hyperlink r:id="rId33">
        <w:r w:rsidRPr="7665CF02">
          <w:rPr>
            <w:rStyle w:val="Hyperlink"/>
            <w:rFonts w:ascii="Aptos" w:eastAsia="Aptos" w:hAnsi="Aptos" w:cs="Aptos"/>
          </w:rPr>
          <w:t>https://doi.org/10.1111/puar.12922</w:t>
        </w:r>
      </w:hyperlink>
      <w:r w:rsidR="7D17B4A8" w:rsidRPr="7665CF02">
        <w:rPr>
          <w:rFonts w:ascii="Aptos" w:eastAsia="Aptos" w:hAnsi="Aptos" w:cs="Aptos"/>
        </w:rPr>
        <w:t xml:space="preserve"> (Accessed: 6 Ju</w:t>
      </w:r>
      <w:r w:rsidR="00473040" w:rsidRPr="7665CF02">
        <w:rPr>
          <w:rFonts w:ascii="Aptos" w:eastAsia="Aptos" w:hAnsi="Aptos" w:cs="Aptos"/>
        </w:rPr>
        <w:t>n</w:t>
      </w:r>
      <w:r w:rsidR="7D17B4A8" w:rsidRPr="7665CF02">
        <w:rPr>
          <w:rFonts w:ascii="Aptos" w:eastAsia="Aptos" w:hAnsi="Aptos" w:cs="Aptos"/>
        </w:rPr>
        <w:t>e 2025).</w:t>
      </w:r>
    </w:p>
    <w:p w14:paraId="34652211" w14:textId="17988DA3" w:rsidR="00D673F6" w:rsidRPr="008719D4" w:rsidRDefault="7D864034" w:rsidP="7665CF02">
      <w:r w:rsidRPr="7665CF02">
        <w:t xml:space="preserve">Lowe, T. (2024) ‘What is the meaning of student success in higher education?’. </w:t>
      </w:r>
      <w:r w:rsidRPr="000F0440">
        <w:rPr>
          <w:i/>
          <w:iCs/>
        </w:rPr>
        <w:t>The Buckingham Journal of Education</w:t>
      </w:r>
      <w:r w:rsidRPr="7665CF02">
        <w:t xml:space="preserve">, 4(2), pp. 91-102.  Available at: </w:t>
      </w:r>
      <w:hyperlink r:id="rId34">
        <w:r w:rsidRPr="7665CF02">
          <w:rPr>
            <w:rStyle w:val="Hyperlink"/>
          </w:rPr>
          <w:t>https://www.ubplj.org/index.php/TBJE/article/view/2207</w:t>
        </w:r>
      </w:hyperlink>
      <w:r w:rsidRPr="7665CF02">
        <w:t xml:space="preserve"> (Accessed: 6 June 2025).</w:t>
      </w:r>
    </w:p>
    <w:p w14:paraId="5F76F939" w14:textId="236F4BB8" w:rsidR="00D673F6" w:rsidRPr="008719D4" w:rsidRDefault="4387E53B" w:rsidP="7665CF02">
      <w:r w:rsidRPr="7665CF02">
        <w:lastRenderedPageBreak/>
        <w:t xml:space="preserve">Morse, J.M. (2015) </w:t>
      </w:r>
      <w:r w:rsidRPr="7665CF02">
        <w:rPr>
          <w:i/>
          <w:iCs/>
        </w:rPr>
        <w:t xml:space="preserve">‘Data Were Saturated . . .’. </w:t>
      </w:r>
      <w:r w:rsidR="19524D14" w:rsidRPr="7665CF02">
        <w:rPr>
          <w:i/>
          <w:iCs/>
        </w:rPr>
        <w:t xml:space="preserve">Qualitative Health Research, </w:t>
      </w:r>
      <w:r w:rsidR="19524D14" w:rsidRPr="7665CF02">
        <w:t xml:space="preserve">25(5), pp. 587-588. Available at: </w:t>
      </w:r>
      <w:hyperlink r:id="rId35">
        <w:r w:rsidR="19524D14" w:rsidRPr="7665CF02">
          <w:rPr>
            <w:rStyle w:val="Hyperlink"/>
          </w:rPr>
          <w:t>https://doi.org/10.1177/1049732315576699</w:t>
        </w:r>
      </w:hyperlink>
      <w:r w:rsidR="19524D14" w:rsidRPr="7665CF02">
        <w:t xml:space="preserve"> (Accessed: </w:t>
      </w:r>
      <w:r w:rsidR="779116A0" w:rsidRPr="7665CF02">
        <w:t>6 June 2025).</w:t>
      </w:r>
    </w:p>
    <w:p w14:paraId="7DC2FE64" w14:textId="1E61A536" w:rsidR="00D673F6" w:rsidRPr="008719D4" w:rsidRDefault="557FDC86" w:rsidP="7665CF02">
      <w:r w:rsidRPr="7665CF02">
        <w:t>Saunders, M.N.K., and Bristow, A. (2014), ‘Heightening awareness of research philosophy: the development of a reflexive tool for use with students’</w:t>
      </w:r>
      <w:r w:rsidR="00777E0C">
        <w:t>.</w:t>
      </w:r>
      <w:r w:rsidRPr="7665CF02">
        <w:t xml:space="preserve"> </w:t>
      </w:r>
      <w:r w:rsidRPr="7665CF02">
        <w:rPr>
          <w:i/>
          <w:iCs/>
        </w:rPr>
        <w:t>Developmental paper presented at the British Academy of Management Conference</w:t>
      </w:r>
      <w:r w:rsidR="21AC91A9" w:rsidRPr="7665CF02">
        <w:t>, Belfast, September.</w:t>
      </w:r>
    </w:p>
    <w:p w14:paraId="749A9930" w14:textId="19A75B13" w:rsidR="00D673F6" w:rsidRPr="008719D4" w:rsidRDefault="10BB4A50" w:rsidP="7665CF02">
      <w:r w:rsidRPr="7665CF02">
        <w:t>Saunders, M</w:t>
      </w:r>
      <w:r w:rsidR="404EF836" w:rsidRPr="7665CF02">
        <w:t>.</w:t>
      </w:r>
      <w:r w:rsidRPr="7665CF02">
        <w:t>N.K., Bristow, A., Thornhill, A., and Lewis, P. (2019) Understanding research philosophy and approaches to theory development</w:t>
      </w:r>
      <w:r w:rsidR="62FC0DAB" w:rsidRPr="7665CF02">
        <w:t xml:space="preserve">. </w:t>
      </w:r>
      <w:r w:rsidRPr="7665CF02">
        <w:t>8</w:t>
      </w:r>
      <w:r w:rsidR="4FA4AB09" w:rsidRPr="7665CF02">
        <w:rPr>
          <w:vertAlign w:val="superscript"/>
        </w:rPr>
        <w:t>th</w:t>
      </w:r>
      <w:r w:rsidR="4FA4AB09" w:rsidRPr="7665CF02">
        <w:t xml:space="preserve"> Edition</w:t>
      </w:r>
      <w:r w:rsidRPr="7665CF02">
        <w:t>. Harlow: Pearson Education.</w:t>
      </w:r>
    </w:p>
    <w:p w14:paraId="3B3BD4AF" w14:textId="1C85CF18" w:rsidR="0B04EE6F" w:rsidRDefault="6C86B1A5">
      <w:r>
        <w:t xml:space="preserve">UCLA Advanced Research Computing (2005) </w:t>
      </w:r>
      <w:r w:rsidRPr="7665CF02">
        <w:rPr>
          <w:i/>
          <w:iCs/>
        </w:rPr>
        <w:t>Introduction to Power Analysis</w:t>
      </w:r>
      <w:r>
        <w:t xml:space="preserve">. Available at: </w:t>
      </w:r>
      <w:hyperlink r:id="rId36">
        <w:r w:rsidRPr="7665CF02">
          <w:rPr>
            <w:rStyle w:val="Hyperlink"/>
          </w:rPr>
          <w:t>https://stats.oarc.ucla.edu/other/mult-pkg/seminars/intro-power/</w:t>
        </w:r>
      </w:hyperlink>
      <w:r>
        <w:t xml:space="preserve"> (Accessed: 6 June 2025).</w:t>
      </w:r>
    </w:p>
    <w:p w14:paraId="1A2B89D3" w14:textId="601526BB" w:rsidR="006C0014" w:rsidRDefault="2D409CBB" w:rsidP="7665CF02">
      <w:r>
        <w:t>UWTSD</w:t>
      </w:r>
      <w:r w:rsidR="02D91261">
        <w:t xml:space="preserve"> (2025)</w:t>
      </w:r>
      <w:r>
        <w:t xml:space="preserve"> </w:t>
      </w:r>
      <w:r w:rsidRPr="36080BD1">
        <w:rPr>
          <w:i/>
        </w:rPr>
        <w:t>Annual Report: Equality and Diversity 2023/4</w:t>
      </w:r>
      <w:r w:rsidR="734FB8E1" w:rsidRPr="36080BD1">
        <w:rPr>
          <w:i/>
        </w:rPr>
        <w:t>.</w:t>
      </w:r>
      <w:r>
        <w:t xml:space="preserve">  Available at: </w:t>
      </w:r>
      <w:hyperlink r:id="rId37">
        <w:r w:rsidRPr="0B04EE6F">
          <w:rPr>
            <w:rStyle w:val="Hyperlink"/>
          </w:rPr>
          <w:t>https://www.google.com/url?sa=t&amp;source=web&amp;rct=j&amp;opi=89978449&amp;url=https://www.uwtsd.ac.uk/media/4852/download%3Fattachment&amp;ved=2ahUKEwjc09OVvN-NAxWtSvEDHcdoBPwQFnoECBQQAQ&amp;usg=AOvVaw1gxKe-b4REtlO5d7_j2HE7</w:t>
        </w:r>
      </w:hyperlink>
      <w:r>
        <w:t xml:space="preserve"> </w:t>
      </w:r>
      <w:r w:rsidR="5A531602">
        <w:t>(Accessed: 7 June 2025).</w:t>
      </w:r>
    </w:p>
    <w:p w14:paraId="4802B28B" w14:textId="4A64DAD2" w:rsidR="00D673F6" w:rsidRPr="008719D4" w:rsidRDefault="1CC24398" w:rsidP="7665CF02">
      <w:r w:rsidRPr="7665CF02">
        <w:t xml:space="preserve">Weatherton, M., and Schussler, E. (2021) </w:t>
      </w:r>
      <w:r w:rsidR="79E7B198" w:rsidRPr="7665CF02">
        <w:t xml:space="preserve">‘Success for All? A Call to Re-examine How Student Success Is Defined in Higher Education’, </w:t>
      </w:r>
      <w:r w:rsidR="79E7B198" w:rsidRPr="7665CF02">
        <w:rPr>
          <w:i/>
          <w:iCs/>
        </w:rPr>
        <w:t xml:space="preserve">CBE—Life Sciences Education, </w:t>
      </w:r>
      <w:r w:rsidR="79E7B198" w:rsidRPr="7665CF02">
        <w:t>20(1)</w:t>
      </w:r>
      <w:r w:rsidR="4D37C3DE" w:rsidRPr="7665CF02">
        <w:t xml:space="preserve">. Available at: </w:t>
      </w:r>
      <w:hyperlink r:id="rId38">
        <w:r w:rsidR="4D37C3DE" w:rsidRPr="7665CF02">
          <w:rPr>
            <w:rStyle w:val="Hyperlink"/>
          </w:rPr>
          <w:t>https://doi.org/10.1187/cbe.20-09-0223</w:t>
        </w:r>
      </w:hyperlink>
      <w:r w:rsidR="4D37C3DE" w:rsidRPr="7665CF02">
        <w:t xml:space="preserve"> (Accessed: 6 June 2025).</w:t>
      </w:r>
    </w:p>
    <w:p w14:paraId="5450B0E1" w14:textId="679F448B" w:rsidR="006A192B" w:rsidRPr="005254D5" w:rsidRDefault="4D37C3DE">
      <w:r w:rsidRPr="7665CF02">
        <w:t xml:space="preserve">Yue, C.A., Men, L.R., and Ferguson, M.A. (2019). </w:t>
      </w:r>
      <w:r w:rsidR="13196BF3" w:rsidRPr="7665CF02">
        <w:t>‘</w:t>
      </w:r>
      <w:r w:rsidRPr="7665CF02">
        <w:t>Bridging transformational leadership, transparent communication, and employee openness to change: The mediating role of trust</w:t>
      </w:r>
      <w:r w:rsidR="38453659" w:rsidRPr="7665CF02">
        <w:t>’</w:t>
      </w:r>
      <w:r w:rsidRPr="7665CF02">
        <w:t xml:space="preserve">. </w:t>
      </w:r>
      <w:r w:rsidRPr="7665CF02">
        <w:rPr>
          <w:i/>
          <w:iCs/>
        </w:rPr>
        <w:t>Public Relations Review</w:t>
      </w:r>
      <w:r w:rsidRPr="7665CF02">
        <w:t>, 45</w:t>
      </w:r>
      <w:r w:rsidR="098E0295" w:rsidRPr="7665CF02">
        <w:t>(3)</w:t>
      </w:r>
      <w:r w:rsidRPr="7665CF02">
        <w:t>.</w:t>
      </w:r>
      <w:r w:rsidR="62F2C98A" w:rsidRPr="7665CF02">
        <w:t xml:space="preserve"> Available at: </w:t>
      </w:r>
      <w:hyperlink r:id="rId39">
        <w:r w:rsidR="62F2C98A" w:rsidRPr="7665CF02">
          <w:rPr>
            <w:rStyle w:val="Hyperlink"/>
          </w:rPr>
          <w:t>https://doi.org/10.1016/j.pubrev.2019.04.012</w:t>
        </w:r>
      </w:hyperlink>
      <w:r w:rsidR="62F2C98A" w:rsidRPr="7665CF02">
        <w:t xml:space="preserve"> (Accessed: 6 June 2025).</w:t>
      </w:r>
    </w:p>
    <w:sectPr w:rsidR="006A192B" w:rsidRPr="005254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12C63"/>
    <w:multiLevelType w:val="multilevel"/>
    <w:tmpl w:val="357E6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DF36DF"/>
    <w:multiLevelType w:val="hybridMultilevel"/>
    <w:tmpl w:val="4A480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343869">
    <w:abstractNumId w:val="1"/>
  </w:num>
  <w:num w:numId="2" w16cid:durableId="1909194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6F10"/>
    <w:rsid w:val="00002CA3"/>
    <w:rsid w:val="000052B4"/>
    <w:rsid w:val="000075E9"/>
    <w:rsid w:val="00011B83"/>
    <w:rsid w:val="00011BA5"/>
    <w:rsid w:val="0001506E"/>
    <w:rsid w:val="000207D5"/>
    <w:rsid w:val="00022FE9"/>
    <w:rsid w:val="000245AD"/>
    <w:rsid w:val="00025972"/>
    <w:rsid w:val="000334DE"/>
    <w:rsid w:val="00051F06"/>
    <w:rsid w:val="000552D2"/>
    <w:rsid w:val="000562F1"/>
    <w:rsid w:val="00064CCA"/>
    <w:rsid w:val="00067CD1"/>
    <w:rsid w:val="0007172E"/>
    <w:rsid w:val="00072E29"/>
    <w:rsid w:val="000770A3"/>
    <w:rsid w:val="00077B86"/>
    <w:rsid w:val="00080204"/>
    <w:rsid w:val="00085102"/>
    <w:rsid w:val="00085531"/>
    <w:rsid w:val="00091408"/>
    <w:rsid w:val="00096450"/>
    <w:rsid w:val="000A2AC3"/>
    <w:rsid w:val="000A4DCE"/>
    <w:rsid w:val="000A5663"/>
    <w:rsid w:val="000B007A"/>
    <w:rsid w:val="000B02FF"/>
    <w:rsid w:val="000B2F4C"/>
    <w:rsid w:val="000B3A1A"/>
    <w:rsid w:val="000B751D"/>
    <w:rsid w:val="000B7F11"/>
    <w:rsid w:val="000C7528"/>
    <w:rsid w:val="000D00F5"/>
    <w:rsid w:val="000D6791"/>
    <w:rsid w:val="000D6C57"/>
    <w:rsid w:val="000D7074"/>
    <w:rsid w:val="000E3E4B"/>
    <w:rsid w:val="000E6B9F"/>
    <w:rsid w:val="000E70B1"/>
    <w:rsid w:val="000F0440"/>
    <w:rsid w:val="000F169D"/>
    <w:rsid w:val="000F222C"/>
    <w:rsid w:val="000F3E69"/>
    <w:rsid w:val="000F5136"/>
    <w:rsid w:val="000F60DC"/>
    <w:rsid w:val="000F6A82"/>
    <w:rsid w:val="000F6E01"/>
    <w:rsid w:val="0010032A"/>
    <w:rsid w:val="00105E46"/>
    <w:rsid w:val="00112249"/>
    <w:rsid w:val="00117DC1"/>
    <w:rsid w:val="00121209"/>
    <w:rsid w:val="00125058"/>
    <w:rsid w:val="00125A8D"/>
    <w:rsid w:val="00126C55"/>
    <w:rsid w:val="00131996"/>
    <w:rsid w:val="001352CA"/>
    <w:rsid w:val="00137588"/>
    <w:rsid w:val="00143AF0"/>
    <w:rsid w:val="001442D9"/>
    <w:rsid w:val="001547BE"/>
    <w:rsid w:val="00154941"/>
    <w:rsid w:val="001568C3"/>
    <w:rsid w:val="0015793F"/>
    <w:rsid w:val="0018252E"/>
    <w:rsid w:val="00182659"/>
    <w:rsid w:val="001952FF"/>
    <w:rsid w:val="001958D0"/>
    <w:rsid w:val="001A1ECF"/>
    <w:rsid w:val="001A549B"/>
    <w:rsid w:val="001A56DB"/>
    <w:rsid w:val="001B0C40"/>
    <w:rsid w:val="001B3CE3"/>
    <w:rsid w:val="001B7578"/>
    <w:rsid w:val="001C144D"/>
    <w:rsid w:val="001C283D"/>
    <w:rsid w:val="001C2A18"/>
    <w:rsid w:val="001C3DF2"/>
    <w:rsid w:val="001C57B0"/>
    <w:rsid w:val="001C7282"/>
    <w:rsid w:val="001D2F50"/>
    <w:rsid w:val="001E422F"/>
    <w:rsid w:val="001E682D"/>
    <w:rsid w:val="001F3732"/>
    <w:rsid w:val="001F5965"/>
    <w:rsid w:val="001F710B"/>
    <w:rsid w:val="00203581"/>
    <w:rsid w:val="00211572"/>
    <w:rsid w:val="00211971"/>
    <w:rsid w:val="002151CF"/>
    <w:rsid w:val="00216B55"/>
    <w:rsid w:val="00217B5F"/>
    <w:rsid w:val="00220B29"/>
    <w:rsid w:val="0022151C"/>
    <w:rsid w:val="00222356"/>
    <w:rsid w:val="0022491D"/>
    <w:rsid w:val="00227FB1"/>
    <w:rsid w:val="002300C2"/>
    <w:rsid w:val="00234185"/>
    <w:rsid w:val="00235D8D"/>
    <w:rsid w:val="00241029"/>
    <w:rsid w:val="002431E1"/>
    <w:rsid w:val="00244AEC"/>
    <w:rsid w:val="002456E5"/>
    <w:rsid w:val="0025003A"/>
    <w:rsid w:val="00257DBD"/>
    <w:rsid w:val="002617C1"/>
    <w:rsid w:val="002634A2"/>
    <w:rsid w:val="00275D15"/>
    <w:rsid w:val="00287192"/>
    <w:rsid w:val="0029004E"/>
    <w:rsid w:val="00294B3C"/>
    <w:rsid w:val="0029697E"/>
    <w:rsid w:val="002A17DD"/>
    <w:rsid w:val="002A1CBA"/>
    <w:rsid w:val="002A21BC"/>
    <w:rsid w:val="002A2E60"/>
    <w:rsid w:val="002A3B7B"/>
    <w:rsid w:val="002B6366"/>
    <w:rsid w:val="002B7D8B"/>
    <w:rsid w:val="002C0382"/>
    <w:rsid w:val="002C116B"/>
    <w:rsid w:val="002C4CB1"/>
    <w:rsid w:val="002C62F4"/>
    <w:rsid w:val="002D314F"/>
    <w:rsid w:val="002D3FBB"/>
    <w:rsid w:val="002E13C1"/>
    <w:rsid w:val="002E33DD"/>
    <w:rsid w:val="002E6011"/>
    <w:rsid w:val="002F28BD"/>
    <w:rsid w:val="002F2D45"/>
    <w:rsid w:val="00301A77"/>
    <w:rsid w:val="00302148"/>
    <w:rsid w:val="00304AF5"/>
    <w:rsid w:val="003070ED"/>
    <w:rsid w:val="003118CD"/>
    <w:rsid w:val="00312138"/>
    <w:rsid w:val="003166F7"/>
    <w:rsid w:val="00327377"/>
    <w:rsid w:val="003352D2"/>
    <w:rsid w:val="003359EB"/>
    <w:rsid w:val="00337468"/>
    <w:rsid w:val="003405FF"/>
    <w:rsid w:val="00350236"/>
    <w:rsid w:val="00351C1E"/>
    <w:rsid w:val="003643B6"/>
    <w:rsid w:val="00366386"/>
    <w:rsid w:val="0037055C"/>
    <w:rsid w:val="0037197A"/>
    <w:rsid w:val="00374B54"/>
    <w:rsid w:val="00374CB6"/>
    <w:rsid w:val="0037504E"/>
    <w:rsid w:val="003806B0"/>
    <w:rsid w:val="00382158"/>
    <w:rsid w:val="00384BC1"/>
    <w:rsid w:val="0038582B"/>
    <w:rsid w:val="00393FAD"/>
    <w:rsid w:val="0039792A"/>
    <w:rsid w:val="003A1962"/>
    <w:rsid w:val="003B0433"/>
    <w:rsid w:val="003B6980"/>
    <w:rsid w:val="003C347E"/>
    <w:rsid w:val="003C4040"/>
    <w:rsid w:val="003C4686"/>
    <w:rsid w:val="003C4EED"/>
    <w:rsid w:val="003C5068"/>
    <w:rsid w:val="003C50EB"/>
    <w:rsid w:val="003C764C"/>
    <w:rsid w:val="003D14BE"/>
    <w:rsid w:val="003D1533"/>
    <w:rsid w:val="003D62DD"/>
    <w:rsid w:val="003D6CB6"/>
    <w:rsid w:val="003E02DE"/>
    <w:rsid w:val="003E0A50"/>
    <w:rsid w:val="003E0C46"/>
    <w:rsid w:val="003E10EC"/>
    <w:rsid w:val="003E2F42"/>
    <w:rsid w:val="003E4B0E"/>
    <w:rsid w:val="003E4BF5"/>
    <w:rsid w:val="003E7846"/>
    <w:rsid w:val="003E7A57"/>
    <w:rsid w:val="00400A75"/>
    <w:rsid w:val="00401AE9"/>
    <w:rsid w:val="00401B30"/>
    <w:rsid w:val="00401D83"/>
    <w:rsid w:val="00403DE4"/>
    <w:rsid w:val="0040496E"/>
    <w:rsid w:val="00412306"/>
    <w:rsid w:val="004151F8"/>
    <w:rsid w:val="004205FE"/>
    <w:rsid w:val="00421A03"/>
    <w:rsid w:val="004239E3"/>
    <w:rsid w:val="004247C7"/>
    <w:rsid w:val="00433BAB"/>
    <w:rsid w:val="00435C37"/>
    <w:rsid w:val="0043706A"/>
    <w:rsid w:val="004375F7"/>
    <w:rsid w:val="004417B5"/>
    <w:rsid w:val="00441BD6"/>
    <w:rsid w:val="00441EC0"/>
    <w:rsid w:val="00445DA0"/>
    <w:rsid w:val="0044660D"/>
    <w:rsid w:val="00450036"/>
    <w:rsid w:val="00450ED2"/>
    <w:rsid w:val="00452031"/>
    <w:rsid w:val="00453EDD"/>
    <w:rsid w:val="004567AE"/>
    <w:rsid w:val="0045792D"/>
    <w:rsid w:val="00457BF1"/>
    <w:rsid w:val="004610FE"/>
    <w:rsid w:val="00463291"/>
    <w:rsid w:val="00466D3D"/>
    <w:rsid w:val="00473040"/>
    <w:rsid w:val="00473BC6"/>
    <w:rsid w:val="0047527E"/>
    <w:rsid w:val="00483239"/>
    <w:rsid w:val="0048592C"/>
    <w:rsid w:val="004867E2"/>
    <w:rsid w:val="00493A0D"/>
    <w:rsid w:val="00495901"/>
    <w:rsid w:val="004A29A2"/>
    <w:rsid w:val="004A2D8E"/>
    <w:rsid w:val="004A58C9"/>
    <w:rsid w:val="004B1132"/>
    <w:rsid w:val="004B5DFC"/>
    <w:rsid w:val="004B610F"/>
    <w:rsid w:val="004B6B6A"/>
    <w:rsid w:val="004B77E0"/>
    <w:rsid w:val="004C7430"/>
    <w:rsid w:val="004D4B97"/>
    <w:rsid w:val="004D55E7"/>
    <w:rsid w:val="004D603A"/>
    <w:rsid w:val="004E0BD3"/>
    <w:rsid w:val="004E10F7"/>
    <w:rsid w:val="004E2D64"/>
    <w:rsid w:val="004F179D"/>
    <w:rsid w:val="005047AB"/>
    <w:rsid w:val="0051086F"/>
    <w:rsid w:val="00515E1F"/>
    <w:rsid w:val="00516DF1"/>
    <w:rsid w:val="00517F97"/>
    <w:rsid w:val="0052161D"/>
    <w:rsid w:val="00522736"/>
    <w:rsid w:val="00522A86"/>
    <w:rsid w:val="005249F2"/>
    <w:rsid w:val="005254D5"/>
    <w:rsid w:val="00536E25"/>
    <w:rsid w:val="005405B2"/>
    <w:rsid w:val="00540946"/>
    <w:rsid w:val="005448D4"/>
    <w:rsid w:val="00544E0B"/>
    <w:rsid w:val="00545766"/>
    <w:rsid w:val="00545DC2"/>
    <w:rsid w:val="005546D1"/>
    <w:rsid w:val="00554916"/>
    <w:rsid w:val="005561EA"/>
    <w:rsid w:val="005614DE"/>
    <w:rsid w:val="005621F8"/>
    <w:rsid w:val="00564455"/>
    <w:rsid w:val="00566334"/>
    <w:rsid w:val="00573219"/>
    <w:rsid w:val="00574D8D"/>
    <w:rsid w:val="00580D02"/>
    <w:rsid w:val="00584CB6"/>
    <w:rsid w:val="00586D83"/>
    <w:rsid w:val="005A054D"/>
    <w:rsid w:val="005A0A65"/>
    <w:rsid w:val="005A2938"/>
    <w:rsid w:val="005A59C6"/>
    <w:rsid w:val="005B1F02"/>
    <w:rsid w:val="005B3056"/>
    <w:rsid w:val="005B3143"/>
    <w:rsid w:val="005C3561"/>
    <w:rsid w:val="005C3781"/>
    <w:rsid w:val="005C7AB5"/>
    <w:rsid w:val="005D11A9"/>
    <w:rsid w:val="005D1463"/>
    <w:rsid w:val="005D7E20"/>
    <w:rsid w:val="005F275E"/>
    <w:rsid w:val="005F3BE0"/>
    <w:rsid w:val="00603436"/>
    <w:rsid w:val="00603531"/>
    <w:rsid w:val="00610AA2"/>
    <w:rsid w:val="0061180B"/>
    <w:rsid w:val="00616688"/>
    <w:rsid w:val="006206D1"/>
    <w:rsid w:val="00633EEC"/>
    <w:rsid w:val="00634752"/>
    <w:rsid w:val="00636C32"/>
    <w:rsid w:val="00644C8A"/>
    <w:rsid w:val="00645BBC"/>
    <w:rsid w:val="0065572E"/>
    <w:rsid w:val="00656CC8"/>
    <w:rsid w:val="00667DD1"/>
    <w:rsid w:val="00671F18"/>
    <w:rsid w:val="006720EC"/>
    <w:rsid w:val="006722BF"/>
    <w:rsid w:val="00672B0A"/>
    <w:rsid w:val="00673BCA"/>
    <w:rsid w:val="006743A0"/>
    <w:rsid w:val="00681298"/>
    <w:rsid w:val="00683BCA"/>
    <w:rsid w:val="00690568"/>
    <w:rsid w:val="00691F74"/>
    <w:rsid w:val="006928B5"/>
    <w:rsid w:val="006940CB"/>
    <w:rsid w:val="00696E51"/>
    <w:rsid w:val="006A192B"/>
    <w:rsid w:val="006A1A63"/>
    <w:rsid w:val="006A7596"/>
    <w:rsid w:val="006B33D1"/>
    <w:rsid w:val="006C0014"/>
    <w:rsid w:val="006C460A"/>
    <w:rsid w:val="006C77EF"/>
    <w:rsid w:val="006D459D"/>
    <w:rsid w:val="006E08D5"/>
    <w:rsid w:val="006E116E"/>
    <w:rsid w:val="006E1ECF"/>
    <w:rsid w:val="006E58A1"/>
    <w:rsid w:val="006F2AA8"/>
    <w:rsid w:val="006F4628"/>
    <w:rsid w:val="00705A48"/>
    <w:rsid w:val="0070658A"/>
    <w:rsid w:val="007155F2"/>
    <w:rsid w:val="0071634A"/>
    <w:rsid w:val="00716F85"/>
    <w:rsid w:val="0071772B"/>
    <w:rsid w:val="00741986"/>
    <w:rsid w:val="00742D08"/>
    <w:rsid w:val="00745144"/>
    <w:rsid w:val="00747340"/>
    <w:rsid w:val="0075040E"/>
    <w:rsid w:val="00750BCD"/>
    <w:rsid w:val="00750D0D"/>
    <w:rsid w:val="00754275"/>
    <w:rsid w:val="00764D7F"/>
    <w:rsid w:val="00770D5E"/>
    <w:rsid w:val="007716E4"/>
    <w:rsid w:val="0077232B"/>
    <w:rsid w:val="0077304D"/>
    <w:rsid w:val="00776240"/>
    <w:rsid w:val="00777E0C"/>
    <w:rsid w:val="00780D14"/>
    <w:rsid w:val="00781E20"/>
    <w:rsid w:val="007822D2"/>
    <w:rsid w:val="007848B9"/>
    <w:rsid w:val="00785D5B"/>
    <w:rsid w:val="0078609D"/>
    <w:rsid w:val="007861B3"/>
    <w:rsid w:val="0078710C"/>
    <w:rsid w:val="00790CA5"/>
    <w:rsid w:val="00795337"/>
    <w:rsid w:val="00796627"/>
    <w:rsid w:val="00796F73"/>
    <w:rsid w:val="007A46A2"/>
    <w:rsid w:val="007A68A3"/>
    <w:rsid w:val="007A7544"/>
    <w:rsid w:val="007B0377"/>
    <w:rsid w:val="007B2994"/>
    <w:rsid w:val="007B4761"/>
    <w:rsid w:val="007B691B"/>
    <w:rsid w:val="007C3340"/>
    <w:rsid w:val="007C3AF1"/>
    <w:rsid w:val="007D09AC"/>
    <w:rsid w:val="007D0AA1"/>
    <w:rsid w:val="007D46A3"/>
    <w:rsid w:val="007E16DB"/>
    <w:rsid w:val="007E28F1"/>
    <w:rsid w:val="007E3851"/>
    <w:rsid w:val="007F0A75"/>
    <w:rsid w:val="007F0FEC"/>
    <w:rsid w:val="007F2DAF"/>
    <w:rsid w:val="007F2DCB"/>
    <w:rsid w:val="007F2DE5"/>
    <w:rsid w:val="007F5453"/>
    <w:rsid w:val="007F632B"/>
    <w:rsid w:val="00804926"/>
    <w:rsid w:val="00805429"/>
    <w:rsid w:val="00805566"/>
    <w:rsid w:val="0081032C"/>
    <w:rsid w:val="008173AD"/>
    <w:rsid w:val="00820A9F"/>
    <w:rsid w:val="0082572F"/>
    <w:rsid w:val="00826569"/>
    <w:rsid w:val="00826CA5"/>
    <w:rsid w:val="00830AD0"/>
    <w:rsid w:val="00833808"/>
    <w:rsid w:val="00834BA3"/>
    <w:rsid w:val="00837BE8"/>
    <w:rsid w:val="008412B9"/>
    <w:rsid w:val="00853D5A"/>
    <w:rsid w:val="008569F3"/>
    <w:rsid w:val="00857107"/>
    <w:rsid w:val="0086215C"/>
    <w:rsid w:val="00864C27"/>
    <w:rsid w:val="008664B6"/>
    <w:rsid w:val="008719D4"/>
    <w:rsid w:val="00873187"/>
    <w:rsid w:val="00873CF6"/>
    <w:rsid w:val="00882A10"/>
    <w:rsid w:val="00883AEA"/>
    <w:rsid w:val="00890433"/>
    <w:rsid w:val="00890947"/>
    <w:rsid w:val="008928B3"/>
    <w:rsid w:val="00897ED3"/>
    <w:rsid w:val="008A19EB"/>
    <w:rsid w:val="008A1C20"/>
    <w:rsid w:val="008A1EAB"/>
    <w:rsid w:val="008A2B86"/>
    <w:rsid w:val="008A3C88"/>
    <w:rsid w:val="008A5F1B"/>
    <w:rsid w:val="008A7FCD"/>
    <w:rsid w:val="008B38B3"/>
    <w:rsid w:val="008D031D"/>
    <w:rsid w:val="008D405D"/>
    <w:rsid w:val="008D622A"/>
    <w:rsid w:val="008D6AD4"/>
    <w:rsid w:val="008D7447"/>
    <w:rsid w:val="008E23F7"/>
    <w:rsid w:val="008E24FC"/>
    <w:rsid w:val="008E5DDF"/>
    <w:rsid w:val="008E7983"/>
    <w:rsid w:val="008F1FDE"/>
    <w:rsid w:val="00903095"/>
    <w:rsid w:val="00914ABC"/>
    <w:rsid w:val="00915D8A"/>
    <w:rsid w:val="00917E0C"/>
    <w:rsid w:val="00920D80"/>
    <w:rsid w:val="0092144D"/>
    <w:rsid w:val="009265F4"/>
    <w:rsid w:val="009267C5"/>
    <w:rsid w:val="00926AA4"/>
    <w:rsid w:val="0093083F"/>
    <w:rsid w:val="0093087F"/>
    <w:rsid w:val="00931615"/>
    <w:rsid w:val="0093293B"/>
    <w:rsid w:val="00933A30"/>
    <w:rsid w:val="009376A3"/>
    <w:rsid w:val="00941125"/>
    <w:rsid w:val="009421DE"/>
    <w:rsid w:val="009513B8"/>
    <w:rsid w:val="00951B1C"/>
    <w:rsid w:val="009522E9"/>
    <w:rsid w:val="009648F9"/>
    <w:rsid w:val="00970143"/>
    <w:rsid w:val="0097586A"/>
    <w:rsid w:val="00975B74"/>
    <w:rsid w:val="00975EE2"/>
    <w:rsid w:val="0097660C"/>
    <w:rsid w:val="009867BF"/>
    <w:rsid w:val="00987976"/>
    <w:rsid w:val="009903DB"/>
    <w:rsid w:val="00990FFF"/>
    <w:rsid w:val="00991808"/>
    <w:rsid w:val="009954DD"/>
    <w:rsid w:val="00997439"/>
    <w:rsid w:val="009A1F9E"/>
    <w:rsid w:val="009A6E8A"/>
    <w:rsid w:val="009B5856"/>
    <w:rsid w:val="009B590B"/>
    <w:rsid w:val="009C0351"/>
    <w:rsid w:val="009C1689"/>
    <w:rsid w:val="009C5578"/>
    <w:rsid w:val="009D215E"/>
    <w:rsid w:val="009E06B2"/>
    <w:rsid w:val="009E32CE"/>
    <w:rsid w:val="009E597B"/>
    <w:rsid w:val="009E5CB9"/>
    <w:rsid w:val="009E6D18"/>
    <w:rsid w:val="009E7BEA"/>
    <w:rsid w:val="009F2F74"/>
    <w:rsid w:val="009F413F"/>
    <w:rsid w:val="009F543D"/>
    <w:rsid w:val="00A00929"/>
    <w:rsid w:val="00A013E8"/>
    <w:rsid w:val="00A0374B"/>
    <w:rsid w:val="00A041EA"/>
    <w:rsid w:val="00A07131"/>
    <w:rsid w:val="00A158B8"/>
    <w:rsid w:val="00A165CB"/>
    <w:rsid w:val="00A20E6E"/>
    <w:rsid w:val="00A21FC7"/>
    <w:rsid w:val="00A25AB7"/>
    <w:rsid w:val="00A26205"/>
    <w:rsid w:val="00A30282"/>
    <w:rsid w:val="00A345C4"/>
    <w:rsid w:val="00A35F27"/>
    <w:rsid w:val="00A402A7"/>
    <w:rsid w:val="00A40902"/>
    <w:rsid w:val="00A467EC"/>
    <w:rsid w:val="00A46D46"/>
    <w:rsid w:val="00A508D8"/>
    <w:rsid w:val="00A57BF3"/>
    <w:rsid w:val="00A57DB0"/>
    <w:rsid w:val="00A6009A"/>
    <w:rsid w:val="00A63EE8"/>
    <w:rsid w:val="00A65B78"/>
    <w:rsid w:val="00A65E43"/>
    <w:rsid w:val="00A67265"/>
    <w:rsid w:val="00A7263D"/>
    <w:rsid w:val="00A73A15"/>
    <w:rsid w:val="00A8230E"/>
    <w:rsid w:val="00A85E6E"/>
    <w:rsid w:val="00A911B6"/>
    <w:rsid w:val="00A92021"/>
    <w:rsid w:val="00A9406A"/>
    <w:rsid w:val="00A966FC"/>
    <w:rsid w:val="00A97909"/>
    <w:rsid w:val="00AA4D82"/>
    <w:rsid w:val="00AA6A04"/>
    <w:rsid w:val="00AA7A23"/>
    <w:rsid w:val="00AB3A43"/>
    <w:rsid w:val="00AB737E"/>
    <w:rsid w:val="00AC0F77"/>
    <w:rsid w:val="00AC3595"/>
    <w:rsid w:val="00AC7665"/>
    <w:rsid w:val="00AD1E44"/>
    <w:rsid w:val="00AD4D18"/>
    <w:rsid w:val="00AD79B1"/>
    <w:rsid w:val="00AF2787"/>
    <w:rsid w:val="00B03CEB"/>
    <w:rsid w:val="00B05AD4"/>
    <w:rsid w:val="00B06A56"/>
    <w:rsid w:val="00B06D86"/>
    <w:rsid w:val="00B10480"/>
    <w:rsid w:val="00B17A38"/>
    <w:rsid w:val="00B2105A"/>
    <w:rsid w:val="00B31953"/>
    <w:rsid w:val="00B3240F"/>
    <w:rsid w:val="00B32859"/>
    <w:rsid w:val="00B32A11"/>
    <w:rsid w:val="00B37F6A"/>
    <w:rsid w:val="00B4170B"/>
    <w:rsid w:val="00B46A39"/>
    <w:rsid w:val="00B54518"/>
    <w:rsid w:val="00B603A8"/>
    <w:rsid w:val="00B62301"/>
    <w:rsid w:val="00B628C7"/>
    <w:rsid w:val="00B70B4F"/>
    <w:rsid w:val="00B72131"/>
    <w:rsid w:val="00B7228D"/>
    <w:rsid w:val="00B75AD6"/>
    <w:rsid w:val="00B766E1"/>
    <w:rsid w:val="00B83887"/>
    <w:rsid w:val="00B8450A"/>
    <w:rsid w:val="00B913F5"/>
    <w:rsid w:val="00B9500D"/>
    <w:rsid w:val="00B964EC"/>
    <w:rsid w:val="00BA0350"/>
    <w:rsid w:val="00BA1EF2"/>
    <w:rsid w:val="00BA26ED"/>
    <w:rsid w:val="00BB03C6"/>
    <w:rsid w:val="00BB233D"/>
    <w:rsid w:val="00BB2BBC"/>
    <w:rsid w:val="00BB6F39"/>
    <w:rsid w:val="00BC09A2"/>
    <w:rsid w:val="00BC1118"/>
    <w:rsid w:val="00BC4138"/>
    <w:rsid w:val="00BD18AF"/>
    <w:rsid w:val="00BD7164"/>
    <w:rsid w:val="00BE4096"/>
    <w:rsid w:val="00BE645C"/>
    <w:rsid w:val="00BE69AB"/>
    <w:rsid w:val="00BE7D20"/>
    <w:rsid w:val="00BF0064"/>
    <w:rsid w:val="00BF05B3"/>
    <w:rsid w:val="00BF152F"/>
    <w:rsid w:val="00BF1E28"/>
    <w:rsid w:val="00BF21F8"/>
    <w:rsid w:val="00C00715"/>
    <w:rsid w:val="00C029C8"/>
    <w:rsid w:val="00C06F10"/>
    <w:rsid w:val="00C12378"/>
    <w:rsid w:val="00C123AC"/>
    <w:rsid w:val="00C12ADF"/>
    <w:rsid w:val="00C16DB5"/>
    <w:rsid w:val="00C2475C"/>
    <w:rsid w:val="00C2515C"/>
    <w:rsid w:val="00C26F41"/>
    <w:rsid w:val="00C30942"/>
    <w:rsid w:val="00C34DD5"/>
    <w:rsid w:val="00C36461"/>
    <w:rsid w:val="00C408FF"/>
    <w:rsid w:val="00C41B66"/>
    <w:rsid w:val="00C56AA2"/>
    <w:rsid w:val="00C6201D"/>
    <w:rsid w:val="00C642EB"/>
    <w:rsid w:val="00C64B87"/>
    <w:rsid w:val="00C655F3"/>
    <w:rsid w:val="00C67A36"/>
    <w:rsid w:val="00C75DC7"/>
    <w:rsid w:val="00C7711A"/>
    <w:rsid w:val="00C86001"/>
    <w:rsid w:val="00C866BF"/>
    <w:rsid w:val="00C916CC"/>
    <w:rsid w:val="00C9568F"/>
    <w:rsid w:val="00C961C9"/>
    <w:rsid w:val="00C96EC2"/>
    <w:rsid w:val="00CA0FC5"/>
    <w:rsid w:val="00CA2AD9"/>
    <w:rsid w:val="00CA42B3"/>
    <w:rsid w:val="00CA4C02"/>
    <w:rsid w:val="00CB12B7"/>
    <w:rsid w:val="00CB1F4D"/>
    <w:rsid w:val="00CB24AA"/>
    <w:rsid w:val="00CB3E01"/>
    <w:rsid w:val="00CB4663"/>
    <w:rsid w:val="00CB756D"/>
    <w:rsid w:val="00CB7E80"/>
    <w:rsid w:val="00CC1DE0"/>
    <w:rsid w:val="00CC4627"/>
    <w:rsid w:val="00CC5123"/>
    <w:rsid w:val="00CC52F3"/>
    <w:rsid w:val="00CD37CB"/>
    <w:rsid w:val="00CD6448"/>
    <w:rsid w:val="00CD649E"/>
    <w:rsid w:val="00CD7B2A"/>
    <w:rsid w:val="00CE1838"/>
    <w:rsid w:val="00CE2530"/>
    <w:rsid w:val="00CE2EBC"/>
    <w:rsid w:val="00CF02EB"/>
    <w:rsid w:val="00CF144E"/>
    <w:rsid w:val="00CF1DF7"/>
    <w:rsid w:val="00CF277B"/>
    <w:rsid w:val="00CF411C"/>
    <w:rsid w:val="00CF6905"/>
    <w:rsid w:val="00CF7B04"/>
    <w:rsid w:val="00D00DA5"/>
    <w:rsid w:val="00D030FF"/>
    <w:rsid w:val="00D03493"/>
    <w:rsid w:val="00D03D82"/>
    <w:rsid w:val="00D10D79"/>
    <w:rsid w:val="00D12B2E"/>
    <w:rsid w:val="00D20B9E"/>
    <w:rsid w:val="00D20F1D"/>
    <w:rsid w:val="00D213D3"/>
    <w:rsid w:val="00D30D6A"/>
    <w:rsid w:val="00D31D41"/>
    <w:rsid w:val="00D36C17"/>
    <w:rsid w:val="00D41F23"/>
    <w:rsid w:val="00D42B33"/>
    <w:rsid w:val="00D45F73"/>
    <w:rsid w:val="00D463D2"/>
    <w:rsid w:val="00D509A4"/>
    <w:rsid w:val="00D53BF8"/>
    <w:rsid w:val="00D57C9C"/>
    <w:rsid w:val="00D57EC1"/>
    <w:rsid w:val="00D63335"/>
    <w:rsid w:val="00D63682"/>
    <w:rsid w:val="00D66455"/>
    <w:rsid w:val="00D673F6"/>
    <w:rsid w:val="00D677FA"/>
    <w:rsid w:val="00D71C72"/>
    <w:rsid w:val="00D72870"/>
    <w:rsid w:val="00D73832"/>
    <w:rsid w:val="00D829BD"/>
    <w:rsid w:val="00D840B0"/>
    <w:rsid w:val="00D87579"/>
    <w:rsid w:val="00D92D23"/>
    <w:rsid w:val="00D93B66"/>
    <w:rsid w:val="00D95F97"/>
    <w:rsid w:val="00DA17B9"/>
    <w:rsid w:val="00DA65DB"/>
    <w:rsid w:val="00DB4204"/>
    <w:rsid w:val="00DB45AC"/>
    <w:rsid w:val="00DB636D"/>
    <w:rsid w:val="00DB6545"/>
    <w:rsid w:val="00DB67C7"/>
    <w:rsid w:val="00DC240C"/>
    <w:rsid w:val="00DC5C91"/>
    <w:rsid w:val="00DD1ADE"/>
    <w:rsid w:val="00DD355B"/>
    <w:rsid w:val="00DE344A"/>
    <w:rsid w:val="00DE6DEE"/>
    <w:rsid w:val="00DE70A5"/>
    <w:rsid w:val="00DF0448"/>
    <w:rsid w:val="00DF3433"/>
    <w:rsid w:val="00DF390D"/>
    <w:rsid w:val="00DF427A"/>
    <w:rsid w:val="00DF56B7"/>
    <w:rsid w:val="00DF5817"/>
    <w:rsid w:val="00DF736A"/>
    <w:rsid w:val="00DF75A0"/>
    <w:rsid w:val="00E121F2"/>
    <w:rsid w:val="00E15CE7"/>
    <w:rsid w:val="00E21D1B"/>
    <w:rsid w:val="00E234F0"/>
    <w:rsid w:val="00E236AB"/>
    <w:rsid w:val="00E2541D"/>
    <w:rsid w:val="00E258C3"/>
    <w:rsid w:val="00E301EE"/>
    <w:rsid w:val="00E33144"/>
    <w:rsid w:val="00E3318A"/>
    <w:rsid w:val="00E357C6"/>
    <w:rsid w:val="00E376D7"/>
    <w:rsid w:val="00E46441"/>
    <w:rsid w:val="00E522A0"/>
    <w:rsid w:val="00E60D21"/>
    <w:rsid w:val="00E628B8"/>
    <w:rsid w:val="00E64FBC"/>
    <w:rsid w:val="00E727B1"/>
    <w:rsid w:val="00E751F0"/>
    <w:rsid w:val="00E776F6"/>
    <w:rsid w:val="00E830E5"/>
    <w:rsid w:val="00E84752"/>
    <w:rsid w:val="00E85D36"/>
    <w:rsid w:val="00E93898"/>
    <w:rsid w:val="00E957CF"/>
    <w:rsid w:val="00E96457"/>
    <w:rsid w:val="00EA3903"/>
    <w:rsid w:val="00EA391C"/>
    <w:rsid w:val="00EA433C"/>
    <w:rsid w:val="00EB027F"/>
    <w:rsid w:val="00EB3A35"/>
    <w:rsid w:val="00EB407B"/>
    <w:rsid w:val="00EC0F9F"/>
    <w:rsid w:val="00EC2A4F"/>
    <w:rsid w:val="00EC5C2F"/>
    <w:rsid w:val="00EC6FF3"/>
    <w:rsid w:val="00ED4CB0"/>
    <w:rsid w:val="00ED5D26"/>
    <w:rsid w:val="00EE0ECD"/>
    <w:rsid w:val="00EE1ED1"/>
    <w:rsid w:val="00EF1497"/>
    <w:rsid w:val="00EF512B"/>
    <w:rsid w:val="00EF6177"/>
    <w:rsid w:val="00EF6974"/>
    <w:rsid w:val="00F003AB"/>
    <w:rsid w:val="00F03AF8"/>
    <w:rsid w:val="00F04D6B"/>
    <w:rsid w:val="00F06899"/>
    <w:rsid w:val="00F07099"/>
    <w:rsid w:val="00F11C4F"/>
    <w:rsid w:val="00F13C80"/>
    <w:rsid w:val="00F1680C"/>
    <w:rsid w:val="00F1689E"/>
    <w:rsid w:val="00F21719"/>
    <w:rsid w:val="00F2588D"/>
    <w:rsid w:val="00F270AE"/>
    <w:rsid w:val="00F27DF1"/>
    <w:rsid w:val="00F305C0"/>
    <w:rsid w:val="00F406A0"/>
    <w:rsid w:val="00F40B64"/>
    <w:rsid w:val="00F474DE"/>
    <w:rsid w:val="00F538DD"/>
    <w:rsid w:val="00F5656A"/>
    <w:rsid w:val="00F62993"/>
    <w:rsid w:val="00F63A24"/>
    <w:rsid w:val="00F87689"/>
    <w:rsid w:val="00F926BE"/>
    <w:rsid w:val="00F93233"/>
    <w:rsid w:val="00F94034"/>
    <w:rsid w:val="00FA24CA"/>
    <w:rsid w:val="00FA7316"/>
    <w:rsid w:val="00FB1423"/>
    <w:rsid w:val="00FB4512"/>
    <w:rsid w:val="00FB568D"/>
    <w:rsid w:val="00FB74B6"/>
    <w:rsid w:val="00FB7D4A"/>
    <w:rsid w:val="00FC2F4A"/>
    <w:rsid w:val="00FD39EA"/>
    <w:rsid w:val="00FD552F"/>
    <w:rsid w:val="00FD638E"/>
    <w:rsid w:val="00FD6626"/>
    <w:rsid w:val="00FE59F3"/>
    <w:rsid w:val="00FE64D9"/>
    <w:rsid w:val="00FF13E8"/>
    <w:rsid w:val="00FF2810"/>
    <w:rsid w:val="00FF48F5"/>
    <w:rsid w:val="00FF4CDE"/>
    <w:rsid w:val="01721F96"/>
    <w:rsid w:val="01FEA9D5"/>
    <w:rsid w:val="02D91261"/>
    <w:rsid w:val="0541F783"/>
    <w:rsid w:val="071C5A2D"/>
    <w:rsid w:val="07B0275C"/>
    <w:rsid w:val="085A394F"/>
    <w:rsid w:val="086B2924"/>
    <w:rsid w:val="0893E4B4"/>
    <w:rsid w:val="098E0295"/>
    <w:rsid w:val="0A7A2163"/>
    <w:rsid w:val="0AD1D0EC"/>
    <w:rsid w:val="0B04EE6F"/>
    <w:rsid w:val="0B181D3A"/>
    <w:rsid w:val="0DD10B72"/>
    <w:rsid w:val="0E3E0251"/>
    <w:rsid w:val="0F95B3B8"/>
    <w:rsid w:val="0FCD85DA"/>
    <w:rsid w:val="10974A1D"/>
    <w:rsid w:val="10BB3B9E"/>
    <w:rsid w:val="10BB4A50"/>
    <w:rsid w:val="117959E5"/>
    <w:rsid w:val="11EC9BCF"/>
    <w:rsid w:val="13196BF3"/>
    <w:rsid w:val="132EA4A8"/>
    <w:rsid w:val="1337CB67"/>
    <w:rsid w:val="13FF6D6F"/>
    <w:rsid w:val="15696462"/>
    <w:rsid w:val="15B93EA7"/>
    <w:rsid w:val="15C2C1C5"/>
    <w:rsid w:val="15FD34C2"/>
    <w:rsid w:val="16B9AC53"/>
    <w:rsid w:val="17689C04"/>
    <w:rsid w:val="178DBB2E"/>
    <w:rsid w:val="17946A7A"/>
    <w:rsid w:val="17B1C8B8"/>
    <w:rsid w:val="17DFC84E"/>
    <w:rsid w:val="18AB55DE"/>
    <w:rsid w:val="193AAC38"/>
    <w:rsid w:val="1947F3AC"/>
    <w:rsid w:val="19524D14"/>
    <w:rsid w:val="1AFFFFB8"/>
    <w:rsid w:val="1B2F748F"/>
    <w:rsid w:val="1B36FB54"/>
    <w:rsid w:val="1BA5FFB7"/>
    <w:rsid w:val="1BCED6BE"/>
    <w:rsid w:val="1BE7FB1C"/>
    <w:rsid w:val="1C13ED35"/>
    <w:rsid w:val="1CC24398"/>
    <w:rsid w:val="1D124B9E"/>
    <w:rsid w:val="1DA41AFD"/>
    <w:rsid w:val="1E102947"/>
    <w:rsid w:val="1EB975D4"/>
    <w:rsid w:val="1F69FE2E"/>
    <w:rsid w:val="1FB6117A"/>
    <w:rsid w:val="1FD7BE81"/>
    <w:rsid w:val="21AC91A9"/>
    <w:rsid w:val="22A2AB00"/>
    <w:rsid w:val="23528735"/>
    <w:rsid w:val="2480B4A1"/>
    <w:rsid w:val="249E828C"/>
    <w:rsid w:val="24A6C647"/>
    <w:rsid w:val="24EB716A"/>
    <w:rsid w:val="251496CE"/>
    <w:rsid w:val="27EA3D8E"/>
    <w:rsid w:val="280F7A34"/>
    <w:rsid w:val="282EAB4D"/>
    <w:rsid w:val="2853669D"/>
    <w:rsid w:val="28A2F268"/>
    <w:rsid w:val="28AF6BFE"/>
    <w:rsid w:val="29F6672B"/>
    <w:rsid w:val="2B8BB744"/>
    <w:rsid w:val="2BC75670"/>
    <w:rsid w:val="2C17BA15"/>
    <w:rsid w:val="2D409CBB"/>
    <w:rsid w:val="2D54266A"/>
    <w:rsid w:val="2E356ECD"/>
    <w:rsid w:val="2E682596"/>
    <w:rsid w:val="2E99B3AE"/>
    <w:rsid w:val="2F00F6B6"/>
    <w:rsid w:val="2F20F730"/>
    <w:rsid w:val="30C9DF63"/>
    <w:rsid w:val="31264146"/>
    <w:rsid w:val="316AB10B"/>
    <w:rsid w:val="326C4125"/>
    <w:rsid w:val="33F7D7A6"/>
    <w:rsid w:val="3444CD9B"/>
    <w:rsid w:val="35154595"/>
    <w:rsid w:val="356EBC66"/>
    <w:rsid w:val="35A22F23"/>
    <w:rsid w:val="36080BD1"/>
    <w:rsid w:val="360BA454"/>
    <w:rsid w:val="36CE6F3E"/>
    <w:rsid w:val="36E95566"/>
    <w:rsid w:val="37899D2A"/>
    <w:rsid w:val="382D5D43"/>
    <w:rsid w:val="38453659"/>
    <w:rsid w:val="39288560"/>
    <w:rsid w:val="3933E56E"/>
    <w:rsid w:val="39D1FB0C"/>
    <w:rsid w:val="3A68E41B"/>
    <w:rsid w:val="3AF45A38"/>
    <w:rsid w:val="3C291B71"/>
    <w:rsid w:val="3C92350E"/>
    <w:rsid w:val="3DB1C4B8"/>
    <w:rsid w:val="3FF8F3BD"/>
    <w:rsid w:val="404EF836"/>
    <w:rsid w:val="40E3E556"/>
    <w:rsid w:val="422C64A5"/>
    <w:rsid w:val="43392108"/>
    <w:rsid w:val="4387E53B"/>
    <w:rsid w:val="449A0B44"/>
    <w:rsid w:val="44A34E29"/>
    <w:rsid w:val="454927F5"/>
    <w:rsid w:val="454F5399"/>
    <w:rsid w:val="45855127"/>
    <w:rsid w:val="4656F398"/>
    <w:rsid w:val="46D125E0"/>
    <w:rsid w:val="477ECA03"/>
    <w:rsid w:val="484E2030"/>
    <w:rsid w:val="49C4C06A"/>
    <w:rsid w:val="4AB8D3EC"/>
    <w:rsid w:val="4B895892"/>
    <w:rsid w:val="4BED1002"/>
    <w:rsid w:val="4C303AAF"/>
    <w:rsid w:val="4D37C3DE"/>
    <w:rsid w:val="4E7B19B6"/>
    <w:rsid w:val="4FA4AB09"/>
    <w:rsid w:val="508C8D63"/>
    <w:rsid w:val="51235B3F"/>
    <w:rsid w:val="5148DC8E"/>
    <w:rsid w:val="53006A29"/>
    <w:rsid w:val="53599858"/>
    <w:rsid w:val="53949412"/>
    <w:rsid w:val="557FDC86"/>
    <w:rsid w:val="571A7052"/>
    <w:rsid w:val="57B7CCDE"/>
    <w:rsid w:val="57D28214"/>
    <w:rsid w:val="583F53B0"/>
    <w:rsid w:val="587C7FEE"/>
    <w:rsid w:val="5A531602"/>
    <w:rsid w:val="5CD23035"/>
    <w:rsid w:val="5D503A75"/>
    <w:rsid w:val="5E0D9CAE"/>
    <w:rsid w:val="5E935704"/>
    <w:rsid w:val="5ED2C721"/>
    <w:rsid w:val="61FF0B46"/>
    <w:rsid w:val="62F2C98A"/>
    <w:rsid w:val="62FC0DAB"/>
    <w:rsid w:val="63ADA7CD"/>
    <w:rsid w:val="654F432D"/>
    <w:rsid w:val="6711E0EF"/>
    <w:rsid w:val="673BD67F"/>
    <w:rsid w:val="6A5B28D1"/>
    <w:rsid w:val="6AC7F855"/>
    <w:rsid w:val="6AF95E75"/>
    <w:rsid w:val="6C217B67"/>
    <w:rsid w:val="6C86B1A5"/>
    <w:rsid w:val="6CE1FF59"/>
    <w:rsid w:val="6CE257DB"/>
    <w:rsid w:val="6DB7689A"/>
    <w:rsid w:val="6E2283DE"/>
    <w:rsid w:val="6E251F4D"/>
    <w:rsid w:val="6E2711B9"/>
    <w:rsid w:val="6E923AA7"/>
    <w:rsid w:val="6F1C2436"/>
    <w:rsid w:val="71A819FC"/>
    <w:rsid w:val="73221EAB"/>
    <w:rsid w:val="734FB8E1"/>
    <w:rsid w:val="73A7C4B3"/>
    <w:rsid w:val="74152EE1"/>
    <w:rsid w:val="74869AC6"/>
    <w:rsid w:val="7665CF02"/>
    <w:rsid w:val="76FDC692"/>
    <w:rsid w:val="778EE84A"/>
    <w:rsid w:val="779116A0"/>
    <w:rsid w:val="77BF8DCF"/>
    <w:rsid w:val="77F75652"/>
    <w:rsid w:val="77FF626C"/>
    <w:rsid w:val="79E7B198"/>
    <w:rsid w:val="7BB6F706"/>
    <w:rsid w:val="7BCF5BFD"/>
    <w:rsid w:val="7C2D86BA"/>
    <w:rsid w:val="7C9FF466"/>
    <w:rsid w:val="7CE4D565"/>
    <w:rsid w:val="7D17B4A8"/>
    <w:rsid w:val="7D864034"/>
    <w:rsid w:val="7DBE4ADB"/>
    <w:rsid w:val="7EF95A92"/>
    <w:rsid w:val="7F06C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921242"/>
  <w15:chartTrackingRefBased/>
  <w15:docId w15:val="{296407C1-C0DB-4658-A732-2BE4B92B5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6F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6F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6F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6F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6F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6F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6F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6F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6F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6F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6F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6F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6F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6F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6F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6F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6F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6F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6F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6F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6F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6F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6F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6F10"/>
    <w:rPr>
      <w:i/>
      <w:iCs/>
      <w:color w:val="404040" w:themeColor="text1" w:themeTint="BF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C06F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6F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6F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6F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6F1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664B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64B6"/>
    <w:rPr>
      <w:color w:val="605E5C"/>
      <w:shd w:val="clear" w:color="auto" w:fill="E1DFDD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FD39EA"/>
  </w:style>
  <w:style w:type="character" w:styleId="FollowedHyperlink">
    <w:name w:val="FollowedHyperlink"/>
    <w:basedOn w:val="DefaultParagraphFont"/>
    <w:uiPriority w:val="99"/>
    <w:semiHidden/>
    <w:unhideWhenUsed/>
    <w:rsid w:val="007F5453"/>
    <w:rPr>
      <w:color w:val="96607D" w:themeColor="followedHyperlink"/>
      <w:u w:val="single"/>
    </w:rPr>
  </w:style>
  <w:style w:type="paragraph" w:customStyle="1" w:styleId="Default">
    <w:name w:val="Default"/>
    <w:rsid w:val="00A966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7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14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0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4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91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49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00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0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94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93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200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50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27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hyperlink" Target="https://doi.org/10.1016/j.glmedi.2025.100198" TargetMode="External"/><Relationship Id="rId39" Type="http://schemas.openxmlformats.org/officeDocument/2006/relationships/hyperlink" Target="https://doi.org/10.1016/j.pubrev.2019.04.012" TargetMode="External"/><Relationship Id="rId21" Type="http://schemas.openxmlformats.org/officeDocument/2006/relationships/image" Target="media/image17.png"/><Relationship Id="rId34" Type="http://schemas.openxmlformats.org/officeDocument/2006/relationships/hyperlink" Target="https://www.ubplj.org/index.php/TBJE/article/view/2207" TargetMode="Externa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29" Type="http://schemas.openxmlformats.org/officeDocument/2006/relationships/hyperlink" Target="https://doi.org/10.4324/9781315242804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svg"/><Relationship Id="rId32" Type="http://schemas.openxmlformats.org/officeDocument/2006/relationships/hyperlink" Target="https://heprofessional.co.uk/edition/measuring-student-success-in-higher-education" TargetMode="External"/><Relationship Id="rId37" Type="http://schemas.openxmlformats.org/officeDocument/2006/relationships/hyperlink" Target="https://www.google.com/url?sa=t&amp;source=web&amp;rct=j&amp;opi=89978449&amp;url=https://www.uwtsd.ac.uk/media/4852/download%3Fattachment&amp;ved=2ahUKEwjc09OVvN-NAxWtSvEDHcdoBPwQFnoECBQQAQ&amp;usg=AOvVaw1gxKe-b4REtlO5d7_j2HE7" TargetMode="External"/><Relationship Id="rId40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hyperlink" Target="https://doi.org/10.1080/2159676X.2019.1704846" TargetMode="External"/><Relationship Id="rId36" Type="http://schemas.openxmlformats.org/officeDocument/2006/relationships/hyperlink" Target="https://stats.oarc.ucla.edu/other/mult-pkg/seminars/intro-power/" TargetMode="External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31" Type="http://schemas.openxmlformats.org/officeDocument/2006/relationships/hyperlink" Target="https://doi.org/10.1080/13678868.2022.213593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Relationship Id="rId27" Type="http://schemas.openxmlformats.org/officeDocument/2006/relationships/hyperlink" Target="https://doi.org/10.1191/1478088706qp063oa" TargetMode="External"/><Relationship Id="rId30" Type="http://schemas.openxmlformats.org/officeDocument/2006/relationships/hyperlink" Target="https://delvetool.com/blog/inductive-deductive-thematic-analysis" TargetMode="External"/><Relationship Id="rId35" Type="http://schemas.openxmlformats.org/officeDocument/2006/relationships/hyperlink" Target="https://doi.org/10.1177/1049732315576699" TargetMode="External"/><Relationship Id="rId8" Type="http://schemas.openxmlformats.org/officeDocument/2006/relationships/image" Target="media/image4.svg"/><Relationship Id="rId3" Type="http://schemas.openxmlformats.org/officeDocument/2006/relationships/settings" Target="settings.xml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hyperlink" Target="https://www.advance-he.ac.uk/knowledge-hub/framework-student-access-retention-attainment-and-progression" TargetMode="External"/><Relationship Id="rId33" Type="http://schemas.openxmlformats.org/officeDocument/2006/relationships/hyperlink" Target="https://doi.org/10.1111/puar.12922" TargetMode="External"/><Relationship Id="rId38" Type="http://schemas.openxmlformats.org/officeDocument/2006/relationships/hyperlink" Target="https://doi.org/10.1187/cbe.20-09-02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1855</Words>
  <Characters>11191</Characters>
  <Application>Microsoft Office Word</Application>
  <DocSecurity>0</DocSecurity>
  <Lines>233</Lines>
  <Paragraphs>76</Paragraphs>
  <ScaleCrop>false</ScaleCrop>
  <Company/>
  <LinksUpToDate>false</LinksUpToDate>
  <CharactersWithSpaces>12970</CharactersWithSpaces>
  <SharedDoc>false</SharedDoc>
  <HLinks>
    <vt:vector size="90" baseType="variant">
      <vt:variant>
        <vt:i4>5636169</vt:i4>
      </vt:variant>
      <vt:variant>
        <vt:i4>42</vt:i4>
      </vt:variant>
      <vt:variant>
        <vt:i4>0</vt:i4>
      </vt:variant>
      <vt:variant>
        <vt:i4>5</vt:i4>
      </vt:variant>
      <vt:variant>
        <vt:lpwstr>https://doi.org/10.1016/j.pubrev.2019.04.012</vt:lpwstr>
      </vt:variant>
      <vt:variant>
        <vt:lpwstr/>
      </vt:variant>
      <vt:variant>
        <vt:i4>8061054</vt:i4>
      </vt:variant>
      <vt:variant>
        <vt:i4>39</vt:i4>
      </vt:variant>
      <vt:variant>
        <vt:i4>0</vt:i4>
      </vt:variant>
      <vt:variant>
        <vt:i4>5</vt:i4>
      </vt:variant>
      <vt:variant>
        <vt:lpwstr>https://doi.org/10.1187/cbe.20-09-0223</vt:lpwstr>
      </vt:variant>
      <vt:variant>
        <vt:lpwstr/>
      </vt:variant>
      <vt:variant>
        <vt:i4>5701685</vt:i4>
      </vt:variant>
      <vt:variant>
        <vt:i4>36</vt:i4>
      </vt:variant>
      <vt:variant>
        <vt:i4>0</vt:i4>
      </vt:variant>
      <vt:variant>
        <vt:i4>5</vt:i4>
      </vt:variant>
      <vt:variant>
        <vt:lpwstr>https://www.google.com/url?sa=t&amp;source=web&amp;rct=j&amp;opi=89978449&amp;url=https://www.uwtsd.ac.uk/media/4852/download%3Fattachment&amp;ved=2ahUKEwjc09OVvN-NAxWtSvEDHcdoBPwQFnoECBQQAQ&amp;usg=AOvVaw1gxKe-b4REtlO5d7_j2HE7</vt:lpwstr>
      </vt:variant>
      <vt:variant>
        <vt:lpwstr/>
      </vt:variant>
      <vt:variant>
        <vt:i4>5242884</vt:i4>
      </vt:variant>
      <vt:variant>
        <vt:i4>33</vt:i4>
      </vt:variant>
      <vt:variant>
        <vt:i4>0</vt:i4>
      </vt:variant>
      <vt:variant>
        <vt:i4>5</vt:i4>
      </vt:variant>
      <vt:variant>
        <vt:lpwstr>https://stats.oarc.ucla.edu/other/mult-pkg/seminars/intro-power/</vt:lpwstr>
      </vt:variant>
      <vt:variant>
        <vt:lpwstr/>
      </vt:variant>
      <vt:variant>
        <vt:i4>1048663</vt:i4>
      </vt:variant>
      <vt:variant>
        <vt:i4>30</vt:i4>
      </vt:variant>
      <vt:variant>
        <vt:i4>0</vt:i4>
      </vt:variant>
      <vt:variant>
        <vt:i4>5</vt:i4>
      </vt:variant>
      <vt:variant>
        <vt:lpwstr>https://doi.org/10.1177/1049732315576699</vt:lpwstr>
      </vt:variant>
      <vt:variant>
        <vt:lpwstr/>
      </vt:variant>
      <vt:variant>
        <vt:i4>7995431</vt:i4>
      </vt:variant>
      <vt:variant>
        <vt:i4>27</vt:i4>
      </vt:variant>
      <vt:variant>
        <vt:i4>0</vt:i4>
      </vt:variant>
      <vt:variant>
        <vt:i4>5</vt:i4>
      </vt:variant>
      <vt:variant>
        <vt:lpwstr>https://www.ubplj.org/index.php/TBJE/article/view/2207</vt:lpwstr>
      </vt:variant>
      <vt:variant>
        <vt:lpwstr/>
      </vt:variant>
      <vt:variant>
        <vt:i4>3080293</vt:i4>
      </vt:variant>
      <vt:variant>
        <vt:i4>24</vt:i4>
      </vt:variant>
      <vt:variant>
        <vt:i4>0</vt:i4>
      </vt:variant>
      <vt:variant>
        <vt:i4>5</vt:i4>
      </vt:variant>
      <vt:variant>
        <vt:lpwstr>https://doi.org/10.1111/puar.12922</vt:lpwstr>
      </vt:variant>
      <vt:variant>
        <vt:lpwstr/>
      </vt:variant>
      <vt:variant>
        <vt:i4>7471213</vt:i4>
      </vt:variant>
      <vt:variant>
        <vt:i4>21</vt:i4>
      </vt:variant>
      <vt:variant>
        <vt:i4>0</vt:i4>
      </vt:variant>
      <vt:variant>
        <vt:i4>5</vt:i4>
      </vt:variant>
      <vt:variant>
        <vt:lpwstr>https://heprofessional.co.uk/edition/measuring-student-success-in-higher-education</vt:lpwstr>
      </vt:variant>
      <vt:variant>
        <vt:lpwstr/>
      </vt:variant>
      <vt:variant>
        <vt:i4>393287</vt:i4>
      </vt:variant>
      <vt:variant>
        <vt:i4>18</vt:i4>
      </vt:variant>
      <vt:variant>
        <vt:i4>0</vt:i4>
      </vt:variant>
      <vt:variant>
        <vt:i4>5</vt:i4>
      </vt:variant>
      <vt:variant>
        <vt:lpwstr>https://doi.org/10.1080/13678868.2022.2135938</vt:lpwstr>
      </vt:variant>
      <vt:variant>
        <vt:lpwstr/>
      </vt:variant>
      <vt:variant>
        <vt:i4>4653067</vt:i4>
      </vt:variant>
      <vt:variant>
        <vt:i4>15</vt:i4>
      </vt:variant>
      <vt:variant>
        <vt:i4>0</vt:i4>
      </vt:variant>
      <vt:variant>
        <vt:i4>5</vt:i4>
      </vt:variant>
      <vt:variant>
        <vt:lpwstr>https://delvetool.com/blog/inductive-deductive-thematic-analysis</vt:lpwstr>
      </vt:variant>
      <vt:variant>
        <vt:lpwstr/>
      </vt:variant>
      <vt:variant>
        <vt:i4>1245270</vt:i4>
      </vt:variant>
      <vt:variant>
        <vt:i4>12</vt:i4>
      </vt:variant>
      <vt:variant>
        <vt:i4>0</vt:i4>
      </vt:variant>
      <vt:variant>
        <vt:i4>5</vt:i4>
      </vt:variant>
      <vt:variant>
        <vt:lpwstr>https://doi.org/10.4324/9781315242804</vt:lpwstr>
      </vt:variant>
      <vt:variant>
        <vt:lpwstr/>
      </vt:variant>
      <vt:variant>
        <vt:i4>1507352</vt:i4>
      </vt:variant>
      <vt:variant>
        <vt:i4>9</vt:i4>
      </vt:variant>
      <vt:variant>
        <vt:i4>0</vt:i4>
      </vt:variant>
      <vt:variant>
        <vt:i4>5</vt:i4>
      </vt:variant>
      <vt:variant>
        <vt:lpwstr>https://capitalcollege.ae/wp-content/uploads/2020/08/L7RM_S4_A1.pdf</vt:lpwstr>
      </vt:variant>
      <vt:variant>
        <vt:lpwstr/>
      </vt:variant>
      <vt:variant>
        <vt:i4>4587587</vt:i4>
      </vt:variant>
      <vt:variant>
        <vt:i4>6</vt:i4>
      </vt:variant>
      <vt:variant>
        <vt:i4>0</vt:i4>
      </vt:variant>
      <vt:variant>
        <vt:i4>5</vt:i4>
      </vt:variant>
      <vt:variant>
        <vt:lpwstr>https://doi.org/10.1080/2159676X.2019.1704846</vt:lpwstr>
      </vt:variant>
      <vt:variant>
        <vt:lpwstr/>
      </vt:variant>
      <vt:variant>
        <vt:i4>393238</vt:i4>
      </vt:variant>
      <vt:variant>
        <vt:i4>3</vt:i4>
      </vt:variant>
      <vt:variant>
        <vt:i4>0</vt:i4>
      </vt:variant>
      <vt:variant>
        <vt:i4>5</vt:i4>
      </vt:variant>
      <vt:variant>
        <vt:lpwstr>https://doi.org/10.1191/1478088706qp063oa</vt:lpwstr>
      </vt:variant>
      <vt:variant>
        <vt:lpwstr/>
      </vt:variant>
      <vt:variant>
        <vt:i4>4980812</vt:i4>
      </vt:variant>
      <vt:variant>
        <vt:i4>0</vt:i4>
      </vt:variant>
      <vt:variant>
        <vt:i4>0</vt:i4>
      </vt:variant>
      <vt:variant>
        <vt:i4>5</vt:i4>
      </vt:variant>
      <vt:variant>
        <vt:lpwstr>https://www.advance-he.ac.uk/knowledge-hub/framework-student-access-retention-attainment-and-progression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Owens</dc:creator>
  <cp:keywords/>
  <dc:description/>
  <cp:lastModifiedBy>Natalie Owens</cp:lastModifiedBy>
  <cp:revision>334</cp:revision>
  <dcterms:created xsi:type="dcterms:W3CDTF">2025-06-07T11:15:00Z</dcterms:created>
  <dcterms:modified xsi:type="dcterms:W3CDTF">2025-06-09T11:16:00Z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aa8fa3f8-8401-4d9c-ac16-bebb2c6de5cf</vt:lpwstr>
  </property>
</Properties>
</file>