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EE9A2" w14:textId="715AAB51" w:rsidR="00DD364D" w:rsidRDefault="005B7719">
      <w:pPr>
        <w:jc w:val="center"/>
        <w:rPr>
          <w:b/>
        </w:rPr>
      </w:pPr>
      <w:r w:rsidRPr="005B7719">
        <w:rPr>
          <w:b/>
        </w:rPr>
        <w:drawing>
          <wp:inline distT="0" distB="0" distL="0" distR="0" wp14:anchorId="3E6B3E0F" wp14:editId="2294F380">
            <wp:extent cx="1644650" cy="6220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650235" cy="624127"/>
                    </a:xfrm>
                    <a:prstGeom prst="rect">
                      <a:avLst/>
                    </a:prstGeom>
                  </pic:spPr>
                </pic:pic>
              </a:graphicData>
            </a:graphic>
          </wp:inline>
        </w:drawing>
      </w:r>
    </w:p>
    <w:p w14:paraId="28E5EE61" w14:textId="77777777" w:rsidR="00DD364D" w:rsidRDefault="00DD364D">
      <w:pPr>
        <w:jc w:val="center"/>
        <w:rPr>
          <w:b/>
        </w:rPr>
      </w:pPr>
    </w:p>
    <w:p w14:paraId="17F6C2E7" w14:textId="77777777" w:rsidR="00DD364D" w:rsidRDefault="00DD364D">
      <w:pPr>
        <w:jc w:val="center"/>
        <w:rPr>
          <w:b/>
        </w:rPr>
      </w:pPr>
    </w:p>
    <w:p w14:paraId="0390D61C" w14:textId="0EAE862C" w:rsidR="00DD364D" w:rsidRDefault="00DD364D">
      <w:pPr>
        <w:jc w:val="center"/>
        <w:rPr>
          <w:b/>
        </w:rPr>
      </w:pPr>
    </w:p>
    <w:p w14:paraId="585DF005" w14:textId="77777777" w:rsidR="00EE5FD1" w:rsidRDefault="00EE5FD1">
      <w:pPr>
        <w:jc w:val="center"/>
        <w:rPr>
          <w:b/>
        </w:rPr>
      </w:pPr>
    </w:p>
    <w:p w14:paraId="576D03EF" w14:textId="77777777" w:rsidR="00DD364D" w:rsidRDefault="00DD364D">
      <w:pPr>
        <w:jc w:val="center"/>
        <w:rPr>
          <w:b/>
        </w:rPr>
      </w:pPr>
    </w:p>
    <w:p w14:paraId="709FCC37" w14:textId="6672A691" w:rsidR="00E636A0" w:rsidRPr="001151BC" w:rsidRDefault="009E7277">
      <w:pPr>
        <w:jc w:val="center"/>
        <w:rPr>
          <w:b/>
          <w:sz w:val="28"/>
          <w:szCs w:val="28"/>
        </w:rPr>
      </w:pPr>
      <w:r w:rsidRPr="001151BC">
        <w:rPr>
          <w:b/>
          <w:sz w:val="28"/>
          <w:szCs w:val="28"/>
        </w:rPr>
        <w:t>LCBB4002: Community Engagement</w:t>
      </w:r>
    </w:p>
    <w:p w14:paraId="3D6A51F1" w14:textId="77777777" w:rsidR="00E636A0" w:rsidRPr="00DD364D" w:rsidRDefault="009E7277">
      <w:pPr>
        <w:jc w:val="center"/>
        <w:rPr>
          <w:bCs/>
        </w:rPr>
      </w:pPr>
      <w:r w:rsidRPr="00DD364D">
        <w:rPr>
          <w:bCs/>
        </w:rPr>
        <w:t>Name of the student:</w:t>
      </w:r>
    </w:p>
    <w:p w14:paraId="32D65D0C" w14:textId="77777777" w:rsidR="00E636A0" w:rsidRPr="00DD364D" w:rsidRDefault="009E7277">
      <w:pPr>
        <w:jc w:val="center"/>
        <w:rPr>
          <w:bCs/>
        </w:rPr>
      </w:pPr>
      <w:r w:rsidRPr="00DD364D">
        <w:rPr>
          <w:bCs/>
        </w:rPr>
        <w:t>Name of the University:</w:t>
      </w:r>
    </w:p>
    <w:p w14:paraId="64BC6EAC" w14:textId="77777777" w:rsidR="00E636A0" w:rsidRDefault="009E7277">
      <w:pPr>
        <w:jc w:val="center"/>
        <w:rPr>
          <w:b/>
        </w:rPr>
      </w:pPr>
      <w:r>
        <w:br w:type="page"/>
      </w:r>
    </w:p>
    <w:p w14:paraId="2BEEAA1B" w14:textId="77777777" w:rsidR="00E636A0" w:rsidRDefault="009E7277">
      <w:pPr>
        <w:jc w:val="center"/>
        <w:rPr>
          <w:b/>
        </w:rPr>
      </w:pPr>
      <w:r>
        <w:rPr>
          <w:b/>
        </w:rPr>
        <w:lastRenderedPageBreak/>
        <w:t>Executive summary</w:t>
      </w:r>
    </w:p>
    <w:p w14:paraId="7E009DAE" w14:textId="77777777" w:rsidR="00E636A0" w:rsidRDefault="009E7277">
      <w:r>
        <w:t>The purpose of this study is to understand the current approaches of this non-profi</w:t>
      </w:r>
      <w:r w:rsidR="007A3733">
        <w:t xml:space="preserve">t organisation of the UK named </w:t>
      </w:r>
      <w:r>
        <w:t>The Fawcett Society towards society. It is observed that this organisation has been working with women development and empowerment from the beginning stage of the journey. Its different approaches and practices are discussed in this paper along with the necessity of community development in this context. This paper also sheds light on the involvement of various social media performances in preventing sexual harassment of women in the workplace of the UK.</w:t>
      </w:r>
      <w:r>
        <w:br w:type="page"/>
      </w:r>
    </w:p>
    <w:p w14:paraId="78AE0E2C" w14:textId="77777777" w:rsidR="00E636A0" w:rsidRDefault="00E636A0"/>
    <w:sdt>
      <w:sdtPr>
        <w:id w:val="188797175"/>
        <w:docPartObj>
          <w:docPartGallery w:val="Table of Contents"/>
          <w:docPartUnique/>
        </w:docPartObj>
      </w:sdtPr>
      <w:sdtEndPr>
        <w:rPr>
          <w:rFonts w:ascii="Times New Roman" w:eastAsia="Times New Roman" w:hAnsi="Times New Roman" w:cs="Times New Roman"/>
          <w:b/>
          <w:bCs/>
          <w:noProof/>
          <w:color w:val="auto"/>
          <w:sz w:val="24"/>
          <w:szCs w:val="24"/>
          <w:lang w:val="en-IN"/>
        </w:rPr>
      </w:sdtEndPr>
      <w:sdtContent>
        <w:p w14:paraId="628697B4" w14:textId="0B6B31F1" w:rsidR="00900839" w:rsidRDefault="00900839">
          <w:pPr>
            <w:pStyle w:val="TOCHeading"/>
          </w:pPr>
          <w:r>
            <w:t>Table of Contents</w:t>
          </w:r>
        </w:p>
        <w:p w14:paraId="30114DC3" w14:textId="7BE83E58" w:rsidR="00900839" w:rsidRDefault="00900839">
          <w:pPr>
            <w:pStyle w:val="TOC1"/>
            <w:tabs>
              <w:tab w:val="right" w:leader="dot" w:pos="9350"/>
            </w:tabs>
            <w:rPr>
              <w:noProof/>
            </w:rPr>
          </w:pPr>
          <w:r>
            <w:fldChar w:fldCharType="begin"/>
          </w:r>
          <w:r>
            <w:instrText xml:space="preserve"> TOC \o "1-3" \h \z \u </w:instrText>
          </w:r>
          <w:r>
            <w:fldChar w:fldCharType="separate"/>
          </w:r>
          <w:hyperlink w:anchor="_Toc80998362" w:history="1">
            <w:r w:rsidRPr="00987F50">
              <w:rPr>
                <w:rStyle w:val="Hyperlink"/>
                <w:noProof/>
              </w:rPr>
              <w:t>1. Introduction</w:t>
            </w:r>
            <w:r>
              <w:rPr>
                <w:noProof/>
                <w:webHidden/>
              </w:rPr>
              <w:tab/>
            </w:r>
            <w:r>
              <w:rPr>
                <w:noProof/>
                <w:webHidden/>
              </w:rPr>
              <w:fldChar w:fldCharType="begin"/>
            </w:r>
            <w:r>
              <w:rPr>
                <w:noProof/>
                <w:webHidden/>
              </w:rPr>
              <w:instrText xml:space="preserve"> PAGEREF _Toc80998362 \h </w:instrText>
            </w:r>
            <w:r>
              <w:rPr>
                <w:noProof/>
                <w:webHidden/>
              </w:rPr>
            </w:r>
            <w:r>
              <w:rPr>
                <w:noProof/>
                <w:webHidden/>
              </w:rPr>
              <w:fldChar w:fldCharType="separate"/>
            </w:r>
            <w:r>
              <w:rPr>
                <w:noProof/>
                <w:webHidden/>
              </w:rPr>
              <w:t>4</w:t>
            </w:r>
            <w:r>
              <w:rPr>
                <w:noProof/>
                <w:webHidden/>
              </w:rPr>
              <w:fldChar w:fldCharType="end"/>
            </w:r>
          </w:hyperlink>
        </w:p>
        <w:p w14:paraId="22E0FE58" w14:textId="7ACAFFCB" w:rsidR="00900839" w:rsidRDefault="00900839">
          <w:pPr>
            <w:pStyle w:val="TOC1"/>
            <w:tabs>
              <w:tab w:val="right" w:leader="dot" w:pos="9350"/>
            </w:tabs>
            <w:rPr>
              <w:noProof/>
            </w:rPr>
          </w:pPr>
          <w:hyperlink w:anchor="_Toc80998363" w:history="1">
            <w:r w:rsidRPr="00987F50">
              <w:rPr>
                <w:rStyle w:val="Hyperlink"/>
                <w:noProof/>
              </w:rPr>
              <w:t>2. Description of the program and its practices</w:t>
            </w:r>
            <w:r>
              <w:rPr>
                <w:noProof/>
                <w:webHidden/>
              </w:rPr>
              <w:tab/>
            </w:r>
            <w:r>
              <w:rPr>
                <w:noProof/>
                <w:webHidden/>
              </w:rPr>
              <w:fldChar w:fldCharType="begin"/>
            </w:r>
            <w:r>
              <w:rPr>
                <w:noProof/>
                <w:webHidden/>
              </w:rPr>
              <w:instrText xml:space="preserve"> PAGEREF _Toc80998363 \h </w:instrText>
            </w:r>
            <w:r>
              <w:rPr>
                <w:noProof/>
                <w:webHidden/>
              </w:rPr>
            </w:r>
            <w:r>
              <w:rPr>
                <w:noProof/>
                <w:webHidden/>
              </w:rPr>
              <w:fldChar w:fldCharType="separate"/>
            </w:r>
            <w:r>
              <w:rPr>
                <w:noProof/>
                <w:webHidden/>
              </w:rPr>
              <w:t>5</w:t>
            </w:r>
            <w:r>
              <w:rPr>
                <w:noProof/>
                <w:webHidden/>
              </w:rPr>
              <w:fldChar w:fldCharType="end"/>
            </w:r>
          </w:hyperlink>
        </w:p>
        <w:p w14:paraId="2C8A3AE7" w14:textId="023563D4" w:rsidR="00900839" w:rsidRDefault="00900839">
          <w:pPr>
            <w:pStyle w:val="TOC2"/>
            <w:tabs>
              <w:tab w:val="right" w:leader="dot" w:pos="9350"/>
            </w:tabs>
            <w:rPr>
              <w:noProof/>
            </w:rPr>
          </w:pPr>
          <w:hyperlink w:anchor="_Toc80998364" w:history="1">
            <w:r w:rsidRPr="00987F50">
              <w:rPr>
                <w:rStyle w:val="Hyperlink"/>
                <w:noProof/>
              </w:rPr>
              <w:t>2.1 Program summary</w:t>
            </w:r>
            <w:r>
              <w:rPr>
                <w:noProof/>
                <w:webHidden/>
              </w:rPr>
              <w:tab/>
            </w:r>
            <w:r>
              <w:rPr>
                <w:noProof/>
                <w:webHidden/>
              </w:rPr>
              <w:fldChar w:fldCharType="begin"/>
            </w:r>
            <w:r>
              <w:rPr>
                <w:noProof/>
                <w:webHidden/>
              </w:rPr>
              <w:instrText xml:space="preserve"> PAGEREF _Toc80998364 \h </w:instrText>
            </w:r>
            <w:r>
              <w:rPr>
                <w:noProof/>
                <w:webHidden/>
              </w:rPr>
            </w:r>
            <w:r>
              <w:rPr>
                <w:noProof/>
                <w:webHidden/>
              </w:rPr>
              <w:fldChar w:fldCharType="separate"/>
            </w:r>
            <w:r>
              <w:rPr>
                <w:noProof/>
                <w:webHidden/>
              </w:rPr>
              <w:t>5</w:t>
            </w:r>
            <w:r>
              <w:rPr>
                <w:noProof/>
                <w:webHidden/>
              </w:rPr>
              <w:fldChar w:fldCharType="end"/>
            </w:r>
          </w:hyperlink>
        </w:p>
        <w:p w14:paraId="4E028DF4" w14:textId="2AC0B5BA" w:rsidR="00900839" w:rsidRDefault="00900839">
          <w:pPr>
            <w:pStyle w:val="TOC2"/>
            <w:tabs>
              <w:tab w:val="right" w:leader="dot" w:pos="9350"/>
            </w:tabs>
            <w:rPr>
              <w:noProof/>
            </w:rPr>
          </w:pPr>
          <w:hyperlink w:anchor="_Toc80998365" w:history="1">
            <w:r w:rsidRPr="00987F50">
              <w:rPr>
                <w:rStyle w:val="Hyperlink"/>
                <w:noProof/>
              </w:rPr>
              <w:t>2.2 Practices of the program</w:t>
            </w:r>
            <w:r>
              <w:rPr>
                <w:noProof/>
                <w:webHidden/>
              </w:rPr>
              <w:tab/>
            </w:r>
            <w:r>
              <w:rPr>
                <w:noProof/>
                <w:webHidden/>
              </w:rPr>
              <w:fldChar w:fldCharType="begin"/>
            </w:r>
            <w:r>
              <w:rPr>
                <w:noProof/>
                <w:webHidden/>
              </w:rPr>
              <w:instrText xml:space="preserve"> PAGEREF _Toc80998365 \h </w:instrText>
            </w:r>
            <w:r>
              <w:rPr>
                <w:noProof/>
                <w:webHidden/>
              </w:rPr>
            </w:r>
            <w:r>
              <w:rPr>
                <w:noProof/>
                <w:webHidden/>
              </w:rPr>
              <w:fldChar w:fldCharType="separate"/>
            </w:r>
            <w:r>
              <w:rPr>
                <w:noProof/>
                <w:webHidden/>
              </w:rPr>
              <w:t>5</w:t>
            </w:r>
            <w:r>
              <w:rPr>
                <w:noProof/>
                <w:webHidden/>
              </w:rPr>
              <w:fldChar w:fldCharType="end"/>
            </w:r>
          </w:hyperlink>
        </w:p>
        <w:p w14:paraId="530CA1E8" w14:textId="735C6095" w:rsidR="00900839" w:rsidRDefault="00900839">
          <w:pPr>
            <w:pStyle w:val="TOC1"/>
            <w:tabs>
              <w:tab w:val="right" w:leader="dot" w:pos="9350"/>
            </w:tabs>
            <w:rPr>
              <w:noProof/>
            </w:rPr>
          </w:pPr>
          <w:hyperlink w:anchor="_Toc80998366" w:history="1">
            <w:r w:rsidRPr="00987F50">
              <w:rPr>
                <w:rStyle w:val="Hyperlink"/>
                <w:noProof/>
              </w:rPr>
              <w:t>3. Description of the relationship between stakeholders and community engagement strategies</w:t>
            </w:r>
            <w:r>
              <w:rPr>
                <w:noProof/>
                <w:webHidden/>
              </w:rPr>
              <w:tab/>
            </w:r>
            <w:r>
              <w:rPr>
                <w:noProof/>
                <w:webHidden/>
              </w:rPr>
              <w:fldChar w:fldCharType="begin"/>
            </w:r>
            <w:r>
              <w:rPr>
                <w:noProof/>
                <w:webHidden/>
              </w:rPr>
              <w:instrText xml:space="preserve"> PAGEREF _Toc80998366 \h </w:instrText>
            </w:r>
            <w:r>
              <w:rPr>
                <w:noProof/>
                <w:webHidden/>
              </w:rPr>
            </w:r>
            <w:r>
              <w:rPr>
                <w:noProof/>
                <w:webHidden/>
              </w:rPr>
              <w:fldChar w:fldCharType="separate"/>
            </w:r>
            <w:r>
              <w:rPr>
                <w:noProof/>
                <w:webHidden/>
              </w:rPr>
              <w:t>7</w:t>
            </w:r>
            <w:r>
              <w:rPr>
                <w:noProof/>
                <w:webHidden/>
              </w:rPr>
              <w:fldChar w:fldCharType="end"/>
            </w:r>
          </w:hyperlink>
        </w:p>
        <w:p w14:paraId="26AC1A13" w14:textId="1A5ACFDA" w:rsidR="00900839" w:rsidRDefault="00900839">
          <w:pPr>
            <w:pStyle w:val="TOC1"/>
            <w:tabs>
              <w:tab w:val="right" w:leader="dot" w:pos="9350"/>
            </w:tabs>
            <w:rPr>
              <w:noProof/>
            </w:rPr>
          </w:pPr>
          <w:hyperlink w:anchor="_Toc80998367" w:history="1">
            <w:r w:rsidRPr="00987F50">
              <w:rPr>
                <w:rStyle w:val="Hyperlink"/>
                <w:noProof/>
              </w:rPr>
              <w:t>4. Influence of different platforms of social media in support of this program (creative thinking and professional skills)</w:t>
            </w:r>
            <w:r>
              <w:rPr>
                <w:noProof/>
                <w:webHidden/>
              </w:rPr>
              <w:tab/>
            </w:r>
            <w:r>
              <w:rPr>
                <w:noProof/>
                <w:webHidden/>
              </w:rPr>
              <w:fldChar w:fldCharType="begin"/>
            </w:r>
            <w:r>
              <w:rPr>
                <w:noProof/>
                <w:webHidden/>
              </w:rPr>
              <w:instrText xml:space="preserve"> PAGEREF _Toc80998367 \h </w:instrText>
            </w:r>
            <w:r>
              <w:rPr>
                <w:noProof/>
                <w:webHidden/>
              </w:rPr>
            </w:r>
            <w:r>
              <w:rPr>
                <w:noProof/>
                <w:webHidden/>
              </w:rPr>
              <w:fldChar w:fldCharType="separate"/>
            </w:r>
            <w:r>
              <w:rPr>
                <w:noProof/>
                <w:webHidden/>
              </w:rPr>
              <w:t>8</w:t>
            </w:r>
            <w:r>
              <w:rPr>
                <w:noProof/>
                <w:webHidden/>
              </w:rPr>
              <w:fldChar w:fldCharType="end"/>
            </w:r>
          </w:hyperlink>
        </w:p>
        <w:p w14:paraId="337107BF" w14:textId="7CAF6685" w:rsidR="00900839" w:rsidRDefault="00900839">
          <w:pPr>
            <w:pStyle w:val="TOC1"/>
            <w:tabs>
              <w:tab w:val="right" w:leader="dot" w:pos="9350"/>
            </w:tabs>
            <w:rPr>
              <w:noProof/>
            </w:rPr>
          </w:pPr>
          <w:hyperlink w:anchor="_Toc80998368" w:history="1">
            <w:r w:rsidRPr="00987F50">
              <w:rPr>
                <w:rStyle w:val="Hyperlink"/>
                <w:noProof/>
              </w:rPr>
              <w:t>5. Impact of multiculturalism and socio-cultural integration in this program</w:t>
            </w:r>
            <w:r>
              <w:rPr>
                <w:noProof/>
                <w:webHidden/>
              </w:rPr>
              <w:tab/>
            </w:r>
            <w:r>
              <w:rPr>
                <w:noProof/>
                <w:webHidden/>
              </w:rPr>
              <w:fldChar w:fldCharType="begin"/>
            </w:r>
            <w:r>
              <w:rPr>
                <w:noProof/>
                <w:webHidden/>
              </w:rPr>
              <w:instrText xml:space="preserve"> PAGEREF _Toc80998368 \h </w:instrText>
            </w:r>
            <w:r>
              <w:rPr>
                <w:noProof/>
                <w:webHidden/>
              </w:rPr>
            </w:r>
            <w:r>
              <w:rPr>
                <w:noProof/>
                <w:webHidden/>
              </w:rPr>
              <w:fldChar w:fldCharType="separate"/>
            </w:r>
            <w:r>
              <w:rPr>
                <w:noProof/>
                <w:webHidden/>
              </w:rPr>
              <w:t>10</w:t>
            </w:r>
            <w:r>
              <w:rPr>
                <w:noProof/>
                <w:webHidden/>
              </w:rPr>
              <w:fldChar w:fldCharType="end"/>
            </w:r>
          </w:hyperlink>
        </w:p>
        <w:p w14:paraId="1242F0BF" w14:textId="12E09960" w:rsidR="00900839" w:rsidRDefault="00900839">
          <w:pPr>
            <w:pStyle w:val="TOC1"/>
            <w:tabs>
              <w:tab w:val="right" w:leader="dot" w:pos="9350"/>
            </w:tabs>
            <w:rPr>
              <w:noProof/>
            </w:rPr>
          </w:pPr>
          <w:hyperlink w:anchor="_Toc80998369" w:history="1">
            <w:r w:rsidRPr="00987F50">
              <w:rPr>
                <w:rStyle w:val="Hyperlink"/>
                <w:noProof/>
              </w:rPr>
              <w:t>6. External and internal influencing factors of community development to this project</w:t>
            </w:r>
            <w:r>
              <w:rPr>
                <w:noProof/>
                <w:webHidden/>
              </w:rPr>
              <w:tab/>
            </w:r>
            <w:r>
              <w:rPr>
                <w:noProof/>
                <w:webHidden/>
              </w:rPr>
              <w:fldChar w:fldCharType="begin"/>
            </w:r>
            <w:r>
              <w:rPr>
                <w:noProof/>
                <w:webHidden/>
              </w:rPr>
              <w:instrText xml:space="preserve"> PAGEREF _Toc80998369 \h </w:instrText>
            </w:r>
            <w:r>
              <w:rPr>
                <w:noProof/>
                <w:webHidden/>
              </w:rPr>
            </w:r>
            <w:r>
              <w:rPr>
                <w:noProof/>
                <w:webHidden/>
              </w:rPr>
              <w:fldChar w:fldCharType="separate"/>
            </w:r>
            <w:r>
              <w:rPr>
                <w:noProof/>
                <w:webHidden/>
              </w:rPr>
              <w:t>11</w:t>
            </w:r>
            <w:r>
              <w:rPr>
                <w:noProof/>
                <w:webHidden/>
              </w:rPr>
              <w:fldChar w:fldCharType="end"/>
            </w:r>
          </w:hyperlink>
        </w:p>
        <w:p w14:paraId="2D1A985E" w14:textId="4655146B" w:rsidR="00900839" w:rsidRDefault="00900839">
          <w:pPr>
            <w:pStyle w:val="TOC1"/>
            <w:tabs>
              <w:tab w:val="right" w:leader="dot" w:pos="9350"/>
            </w:tabs>
            <w:rPr>
              <w:noProof/>
            </w:rPr>
          </w:pPr>
          <w:hyperlink w:anchor="_Toc80998370" w:history="1">
            <w:r w:rsidRPr="00987F50">
              <w:rPr>
                <w:rStyle w:val="Hyperlink"/>
                <w:noProof/>
              </w:rPr>
              <w:t>7. Identification of the new taken approach to look forward the project</w:t>
            </w:r>
            <w:r>
              <w:rPr>
                <w:noProof/>
                <w:webHidden/>
              </w:rPr>
              <w:tab/>
            </w:r>
            <w:r>
              <w:rPr>
                <w:noProof/>
                <w:webHidden/>
              </w:rPr>
              <w:fldChar w:fldCharType="begin"/>
            </w:r>
            <w:r>
              <w:rPr>
                <w:noProof/>
                <w:webHidden/>
              </w:rPr>
              <w:instrText xml:space="preserve"> PAGEREF _Toc80998370 \h </w:instrText>
            </w:r>
            <w:r>
              <w:rPr>
                <w:noProof/>
                <w:webHidden/>
              </w:rPr>
            </w:r>
            <w:r>
              <w:rPr>
                <w:noProof/>
                <w:webHidden/>
              </w:rPr>
              <w:fldChar w:fldCharType="separate"/>
            </w:r>
            <w:r>
              <w:rPr>
                <w:noProof/>
                <w:webHidden/>
              </w:rPr>
              <w:t>13</w:t>
            </w:r>
            <w:r>
              <w:rPr>
                <w:noProof/>
                <w:webHidden/>
              </w:rPr>
              <w:fldChar w:fldCharType="end"/>
            </w:r>
          </w:hyperlink>
        </w:p>
        <w:p w14:paraId="705424D6" w14:textId="2ECD883F" w:rsidR="00900839" w:rsidRDefault="00900839">
          <w:pPr>
            <w:pStyle w:val="TOC1"/>
            <w:tabs>
              <w:tab w:val="right" w:leader="dot" w:pos="9350"/>
            </w:tabs>
            <w:rPr>
              <w:noProof/>
            </w:rPr>
          </w:pPr>
          <w:hyperlink w:anchor="_Toc80998371" w:history="1">
            <w:r w:rsidRPr="00987F50">
              <w:rPr>
                <w:rStyle w:val="Hyperlink"/>
                <w:noProof/>
              </w:rPr>
              <w:t>8. Recommendation</w:t>
            </w:r>
            <w:r>
              <w:rPr>
                <w:noProof/>
                <w:webHidden/>
              </w:rPr>
              <w:tab/>
            </w:r>
            <w:r>
              <w:rPr>
                <w:noProof/>
                <w:webHidden/>
              </w:rPr>
              <w:fldChar w:fldCharType="begin"/>
            </w:r>
            <w:r>
              <w:rPr>
                <w:noProof/>
                <w:webHidden/>
              </w:rPr>
              <w:instrText xml:space="preserve"> PAGEREF _Toc80998371 \h </w:instrText>
            </w:r>
            <w:r>
              <w:rPr>
                <w:noProof/>
                <w:webHidden/>
              </w:rPr>
            </w:r>
            <w:r>
              <w:rPr>
                <w:noProof/>
                <w:webHidden/>
              </w:rPr>
              <w:fldChar w:fldCharType="separate"/>
            </w:r>
            <w:r>
              <w:rPr>
                <w:noProof/>
                <w:webHidden/>
              </w:rPr>
              <w:t>13</w:t>
            </w:r>
            <w:r>
              <w:rPr>
                <w:noProof/>
                <w:webHidden/>
              </w:rPr>
              <w:fldChar w:fldCharType="end"/>
            </w:r>
          </w:hyperlink>
        </w:p>
        <w:p w14:paraId="67162C03" w14:textId="6FA87F7A" w:rsidR="00900839" w:rsidRDefault="00900839">
          <w:pPr>
            <w:pStyle w:val="TOC1"/>
            <w:tabs>
              <w:tab w:val="right" w:leader="dot" w:pos="9350"/>
            </w:tabs>
            <w:rPr>
              <w:noProof/>
            </w:rPr>
          </w:pPr>
          <w:hyperlink w:anchor="_Toc80998372" w:history="1">
            <w:r w:rsidRPr="00987F50">
              <w:rPr>
                <w:rStyle w:val="Hyperlink"/>
                <w:noProof/>
              </w:rPr>
              <w:t>9. Conclusion</w:t>
            </w:r>
            <w:r>
              <w:rPr>
                <w:noProof/>
                <w:webHidden/>
              </w:rPr>
              <w:tab/>
            </w:r>
            <w:r>
              <w:rPr>
                <w:noProof/>
                <w:webHidden/>
              </w:rPr>
              <w:fldChar w:fldCharType="begin"/>
            </w:r>
            <w:r>
              <w:rPr>
                <w:noProof/>
                <w:webHidden/>
              </w:rPr>
              <w:instrText xml:space="preserve"> PAGEREF _Toc80998372 \h </w:instrText>
            </w:r>
            <w:r>
              <w:rPr>
                <w:noProof/>
                <w:webHidden/>
              </w:rPr>
            </w:r>
            <w:r>
              <w:rPr>
                <w:noProof/>
                <w:webHidden/>
              </w:rPr>
              <w:fldChar w:fldCharType="separate"/>
            </w:r>
            <w:r>
              <w:rPr>
                <w:noProof/>
                <w:webHidden/>
              </w:rPr>
              <w:t>14</w:t>
            </w:r>
            <w:r>
              <w:rPr>
                <w:noProof/>
                <w:webHidden/>
              </w:rPr>
              <w:fldChar w:fldCharType="end"/>
            </w:r>
          </w:hyperlink>
        </w:p>
        <w:p w14:paraId="58A35C1C" w14:textId="783E0688" w:rsidR="00900839" w:rsidRDefault="00900839">
          <w:pPr>
            <w:pStyle w:val="TOC1"/>
            <w:tabs>
              <w:tab w:val="right" w:leader="dot" w:pos="9350"/>
            </w:tabs>
            <w:rPr>
              <w:noProof/>
            </w:rPr>
          </w:pPr>
          <w:hyperlink w:anchor="_Toc80998373" w:history="1">
            <w:r w:rsidRPr="00987F50">
              <w:rPr>
                <w:rStyle w:val="Hyperlink"/>
                <w:noProof/>
              </w:rPr>
              <w:t>References</w:t>
            </w:r>
            <w:r>
              <w:rPr>
                <w:noProof/>
                <w:webHidden/>
              </w:rPr>
              <w:tab/>
            </w:r>
            <w:r>
              <w:rPr>
                <w:noProof/>
                <w:webHidden/>
              </w:rPr>
              <w:fldChar w:fldCharType="begin"/>
            </w:r>
            <w:r>
              <w:rPr>
                <w:noProof/>
                <w:webHidden/>
              </w:rPr>
              <w:instrText xml:space="preserve"> PAGEREF _Toc80998373 \h </w:instrText>
            </w:r>
            <w:r>
              <w:rPr>
                <w:noProof/>
                <w:webHidden/>
              </w:rPr>
            </w:r>
            <w:r>
              <w:rPr>
                <w:noProof/>
                <w:webHidden/>
              </w:rPr>
              <w:fldChar w:fldCharType="separate"/>
            </w:r>
            <w:r>
              <w:rPr>
                <w:noProof/>
                <w:webHidden/>
              </w:rPr>
              <w:t>15</w:t>
            </w:r>
            <w:r>
              <w:rPr>
                <w:noProof/>
                <w:webHidden/>
              </w:rPr>
              <w:fldChar w:fldCharType="end"/>
            </w:r>
          </w:hyperlink>
        </w:p>
        <w:p w14:paraId="0E118307" w14:textId="08DA582E" w:rsidR="00900839" w:rsidRDefault="00900839">
          <w:pPr>
            <w:pStyle w:val="TOC2"/>
            <w:tabs>
              <w:tab w:val="right" w:leader="dot" w:pos="9350"/>
            </w:tabs>
            <w:rPr>
              <w:noProof/>
            </w:rPr>
          </w:pPr>
          <w:hyperlink w:anchor="_Toc80998374" w:history="1">
            <w:r w:rsidRPr="00987F50">
              <w:rPr>
                <w:rStyle w:val="Hyperlink"/>
                <w:noProof/>
              </w:rPr>
              <w:t>Books and Journals</w:t>
            </w:r>
            <w:r>
              <w:rPr>
                <w:noProof/>
                <w:webHidden/>
              </w:rPr>
              <w:tab/>
            </w:r>
            <w:r>
              <w:rPr>
                <w:noProof/>
                <w:webHidden/>
              </w:rPr>
              <w:fldChar w:fldCharType="begin"/>
            </w:r>
            <w:r>
              <w:rPr>
                <w:noProof/>
                <w:webHidden/>
              </w:rPr>
              <w:instrText xml:space="preserve"> PAGEREF _Toc80998374 \h </w:instrText>
            </w:r>
            <w:r>
              <w:rPr>
                <w:noProof/>
                <w:webHidden/>
              </w:rPr>
            </w:r>
            <w:r>
              <w:rPr>
                <w:noProof/>
                <w:webHidden/>
              </w:rPr>
              <w:fldChar w:fldCharType="separate"/>
            </w:r>
            <w:r>
              <w:rPr>
                <w:noProof/>
                <w:webHidden/>
              </w:rPr>
              <w:t>15</w:t>
            </w:r>
            <w:r>
              <w:rPr>
                <w:noProof/>
                <w:webHidden/>
              </w:rPr>
              <w:fldChar w:fldCharType="end"/>
            </w:r>
          </w:hyperlink>
        </w:p>
        <w:p w14:paraId="50DC69C0" w14:textId="1BC4C012" w:rsidR="00900839" w:rsidRDefault="00900839">
          <w:pPr>
            <w:pStyle w:val="TOC2"/>
            <w:tabs>
              <w:tab w:val="right" w:leader="dot" w:pos="9350"/>
            </w:tabs>
            <w:rPr>
              <w:noProof/>
            </w:rPr>
          </w:pPr>
          <w:hyperlink w:anchor="_Toc80998375" w:history="1">
            <w:r w:rsidRPr="00987F50">
              <w:rPr>
                <w:rStyle w:val="Hyperlink"/>
                <w:noProof/>
              </w:rPr>
              <w:t>Websites</w:t>
            </w:r>
            <w:r>
              <w:rPr>
                <w:noProof/>
                <w:webHidden/>
              </w:rPr>
              <w:tab/>
            </w:r>
            <w:r>
              <w:rPr>
                <w:noProof/>
                <w:webHidden/>
              </w:rPr>
              <w:fldChar w:fldCharType="begin"/>
            </w:r>
            <w:r>
              <w:rPr>
                <w:noProof/>
                <w:webHidden/>
              </w:rPr>
              <w:instrText xml:space="preserve"> PAGEREF _Toc80998375 \h </w:instrText>
            </w:r>
            <w:r>
              <w:rPr>
                <w:noProof/>
                <w:webHidden/>
              </w:rPr>
            </w:r>
            <w:r>
              <w:rPr>
                <w:noProof/>
                <w:webHidden/>
              </w:rPr>
              <w:fldChar w:fldCharType="separate"/>
            </w:r>
            <w:r>
              <w:rPr>
                <w:noProof/>
                <w:webHidden/>
              </w:rPr>
              <w:t>15</w:t>
            </w:r>
            <w:r>
              <w:rPr>
                <w:noProof/>
                <w:webHidden/>
              </w:rPr>
              <w:fldChar w:fldCharType="end"/>
            </w:r>
          </w:hyperlink>
        </w:p>
        <w:p w14:paraId="6076B3D9" w14:textId="66093CB7" w:rsidR="00900839" w:rsidRDefault="00900839">
          <w:r>
            <w:rPr>
              <w:b/>
              <w:bCs/>
              <w:noProof/>
            </w:rPr>
            <w:fldChar w:fldCharType="end"/>
          </w:r>
        </w:p>
      </w:sdtContent>
    </w:sdt>
    <w:p w14:paraId="5BE3B3FC" w14:textId="77777777" w:rsidR="00E636A0" w:rsidRDefault="00E636A0">
      <w:pPr>
        <w:rPr>
          <w:b/>
        </w:rPr>
      </w:pPr>
    </w:p>
    <w:p w14:paraId="497CABA7" w14:textId="77777777" w:rsidR="00E636A0" w:rsidRDefault="009E7277">
      <w:pPr>
        <w:jc w:val="center"/>
        <w:rPr>
          <w:b/>
        </w:rPr>
      </w:pPr>
      <w:r>
        <w:br w:type="page"/>
      </w:r>
    </w:p>
    <w:p w14:paraId="4ED20F17" w14:textId="77777777" w:rsidR="00E636A0" w:rsidRDefault="009E7277">
      <w:pPr>
        <w:pStyle w:val="Heading1"/>
      </w:pPr>
      <w:bookmarkStart w:id="0" w:name="_Toc80998362"/>
      <w:r>
        <w:lastRenderedPageBreak/>
        <w:t>1. Introduction</w:t>
      </w:r>
      <w:bookmarkEnd w:id="0"/>
      <w:r>
        <w:t xml:space="preserve"> </w:t>
      </w:r>
    </w:p>
    <w:p w14:paraId="078D2D35" w14:textId="6E5F89C1" w:rsidR="00E636A0" w:rsidRDefault="009E7277" w:rsidP="009E4856">
      <w:r>
        <w:t>The Fawcett Society is one of the most popular and well-known non-profit organisations in the UK which was brought up by 1907 from the mind of Milicent Fawcett with 50,000 members (Fawcettsociety, 2021). She was one of the most active women's rights campaigners as well as a suffragist who had fought for equality building and to give a secure lifestyle to women. This report paper includes various approaches of The Fawcett Society in the UK and its taken approaches along with its changes according to time towards the women of this country. Social media engagement in order to spread the program details is also discussed here. Lastly, this report is looking for an approach to go forwards with a safe and secure life towards the women's lifestyle in the UK (Fawcettsociety, 2021).</w:t>
      </w:r>
    </w:p>
    <w:p w14:paraId="1A806261" w14:textId="77777777" w:rsidR="009E4856" w:rsidRDefault="009E4856">
      <w:pPr>
        <w:rPr>
          <w:b/>
          <w:sz w:val="28"/>
          <w:szCs w:val="28"/>
        </w:rPr>
      </w:pPr>
      <w:r>
        <w:br w:type="page"/>
      </w:r>
    </w:p>
    <w:p w14:paraId="4E0BF364" w14:textId="6234B13D" w:rsidR="00E636A0" w:rsidRDefault="009E7277">
      <w:pPr>
        <w:pStyle w:val="Heading1"/>
      </w:pPr>
      <w:bookmarkStart w:id="1" w:name="_Toc80998363"/>
      <w:r>
        <w:lastRenderedPageBreak/>
        <w:t>2. Description of the program and its practices</w:t>
      </w:r>
      <w:bookmarkEnd w:id="1"/>
      <w:r>
        <w:t xml:space="preserve"> </w:t>
      </w:r>
    </w:p>
    <w:p w14:paraId="3B851274" w14:textId="77777777" w:rsidR="00E636A0" w:rsidRDefault="009E7277">
      <w:pPr>
        <w:pStyle w:val="Heading2"/>
      </w:pPr>
      <w:bookmarkStart w:id="2" w:name="_Toc80998364"/>
      <w:r>
        <w:t>2.1 Program summary</w:t>
      </w:r>
      <w:bookmarkEnd w:id="2"/>
    </w:p>
    <w:p w14:paraId="7B21BEC9" w14:textId="77777777" w:rsidR="00E636A0" w:rsidRDefault="009E7277">
      <w:r>
        <w:rPr>
          <w:color w:val="222222"/>
          <w:highlight w:val="white"/>
        </w:rPr>
        <w:t xml:space="preserve">According to Harrison </w:t>
      </w:r>
      <w:r>
        <w:rPr>
          <w:i/>
          <w:color w:val="222222"/>
          <w:highlight w:val="white"/>
        </w:rPr>
        <w:t>et al</w:t>
      </w:r>
      <w:r>
        <w:rPr>
          <w:color w:val="222222"/>
          <w:highlight w:val="white"/>
        </w:rPr>
        <w:t xml:space="preserve">., (2020, p. 547), </w:t>
      </w:r>
      <w:r>
        <w:t xml:space="preserve">The Fawcett Society is working with lots of programs and approaches in this current covid situation for women and childcare development in the UK. The main aim of this organisation is to arrange programs for equality development and devolution work in the society towards women. It is also working with early childhood on gender stereotypes under the commission of the UK. Most importantly, The Fawcett Society fights for sexual harassment in the workplace or society by decreasing sexual discrimination in the UK. </w:t>
      </w:r>
    </w:p>
    <w:p w14:paraId="58A10C45" w14:textId="77777777" w:rsidR="00E636A0" w:rsidRDefault="009E7277">
      <w:pPr>
        <w:pStyle w:val="Heading2"/>
      </w:pPr>
      <w:bookmarkStart w:id="3" w:name="_Toc80998365"/>
      <w:r>
        <w:t>2.2 Practices of the program</w:t>
      </w:r>
      <w:bookmarkEnd w:id="3"/>
    </w:p>
    <w:p w14:paraId="35609898" w14:textId="77777777" w:rsidR="00E636A0" w:rsidRDefault="009E7277">
      <w:pPr>
        <w:rPr>
          <w:b/>
        </w:rPr>
      </w:pPr>
      <w:r>
        <w:rPr>
          <w:b/>
        </w:rPr>
        <w:t>Reformation of parliament under the cost of the Sexual-harassment scandal</w:t>
      </w:r>
    </w:p>
    <w:p w14:paraId="55CADDC7" w14:textId="77777777" w:rsidR="00E636A0" w:rsidRDefault="009E7277">
      <w:r>
        <w:t xml:space="preserve">The Fawcett Society has started working with different programs and approaches against sexual harassment of girls and women. They have also started focusing on removing the barriers to women's participation in different political parties or parliamentary involvement (Fawcettsociety, 2021). The Fawcett Society has carried out various stands for women to build inequality in the workplace. </w:t>
      </w:r>
    </w:p>
    <w:p w14:paraId="62AAFDF9" w14:textId="7618E8B5" w:rsidR="00E636A0" w:rsidRDefault="009E7277">
      <w:r>
        <w:rPr>
          <w:b/>
        </w:rPr>
        <w:t>Formation of Cross-party working group:</w:t>
      </w:r>
      <w:r w:rsidR="009E4856">
        <w:rPr>
          <w:b/>
        </w:rPr>
        <w:t xml:space="preserve"> </w:t>
      </w:r>
      <w:r>
        <w:rPr>
          <w:color w:val="222222"/>
          <w:highlight w:val="white"/>
        </w:rPr>
        <w:t xml:space="preserve">According to Aksoy et al., (2019, p. 167), </w:t>
      </w:r>
      <w:r>
        <w:t>The British Parliament has taken different actions and approaches towards inappropriate behaviour of common people in the society. According to the Independent Complaints and Grievance policy of the governing authority of the UK, the approaches of a working group need to be firstly published in front of the British Parliament. Thus, the group can operate their services and approaches towards society. It also includes that those works of individual groups can play as participants of the parliamentary estate within only the local political structure.</w:t>
      </w:r>
    </w:p>
    <w:p w14:paraId="54DE1BC3" w14:textId="3AD1486F" w:rsidR="00E636A0" w:rsidRDefault="009E7277">
      <w:r>
        <w:rPr>
          <w:b/>
        </w:rPr>
        <w:lastRenderedPageBreak/>
        <w:t>Formation of global law f</w:t>
      </w:r>
      <w:r w:rsidR="009E4856">
        <w:rPr>
          <w:b/>
        </w:rPr>
        <w:t>i</w:t>
      </w:r>
      <w:r>
        <w:rPr>
          <w:b/>
        </w:rPr>
        <w:t>rm:</w:t>
      </w:r>
      <w:r w:rsidR="009E4856">
        <w:rPr>
          <w:b/>
        </w:rPr>
        <w:t xml:space="preserve"> </w:t>
      </w:r>
      <w:r>
        <w:rPr>
          <w:color w:val="222222"/>
          <w:highlight w:val="white"/>
        </w:rPr>
        <w:t xml:space="preserve">According to Aksoy et al., (2019, p. 167), </w:t>
      </w:r>
      <w:r>
        <w:t>The Fawcett Society has reformed a global law firm in order to give various legal suggestions to the affected women of the society in different issues. The Fawcett Society has also appointed some skilled volunteers with a brief knowledge of the legislation of the UK and the different policies and laws of this country. Those volunteers help women in their difficult situations with legal consultation.</w:t>
      </w:r>
    </w:p>
    <w:p w14:paraId="67DBEDAA" w14:textId="703A1256" w:rsidR="00E636A0" w:rsidRDefault="009E7277">
      <w:r>
        <w:rPr>
          <w:b/>
        </w:rPr>
        <w:t>Volunteerism with political structure:</w:t>
      </w:r>
      <w:r>
        <w:t xml:space="preserve"> The Fawcett Society has built up a volunteer organisation to engage women within this program in order to fight against sexual harassment in the UK (Fawcettsociety, 2021). A few sexual harassment cases are recorded in the legal system but the women are empowered to fight against this problem effectively with the help of self-consciousness.</w:t>
      </w:r>
    </w:p>
    <w:p w14:paraId="7EDE54F0" w14:textId="66106C18" w:rsidR="009E4856" w:rsidRDefault="009E4856">
      <w:r>
        <w:rPr>
          <w:noProof/>
        </w:rPr>
        <w:drawing>
          <wp:inline distT="0" distB="0" distL="0" distR="0" wp14:anchorId="6C84DC64" wp14:editId="04AC6E4E">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F0FB2AE" w14:textId="57FC3920" w:rsidR="009E4856" w:rsidRPr="009E4856" w:rsidRDefault="009E4856" w:rsidP="009E4856">
      <w:pPr>
        <w:jc w:val="center"/>
        <w:rPr>
          <w:b/>
          <w:bCs/>
        </w:rPr>
      </w:pPr>
      <w:r w:rsidRPr="009E4856">
        <w:rPr>
          <w:b/>
          <w:bCs/>
        </w:rPr>
        <w:t>Figure 1: Parliament Reformation</w:t>
      </w:r>
    </w:p>
    <w:p w14:paraId="022868DB" w14:textId="4A6DA6B9" w:rsidR="009E4856" w:rsidRDefault="009E4856" w:rsidP="009E4856">
      <w:pPr>
        <w:jc w:val="center"/>
      </w:pPr>
      <w:r>
        <w:t>(Author)</w:t>
      </w:r>
    </w:p>
    <w:p w14:paraId="7B398D30" w14:textId="77777777" w:rsidR="00E636A0" w:rsidRDefault="009E7277">
      <w:r>
        <w:rPr>
          <w:b/>
        </w:rPr>
        <w:t>Barrow Cadbury Trust:</w:t>
      </w:r>
      <w:r>
        <w:t xml:space="preserve"> The Fawcett Society has founded Barrow Cadbury Trust for women's development in decision making. Additionally, it is observed that this trust is working with </w:t>
      </w:r>
      <w:r>
        <w:lastRenderedPageBreak/>
        <w:t>enhancing women's voices towards inequality and injustice (Fawcettsociety, 2021). This approach of The Fawcett Society helps them to opportunity with self-consciousness and objection on different issues faced by them.</w:t>
      </w:r>
    </w:p>
    <w:p w14:paraId="69EA62FF" w14:textId="77777777" w:rsidR="00E636A0" w:rsidRDefault="009E7277">
      <w:pPr>
        <w:pStyle w:val="Heading1"/>
      </w:pPr>
      <w:bookmarkStart w:id="4" w:name="_Toc80998366"/>
      <w:r>
        <w:t>3. Description of the relationship between stakeholders and community engagement strategies</w:t>
      </w:r>
      <w:bookmarkEnd w:id="4"/>
      <w:r>
        <w:t xml:space="preserve"> </w:t>
      </w:r>
    </w:p>
    <w:p w14:paraId="5FE4B484" w14:textId="77777777" w:rsidR="00E636A0" w:rsidRDefault="009E7277">
      <w:r>
        <w:rPr>
          <w:color w:val="222222"/>
          <w:highlight w:val="white"/>
        </w:rPr>
        <w:t xml:space="preserve">According to Jaijee and Kamau (2019), </w:t>
      </w:r>
      <w:r>
        <w:t xml:space="preserve">The Fawcett Society has chosen the women of the UK as its stakeholders as they are working with women empowerment, women engagement in the workplace and society along with various strategies on difficulties on equality in workplaces, sexual harassment, political environment and many more. </w:t>
      </w:r>
      <w:r>
        <w:rPr>
          <w:color w:val="222222"/>
          <w:highlight w:val="white"/>
        </w:rPr>
        <w:t xml:space="preserve"> According to Semlyen </w:t>
      </w:r>
      <w:r>
        <w:rPr>
          <w:i/>
          <w:color w:val="222222"/>
          <w:highlight w:val="white"/>
        </w:rPr>
        <w:t>et al</w:t>
      </w:r>
      <w:r>
        <w:rPr>
          <w:color w:val="222222"/>
          <w:highlight w:val="white"/>
        </w:rPr>
        <w:t xml:space="preserve">., (2020, p. 98), </w:t>
      </w:r>
      <w:r>
        <w:t xml:space="preserve">The Fawcett Society has started their campaign in 1907 and they mainly campaign for reducing sexual harassment on women in the workplace in this current situation. Firstly, The Fawcett Society has fixed their ambition to understand people the correct meaning of sexual harassment as most people do not properly know the actual meaning of this context. Additionally, their regular observation on sexual harassment, lots of male workers refuse to work with a female co-worker which is also causing gender discrimination in the workplace. Secondly, The Fawcett Society fights for gender equality in the workplace and campaigns for not only preventing sexual harassment of women but also understanding people working with female co-workers without any harassment (Equaliteach, 2021). </w:t>
      </w:r>
    </w:p>
    <w:p w14:paraId="63EE0AA9" w14:textId="77777777" w:rsidR="00E636A0" w:rsidRDefault="009E7277">
      <w:r>
        <w:t xml:space="preserve">Thirdly, their "MeToo movement" focuses on stamping out women harassment and trying to limit the liabilities of women. Fourthly, The Fawcett Society has fixed their aim to community engagement in the workplace among women employees as well as their co-workers by adequating long term solutions against different types of sexual harassment along with psychological harassment too. </w:t>
      </w:r>
      <w:r>
        <w:rPr>
          <w:color w:val="222222"/>
          <w:highlight w:val="white"/>
        </w:rPr>
        <w:t xml:space="preserve"> According to Semlyen </w:t>
      </w:r>
      <w:r>
        <w:rPr>
          <w:i/>
          <w:color w:val="222222"/>
          <w:highlight w:val="white"/>
        </w:rPr>
        <w:t>et al</w:t>
      </w:r>
      <w:r>
        <w:rPr>
          <w:color w:val="222222"/>
          <w:highlight w:val="white"/>
        </w:rPr>
        <w:t xml:space="preserve">., (2020, p. 98), </w:t>
      </w:r>
      <w:r>
        <w:t xml:space="preserve">they have made </w:t>
      </w:r>
      <w:r>
        <w:lastRenderedPageBreak/>
        <w:t>approaches to make employees pro-active towards this context in the workplace and taken some employee-centred actions in order to tackle different sexual harassment in the workplace by self or help others in their problematic situation. Fifthly, The Fawcett Society arranges various meetings and surveyed the women of the UK for training them in tackling techniques of various harassment and such discrimination (Equaliteach, 2021). This non-profit organisation also educates them in engagement with each other as the working authority and male coworkers will be afraid to do such harassment towards them due to a big community engagement and connection among women. Thus, the stakeholders of The Fawcett Society are engaged in the community in order to help each other in any harassment and discriminating position in the workplace (Equaliteach, 2021).</w:t>
      </w:r>
    </w:p>
    <w:p w14:paraId="3E1BE603" w14:textId="77777777" w:rsidR="00E636A0" w:rsidRDefault="009E7277">
      <w:pPr>
        <w:pStyle w:val="Heading1"/>
      </w:pPr>
      <w:bookmarkStart w:id="5" w:name="_Toc80998367"/>
      <w:r>
        <w:t>4. Influence of different platforms of social media in support of this program (creative thinking and professional skills)</w:t>
      </w:r>
      <w:bookmarkEnd w:id="5"/>
      <w:r>
        <w:t xml:space="preserve"> </w:t>
      </w:r>
    </w:p>
    <w:p w14:paraId="4F53DB27" w14:textId="31A5F703" w:rsidR="00E636A0" w:rsidRDefault="009E7277">
      <w:r>
        <w:t>According to various psychological research, sexual harassment is of three types including unusual sexual touch, gender discrimination and sexual assault. Various social media platforms are used as a tool for spreading the news about any type of harassment and building a community engagement to fight the harassment.</w:t>
      </w:r>
    </w:p>
    <w:p w14:paraId="4701FFC3" w14:textId="1A128B19" w:rsidR="00210D8D" w:rsidRDefault="00210D8D">
      <w:r>
        <w:rPr>
          <w:noProof/>
        </w:rPr>
        <w:lastRenderedPageBreak/>
        <w:drawing>
          <wp:inline distT="0" distB="0" distL="0" distR="0" wp14:anchorId="19152D26" wp14:editId="3DD4717D">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46F0AE2" w14:textId="0641320B" w:rsidR="00210D8D" w:rsidRPr="00210D8D" w:rsidRDefault="00210D8D" w:rsidP="00210D8D">
      <w:pPr>
        <w:jc w:val="center"/>
        <w:rPr>
          <w:b/>
          <w:bCs/>
        </w:rPr>
      </w:pPr>
      <w:r w:rsidRPr="00210D8D">
        <w:rPr>
          <w:b/>
          <w:bCs/>
        </w:rPr>
        <w:t>Figure 2: Influence of different platforms</w:t>
      </w:r>
    </w:p>
    <w:p w14:paraId="0E297158" w14:textId="5C2A31E2" w:rsidR="00210D8D" w:rsidRDefault="00210D8D" w:rsidP="00210D8D">
      <w:pPr>
        <w:jc w:val="center"/>
      </w:pPr>
      <w:r>
        <w:t>(Author)</w:t>
      </w:r>
    </w:p>
    <w:p w14:paraId="5F0B4DBE" w14:textId="5244D9C9" w:rsidR="00E636A0" w:rsidRDefault="009E7277">
      <w:r>
        <w:rPr>
          <w:b/>
        </w:rPr>
        <w:t>Employer liability:</w:t>
      </w:r>
      <w:r w:rsidR="00210D8D">
        <w:rPr>
          <w:b/>
        </w:rPr>
        <w:t xml:space="preserve"> </w:t>
      </w:r>
      <w:r>
        <w:rPr>
          <w:color w:val="222222"/>
          <w:highlight w:val="white"/>
        </w:rPr>
        <w:t xml:space="preserve">According to Brewin </w:t>
      </w:r>
      <w:r>
        <w:rPr>
          <w:i/>
          <w:color w:val="222222"/>
          <w:highlight w:val="white"/>
        </w:rPr>
        <w:t>et al</w:t>
      </w:r>
      <w:r>
        <w:rPr>
          <w:color w:val="222222"/>
          <w:highlight w:val="white"/>
        </w:rPr>
        <w:t xml:space="preserve">., (2020, p. 1), </w:t>
      </w:r>
      <w:r>
        <w:t>there are lots of social media platforms including Facebook, Instagram, Twitter which are spreading news of different campaigns against gender discrimination to workplace sexual harassment which improves the liabilities among workers as well as their ethical consideration. Thus, they take care of their female co-workers and give them proper respect in the workplace.</w:t>
      </w:r>
    </w:p>
    <w:p w14:paraId="4FB2656A" w14:textId="3663E71C" w:rsidR="00E636A0" w:rsidRDefault="009E7277">
      <w:r>
        <w:rPr>
          <w:b/>
        </w:rPr>
        <w:t>Employer practices:</w:t>
      </w:r>
      <w:r w:rsidR="00210D8D">
        <w:rPr>
          <w:b/>
        </w:rPr>
        <w:t xml:space="preserve"> </w:t>
      </w:r>
      <w:r>
        <w:rPr>
          <w:color w:val="222222"/>
          <w:highlight w:val="white"/>
        </w:rPr>
        <w:t xml:space="preserve">According to Brewin </w:t>
      </w:r>
      <w:r>
        <w:rPr>
          <w:i/>
          <w:color w:val="222222"/>
          <w:highlight w:val="white"/>
        </w:rPr>
        <w:t>et al</w:t>
      </w:r>
      <w:r>
        <w:rPr>
          <w:color w:val="222222"/>
          <w:highlight w:val="white"/>
        </w:rPr>
        <w:t xml:space="preserve">., (2020, p. 1), </w:t>
      </w:r>
      <w:r>
        <w:t>campaigns through social media increases the chance of gathering people more in this current situation and it is helpful to share and explore the corresponding news easily. The employees always practice equality in their workplace and those social campaigns remember them to improve their ethical consideration in this context. Thus, it inspires more people and engages them in community development towards the prevention of sexual harassment of women in the workplace.</w:t>
      </w:r>
    </w:p>
    <w:p w14:paraId="09E962DC" w14:textId="77777777" w:rsidR="00E636A0" w:rsidRDefault="009E7277">
      <w:r>
        <w:rPr>
          <w:b/>
        </w:rPr>
        <w:lastRenderedPageBreak/>
        <w:t>Creation of consent-based culture:</w:t>
      </w:r>
      <w:r>
        <w:t xml:space="preserve"> Different social media platforms help in creating a consent-based culture in any workplace of the UK under the legislation of this country.  It helps an employee to be relieved from her co-workers at the time of her resulting (Equaliteach, 2021). Additionally, it is observed that connection through social media can help in reaching people at any place which is positive vibes towards women sexual harassment. It helps in objecting over the context and in developing a large community against the assault effectively.</w:t>
      </w:r>
    </w:p>
    <w:p w14:paraId="5982531C" w14:textId="77777777" w:rsidR="00E636A0" w:rsidRDefault="009E7277">
      <w:pPr>
        <w:pStyle w:val="Heading1"/>
      </w:pPr>
      <w:bookmarkStart w:id="6" w:name="_Toc80998368"/>
      <w:r>
        <w:t>5. Impact of multiculturalism and socio-cultural integration in this program</w:t>
      </w:r>
      <w:bookmarkEnd w:id="6"/>
      <w:r>
        <w:t xml:space="preserve"> </w:t>
      </w:r>
    </w:p>
    <w:p w14:paraId="77BB340F" w14:textId="77777777" w:rsidR="00E636A0" w:rsidRDefault="009E7277">
      <w:r>
        <w:rPr>
          <w:b/>
        </w:rPr>
        <w:t>Impact of multiculturalism:</w:t>
      </w:r>
      <w:r>
        <w:t xml:space="preserve">  Multiculturalism is a common factor of gender discrimination though the UK is a developed country (Springer, 2020). The legal authority of the UK always stands against sexual discrimination but the culture of the society belongs in traditional and modern effect. The traditional culture includes women as the working agent of the domestic area. Most importantly, the traditional culture of the UK represents a male-centred society and women have to obey the rules of this society. Alternatively, the modern culture indicates equality in every context of the society where male and female workers work collaboratively inside and outside their homes. The Fawcett Society is working for this equality building in both cultural contexts (Springer, 2020).</w:t>
      </w:r>
    </w:p>
    <w:p w14:paraId="63C909F3" w14:textId="77777777" w:rsidR="00E636A0" w:rsidRDefault="009E7277">
      <w:r>
        <w:rPr>
          <w:b/>
        </w:rPr>
        <w:t xml:space="preserve">Impact of socio-cultural integration: </w:t>
      </w:r>
      <w:r>
        <w:t>This type of event includes several campaigns and announcements in schools, offices and other educational institutions. The Fawcett Society arranges those campaigns in order to learn people about non-discrimination behaviour towards society and respect all women without harassing them from childhood (Springer, 2020). This educational system of children in the UK positively reduces the chances of sexual harassment and gender discriminatory in society in the present as well as it impacts upon future also.</w:t>
      </w:r>
    </w:p>
    <w:p w14:paraId="328F9BB3" w14:textId="77777777" w:rsidR="00E636A0" w:rsidRDefault="009E7277">
      <w:pPr>
        <w:pStyle w:val="Heading1"/>
      </w:pPr>
      <w:bookmarkStart w:id="7" w:name="_Toc80998369"/>
      <w:r>
        <w:lastRenderedPageBreak/>
        <w:t>6. External and internal influencing factors of community development to this project</w:t>
      </w:r>
      <w:bookmarkEnd w:id="7"/>
      <w:r>
        <w:t xml:space="preserve"> </w:t>
      </w:r>
    </w:p>
    <w:p w14:paraId="4A54F57F" w14:textId="77777777" w:rsidR="00E636A0" w:rsidRDefault="009E7277">
      <w:r>
        <w:t>The Fawcett Society has identified different external and internal influencing factors among women towards the community development in the UK in order to prevent gender discrimination and sexual harassment on women in the workplace (Tomson, K. 2018).</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36A0" w14:paraId="163EF5B4" w14:textId="77777777">
        <w:trPr>
          <w:cantSplit/>
          <w:tblHeader/>
        </w:trPr>
        <w:tc>
          <w:tcPr>
            <w:tcW w:w="4680" w:type="dxa"/>
            <w:shd w:val="clear" w:color="auto" w:fill="auto"/>
            <w:tcMar>
              <w:top w:w="100" w:type="dxa"/>
              <w:left w:w="100" w:type="dxa"/>
              <w:bottom w:w="100" w:type="dxa"/>
              <w:right w:w="100" w:type="dxa"/>
            </w:tcMar>
          </w:tcPr>
          <w:p w14:paraId="385AF050" w14:textId="77777777" w:rsidR="00E636A0" w:rsidRDefault="009E7277">
            <w:pPr>
              <w:widowControl w:val="0"/>
              <w:pBdr>
                <w:top w:val="nil"/>
                <w:left w:val="nil"/>
                <w:bottom w:val="nil"/>
                <w:right w:val="nil"/>
                <w:between w:val="nil"/>
              </w:pBdr>
              <w:jc w:val="center"/>
              <w:rPr>
                <w:b/>
              </w:rPr>
            </w:pPr>
            <w:r>
              <w:rPr>
                <w:b/>
              </w:rPr>
              <w:t>Internal factors</w:t>
            </w:r>
          </w:p>
        </w:tc>
        <w:tc>
          <w:tcPr>
            <w:tcW w:w="4680" w:type="dxa"/>
            <w:shd w:val="clear" w:color="auto" w:fill="auto"/>
            <w:tcMar>
              <w:top w:w="100" w:type="dxa"/>
              <w:left w:w="100" w:type="dxa"/>
              <w:bottom w:w="100" w:type="dxa"/>
              <w:right w:w="100" w:type="dxa"/>
            </w:tcMar>
          </w:tcPr>
          <w:p w14:paraId="13C20B7A" w14:textId="77777777" w:rsidR="00E636A0" w:rsidRDefault="009E7277">
            <w:pPr>
              <w:widowControl w:val="0"/>
              <w:pBdr>
                <w:top w:val="nil"/>
                <w:left w:val="nil"/>
                <w:bottom w:val="nil"/>
                <w:right w:val="nil"/>
                <w:between w:val="nil"/>
              </w:pBdr>
              <w:jc w:val="center"/>
              <w:rPr>
                <w:b/>
              </w:rPr>
            </w:pPr>
            <w:r>
              <w:rPr>
                <w:b/>
              </w:rPr>
              <w:t>External factors</w:t>
            </w:r>
          </w:p>
        </w:tc>
      </w:tr>
      <w:tr w:rsidR="00E636A0" w14:paraId="2E383BAA" w14:textId="77777777">
        <w:trPr>
          <w:cantSplit/>
          <w:tblHeader/>
        </w:trPr>
        <w:tc>
          <w:tcPr>
            <w:tcW w:w="4680" w:type="dxa"/>
            <w:shd w:val="clear" w:color="auto" w:fill="auto"/>
            <w:tcMar>
              <w:top w:w="100" w:type="dxa"/>
              <w:left w:w="100" w:type="dxa"/>
              <w:bottom w:w="100" w:type="dxa"/>
              <w:right w:w="100" w:type="dxa"/>
            </w:tcMar>
          </w:tcPr>
          <w:p w14:paraId="0864BE94" w14:textId="4261CE6B" w:rsidR="00E636A0" w:rsidRDefault="009E7277">
            <w:pPr>
              <w:widowControl w:val="0"/>
              <w:pBdr>
                <w:top w:val="nil"/>
                <w:left w:val="nil"/>
                <w:bottom w:val="nil"/>
                <w:right w:val="nil"/>
                <w:between w:val="nil"/>
              </w:pBdr>
            </w:pPr>
            <w:r>
              <w:rPr>
                <w:b/>
              </w:rPr>
              <w:lastRenderedPageBreak/>
              <w:t>Family support:</w:t>
            </w:r>
            <w:r>
              <w:t xml:space="preserve"> It is observed that lots of families do not support working</w:t>
            </w:r>
            <w:r w:rsidR="009E4856">
              <w:t xml:space="preserve"> </w:t>
            </w:r>
            <w:r>
              <w:t>women in their homes. The families create various disturbances to stop working outside towards the workin</w:t>
            </w:r>
            <w:r w:rsidR="009E4856">
              <w:t xml:space="preserve">g </w:t>
            </w:r>
            <w:r>
              <w:t xml:space="preserve">women. </w:t>
            </w:r>
            <w:r>
              <w:rPr>
                <w:color w:val="222222"/>
                <w:highlight w:val="white"/>
              </w:rPr>
              <w:t xml:space="preserve">According to Phipps (2020, p. 227), </w:t>
            </w:r>
            <w:r>
              <w:t>it causes harassment inside the home for women.</w:t>
            </w:r>
          </w:p>
          <w:p w14:paraId="1BEFF27C" w14:textId="77777777" w:rsidR="00E636A0" w:rsidRDefault="009E7277">
            <w:pPr>
              <w:widowControl w:val="0"/>
              <w:pBdr>
                <w:top w:val="nil"/>
                <w:left w:val="nil"/>
                <w:bottom w:val="nil"/>
                <w:right w:val="nil"/>
                <w:between w:val="nil"/>
              </w:pBdr>
            </w:pPr>
            <w:r>
              <w:rPr>
                <w:b/>
              </w:rPr>
              <w:t xml:space="preserve">Psychological thinking: </w:t>
            </w:r>
            <w:r>
              <w:t>Most of the women learn to be experts in the household working without being experts outside also. This psychological growth of women from their childhood days prevents them in their outside working or office working (Tomson, K. 2018).</w:t>
            </w:r>
          </w:p>
        </w:tc>
        <w:tc>
          <w:tcPr>
            <w:tcW w:w="4680" w:type="dxa"/>
            <w:shd w:val="clear" w:color="auto" w:fill="auto"/>
            <w:tcMar>
              <w:top w:w="100" w:type="dxa"/>
              <w:left w:w="100" w:type="dxa"/>
              <w:bottom w:w="100" w:type="dxa"/>
              <w:right w:w="100" w:type="dxa"/>
            </w:tcMar>
          </w:tcPr>
          <w:p w14:paraId="5F3633CB" w14:textId="77777777" w:rsidR="00E636A0" w:rsidRDefault="009E7277">
            <w:pPr>
              <w:widowControl w:val="0"/>
              <w:pBdr>
                <w:top w:val="nil"/>
                <w:left w:val="nil"/>
                <w:bottom w:val="nil"/>
                <w:right w:val="nil"/>
                <w:between w:val="nil"/>
              </w:pBdr>
            </w:pPr>
            <w:r>
              <w:rPr>
                <w:b/>
              </w:rPr>
              <w:t>Incorporation of co-workers at the workplace:</w:t>
            </w:r>
            <w:r>
              <w:t xml:space="preserve"> Co-workers of various organisations in the UK do not understand the different problems of a female employee and they engage in a disturbance with office politics which also results in harassment towards women.</w:t>
            </w:r>
          </w:p>
          <w:p w14:paraId="3D6DEE27" w14:textId="77777777" w:rsidR="00E636A0" w:rsidRDefault="009E7277">
            <w:pPr>
              <w:widowControl w:val="0"/>
              <w:pBdr>
                <w:top w:val="nil"/>
                <w:left w:val="nil"/>
                <w:bottom w:val="nil"/>
                <w:right w:val="nil"/>
                <w:between w:val="nil"/>
              </w:pBdr>
            </w:pPr>
            <w:r>
              <w:rPr>
                <w:b/>
              </w:rPr>
              <w:t>Inequality in employment:</w:t>
            </w:r>
            <w:r>
              <w:rPr>
                <w:color w:val="222222"/>
                <w:highlight w:val="white"/>
              </w:rPr>
              <w:t xml:space="preserve">According to Phipps (2020, p. 227), </w:t>
            </w:r>
            <w:r>
              <w:t>various organisations of the UK do not follow the equality policy of the government and they give more chances to the male candidates at the time of recruitment than the female candidates.</w:t>
            </w:r>
          </w:p>
          <w:p w14:paraId="3D562E3A" w14:textId="77777777" w:rsidR="00E636A0" w:rsidRDefault="009E7277">
            <w:pPr>
              <w:widowControl w:val="0"/>
              <w:pBdr>
                <w:top w:val="nil"/>
                <w:left w:val="nil"/>
                <w:bottom w:val="nil"/>
                <w:right w:val="nil"/>
                <w:between w:val="nil"/>
              </w:pBdr>
            </w:pPr>
            <w:r>
              <w:rPr>
                <w:b/>
              </w:rPr>
              <w:t>Refusal in a higher position of the organisation towards women:</w:t>
            </w:r>
            <w:r>
              <w:t xml:space="preserve"> Most of the business organisations refuse female employees to get a chance to operate or work in a higher position in that company though they have the qualification to work in the higher position. This is gender discrimination in the workplace which hinders harassment towards women (Rui, N. 2021).</w:t>
            </w:r>
          </w:p>
        </w:tc>
      </w:tr>
    </w:tbl>
    <w:p w14:paraId="3E55C55F" w14:textId="77777777" w:rsidR="00E636A0" w:rsidRDefault="009E7277">
      <w:pPr>
        <w:jc w:val="center"/>
        <w:rPr>
          <w:b/>
        </w:rPr>
      </w:pPr>
      <w:r>
        <w:rPr>
          <w:b/>
        </w:rPr>
        <w:t>Table 1: Internal and external influencing factors of the project</w:t>
      </w:r>
    </w:p>
    <w:p w14:paraId="7B819477" w14:textId="77777777" w:rsidR="00E636A0" w:rsidRDefault="009E7277">
      <w:pPr>
        <w:jc w:val="center"/>
      </w:pPr>
      <w:r>
        <w:lastRenderedPageBreak/>
        <w:t>(Source: created by author)</w:t>
      </w:r>
    </w:p>
    <w:p w14:paraId="352999F5" w14:textId="77777777" w:rsidR="00E636A0" w:rsidRDefault="009E7277">
      <w:pPr>
        <w:pStyle w:val="Heading1"/>
      </w:pPr>
      <w:bookmarkStart w:id="8" w:name="_Toc80998370"/>
      <w:r>
        <w:t>7. Identification of the new taken approach to look forward the project</w:t>
      </w:r>
      <w:bookmarkEnd w:id="8"/>
      <w:r>
        <w:t xml:space="preserve"> </w:t>
      </w:r>
    </w:p>
    <w:p w14:paraId="1804283E" w14:textId="77777777" w:rsidR="00E636A0" w:rsidRDefault="009E7277">
      <w:r>
        <w:t xml:space="preserve">After evaluating different environmental situations and the influencing factors, it is identified that The Fawcett Society has to increase their campaign of the "MeToo movement" more in a different educational institution to offices in order to reduce the thinking sexual harassment inside and outside the home of women. </w:t>
      </w:r>
      <w:r>
        <w:rPr>
          <w:color w:val="222222"/>
          <w:highlight w:val="white"/>
        </w:rPr>
        <w:t xml:space="preserve">According to Godier. and Fossey (2018), </w:t>
      </w:r>
      <w:r>
        <w:t>it will be more helpful to them as they freely live anywhere. This campaign is chosen in order to improve the thinking and respecting of women in the society of the UK.</w:t>
      </w:r>
    </w:p>
    <w:p w14:paraId="72889D00" w14:textId="77777777" w:rsidR="00E636A0" w:rsidRDefault="009E7277">
      <w:pPr>
        <w:pStyle w:val="Heading1"/>
      </w:pPr>
      <w:bookmarkStart w:id="9" w:name="_Toc80998371"/>
      <w:r>
        <w:t>8. Recommendation</w:t>
      </w:r>
      <w:bookmarkEnd w:id="9"/>
      <w:r>
        <w:t xml:space="preserve"> </w:t>
      </w:r>
    </w:p>
    <w:p w14:paraId="7DFBF7F7" w14:textId="77777777" w:rsidR="00E636A0" w:rsidRDefault="009E7277">
      <w:pPr>
        <w:rPr>
          <w:b/>
        </w:rPr>
      </w:pPr>
      <w:r>
        <w:rPr>
          <w:b/>
        </w:rPr>
        <w:t>Recommendation 1: Women empowerment and development in entrepreneurship</w:t>
      </w:r>
    </w:p>
    <w:p w14:paraId="4664BF62" w14:textId="77777777" w:rsidR="00E636A0" w:rsidRDefault="009E7277">
      <w:r>
        <w:t>Women empowerment is much needed in this current situation in order to prevent any kind of harassment towards women. Additionally, various training and entrepreneurship development plans are needed to be learned towards the women as they will start up their own business and workplace which will be a harass free workplace for women without any gender discrimination.</w:t>
      </w:r>
    </w:p>
    <w:p w14:paraId="220EE7CC" w14:textId="77777777" w:rsidR="00E636A0" w:rsidRDefault="009E7277">
      <w:pPr>
        <w:rPr>
          <w:b/>
        </w:rPr>
      </w:pPr>
      <w:r>
        <w:rPr>
          <w:b/>
        </w:rPr>
        <w:t>Recommendation 2: Campaign for respecting women and consciousness development</w:t>
      </w:r>
    </w:p>
    <w:p w14:paraId="30DF44BE" w14:textId="77777777" w:rsidR="00E636A0" w:rsidRDefault="009E7277">
      <w:r>
        <w:t>It is highly recommended for this non-profitable charity organisation to arrange more campaigns from road to various institutions in the context of respecting women as well as the training on self-consciousness towards women also.</w:t>
      </w:r>
    </w:p>
    <w:p w14:paraId="44D666FF" w14:textId="77777777" w:rsidR="009E4856" w:rsidRDefault="009E4856">
      <w:pPr>
        <w:rPr>
          <w:b/>
          <w:sz w:val="28"/>
          <w:szCs w:val="28"/>
        </w:rPr>
      </w:pPr>
      <w:r>
        <w:br w:type="page"/>
      </w:r>
    </w:p>
    <w:p w14:paraId="005CF961" w14:textId="3D38BDCE" w:rsidR="00E636A0" w:rsidRDefault="009E7277">
      <w:pPr>
        <w:pStyle w:val="Heading1"/>
      </w:pPr>
      <w:bookmarkStart w:id="10" w:name="_Toc80998372"/>
      <w:r>
        <w:lastRenderedPageBreak/>
        <w:t>9. Conclusion</w:t>
      </w:r>
      <w:bookmarkEnd w:id="10"/>
      <w:r>
        <w:t xml:space="preserve"> </w:t>
      </w:r>
    </w:p>
    <w:p w14:paraId="09D7B53D" w14:textId="77777777" w:rsidR="00E636A0" w:rsidRDefault="009E7277">
      <w:r>
        <w:t>This report concludes that The Fawcett Society is running several campaigns for women development and safety. Their campaign on preventing sexual harassment of women in the workplace is now running with various approaches including the uses of several social media platforms in order to community development. Different laws of the UK government are also helpful to this organisation's framework. Lastly, this paper sheds light on a forwarding approach for women to prevent such harassment and gender discrimination in the workplace.</w:t>
      </w:r>
    </w:p>
    <w:p w14:paraId="3350A514" w14:textId="77777777" w:rsidR="00E636A0" w:rsidRDefault="009E7277">
      <w:r>
        <w:br w:type="page"/>
      </w:r>
    </w:p>
    <w:p w14:paraId="37D9AFCC" w14:textId="77777777" w:rsidR="00E636A0" w:rsidRDefault="009E7277">
      <w:pPr>
        <w:pStyle w:val="Heading1"/>
      </w:pPr>
      <w:bookmarkStart w:id="11" w:name="_Toc80998373"/>
      <w:r>
        <w:lastRenderedPageBreak/>
        <w:t>References</w:t>
      </w:r>
      <w:bookmarkEnd w:id="11"/>
    </w:p>
    <w:p w14:paraId="3539F0E6" w14:textId="77777777" w:rsidR="00E636A0" w:rsidRDefault="009E7277" w:rsidP="00914D44">
      <w:pPr>
        <w:pStyle w:val="Heading2"/>
      </w:pPr>
      <w:bookmarkStart w:id="12" w:name="_Toc80998374"/>
      <w:r>
        <w:t>Books and Journals</w:t>
      </w:r>
      <w:bookmarkEnd w:id="12"/>
    </w:p>
    <w:p w14:paraId="3AB9B711" w14:textId="77777777" w:rsidR="00914D44" w:rsidRDefault="00914D44">
      <w:pPr>
        <w:rPr>
          <w:color w:val="222222"/>
          <w:highlight w:val="white"/>
        </w:rPr>
      </w:pPr>
      <w:r>
        <w:rPr>
          <w:color w:val="222222"/>
          <w:highlight w:val="white"/>
        </w:rPr>
        <w:t xml:space="preserve">Aksoy, C.G., Carpenter, C.S., Frank, J. and Huffman, M.L., 2019. Gay glass ceilings: Sexual orientation and workplace authority in the UK. </w:t>
      </w:r>
      <w:r>
        <w:rPr>
          <w:i/>
          <w:color w:val="222222"/>
          <w:highlight w:val="white"/>
        </w:rPr>
        <w:t>Journal of Economic Behavior &amp; Organization</w:t>
      </w:r>
      <w:r>
        <w:rPr>
          <w:color w:val="222222"/>
          <w:highlight w:val="white"/>
        </w:rPr>
        <w:t xml:space="preserve">, </w:t>
      </w:r>
      <w:r>
        <w:rPr>
          <w:i/>
          <w:color w:val="222222"/>
          <w:highlight w:val="white"/>
        </w:rPr>
        <w:t>159</w:t>
      </w:r>
      <w:r>
        <w:rPr>
          <w:color w:val="222222"/>
          <w:highlight w:val="white"/>
        </w:rPr>
        <w:t xml:space="preserve">, pp.167-180. </w:t>
      </w:r>
    </w:p>
    <w:p w14:paraId="01B0CD17" w14:textId="77777777" w:rsidR="00914D44" w:rsidRDefault="00914D44">
      <w:pPr>
        <w:rPr>
          <w:color w:val="222222"/>
          <w:highlight w:val="white"/>
        </w:rPr>
      </w:pPr>
      <w:r>
        <w:rPr>
          <w:color w:val="222222"/>
          <w:highlight w:val="white"/>
        </w:rPr>
        <w:t xml:space="preserve">Brewin, C.R., Miller, J.K., Soffia, M., Peart, A. and Burchell, B., 2020. Posttraumatic stress disorder and complex posttraumatic stress disorder in UK police officers. </w:t>
      </w:r>
      <w:r>
        <w:rPr>
          <w:i/>
          <w:color w:val="222222"/>
          <w:highlight w:val="white"/>
        </w:rPr>
        <w:t>Psychological medicine</w:t>
      </w:r>
      <w:r>
        <w:rPr>
          <w:color w:val="222222"/>
          <w:highlight w:val="white"/>
        </w:rPr>
        <w:t xml:space="preserve">, pp.1-9.  </w:t>
      </w:r>
    </w:p>
    <w:p w14:paraId="76B88A86" w14:textId="77777777" w:rsidR="00914D44" w:rsidRDefault="00914D44">
      <w:pPr>
        <w:rPr>
          <w:color w:val="222222"/>
          <w:highlight w:val="white"/>
        </w:rPr>
      </w:pPr>
      <w:r>
        <w:rPr>
          <w:color w:val="222222"/>
          <w:highlight w:val="white"/>
        </w:rPr>
        <w:t xml:space="preserve">Godier, L.R. and Fossey, M., 2018. Addressing the knowledge gap: sexual violence and harassment in the UK Armed Forces. </w:t>
      </w:r>
    </w:p>
    <w:p w14:paraId="20A7261A" w14:textId="77777777" w:rsidR="00914D44" w:rsidRDefault="00914D44">
      <w:pPr>
        <w:rPr>
          <w:color w:val="222222"/>
          <w:highlight w:val="white"/>
        </w:rPr>
      </w:pPr>
      <w:r>
        <w:rPr>
          <w:color w:val="222222"/>
          <w:highlight w:val="white"/>
        </w:rPr>
        <w:t xml:space="preserve">Harrison, E.D., Fox, C.L. and Hulme, J.A., 2020. Student anti-bullying and harassment policies at UK universities. </w:t>
      </w:r>
      <w:r>
        <w:rPr>
          <w:i/>
          <w:color w:val="222222"/>
          <w:highlight w:val="white"/>
        </w:rPr>
        <w:t>Journal of Higher Education Policy and Management</w:t>
      </w:r>
      <w:r>
        <w:rPr>
          <w:color w:val="222222"/>
          <w:highlight w:val="white"/>
        </w:rPr>
        <w:t xml:space="preserve">, </w:t>
      </w:r>
      <w:r>
        <w:rPr>
          <w:i/>
          <w:color w:val="222222"/>
          <w:highlight w:val="white"/>
        </w:rPr>
        <w:t>42</w:t>
      </w:r>
      <w:r>
        <w:rPr>
          <w:color w:val="222222"/>
          <w:highlight w:val="white"/>
        </w:rPr>
        <w:t xml:space="preserve">(5), pp.547-562.  </w:t>
      </w:r>
    </w:p>
    <w:p w14:paraId="476D81BF" w14:textId="77777777" w:rsidR="00914D44" w:rsidRDefault="00914D44">
      <w:pPr>
        <w:rPr>
          <w:color w:val="222222"/>
          <w:highlight w:val="white"/>
        </w:rPr>
      </w:pPr>
      <w:r>
        <w:rPr>
          <w:color w:val="222222"/>
          <w:highlight w:val="white"/>
        </w:rPr>
        <w:t xml:space="preserve">Jaijee, S. and Kamau, C., 2019. 100 Gender differences in experiences of discrimination, sexual harassment and barriers to career advancement among cardiologists in the UK. </w:t>
      </w:r>
    </w:p>
    <w:p w14:paraId="4F174F1B" w14:textId="77777777" w:rsidR="00914D44" w:rsidRDefault="00914D44">
      <w:pPr>
        <w:rPr>
          <w:color w:val="222222"/>
          <w:highlight w:val="white"/>
        </w:rPr>
      </w:pPr>
      <w:r>
        <w:rPr>
          <w:color w:val="222222"/>
          <w:highlight w:val="white"/>
        </w:rPr>
        <w:t xml:space="preserve">Phipps, A., 2020. Reckoning up: sexual harassment and violence in the neoliberal university. </w:t>
      </w:r>
      <w:r>
        <w:rPr>
          <w:i/>
          <w:color w:val="222222"/>
          <w:highlight w:val="white"/>
        </w:rPr>
        <w:t>Gender and Education</w:t>
      </w:r>
      <w:r>
        <w:rPr>
          <w:color w:val="222222"/>
          <w:highlight w:val="white"/>
        </w:rPr>
        <w:t xml:space="preserve">, </w:t>
      </w:r>
      <w:r>
        <w:rPr>
          <w:i/>
          <w:color w:val="222222"/>
          <w:highlight w:val="white"/>
        </w:rPr>
        <w:t>32</w:t>
      </w:r>
      <w:r>
        <w:rPr>
          <w:color w:val="222222"/>
          <w:highlight w:val="white"/>
        </w:rPr>
        <w:t xml:space="preserve">(2), pp.227-243. </w:t>
      </w:r>
    </w:p>
    <w:p w14:paraId="4C42AD07" w14:textId="77777777" w:rsidR="00914D44" w:rsidRDefault="00914D44">
      <w:pPr>
        <w:rPr>
          <w:color w:val="222222"/>
          <w:highlight w:val="white"/>
        </w:rPr>
      </w:pPr>
      <w:r>
        <w:rPr>
          <w:color w:val="222222"/>
          <w:highlight w:val="white"/>
        </w:rPr>
        <w:t xml:space="preserve">Semlyen, J., Curtis, T.J. and Varney, J., 2020. Sexual orientation identity in relation to unhealthy body mass index: individual participant data meta-analysis of 93 429 individuals from 12 UK health surveys. </w:t>
      </w:r>
      <w:r>
        <w:rPr>
          <w:i/>
          <w:color w:val="222222"/>
          <w:highlight w:val="white"/>
        </w:rPr>
        <w:t>Journal of Public Health</w:t>
      </w:r>
      <w:r>
        <w:rPr>
          <w:color w:val="222222"/>
          <w:highlight w:val="white"/>
        </w:rPr>
        <w:t xml:space="preserve">, </w:t>
      </w:r>
      <w:r>
        <w:rPr>
          <w:i/>
          <w:color w:val="222222"/>
          <w:highlight w:val="white"/>
        </w:rPr>
        <w:t>42</w:t>
      </w:r>
      <w:r>
        <w:rPr>
          <w:color w:val="222222"/>
          <w:highlight w:val="white"/>
        </w:rPr>
        <w:t>(1), pp.98-106.</w:t>
      </w:r>
    </w:p>
    <w:p w14:paraId="2889FDB2" w14:textId="34F4C6CD" w:rsidR="00E636A0" w:rsidRDefault="009E7277" w:rsidP="00914D44">
      <w:pPr>
        <w:pStyle w:val="Heading2"/>
      </w:pPr>
      <w:bookmarkStart w:id="13" w:name="_Toc80998375"/>
      <w:r>
        <w:t>Website</w:t>
      </w:r>
      <w:r w:rsidR="00914D44">
        <w:t>s</w:t>
      </w:r>
      <w:bookmarkEnd w:id="13"/>
    </w:p>
    <w:p w14:paraId="4980A9A6" w14:textId="77777777" w:rsidR="00D70D53" w:rsidRDefault="00D70D53">
      <w:r>
        <w:t>Equaliteach, (2021)</w:t>
      </w:r>
      <w:r>
        <w:rPr>
          <w:b/>
          <w:i/>
        </w:rPr>
        <w:t xml:space="preserve">Inspiring and Empowering People to Create Equal, Diverse &amp; Inclusive Environments </w:t>
      </w:r>
      <w:r>
        <w:rPr>
          <w:color w:val="333333"/>
          <w:highlight w:val="white"/>
        </w:rPr>
        <w:t xml:space="preserve">[online] Available from: </w:t>
      </w:r>
      <w:hyperlink r:id="rId17" w:history="1">
        <w:r>
          <w:rPr>
            <w:color w:val="1155CC"/>
            <w:u w:val="single"/>
          </w:rPr>
          <w:t>https://equaliteach.co.uk/</w:t>
        </w:r>
      </w:hyperlink>
      <w:r>
        <w:t xml:space="preserve"> [Accessed on 27 August 2021]</w:t>
      </w:r>
    </w:p>
    <w:p w14:paraId="67F9176D" w14:textId="77777777" w:rsidR="00D70D53" w:rsidRDefault="00D70D53">
      <w:r>
        <w:lastRenderedPageBreak/>
        <w:t xml:space="preserve">Fawcettsociety, (2021) </w:t>
      </w:r>
      <w:r>
        <w:rPr>
          <w:i/>
          <w:color w:val="333333"/>
          <w:highlight w:val="white"/>
        </w:rPr>
        <w:t xml:space="preserve">CURRENT PROJECTS </w:t>
      </w:r>
      <w:r>
        <w:rPr>
          <w:color w:val="333333"/>
          <w:highlight w:val="white"/>
        </w:rPr>
        <w:t xml:space="preserve">[online] Available from: </w:t>
      </w:r>
      <w:hyperlink r:id="rId18" w:history="1">
        <w:r>
          <w:rPr>
            <w:color w:val="1155CC"/>
            <w:u w:val="single"/>
          </w:rPr>
          <w:t>https://www.fawcettsociety.org.uk/pages/category/current-projects</w:t>
        </w:r>
      </w:hyperlink>
      <w:r>
        <w:t xml:space="preserve"> [Accessed on 27 August 2021]</w:t>
      </w:r>
    </w:p>
    <w:p w14:paraId="5A048D6F" w14:textId="77777777" w:rsidR="00D70D53" w:rsidRDefault="00D70D53">
      <w:r>
        <w:t xml:space="preserve">Rui, N. (2021) </w:t>
      </w:r>
      <w:r>
        <w:rPr>
          <w:i/>
        </w:rPr>
        <w:t xml:space="preserve">Innovative Ways of Preventing Harassment in the Workplace </w:t>
      </w:r>
      <w:r>
        <w:rPr>
          <w:color w:val="333333"/>
          <w:highlight w:val="white"/>
        </w:rPr>
        <w:t xml:space="preserve">[online] Available from: </w:t>
      </w:r>
      <w:hyperlink r:id="rId19" w:history="1">
        <w:r>
          <w:rPr>
            <w:color w:val="1155CC"/>
            <w:u w:val="single"/>
          </w:rPr>
          <w:t>https://innovationmanagement.se/2019/08/09/innovative-ways-of-preventing-harassment-in-the-workplace/</w:t>
        </w:r>
      </w:hyperlink>
      <w:r>
        <w:t xml:space="preserve"> [Accessed on 27 August 2021]</w:t>
      </w:r>
    </w:p>
    <w:p w14:paraId="7BB2B72F" w14:textId="77777777" w:rsidR="00D70D53" w:rsidRDefault="00D70D53">
      <w:r>
        <w:t xml:space="preserve">Springer, (2020) </w:t>
      </w:r>
      <w:r>
        <w:rPr>
          <w:i/>
          <w:color w:val="333333"/>
        </w:rPr>
        <w:t xml:space="preserve">Media-Induced Sexual Harassment: The Routes from Sexually Objectifying Media to Sexual Harassment </w:t>
      </w:r>
      <w:r>
        <w:rPr>
          <w:color w:val="333333"/>
          <w:highlight w:val="white"/>
        </w:rPr>
        <w:t xml:space="preserve">[online] Available from: </w:t>
      </w:r>
      <w:hyperlink r:id="rId20" w:history="1">
        <w:r>
          <w:rPr>
            <w:color w:val="1155CC"/>
            <w:u w:val="single"/>
          </w:rPr>
          <w:t>https://link.springer.com/article/10.1007/s11199-020-01196-0</w:t>
        </w:r>
      </w:hyperlink>
      <w:r>
        <w:t xml:space="preserve"> [Accessed on 27 August 2021]</w:t>
      </w:r>
    </w:p>
    <w:p w14:paraId="122A7A71" w14:textId="77777777" w:rsidR="00D70D53" w:rsidRDefault="00D70D53">
      <w:r>
        <w:t xml:space="preserve">Tomson, K. (2018) </w:t>
      </w:r>
      <w:r>
        <w:rPr>
          <w:i/>
          <w:color w:val="292929"/>
        </w:rPr>
        <w:t xml:space="preserve">Social Media Activism and the #MeToo Movement </w:t>
      </w:r>
      <w:r>
        <w:rPr>
          <w:color w:val="333333"/>
          <w:highlight w:val="white"/>
        </w:rPr>
        <w:t xml:space="preserve">[online] Available from: </w:t>
      </w:r>
      <w:hyperlink r:id="rId21" w:history="1">
        <w:r>
          <w:rPr>
            <w:color w:val="1155CC"/>
            <w:u w:val="single"/>
          </w:rPr>
          <w:t>https://medium.com/@kmthomson.11/social-media-activism-and-the-metoo-movement-166f452d7fd2</w:t>
        </w:r>
      </w:hyperlink>
      <w:r>
        <w:t xml:space="preserve"> [Accessed on 27 August 2021]</w:t>
      </w:r>
    </w:p>
    <w:sectPr w:rsidR="00D70D53" w:rsidSect="00DD364D">
      <w:headerReference w:type="default" r:id="rId22"/>
      <w:footerReference w:type="default" r:id="rId23"/>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81EDD" w14:textId="77777777" w:rsidR="0001240A" w:rsidRDefault="0001240A" w:rsidP="007A3733">
      <w:pPr>
        <w:spacing w:line="240" w:lineRule="auto"/>
      </w:pPr>
      <w:r>
        <w:separator/>
      </w:r>
    </w:p>
  </w:endnote>
  <w:endnote w:type="continuationSeparator" w:id="0">
    <w:p w14:paraId="2E8B5D2A" w14:textId="77777777" w:rsidR="0001240A" w:rsidRDefault="0001240A" w:rsidP="007A37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794576"/>
      <w:docPartObj>
        <w:docPartGallery w:val="Page Numbers (Bottom of Page)"/>
        <w:docPartUnique/>
      </w:docPartObj>
    </w:sdtPr>
    <w:sdtEndPr/>
    <w:sdtContent>
      <w:sdt>
        <w:sdtPr>
          <w:id w:val="565050523"/>
          <w:docPartObj>
            <w:docPartGallery w:val="Page Numbers (Top of Page)"/>
            <w:docPartUnique/>
          </w:docPartObj>
        </w:sdtPr>
        <w:sdtEndPr/>
        <w:sdtContent>
          <w:p w14:paraId="19A3AEAB" w14:textId="77777777" w:rsidR="007A3733" w:rsidRDefault="007A3733">
            <w:pPr>
              <w:pStyle w:val="Footer"/>
              <w:jc w:val="right"/>
            </w:pPr>
            <w:r>
              <w:t xml:space="preserve">Page </w:t>
            </w:r>
            <w:r>
              <w:rPr>
                <w:b/>
              </w:rPr>
              <w:fldChar w:fldCharType="begin"/>
            </w:r>
            <w:r>
              <w:rPr>
                <w:b/>
              </w:rPr>
              <w:instrText xml:space="preserve"> PAGE </w:instrText>
            </w:r>
            <w:r>
              <w:rPr>
                <w:b/>
              </w:rPr>
              <w:fldChar w:fldCharType="separate"/>
            </w:r>
            <w:r>
              <w:rPr>
                <w:b/>
                <w:noProof/>
              </w:rPr>
              <w:t>14</w:t>
            </w:r>
            <w:r>
              <w:rPr>
                <w:b/>
              </w:rPr>
              <w:fldChar w:fldCharType="end"/>
            </w:r>
            <w:r>
              <w:t xml:space="preserve"> of </w:t>
            </w:r>
            <w:r>
              <w:rPr>
                <w:b/>
              </w:rPr>
              <w:fldChar w:fldCharType="begin"/>
            </w:r>
            <w:r>
              <w:rPr>
                <w:b/>
              </w:rPr>
              <w:instrText xml:space="preserve"> NUMPAGES  </w:instrText>
            </w:r>
            <w:r>
              <w:rPr>
                <w:b/>
              </w:rPr>
              <w:fldChar w:fldCharType="separate"/>
            </w:r>
            <w:r>
              <w:rPr>
                <w:b/>
                <w:noProof/>
              </w:rPr>
              <w:t>14</w:t>
            </w:r>
            <w:r>
              <w:rPr>
                <w:b/>
              </w:rPr>
              <w:fldChar w:fldCharType="end"/>
            </w:r>
          </w:p>
        </w:sdtContent>
      </w:sdt>
    </w:sdtContent>
  </w:sdt>
  <w:p w14:paraId="37708F5E" w14:textId="77777777" w:rsidR="007A3733" w:rsidRDefault="007A3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88D60" w14:textId="77777777" w:rsidR="0001240A" w:rsidRDefault="0001240A" w:rsidP="007A3733">
      <w:pPr>
        <w:spacing w:line="240" w:lineRule="auto"/>
      </w:pPr>
      <w:r>
        <w:separator/>
      </w:r>
    </w:p>
  </w:footnote>
  <w:footnote w:type="continuationSeparator" w:id="0">
    <w:p w14:paraId="0F1043E1" w14:textId="77777777" w:rsidR="0001240A" w:rsidRDefault="0001240A" w:rsidP="007A37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26E2D" w14:textId="77777777" w:rsidR="007A3733" w:rsidRPr="00DD364D" w:rsidRDefault="007A3733" w:rsidP="007A3733">
    <w:pPr>
      <w:jc w:val="right"/>
      <w:rPr>
        <w:bCs/>
      </w:rPr>
    </w:pPr>
    <w:r w:rsidRPr="00DD364D">
      <w:rPr>
        <w:bCs/>
      </w:rPr>
      <w:t>LCBB4002: Community Engagement</w:t>
    </w:r>
  </w:p>
  <w:p w14:paraId="0EC963A1" w14:textId="77777777" w:rsidR="007A3733" w:rsidRDefault="007A37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36A0"/>
    <w:rsid w:val="0001240A"/>
    <w:rsid w:val="001151BC"/>
    <w:rsid w:val="00210D8D"/>
    <w:rsid w:val="005B7719"/>
    <w:rsid w:val="007A3733"/>
    <w:rsid w:val="00900839"/>
    <w:rsid w:val="00914D44"/>
    <w:rsid w:val="009E4856"/>
    <w:rsid w:val="009E7277"/>
    <w:rsid w:val="00D70D53"/>
    <w:rsid w:val="00DD364D"/>
    <w:rsid w:val="00E636A0"/>
    <w:rsid w:val="00EE5FD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7BAC4"/>
  <w15:docId w15:val="{90CC0A7A-C411-4227-9B95-C1BB3DC03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636A0"/>
  </w:style>
  <w:style w:type="paragraph" w:styleId="Heading1">
    <w:name w:val="heading 1"/>
    <w:basedOn w:val="Normal"/>
    <w:next w:val="Normal"/>
    <w:rsid w:val="00E636A0"/>
    <w:pPr>
      <w:keepNext/>
      <w:keepLines/>
      <w:outlineLvl w:val="0"/>
    </w:pPr>
    <w:rPr>
      <w:b/>
      <w:sz w:val="28"/>
      <w:szCs w:val="28"/>
    </w:rPr>
  </w:style>
  <w:style w:type="paragraph" w:styleId="Heading2">
    <w:name w:val="heading 2"/>
    <w:basedOn w:val="Normal"/>
    <w:next w:val="Normal"/>
    <w:rsid w:val="00E636A0"/>
    <w:pPr>
      <w:keepNext/>
      <w:keepLines/>
      <w:outlineLvl w:val="1"/>
    </w:pPr>
    <w:rPr>
      <w:b/>
      <w:sz w:val="26"/>
      <w:szCs w:val="26"/>
    </w:rPr>
  </w:style>
  <w:style w:type="paragraph" w:styleId="Heading3">
    <w:name w:val="heading 3"/>
    <w:basedOn w:val="Normal"/>
    <w:next w:val="Normal"/>
    <w:rsid w:val="00E636A0"/>
    <w:pPr>
      <w:keepNext/>
      <w:keepLines/>
      <w:spacing w:before="320" w:after="80"/>
      <w:outlineLvl w:val="2"/>
    </w:pPr>
    <w:rPr>
      <w:color w:val="434343"/>
      <w:sz w:val="28"/>
      <w:szCs w:val="28"/>
    </w:rPr>
  </w:style>
  <w:style w:type="paragraph" w:styleId="Heading4">
    <w:name w:val="heading 4"/>
    <w:basedOn w:val="Normal"/>
    <w:next w:val="Normal"/>
    <w:rsid w:val="00E636A0"/>
    <w:pPr>
      <w:keepNext/>
      <w:keepLines/>
      <w:spacing w:before="280" w:after="80"/>
      <w:outlineLvl w:val="3"/>
    </w:pPr>
    <w:rPr>
      <w:color w:val="666666"/>
    </w:rPr>
  </w:style>
  <w:style w:type="paragraph" w:styleId="Heading5">
    <w:name w:val="heading 5"/>
    <w:basedOn w:val="Normal"/>
    <w:next w:val="Normal"/>
    <w:rsid w:val="00E636A0"/>
    <w:pPr>
      <w:keepNext/>
      <w:keepLines/>
      <w:spacing w:before="240" w:after="80"/>
      <w:outlineLvl w:val="4"/>
    </w:pPr>
    <w:rPr>
      <w:color w:val="666666"/>
      <w:sz w:val="22"/>
      <w:szCs w:val="22"/>
    </w:rPr>
  </w:style>
  <w:style w:type="paragraph" w:styleId="Heading6">
    <w:name w:val="heading 6"/>
    <w:basedOn w:val="Normal"/>
    <w:next w:val="Normal"/>
    <w:rsid w:val="00E636A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636A0"/>
    <w:pPr>
      <w:keepNext/>
      <w:keepLines/>
      <w:spacing w:after="60"/>
    </w:pPr>
    <w:rPr>
      <w:sz w:val="52"/>
      <w:szCs w:val="52"/>
    </w:rPr>
  </w:style>
  <w:style w:type="paragraph" w:styleId="Subtitle">
    <w:name w:val="Subtitle"/>
    <w:basedOn w:val="Normal"/>
    <w:next w:val="Normal"/>
    <w:rsid w:val="00E636A0"/>
    <w:pPr>
      <w:keepNext/>
      <w:keepLines/>
      <w:spacing w:after="320"/>
    </w:pPr>
    <w:rPr>
      <w:rFonts w:ascii="Arial" w:eastAsia="Arial" w:hAnsi="Arial" w:cs="Arial"/>
      <w:color w:val="666666"/>
      <w:sz w:val="30"/>
      <w:szCs w:val="30"/>
    </w:rPr>
  </w:style>
  <w:style w:type="table" w:customStyle="1" w:styleId="Table1">
    <w:name w:val="Table1"/>
    <w:basedOn w:val="TableNormal"/>
    <w:rsid w:val="00E636A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A3733"/>
    <w:pPr>
      <w:tabs>
        <w:tab w:val="center" w:pos="4513"/>
        <w:tab w:val="right" w:pos="9026"/>
      </w:tabs>
      <w:spacing w:line="240" w:lineRule="auto"/>
    </w:pPr>
  </w:style>
  <w:style w:type="character" w:customStyle="1" w:styleId="HeaderChar">
    <w:name w:val="Header Char"/>
    <w:basedOn w:val="DefaultParagraphFont"/>
    <w:link w:val="Header"/>
    <w:uiPriority w:val="99"/>
    <w:rsid w:val="007A3733"/>
  </w:style>
  <w:style w:type="paragraph" w:styleId="Footer">
    <w:name w:val="footer"/>
    <w:basedOn w:val="Normal"/>
    <w:link w:val="FooterChar"/>
    <w:uiPriority w:val="99"/>
    <w:unhideWhenUsed/>
    <w:rsid w:val="007A3733"/>
    <w:pPr>
      <w:tabs>
        <w:tab w:val="center" w:pos="4513"/>
        <w:tab w:val="right" w:pos="9026"/>
      </w:tabs>
      <w:spacing w:line="240" w:lineRule="auto"/>
    </w:pPr>
  </w:style>
  <w:style w:type="character" w:customStyle="1" w:styleId="FooterChar">
    <w:name w:val="Footer Char"/>
    <w:basedOn w:val="DefaultParagraphFont"/>
    <w:link w:val="Footer"/>
    <w:uiPriority w:val="99"/>
    <w:rsid w:val="007A3733"/>
  </w:style>
  <w:style w:type="paragraph" w:styleId="BalloonText">
    <w:name w:val="Balloon Text"/>
    <w:basedOn w:val="Normal"/>
    <w:link w:val="BalloonTextChar"/>
    <w:uiPriority w:val="99"/>
    <w:semiHidden/>
    <w:unhideWhenUsed/>
    <w:rsid w:val="007A37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3733"/>
    <w:rPr>
      <w:rFonts w:ascii="Tahoma" w:hAnsi="Tahoma" w:cs="Tahoma"/>
      <w:sz w:val="16"/>
      <w:szCs w:val="16"/>
    </w:rPr>
  </w:style>
  <w:style w:type="paragraph" w:styleId="TOCHeading">
    <w:name w:val="TOC Heading"/>
    <w:basedOn w:val="Heading1"/>
    <w:next w:val="Normal"/>
    <w:uiPriority w:val="39"/>
    <w:unhideWhenUsed/>
    <w:qFormat/>
    <w:rsid w:val="0090083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00839"/>
    <w:pPr>
      <w:spacing w:after="100"/>
    </w:pPr>
  </w:style>
  <w:style w:type="paragraph" w:styleId="TOC2">
    <w:name w:val="toc 2"/>
    <w:basedOn w:val="Normal"/>
    <w:next w:val="Normal"/>
    <w:autoRedefine/>
    <w:uiPriority w:val="39"/>
    <w:unhideWhenUsed/>
    <w:rsid w:val="00900839"/>
    <w:pPr>
      <w:spacing w:after="100"/>
      <w:ind w:left="240"/>
    </w:pPr>
  </w:style>
  <w:style w:type="character" w:styleId="Hyperlink">
    <w:name w:val="Hyperlink"/>
    <w:basedOn w:val="DefaultParagraphFont"/>
    <w:uiPriority w:val="99"/>
    <w:unhideWhenUsed/>
    <w:rsid w:val="009008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www.fawcettsociety.org.uk/pages/category/current-projects" TargetMode="External"/><Relationship Id="rId3" Type="http://schemas.openxmlformats.org/officeDocument/2006/relationships/webSettings" Target="webSettings.xml"/><Relationship Id="rId21" Type="http://schemas.openxmlformats.org/officeDocument/2006/relationships/hyperlink" Target="https://medium.com/@kmthomson.11/social-media-activism-and-the-metoo-movement-166f452d7fd2"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equaliteach.co.uk/" TargetMode="External"/><Relationship Id="rId25" Type="http://schemas.openxmlformats.org/officeDocument/2006/relationships/theme" Target="theme/theme1.xml"/><Relationship Id="rId2" Type="http://schemas.openxmlformats.org/officeDocument/2006/relationships/settings" Target="settings.xml"/><Relationship Id="rId16" Type="http://schemas.microsoft.com/office/2007/relationships/diagramDrawing" Target="diagrams/drawing2.xml"/><Relationship Id="rId20" Type="http://schemas.openxmlformats.org/officeDocument/2006/relationships/hyperlink" Target="https://link.springer.com/article/10.1007/s11199-020-01196-0" TargetMode="Externa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diagramColors" Target="diagrams/colors2.xml"/><Relationship Id="rId23" Type="http://schemas.openxmlformats.org/officeDocument/2006/relationships/footer" Target="footer1.xml"/><Relationship Id="rId10" Type="http://schemas.openxmlformats.org/officeDocument/2006/relationships/diagramColors" Target="diagrams/colors1.xml"/><Relationship Id="rId19" Type="http://schemas.openxmlformats.org/officeDocument/2006/relationships/hyperlink" Target="https://innovationmanagement.se/2019/08/09/innovative-ways-of-preventing-harassment-in-the-workplace/" TargetMode="Externa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84DD67-09C5-43E6-B724-C4A2C693C9C7}"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IN"/>
        </a:p>
      </dgm:t>
    </dgm:pt>
    <dgm:pt modelId="{FC313FCE-DDB3-434D-9C47-9788EFC8F88A}">
      <dgm:prSet phldrT="[Text]"/>
      <dgm:spPr/>
      <dgm:t>
        <a:bodyPr/>
        <a:lstStyle/>
        <a:p>
          <a:r>
            <a:rPr lang="en-IN" b="0"/>
            <a:t>Formation of Cross-party working group</a:t>
          </a:r>
        </a:p>
      </dgm:t>
    </dgm:pt>
    <dgm:pt modelId="{710382BC-FD38-4878-908A-F114695A9FB9}" type="parTrans" cxnId="{316414E5-7B6F-4190-AC4E-D418343BA129}">
      <dgm:prSet/>
      <dgm:spPr/>
      <dgm:t>
        <a:bodyPr/>
        <a:lstStyle/>
        <a:p>
          <a:endParaRPr lang="en-IN"/>
        </a:p>
      </dgm:t>
    </dgm:pt>
    <dgm:pt modelId="{8C8EB0CA-1260-475E-B7B7-EE82CBD46CAA}" type="sibTrans" cxnId="{316414E5-7B6F-4190-AC4E-D418343BA129}">
      <dgm:prSet/>
      <dgm:spPr/>
      <dgm:t>
        <a:bodyPr/>
        <a:lstStyle/>
        <a:p>
          <a:endParaRPr lang="en-IN"/>
        </a:p>
      </dgm:t>
    </dgm:pt>
    <dgm:pt modelId="{123C90B8-C0DA-4101-9DEE-08AB9D6D8945}">
      <dgm:prSet phldrT="[Text]"/>
      <dgm:spPr/>
      <dgm:t>
        <a:bodyPr/>
        <a:lstStyle/>
        <a:p>
          <a:r>
            <a:rPr lang="en-IN" b="0"/>
            <a:t>Formation of global law firm</a:t>
          </a:r>
        </a:p>
      </dgm:t>
    </dgm:pt>
    <dgm:pt modelId="{58D70C83-5247-47FD-8711-10C6A8F697D9}" type="parTrans" cxnId="{1B16C15C-D49B-4A9F-BF11-250C3D0A3953}">
      <dgm:prSet/>
      <dgm:spPr/>
      <dgm:t>
        <a:bodyPr/>
        <a:lstStyle/>
        <a:p>
          <a:endParaRPr lang="en-IN"/>
        </a:p>
      </dgm:t>
    </dgm:pt>
    <dgm:pt modelId="{25D2A5D4-7D07-4C67-8E38-56B86ACCFFA9}" type="sibTrans" cxnId="{1B16C15C-D49B-4A9F-BF11-250C3D0A3953}">
      <dgm:prSet/>
      <dgm:spPr/>
      <dgm:t>
        <a:bodyPr/>
        <a:lstStyle/>
        <a:p>
          <a:endParaRPr lang="en-IN"/>
        </a:p>
      </dgm:t>
    </dgm:pt>
    <dgm:pt modelId="{0D9FC5A4-0EBC-487A-AB83-98FF8D02ADB8}">
      <dgm:prSet phldrT="[Text]"/>
      <dgm:spPr/>
      <dgm:t>
        <a:bodyPr/>
        <a:lstStyle/>
        <a:p>
          <a:r>
            <a:rPr lang="en-IN" b="0"/>
            <a:t>Volunteerism with political structure</a:t>
          </a:r>
        </a:p>
      </dgm:t>
    </dgm:pt>
    <dgm:pt modelId="{34B2020C-0CB7-41C0-A792-1C60F47476E9}" type="parTrans" cxnId="{603F24DE-D7A3-42A9-9F6E-46C5A0AD4BB1}">
      <dgm:prSet/>
      <dgm:spPr/>
      <dgm:t>
        <a:bodyPr/>
        <a:lstStyle/>
        <a:p>
          <a:endParaRPr lang="en-IN"/>
        </a:p>
      </dgm:t>
    </dgm:pt>
    <dgm:pt modelId="{52D33B52-791F-4D0A-98A6-A93B677B366C}" type="sibTrans" cxnId="{603F24DE-D7A3-42A9-9F6E-46C5A0AD4BB1}">
      <dgm:prSet/>
      <dgm:spPr/>
      <dgm:t>
        <a:bodyPr/>
        <a:lstStyle/>
        <a:p>
          <a:endParaRPr lang="en-IN"/>
        </a:p>
      </dgm:t>
    </dgm:pt>
    <dgm:pt modelId="{7550E415-D7B1-4822-8CA9-9D86EBB6A7C4}">
      <dgm:prSet phldrT="[Text]"/>
      <dgm:spPr/>
      <dgm:t>
        <a:bodyPr/>
        <a:lstStyle/>
        <a:p>
          <a:r>
            <a:rPr lang="en-IN" b="0"/>
            <a:t>Barrow Cadbury Trust</a:t>
          </a:r>
        </a:p>
      </dgm:t>
    </dgm:pt>
    <dgm:pt modelId="{5FE3BF7E-F626-4B67-BCFC-0A48609C447B}" type="parTrans" cxnId="{7DE27952-2180-40EB-9BE0-5C6ECC59B431}">
      <dgm:prSet/>
      <dgm:spPr/>
    </dgm:pt>
    <dgm:pt modelId="{4890DA7B-3BA4-49AA-BB86-B0B4FD467B5E}" type="sibTrans" cxnId="{7DE27952-2180-40EB-9BE0-5C6ECC59B431}">
      <dgm:prSet/>
      <dgm:spPr/>
    </dgm:pt>
    <dgm:pt modelId="{7C444DF9-C8D9-4D16-9AD2-286FEAB80B96}" type="pres">
      <dgm:prSet presAssocID="{F684DD67-09C5-43E6-B724-C4A2C693C9C7}" presName="linear" presStyleCnt="0">
        <dgm:presLayoutVars>
          <dgm:dir/>
          <dgm:animLvl val="lvl"/>
          <dgm:resizeHandles val="exact"/>
        </dgm:presLayoutVars>
      </dgm:prSet>
      <dgm:spPr/>
    </dgm:pt>
    <dgm:pt modelId="{F750E684-581B-4B83-B4E8-3D46D8670DFA}" type="pres">
      <dgm:prSet presAssocID="{FC313FCE-DDB3-434D-9C47-9788EFC8F88A}" presName="parentLin" presStyleCnt="0"/>
      <dgm:spPr/>
    </dgm:pt>
    <dgm:pt modelId="{7FE87707-6940-4248-9AB6-C4DEC9913828}" type="pres">
      <dgm:prSet presAssocID="{FC313FCE-DDB3-434D-9C47-9788EFC8F88A}" presName="parentLeftMargin" presStyleLbl="node1" presStyleIdx="0" presStyleCnt="4"/>
      <dgm:spPr/>
    </dgm:pt>
    <dgm:pt modelId="{7DE73F7B-42A0-4E10-BBB0-F6CA924CD87C}" type="pres">
      <dgm:prSet presAssocID="{FC313FCE-DDB3-434D-9C47-9788EFC8F88A}" presName="parentText" presStyleLbl="node1" presStyleIdx="0" presStyleCnt="4">
        <dgm:presLayoutVars>
          <dgm:chMax val="0"/>
          <dgm:bulletEnabled val="1"/>
        </dgm:presLayoutVars>
      </dgm:prSet>
      <dgm:spPr/>
    </dgm:pt>
    <dgm:pt modelId="{D27C8FD1-B98F-4C9C-A6B5-836BE89F23C6}" type="pres">
      <dgm:prSet presAssocID="{FC313FCE-DDB3-434D-9C47-9788EFC8F88A}" presName="negativeSpace" presStyleCnt="0"/>
      <dgm:spPr/>
    </dgm:pt>
    <dgm:pt modelId="{1FD50AF0-931B-48C0-8DDA-E17E9401C58C}" type="pres">
      <dgm:prSet presAssocID="{FC313FCE-DDB3-434D-9C47-9788EFC8F88A}" presName="childText" presStyleLbl="conFgAcc1" presStyleIdx="0" presStyleCnt="4">
        <dgm:presLayoutVars>
          <dgm:bulletEnabled val="1"/>
        </dgm:presLayoutVars>
      </dgm:prSet>
      <dgm:spPr/>
    </dgm:pt>
    <dgm:pt modelId="{1FDD8436-A623-4138-8731-C4BDC70CEB92}" type="pres">
      <dgm:prSet presAssocID="{8C8EB0CA-1260-475E-B7B7-EE82CBD46CAA}" presName="spaceBetweenRectangles" presStyleCnt="0"/>
      <dgm:spPr/>
    </dgm:pt>
    <dgm:pt modelId="{FEDCAC16-D3BE-49B7-9B5B-0857091AA588}" type="pres">
      <dgm:prSet presAssocID="{123C90B8-C0DA-4101-9DEE-08AB9D6D8945}" presName="parentLin" presStyleCnt="0"/>
      <dgm:spPr/>
    </dgm:pt>
    <dgm:pt modelId="{EEF294F6-42AD-4293-B543-2B3D5FCA63F4}" type="pres">
      <dgm:prSet presAssocID="{123C90B8-C0DA-4101-9DEE-08AB9D6D8945}" presName="parentLeftMargin" presStyleLbl="node1" presStyleIdx="0" presStyleCnt="4"/>
      <dgm:spPr/>
    </dgm:pt>
    <dgm:pt modelId="{804DFB96-E939-4B9E-B0CE-C507D4F89F2A}" type="pres">
      <dgm:prSet presAssocID="{123C90B8-C0DA-4101-9DEE-08AB9D6D8945}" presName="parentText" presStyleLbl="node1" presStyleIdx="1" presStyleCnt="4">
        <dgm:presLayoutVars>
          <dgm:chMax val="0"/>
          <dgm:bulletEnabled val="1"/>
        </dgm:presLayoutVars>
      </dgm:prSet>
      <dgm:spPr/>
    </dgm:pt>
    <dgm:pt modelId="{ECDAD439-BDEE-40D6-AAA8-1BD010310D8F}" type="pres">
      <dgm:prSet presAssocID="{123C90B8-C0DA-4101-9DEE-08AB9D6D8945}" presName="negativeSpace" presStyleCnt="0"/>
      <dgm:spPr/>
    </dgm:pt>
    <dgm:pt modelId="{6C67E787-B274-4677-93B9-34162BAD82E3}" type="pres">
      <dgm:prSet presAssocID="{123C90B8-C0DA-4101-9DEE-08AB9D6D8945}" presName="childText" presStyleLbl="conFgAcc1" presStyleIdx="1" presStyleCnt="4">
        <dgm:presLayoutVars>
          <dgm:bulletEnabled val="1"/>
        </dgm:presLayoutVars>
      </dgm:prSet>
      <dgm:spPr/>
    </dgm:pt>
    <dgm:pt modelId="{7CB42F4A-9A3B-4754-8106-CA648541D832}" type="pres">
      <dgm:prSet presAssocID="{25D2A5D4-7D07-4C67-8E38-56B86ACCFFA9}" presName="spaceBetweenRectangles" presStyleCnt="0"/>
      <dgm:spPr/>
    </dgm:pt>
    <dgm:pt modelId="{AAD928AB-CB05-4BF8-9BCA-03AF3260F50A}" type="pres">
      <dgm:prSet presAssocID="{0D9FC5A4-0EBC-487A-AB83-98FF8D02ADB8}" presName="parentLin" presStyleCnt="0"/>
      <dgm:spPr/>
    </dgm:pt>
    <dgm:pt modelId="{7DB29DBA-76ED-4932-8F5F-D80C9458DD74}" type="pres">
      <dgm:prSet presAssocID="{0D9FC5A4-0EBC-487A-AB83-98FF8D02ADB8}" presName="parentLeftMargin" presStyleLbl="node1" presStyleIdx="1" presStyleCnt="4"/>
      <dgm:spPr/>
    </dgm:pt>
    <dgm:pt modelId="{F3B75BD2-1616-4940-B4B5-F541C3F24D0B}" type="pres">
      <dgm:prSet presAssocID="{0D9FC5A4-0EBC-487A-AB83-98FF8D02ADB8}" presName="parentText" presStyleLbl="node1" presStyleIdx="2" presStyleCnt="4">
        <dgm:presLayoutVars>
          <dgm:chMax val="0"/>
          <dgm:bulletEnabled val="1"/>
        </dgm:presLayoutVars>
      </dgm:prSet>
      <dgm:spPr/>
    </dgm:pt>
    <dgm:pt modelId="{9CA7DCD4-B664-4932-BCB5-279B79BB7412}" type="pres">
      <dgm:prSet presAssocID="{0D9FC5A4-0EBC-487A-AB83-98FF8D02ADB8}" presName="negativeSpace" presStyleCnt="0"/>
      <dgm:spPr/>
    </dgm:pt>
    <dgm:pt modelId="{27534B83-118C-434D-A035-10022B2C0FB1}" type="pres">
      <dgm:prSet presAssocID="{0D9FC5A4-0EBC-487A-AB83-98FF8D02ADB8}" presName="childText" presStyleLbl="conFgAcc1" presStyleIdx="2" presStyleCnt="4">
        <dgm:presLayoutVars>
          <dgm:bulletEnabled val="1"/>
        </dgm:presLayoutVars>
      </dgm:prSet>
      <dgm:spPr/>
    </dgm:pt>
    <dgm:pt modelId="{17E4BF43-E854-46C7-BC2E-78F78DCF69EC}" type="pres">
      <dgm:prSet presAssocID="{52D33B52-791F-4D0A-98A6-A93B677B366C}" presName="spaceBetweenRectangles" presStyleCnt="0"/>
      <dgm:spPr/>
    </dgm:pt>
    <dgm:pt modelId="{87B03F5D-761A-4516-B7AE-609BEAFDECEE}" type="pres">
      <dgm:prSet presAssocID="{7550E415-D7B1-4822-8CA9-9D86EBB6A7C4}" presName="parentLin" presStyleCnt="0"/>
      <dgm:spPr/>
    </dgm:pt>
    <dgm:pt modelId="{6994F91F-DE38-46B4-943E-682DA4D46F62}" type="pres">
      <dgm:prSet presAssocID="{7550E415-D7B1-4822-8CA9-9D86EBB6A7C4}" presName="parentLeftMargin" presStyleLbl="node1" presStyleIdx="2" presStyleCnt="4"/>
      <dgm:spPr/>
    </dgm:pt>
    <dgm:pt modelId="{65310DC4-DD72-4B0C-BE4A-1DE73C0F7A3B}" type="pres">
      <dgm:prSet presAssocID="{7550E415-D7B1-4822-8CA9-9D86EBB6A7C4}" presName="parentText" presStyleLbl="node1" presStyleIdx="3" presStyleCnt="4">
        <dgm:presLayoutVars>
          <dgm:chMax val="0"/>
          <dgm:bulletEnabled val="1"/>
        </dgm:presLayoutVars>
      </dgm:prSet>
      <dgm:spPr/>
    </dgm:pt>
    <dgm:pt modelId="{050A7C0D-AB51-4CE7-8CCB-5CC05D610506}" type="pres">
      <dgm:prSet presAssocID="{7550E415-D7B1-4822-8CA9-9D86EBB6A7C4}" presName="negativeSpace" presStyleCnt="0"/>
      <dgm:spPr/>
    </dgm:pt>
    <dgm:pt modelId="{68D729C3-1C4F-435C-9F4A-EB81044901BF}" type="pres">
      <dgm:prSet presAssocID="{7550E415-D7B1-4822-8CA9-9D86EBB6A7C4}" presName="childText" presStyleLbl="conFgAcc1" presStyleIdx="3" presStyleCnt="4">
        <dgm:presLayoutVars>
          <dgm:bulletEnabled val="1"/>
        </dgm:presLayoutVars>
      </dgm:prSet>
      <dgm:spPr/>
    </dgm:pt>
  </dgm:ptLst>
  <dgm:cxnLst>
    <dgm:cxn modelId="{317FE40F-630B-42C3-B199-4C1FCE20AC96}" type="presOf" srcId="{123C90B8-C0DA-4101-9DEE-08AB9D6D8945}" destId="{EEF294F6-42AD-4293-B543-2B3D5FCA63F4}" srcOrd="0" destOrd="0" presId="urn:microsoft.com/office/officeart/2005/8/layout/list1"/>
    <dgm:cxn modelId="{038E3F29-63E5-45CF-A9A1-885D1AF828AD}" type="presOf" srcId="{F684DD67-09C5-43E6-B724-C4A2C693C9C7}" destId="{7C444DF9-C8D9-4D16-9AD2-286FEAB80B96}" srcOrd="0" destOrd="0" presId="urn:microsoft.com/office/officeart/2005/8/layout/list1"/>
    <dgm:cxn modelId="{FAF5625C-1E7A-4A9A-98E1-1D7A4540B9E6}" type="presOf" srcId="{0D9FC5A4-0EBC-487A-AB83-98FF8D02ADB8}" destId="{F3B75BD2-1616-4940-B4B5-F541C3F24D0B}" srcOrd="1" destOrd="0" presId="urn:microsoft.com/office/officeart/2005/8/layout/list1"/>
    <dgm:cxn modelId="{1B16C15C-D49B-4A9F-BF11-250C3D0A3953}" srcId="{F684DD67-09C5-43E6-B724-C4A2C693C9C7}" destId="{123C90B8-C0DA-4101-9DEE-08AB9D6D8945}" srcOrd="1" destOrd="0" parTransId="{58D70C83-5247-47FD-8711-10C6A8F697D9}" sibTransId="{25D2A5D4-7D07-4C67-8E38-56B86ACCFFA9}"/>
    <dgm:cxn modelId="{9AE81152-E2C9-431C-AD94-2628D64C7491}" type="presOf" srcId="{FC313FCE-DDB3-434D-9C47-9788EFC8F88A}" destId="{7FE87707-6940-4248-9AB6-C4DEC9913828}" srcOrd="0" destOrd="0" presId="urn:microsoft.com/office/officeart/2005/8/layout/list1"/>
    <dgm:cxn modelId="{7DE27952-2180-40EB-9BE0-5C6ECC59B431}" srcId="{F684DD67-09C5-43E6-B724-C4A2C693C9C7}" destId="{7550E415-D7B1-4822-8CA9-9D86EBB6A7C4}" srcOrd="3" destOrd="0" parTransId="{5FE3BF7E-F626-4B67-BCFC-0A48609C447B}" sibTransId="{4890DA7B-3BA4-49AA-BB86-B0B4FD467B5E}"/>
    <dgm:cxn modelId="{5DF2659B-D632-4A2F-A314-9C1F8B0A9956}" type="presOf" srcId="{7550E415-D7B1-4822-8CA9-9D86EBB6A7C4}" destId="{65310DC4-DD72-4B0C-BE4A-1DE73C0F7A3B}" srcOrd="1" destOrd="0" presId="urn:microsoft.com/office/officeart/2005/8/layout/list1"/>
    <dgm:cxn modelId="{F4708FC0-BEDF-485D-B043-55FF8F71ACF6}" type="presOf" srcId="{7550E415-D7B1-4822-8CA9-9D86EBB6A7C4}" destId="{6994F91F-DE38-46B4-943E-682DA4D46F62}" srcOrd="0" destOrd="0" presId="urn:microsoft.com/office/officeart/2005/8/layout/list1"/>
    <dgm:cxn modelId="{37F464C9-248D-400F-9844-2D04C390AC95}" type="presOf" srcId="{FC313FCE-DDB3-434D-9C47-9788EFC8F88A}" destId="{7DE73F7B-42A0-4E10-BBB0-F6CA924CD87C}" srcOrd="1" destOrd="0" presId="urn:microsoft.com/office/officeart/2005/8/layout/list1"/>
    <dgm:cxn modelId="{1C5D59CE-CA46-49A5-91CD-2FBE0D781307}" type="presOf" srcId="{123C90B8-C0DA-4101-9DEE-08AB9D6D8945}" destId="{804DFB96-E939-4B9E-B0CE-C507D4F89F2A}" srcOrd="1" destOrd="0" presId="urn:microsoft.com/office/officeart/2005/8/layout/list1"/>
    <dgm:cxn modelId="{603F24DE-D7A3-42A9-9F6E-46C5A0AD4BB1}" srcId="{F684DD67-09C5-43E6-B724-C4A2C693C9C7}" destId="{0D9FC5A4-0EBC-487A-AB83-98FF8D02ADB8}" srcOrd="2" destOrd="0" parTransId="{34B2020C-0CB7-41C0-A792-1C60F47476E9}" sibTransId="{52D33B52-791F-4D0A-98A6-A93B677B366C}"/>
    <dgm:cxn modelId="{316414E5-7B6F-4190-AC4E-D418343BA129}" srcId="{F684DD67-09C5-43E6-B724-C4A2C693C9C7}" destId="{FC313FCE-DDB3-434D-9C47-9788EFC8F88A}" srcOrd="0" destOrd="0" parTransId="{710382BC-FD38-4878-908A-F114695A9FB9}" sibTransId="{8C8EB0CA-1260-475E-B7B7-EE82CBD46CAA}"/>
    <dgm:cxn modelId="{EDCE21F2-7596-4D5C-B6EC-3B0C603377C1}" type="presOf" srcId="{0D9FC5A4-0EBC-487A-AB83-98FF8D02ADB8}" destId="{7DB29DBA-76ED-4932-8F5F-D80C9458DD74}" srcOrd="0" destOrd="0" presId="urn:microsoft.com/office/officeart/2005/8/layout/list1"/>
    <dgm:cxn modelId="{511F36FB-02C0-4835-9DF3-30445E4F2DF8}" type="presParOf" srcId="{7C444DF9-C8D9-4D16-9AD2-286FEAB80B96}" destId="{F750E684-581B-4B83-B4E8-3D46D8670DFA}" srcOrd="0" destOrd="0" presId="urn:microsoft.com/office/officeart/2005/8/layout/list1"/>
    <dgm:cxn modelId="{C4CD5983-69EE-432F-A6FA-767544A10B68}" type="presParOf" srcId="{F750E684-581B-4B83-B4E8-3D46D8670DFA}" destId="{7FE87707-6940-4248-9AB6-C4DEC9913828}" srcOrd="0" destOrd="0" presId="urn:microsoft.com/office/officeart/2005/8/layout/list1"/>
    <dgm:cxn modelId="{2F7E18CD-9798-49A9-9B85-864B1ACE31FC}" type="presParOf" srcId="{F750E684-581B-4B83-B4E8-3D46D8670DFA}" destId="{7DE73F7B-42A0-4E10-BBB0-F6CA924CD87C}" srcOrd="1" destOrd="0" presId="urn:microsoft.com/office/officeart/2005/8/layout/list1"/>
    <dgm:cxn modelId="{E0681C66-50F7-4117-860E-208FB194BD4C}" type="presParOf" srcId="{7C444DF9-C8D9-4D16-9AD2-286FEAB80B96}" destId="{D27C8FD1-B98F-4C9C-A6B5-836BE89F23C6}" srcOrd="1" destOrd="0" presId="urn:microsoft.com/office/officeart/2005/8/layout/list1"/>
    <dgm:cxn modelId="{80BD2398-4DFB-45E3-8E4D-8F38759CC630}" type="presParOf" srcId="{7C444DF9-C8D9-4D16-9AD2-286FEAB80B96}" destId="{1FD50AF0-931B-48C0-8DDA-E17E9401C58C}" srcOrd="2" destOrd="0" presId="urn:microsoft.com/office/officeart/2005/8/layout/list1"/>
    <dgm:cxn modelId="{186FEF27-1576-4A3B-B8C8-291BB9A558CD}" type="presParOf" srcId="{7C444DF9-C8D9-4D16-9AD2-286FEAB80B96}" destId="{1FDD8436-A623-4138-8731-C4BDC70CEB92}" srcOrd="3" destOrd="0" presId="urn:microsoft.com/office/officeart/2005/8/layout/list1"/>
    <dgm:cxn modelId="{65B940CE-2513-48D5-88EF-7336752A6FF6}" type="presParOf" srcId="{7C444DF9-C8D9-4D16-9AD2-286FEAB80B96}" destId="{FEDCAC16-D3BE-49B7-9B5B-0857091AA588}" srcOrd="4" destOrd="0" presId="urn:microsoft.com/office/officeart/2005/8/layout/list1"/>
    <dgm:cxn modelId="{7FDC142F-0EAB-47F1-B181-45DCA29A3084}" type="presParOf" srcId="{FEDCAC16-D3BE-49B7-9B5B-0857091AA588}" destId="{EEF294F6-42AD-4293-B543-2B3D5FCA63F4}" srcOrd="0" destOrd="0" presId="urn:microsoft.com/office/officeart/2005/8/layout/list1"/>
    <dgm:cxn modelId="{A320F27B-A30C-43B5-A40D-50E4943BA22C}" type="presParOf" srcId="{FEDCAC16-D3BE-49B7-9B5B-0857091AA588}" destId="{804DFB96-E939-4B9E-B0CE-C507D4F89F2A}" srcOrd="1" destOrd="0" presId="urn:microsoft.com/office/officeart/2005/8/layout/list1"/>
    <dgm:cxn modelId="{304B5901-A5BC-4A6B-983B-D1CD63C79621}" type="presParOf" srcId="{7C444DF9-C8D9-4D16-9AD2-286FEAB80B96}" destId="{ECDAD439-BDEE-40D6-AAA8-1BD010310D8F}" srcOrd="5" destOrd="0" presId="urn:microsoft.com/office/officeart/2005/8/layout/list1"/>
    <dgm:cxn modelId="{9F238997-7F3A-4FFD-A069-D44FE632C990}" type="presParOf" srcId="{7C444DF9-C8D9-4D16-9AD2-286FEAB80B96}" destId="{6C67E787-B274-4677-93B9-34162BAD82E3}" srcOrd="6" destOrd="0" presId="urn:microsoft.com/office/officeart/2005/8/layout/list1"/>
    <dgm:cxn modelId="{779BEEC3-34A7-44E6-A1E5-23350C2F1526}" type="presParOf" srcId="{7C444DF9-C8D9-4D16-9AD2-286FEAB80B96}" destId="{7CB42F4A-9A3B-4754-8106-CA648541D832}" srcOrd="7" destOrd="0" presId="urn:microsoft.com/office/officeart/2005/8/layout/list1"/>
    <dgm:cxn modelId="{F8752A09-B1A8-4694-8B07-D75EB533F761}" type="presParOf" srcId="{7C444DF9-C8D9-4D16-9AD2-286FEAB80B96}" destId="{AAD928AB-CB05-4BF8-9BCA-03AF3260F50A}" srcOrd="8" destOrd="0" presId="urn:microsoft.com/office/officeart/2005/8/layout/list1"/>
    <dgm:cxn modelId="{E3200A1A-C5C1-4098-97CB-7DB33CDDE7EF}" type="presParOf" srcId="{AAD928AB-CB05-4BF8-9BCA-03AF3260F50A}" destId="{7DB29DBA-76ED-4932-8F5F-D80C9458DD74}" srcOrd="0" destOrd="0" presId="urn:microsoft.com/office/officeart/2005/8/layout/list1"/>
    <dgm:cxn modelId="{E4F92D2A-F78B-4AA4-892F-518B639ADAD3}" type="presParOf" srcId="{AAD928AB-CB05-4BF8-9BCA-03AF3260F50A}" destId="{F3B75BD2-1616-4940-B4B5-F541C3F24D0B}" srcOrd="1" destOrd="0" presId="urn:microsoft.com/office/officeart/2005/8/layout/list1"/>
    <dgm:cxn modelId="{87C45B2C-20ED-4575-B221-19847A50A534}" type="presParOf" srcId="{7C444DF9-C8D9-4D16-9AD2-286FEAB80B96}" destId="{9CA7DCD4-B664-4932-BCB5-279B79BB7412}" srcOrd="9" destOrd="0" presId="urn:microsoft.com/office/officeart/2005/8/layout/list1"/>
    <dgm:cxn modelId="{43315BC3-C91A-49AD-B67E-549727AE5C90}" type="presParOf" srcId="{7C444DF9-C8D9-4D16-9AD2-286FEAB80B96}" destId="{27534B83-118C-434D-A035-10022B2C0FB1}" srcOrd="10" destOrd="0" presId="urn:microsoft.com/office/officeart/2005/8/layout/list1"/>
    <dgm:cxn modelId="{7DF2962A-FC51-485C-8E21-6588BD31AA58}" type="presParOf" srcId="{7C444DF9-C8D9-4D16-9AD2-286FEAB80B96}" destId="{17E4BF43-E854-46C7-BC2E-78F78DCF69EC}" srcOrd="11" destOrd="0" presId="urn:microsoft.com/office/officeart/2005/8/layout/list1"/>
    <dgm:cxn modelId="{957C1DDA-248B-4C8F-A16C-48C5F9E15187}" type="presParOf" srcId="{7C444DF9-C8D9-4D16-9AD2-286FEAB80B96}" destId="{87B03F5D-761A-4516-B7AE-609BEAFDECEE}" srcOrd="12" destOrd="0" presId="urn:microsoft.com/office/officeart/2005/8/layout/list1"/>
    <dgm:cxn modelId="{012D5CF1-4D50-484A-BC8B-D8A0EE6D71EA}" type="presParOf" srcId="{87B03F5D-761A-4516-B7AE-609BEAFDECEE}" destId="{6994F91F-DE38-46B4-943E-682DA4D46F62}" srcOrd="0" destOrd="0" presId="urn:microsoft.com/office/officeart/2005/8/layout/list1"/>
    <dgm:cxn modelId="{E73D3726-6229-4CDA-A5B5-95967F327004}" type="presParOf" srcId="{87B03F5D-761A-4516-B7AE-609BEAFDECEE}" destId="{65310DC4-DD72-4B0C-BE4A-1DE73C0F7A3B}" srcOrd="1" destOrd="0" presId="urn:microsoft.com/office/officeart/2005/8/layout/list1"/>
    <dgm:cxn modelId="{73A3861F-9971-420E-89CC-30B5DBAD7E9B}" type="presParOf" srcId="{7C444DF9-C8D9-4D16-9AD2-286FEAB80B96}" destId="{050A7C0D-AB51-4CE7-8CCB-5CC05D610506}" srcOrd="13" destOrd="0" presId="urn:microsoft.com/office/officeart/2005/8/layout/list1"/>
    <dgm:cxn modelId="{49B3574F-8F81-4874-AE07-2A1D055A6BE1}" type="presParOf" srcId="{7C444DF9-C8D9-4D16-9AD2-286FEAB80B96}" destId="{68D729C3-1C4F-435C-9F4A-EB81044901BF}"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557862-8022-441F-A0A6-3B38D04FBEFA}" type="doc">
      <dgm:prSet loTypeId="urn:microsoft.com/office/officeart/2005/8/layout/hProcess9" loCatId="process" qsTypeId="urn:microsoft.com/office/officeart/2005/8/quickstyle/simple1" qsCatId="simple" csTypeId="urn:microsoft.com/office/officeart/2005/8/colors/colorful3" csCatId="colorful" phldr="1"/>
      <dgm:spPr/>
    </dgm:pt>
    <dgm:pt modelId="{D8391605-9B4D-45F9-83AE-61803810B69C}">
      <dgm:prSet phldrT="[Text]"/>
      <dgm:spPr/>
      <dgm:t>
        <a:bodyPr/>
        <a:lstStyle/>
        <a:p>
          <a:r>
            <a:rPr lang="en-IN"/>
            <a:t>employee liability</a:t>
          </a:r>
        </a:p>
      </dgm:t>
    </dgm:pt>
    <dgm:pt modelId="{93091C9A-7D59-4179-8A75-3695EBD771C1}" type="parTrans" cxnId="{8A565319-ED76-49F0-9FBD-78D27EED5345}">
      <dgm:prSet/>
      <dgm:spPr/>
    </dgm:pt>
    <dgm:pt modelId="{CACE8153-38CD-404A-88D6-D109DE23BB60}" type="sibTrans" cxnId="{8A565319-ED76-49F0-9FBD-78D27EED5345}">
      <dgm:prSet/>
      <dgm:spPr/>
    </dgm:pt>
    <dgm:pt modelId="{3A78C7C5-3C9A-428D-83A7-280169582C75}">
      <dgm:prSet phldrT="[Text]"/>
      <dgm:spPr/>
      <dgm:t>
        <a:bodyPr/>
        <a:lstStyle/>
        <a:p>
          <a:r>
            <a:rPr lang="en-IN"/>
            <a:t>employer practices</a:t>
          </a:r>
        </a:p>
      </dgm:t>
    </dgm:pt>
    <dgm:pt modelId="{C503D4AA-10E0-40C3-8FC1-03D75EE74C40}" type="parTrans" cxnId="{AF4ECB55-31C2-4D2F-94CA-2F83CB202879}">
      <dgm:prSet/>
      <dgm:spPr/>
    </dgm:pt>
    <dgm:pt modelId="{D8CC33BA-8737-44F0-B41B-99943E658FD1}" type="sibTrans" cxnId="{AF4ECB55-31C2-4D2F-94CA-2F83CB202879}">
      <dgm:prSet/>
      <dgm:spPr/>
    </dgm:pt>
    <dgm:pt modelId="{CED1FD0E-B238-4F87-8A94-53AAEABC4097}">
      <dgm:prSet phldrT="[Text]"/>
      <dgm:spPr/>
      <dgm:t>
        <a:bodyPr/>
        <a:lstStyle/>
        <a:p>
          <a:r>
            <a:rPr lang="en-IN"/>
            <a:t>creation of consent-based culture</a:t>
          </a:r>
        </a:p>
      </dgm:t>
    </dgm:pt>
    <dgm:pt modelId="{84570261-AAF3-4801-8D36-6093E58F7E45}" type="parTrans" cxnId="{2F5A707F-42B4-46E1-ABF0-510B6AE6BAF9}">
      <dgm:prSet/>
      <dgm:spPr/>
    </dgm:pt>
    <dgm:pt modelId="{380BE2EE-2982-4667-BC72-DC1473234899}" type="sibTrans" cxnId="{2F5A707F-42B4-46E1-ABF0-510B6AE6BAF9}">
      <dgm:prSet/>
      <dgm:spPr/>
    </dgm:pt>
    <dgm:pt modelId="{DA5D6E6D-10BC-4CA9-B67C-53F48FF6587C}" type="pres">
      <dgm:prSet presAssocID="{65557862-8022-441F-A0A6-3B38D04FBEFA}" presName="CompostProcess" presStyleCnt="0">
        <dgm:presLayoutVars>
          <dgm:dir/>
          <dgm:resizeHandles val="exact"/>
        </dgm:presLayoutVars>
      </dgm:prSet>
      <dgm:spPr/>
    </dgm:pt>
    <dgm:pt modelId="{FA8D979C-C9EA-4072-906F-51BEC3BF60FE}" type="pres">
      <dgm:prSet presAssocID="{65557862-8022-441F-A0A6-3B38D04FBEFA}" presName="arrow" presStyleLbl="bgShp" presStyleIdx="0" presStyleCnt="1"/>
      <dgm:spPr/>
    </dgm:pt>
    <dgm:pt modelId="{5D9CEDFA-EBBA-4AAE-9170-4DADCD30EAD0}" type="pres">
      <dgm:prSet presAssocID="{65557862-8022-441F-A0A6-3B38D04FBEFA}" presName="linearProcess" presStyleCnt="0"/>
      <dgm:spPr/>
    </dgm:pt>
    <dgm:pt modelId="{BFA09A04-1D24-4FBC-BE5A-9280F7FAD782}" type="pres">
      <dgm:prSet presAssocID="{D8391605-9B4D-45F9-83AE-61803810B69C}" presName="textNode" presStyleLbl="node1" presStyleIdx="0" presStyleCnt="3">
        <dgm:presLayoutVars>
          <dgm:bulletEnabled val="1"/>
        </dgm:presLayoutVars>
      </dgm:prSet>
      <dgm:spPr/>
    </dgm:pt>
    <dgm:pt modelId="{6A5567E8-11FB-4942-A4F3-E4F64465702F}" type="pres">
      <dgm:prSet presAssocID="{CACE8153-38CD-404A-88D6-D109DE23BB60}" presName="sibTrans" presStyleCnt="0"/>
      <dgm:spPr/>
    </dgm:pt>
    <dgm:pt modelId="{C27E17E4-59EB-4822-95A0-445F80A02268}" type="pres">
      <dgm:prSet presAssocID="{3A78C7C5-3C9A-428D-83A7-280169582C75}" presName="textNode" presStyleLbl="node1" presStyleIdx="1" presStyleCnt="3">
        <dgm:presLayoutVars>
          <dgm:bulletEnabled val="1"/>
        </dgm:presLayoutVars>
      </dgm:prSet>
      <dgm:spPr/>
    </dgm:pt>
    <dgm:pt modelId="{A471485C-3F95-4B3C-9EB3-956C2CE1F359}" type="pres">
      <dgm:prSet presAssocID="{D8CC33BA-8737-44F0-B41B-99943E658FD1}" presName="sibTrans" presStyleCnt="0"/>
      <dgm:spPr/>
    </dgm:pt>
    <dgm:pt modelId="{E24CAF52-E7AB-49E4-9D16-E652D2A47E52}" type="pres">
      <dgm:prSet presAssocID="{CED1FD0E-B238-4F87-8A94-53AAEABC4097}" presName="textNode" presStyleLbl="node1" presStyleIdx="2" presStyleCnt="3">
        <dgm:presLayoutVars>
          <dgm:bulletEnabled val="1"/>
        </dgm:presLayoutVars>
      </dgm:prSet>
      <dgm:spPr/>
    </dgm:pt>
  </dgm:ptLst>
  <dgm:cxnLst>
    <dgm:cxn modelId="{8A565319-ED76-49F0-9FBD-78D27EED5345}" srcId="{65557862-8022-441F-A0A6-3B38D04FBEFA}" destId="{D8391605-9B4D-45F9-83AE-61803810B69C}" srcOrd="0" destOrd="0" parTransId="{93091C9A-7D59-4179-8A75-3695EBD771C1}" sibTransId="{CACE8153-38CD-404A-88D6-D109DE23BB60}"/>
    <dgm:cxn modelId="{E4C30220-D296-417C-B380-039EE15B7073}" type="presOf" srcId="{D8391605-9B4D-45F9-83AE-61803810B69C}" destId="{BFA09A04-1D24-4FBC-BE5A-9280F7FAD782}" srcOrd="0" destOrd="0" presId="urn:microsoft.com/office/officeart/2005/8/layout/hProcess9"/>
    <dgm:cxn modelId="{ECEE8274-9722-40A1-9073-73059AC6BA53}" type="presOf" srcId="{3A78C7C5-3C9A-428D-83A7-280169582C75}" destId="{C27E17E4-59EB-4822-95A0-445F80A02268}" srcOrd="0" destOrd="0" presId="urn:microsoft.com/office/officeart/2005/8/layout/hProcess9"/>
    <dgm:cxn modelId="{AF4ECB55-31C2-4D2F-94CA-2F83CB202879}" srcId="{65557862-8022-441F-A0A6-3B38D04FBEFA}" destId="{3A78C7C5-3C9A-428D-83A7-280169582C75}" srcOrd="1" destOrd="0" parTransId="{C503D4AA-10E0-40C3-8FC1-03D75EE74C40}" sibTransId="{D8CC33BA-8737-44F0-B41B-99943E658FD1}"/>
    <dgm:cxn modelId="{2F5A707F-42B4-46E1-ABF0-510B6AE6BAF9}" srcId="{65557862-8022-441F-A0A6-3B38D04FBEFA}" destId="{CED1FD0E-B238-4F87-8A94-53AAEABC4097}" srcOrd="2" destOrd="0" parTransId="{84570261-AAF3-4801-8D36-6093E58F7E45}" sibTransId="{380BE2EE-2982-4667-BC72-DC1473234899}"/>
    <dgm:cxn modelId="{A790F8EE-1793-402F-A446-159A415EC606}" type="presOf" srcId="{65557862-8022-441F-A0A6-3B38D04FBEFA}" destId="{DA5D6E6D-10BC-4CA9-B67C-53F48FF6587C}" srcOrd="0" destOrd="0" presId="urn:microsoft.com/office/officeart/2005/8/layout/hProcess9"/>
    <dgm:cxn modelId="{3380FEFF-0041-4E18-81FE-BE31A5246AEF}" type="presOf" srcId="{CED1FD0E-B238-4F87-8A94-53AAEABC4097}" destId="{E24CAF52-E7AB-49E4-9D16-E652D2A47E52}" srcOrd="0" destOrd="0" presId="urn:microsoft.com/office/officeart/2005/8/layout/hProcess9"/>
    <dgm:cxn modelId="{A074BF72-17EC-4C90-B7A1-73AF5B8C8E64}" type="presParOf" srcId="{DA5D6E6D-10BC-4CA9-B67C-53F48FF6587C}" destId="{FA8D979C-C9EA-4072-906F-51BEC3BF60FE}" srcOrd="0" destOrd="0" presId="urn:microsoft.com/office/officeart/2005/8/layout/hProcess9"/>
    <dgm:cxn modelId="{97DF852C-DDAB-4CEE-B644-5C9D28EFB10F}" type="presParOf" srcId="{DA5D6E6D-10BC-4CA9-B67C-53F48FF6587C}" destId="{5D9CEDFA-EBBA-4AAE-9170-4DADCD30EAD0}" srcOrd="1" destOrd="0" presId="urn:microsoft.com/office/officeart/2005/8/layout/hProcess9"/>
    <dgm:cxn modelId="{72FD3B16-2B94-41A9-A627-9F4350DC742E}" type="presParOf" srcId="{5D9CEDFA-EBBA-4AAE-9170-4DADCD30EAD0}" destId="{BFA09A04-1D24-4FBC-BE5A-9280F7FAD782}" srcOrd="0" destOrd="0" presId="urn:microsoft.com/office/officeart/2005/8/layout/hProcess9"/>
    <dgm:cxn modelId="{6AEE77DF-E549-458E-A2D0-5A975DE5E168}" type="presParOf" srcId="{5D9CEDFA-EBBA-4AAE-9170-4DADCD30EAD0}" destId="{6A5567E8-11FB-4942-A4F3-E4F64465702F}" srcOrd="1" destOrd="0" presId="urn:microsoft.com/office/officeart/2005/8/layout/hProcess9"/>
    <dgm:cxn modelId="{95E9E156-D5DF-49E6-964A-8B248B05ECEB}" type="presParOf" srcId="{5D9CEDFA-EBBA-4AAE-9170-4DADCD30EAD0}" destId="{C27E17E4-59EB-4822-95A0-445F80A02268}" srcOrd="2" destOrd="0" presId="urn:microsoft.com/office/officeart/2005/8/layout/hProcess9"/>
    <dgm:cxn modelId="{A9D34B30-161A-4DB9-84C7-14BA62AE5352}" type="presParOf" srcId="{5D9CEDFA-EBBA-4AAE-9170-4DADCD30EAD0}" destId="{A471485C-3F95-4B3C-9EB3-956C2CE1F359}" srcOrd="3" destOrd="0" presId="urn:microsoft.com/office/officeart/2005/8/layout/hProcess9"/>
    <dgm:cxn modelId="{E5D55505-CA1B-493E-AF3C-1A4B903E34DE}" type="presParOf" srcId="{5D9CEDFA-EBBA-4AAE-9170-4DADCD30EAD0}" destId="{E24CAF52-E7AB-49E4-9D16-E652D2A47E52}" srcOrd="4" destOrd="0" presId="urn:microsoft.com/office/officeart/2005/8/layout/hProcess9"/>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D50AF0-931B-48C0-8DDA-E17E9401C58C}">
      <dsp:nvSpPr>
        <dsp:cNvPr id="0" name=""/>
        <dsp:cNvSpPr/>
      </dsp:nvSpPr>
      <dsp:spPr>
        <a:xfrm>
          <a:off x="0" y="501299"/>
          <a:ext cx="5486400" cy="3780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DE73F7B-42A0-4E10-BBB0-F6CA924CD87C}">
      <dsp:nvSpPr>
        <dsp:cNvPr id="0" name=""/>
        <dsp:cNvSpPr/>
      </dsp:nvSpPr>
      <dsp:spPr>
        <a:xfrm>
          <a:off x="274320" y="279899"/>
          <a:ext cx="3840480" cy="44280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IN" sz="1500" b="0" kern="1200"/>
            <a:t>Formation of Cross-party working group</a:t>
          </a:r>
        </a:p>
      </dsp:txBody>
      <dsp:txXfrm>
        <a:off x="295936" y="301515"/>
        <a:ext cx="3797248" cy="399568"/>
      </dsp:txXfrm>
    </dsp:sp>
    <dsp:sp modelId="{6C67E787-B274-4677-93B9-34162BAD82E3}">
      <dsp:nvSpPr>
        <dsp:cNvPr id="0" name=""/>
        <dsp:cNvSpPr/>
      </dsp:nvSpPr>
      <dsp:spPr>
        <a:xfrm>
          <a:off x="0" y="1181699"/>
          <a:ext cx="5486400" cy="378000"/>
        </a:xfrm>
        <a:prstGeom prst="rect">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sp>
    <dsp:sp modelId="{804DFB96-E939-4B9E-B0CE-C507D4F89F2A}">
      <dsp:nvSpPr>
        <dsp:cNvPr id="0" name=""/>
        <dsp:cNvSpPr/>
      </dsp:nvSpPr>
      <dsp:spPr>
        <a:xfrm>
          <a:off x="274320" y="960299"/>
          <a:ext cx="3840480" cy="442800"/>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IN" sz="1500" b="0" kern="1200"/>
            <a:t>Formation of global law firm</a:t>
          </a:r>
        </a:p>
      </dsp:txBody>
      <dsp:txXfrm>
        <a:off x="295936" y="981915"/>
        <a:ext cx="3797248" cy="399568"/>
      </dsp:txXfrm>
    </dsp:sp>
    <dsp:sp modelId="{27534B83-118C-434D-A035-10022B2C0FB1}">
      <dsp:nvSpPr>
        <dsp:cNvPr id="0" name=""/>
        <dsp:cNvSpPr/>
      </dsp:nvSpPr>
      <dsp:spPr>
        <a:xfrm>
          <a:off x="0" y="1862100"/>
          <a:ext cx="5486400" cy="378000"/>
        </a:xfrm>
        <a:prstGeom prst="rect">
          <a:avLst/>
        </a:prstGeom>
        <a:solidFill>
          <a:schemeClr val="lt1">
            <a:alpha val="90000"/>
            <a:hueOff val="0"/>
            <a:satOff val="0"/>
            <a:lumOff val="0"/>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dsp:style>
    </dsp:sp>
    <dsp:sp modelId="{F3B75BD2-1616-4940-B4B5-F541C3F24D0B}">
      <dsp:nvSpPr>
        <dsp:cNvPr id="0" name=""/>
        <dsp:cNvSpPr/>
      </dsp:nvSpPr>
      <dsp:spPr>
        <a:xfrm>
          <a:off x="274320" y="1640699"/>
          <a:ext cx="3840480" cy="442800"/>
        </a:xfrm>
        <a:prstGeom prst="roundRec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IN" sz="1500" b="0" kern="1200"/>
            <a:t>Volunteerism with political structure</a:t>
          </a:r>
        </a:p>
      </dsp:txBody>
      <dsp:txXfrm>
        <a:off x="295936" y="1662315"/>
        <a:ext cx="3797248" cy="399568"/>
      </dsp:txXfrm>
    </dsp:sp>
    <dsp:sp modelId="{68D729C3-1C4F-435C-9F4A-EB81044901BF}">
      <dsp:nvSpPr>
        <dsp:cNvPr id="0" name=""/>
        <dsp:cNvSpPr/>
      </dsp:nvSpPr>
      <dsp:spPr>
        <a:xfrm>
          <a:off x="0" y="2542500"/>
          <a:ext cx="5486400" cy="3780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65310DC4-DD72-4B0C-BE4A-1DE73C0F7A3B}">
      <dsp:nvSpPr>
        <dsp:cNvPr id="0" name=""/>
        <dsp:cNvSpPr/>
      </dsp:nvSpPr>
      <dsp:spPr>
        <a:xfrm>
          <a:off x="274320" y="2321099"/>
          <a:ext cx="3840480" cy="44280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66750">
            <a:lnSpc>
              <a:spcPct val="90000"/>
            </a:lnSpc>
            <a:spcBef>
              <a:spcPct val="0"/>
            </a:spcBef>
            <a:spcAft>
              <a:spcPct val="35000"/>
            </a:spcAft>
            <a:buNone/>
          </a:pPr>
          <a:r>
            <a:rPr lang="en-IN" sz="1500" b="0" kern="1200"/>
            <a:t>Barrow Cadbury Trust</a:t>
          </a:r>
        </a:p>
      </dsp:txBody>
      <dsp:txXfrm>
        <a:off x="295936" y="2342715"/>
        <a:ext cx="3797248" cy="3995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8D979C-C9EA-4072-906F-51BEC3BF60FE}">
      <dsp:nvSpPr>
        <dsp:cNvPr id="0" name=""/>
        <dsp:cNvSpPr/>
      </dsp:nvSpPr>
      <dsp:spPr>
        <a:xfrm>
          <a:off x="411479" y="0"/>
          <a:ext cx="4663440" cy="3200400"/>
        </a:xfrm>
        <a:prstGeom prst="rightArrow">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FA09A04-1D24-4FBC-BE5A-9280F7FAD782}">
      <dsp:nvSpPr>
        <dsp:cNvPr id="0" name=""/>
        <dsp:cNvSpPr/>
      </dsp:nvSpPr>
      <dsp:spPr>
        <a:xfrm>
          <a:off x="5893" y="960120"/>
          <a:ext cx="1765935" cy="128016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t>employee liability</a:t>
          </a:r>
        </a:p>
      </dsp:txBody>
      <dsp:txXfrm>
        <a:off x="68385" y="1022612"/>
        <a:ext cx="1640951" cy="1155176"/>
      </dsp:txXfrm>
    </dsp:sp>
    <dsp:sp modelId="{C27E17E4-59EB-4822-95A0-445F80A02268}">
      <dsp:nvSpPr>
        <dsp:cNvPr id="0" name=""/>
        <dsp:cNvSpPr/>
      </dsp:nvSpPr>
      <dsp:spPr>
        <a:xfrm>
          <a:off x="1860232" y="960120"/>
          <a:ext cx="1765935" cy="1280160"/>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t>employer practices</a:t>
          </a:r>
        </a:p>
      </dsp:txBody>
      <dsp:txXfrm>
        <a:off x="1922724" y="1022612"/>
        <a:ext cx="1640951" cy="1155176"/>
      </dsp:txXfrm>
    </dsp:sp>
    <dsp:sp modelId="{E24CAF52-E7AB-49E4-9D16-E652D2A47E52}">
      <dsp:nvSpPr>
        <dsp:cNvPr id="0" name=""/>
        <dsp:cNvSpPr/>
      </dsp:nvSpPr>
      <dsp:spPr>
        <a:xfrm>
          <a:off x="3714571" y="960120"/>
          <a:ext cx="1765935" cy="128016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t>creation of consent-based culture</a:t>
          </a:r>
        </a:p>
      </dsp:txBody>
      <dsp:txXfrm>
        <a:off x="3777063" y="1022612"/>
        <a:ext cx="1640951"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2782</Words>
  <Characters>15858</Characters>
  <Application>Microsoft Office Word</Application>
  <DocSecurity>0</DocSecurity>
  <Lines>132</Lines>
  <Paragraphs>37</Paragraphs>
  <ScaleCrop>false</ScaleCrop>
  <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Sayani Saha</cp:lastModifiedBy>
  <cp:revision>11</cp:revision>
  <dcterms:created xsi:type="dcterms:W3CDTF">2021-08-27T11:25:00Z</dcterms:created>
  <dcterms:modified xsi:type="dcterms:W3CDTF">2021-08-27T17:42:00Z</dcterms:modified>
</cp:coreProperties>
</file>