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2FE92E4">
      <w:pPr>
        <w:spacing w:line="360" w:lineRule="auto"/>
        <w:jc w:val="center"/>
        <w:rPr>
          <w:rFonts w:ascii="Arial" w:hAnsi="Arial" w:cs="Arial"/>
        </w:rPr>
      </w:pPr>
      <w:r>
        <w:rPr>
          <w:rFonts w:ascii="SimSun" w:hAnsi="SimSun" w:eastAsia="SimSun" w:cs="SimSun"/>
          <w:sz w:val="24"/>
          <w:szCs w:val="24"/>
        </w:rPr>
        <w:drawing>
          <wp:inline distT="0" distB="0" distL="114300" distR="114300">
            <wp:extent cx="3904615" cy="2169160"/>
            <wp:effectExtent l="0" t="0" r="635" b="2540"/>
            <wp:docPr id="5"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IMG_256"/>
                    <pic:cNvPicPr>
                      <a:picLocks noChangeAspect="1"/>
                    </pic:cNvPicPr>
                  </pic:nvPicPr>
                  <pic:blipFill>
                    <a:blip r:embed="rId7"/>
                    <a:stretch>
                      <a:fillRect/>
                    </a:stretch>
                  </pic:blipFill>
                  <pic:spPr>
                    <a:xfrm>
                      <a:off x="0" y="0"/>
                      <a:ext cx="3904615" cy="2169160"/>
                    </a:xfrm>
                    <a:prstGeom prst="rect">
                      <a:avLst/>
                    </a:prstGeom>
                    <a:noFill/>
                    <a:ln w="9525">
                      <a:noFill/>
                    </a:ln>
                  </pic:spPr>
                </pic:pic>
              </a:graphicData>
            </a:graphic>
          </wp:inline>
        </w:drawing>
      </w:r>
    </w:p>
    <w:p w14:paraId="3CC95377">
      <w:pPr>
        <w:spacing w:line="360" w:lineRule="auto"/>
        <w:jc w:val="center"/>
      </w:pPr>
    </w:p>
    <w:p w14:paraId="1293D626">
      <w:pPr>
        <w:spacing w:line="360" w:lineRule="auto"/>
        <w:jc w:val="center"/>
        <w:rPr>
          <w:rFonts w:ascii="Arial" w:hAnsi="Arial" w:cs="Arial"/>
          <w:b/>
          <w:bCs/>
          <w:sz w:val="24"/>
          <w:szCs w:val="24"/>
        </w:rPr>
      </w:pPr>
      <w:r>
        <w:rPr>
          <w:rFonts w:ascii="Arial" w:hAnsi="Arial" w:cs="Arial"/>
          <w:b/>
          <w:bCs/>
          <w:sz w:val="24"/>
          <w:szCs w:val="24"/>
        </w:rPr>
        <w:t xml:space="preserve">Student Name: </w:t>
      </w:r>
      <w:r>
        <w:rPr>
          <w:rFonts w:ascii="Arial" w:hAnsi="Arial" w:eastAsia="Times New Roman" w:cs="Arial"/>
          <w:b/>
          <w:bCs/>
          <w:color w:val="000000"/>
          <w:sz w:val="24"/>
          <w:szCs w:val="24"/>
        </w:rPr>
        <w:t>Arpit Verma</w:t>
      </w:r>
    </w:p>
    <w:p w14:paraId="4C8B2215">
      <w:pPr>
        <w:spacing w:line="360" w:lineRule="auto"/>
        <w:jc w:val="center"/>
        <w:rPr>
          <w:rFonts w:ascii="Arial" w:hAnsi="Arial" w:eastAsia="Times New Roman" w:cs="Arial"/>
          <w:b/>
          <w:bCs/>
          <w:color w:val="000000"/>
          <w:sz w:val="24"/>
          <w:szCs w:val="24"/>
        </w:rPr>
      </w:pPr>
      <w:r>
        <w:rPr>
          <w:rFonts w:ascii="Arial" w:hAnsi="Arial" w:cs="Arial"/>
          <w:b/>
          <w:bCs/>
          <w:sz w:val="24"/>
          <w:szCs w:val="24"/>
        </w:rPr>
        <w:t xml:space="preserve">Student ID: </w:t>
      </w:r>
      <w:r>
        <w:rPr>
          <w:rFonts w:ascii="Arial" w:hAnsi="Arial" w:eastAsia="Times New Roman" w:cs="Arial"/>
          <w:b/>
          <w:bCs/>
          <w:color w:val="000000"/>
          <w:sz w:val="24"/>
          <w:szCs w:val="24"/>
        </w:rPr>
        <w:t>2532968</w:t>
      </w:r>
    </w:p>
    <w:p w14:paraId="10A754E7">
      <w:pPr>
        <w:spacing w:line="360" w:lineRule="auto"/>
        <w:jc w:val="center"/>
        <w:rPr>
          <w:sz w:val="24"/>
          <w:szCs w:val="24"/>
        </w:rPr>
      </w:pPr>
    </w:p>
    <w:p w14:paraId="7AB4DEBE">
      <w:pPr>
        <w:spacing w:line="360" w:lineRule="auto"/>
        <w:jc w:val="center"/>
        <w:rPr>
          <w:rFonts w:ascii="Arial" w:hAnsi="Arial" w:cs="Arial"/>
          <w:b/>
          <w:bCs/>
          <w:sz w:val="24"/>
          <w:szCs w:val="24"/>
        </w:rPr>
      </w:pPr>
      <w:r>
        <w:rPr>
          <w:rFonts w:ascii="Arial" w:hAnsi="Arial" w:cs="Arial"/>
          <w:b/>
          <w:bCs/>
          <w:sz w:val="24"/>
          <w:szCs w:val="24"/>
        </w:rPr>
        <w:t>Module Name:</w:t>
      </w:r>
      <w:r>
        <w:rPr>
          <w:rFonts w:hint="default" w:ascii="Arial" w:hAnsi="Arial" w:cs="Arial"/>
          <w:b/>
          <w:bCs/>
          <w:sz w:val="24"/>
          <w:szCs w:val="24"/>
        </w:rPr>
        <w:t>International Business Concepts</w:t>
      </w:r>
    </w:p>
    <w:p w14:paraId="1A49583B">
      <w:pPr>
        <w:spacing w:line="360" w:lineRule="auto"/>
        <w:jc w:val="center"/>
        <w:rPr>
          <w:rFonts w:ascii="Arial" w:hAnsi="Arial" w:cs="Arial"/>
          <w:sz w:val="24"/>
          <w:szCs w:val="24"/>
        </w:rPr>
      </w:pPr>
      <w:r>
        <w:rPr>
          <w:rFonts w:ascii="Arial" w:hAnsi="Arial" w:cs="Arial"/>
          <w:b/>
          <w:bCs/>
          <w:sz w:val="24"/>
          <w:szCs w:val="24"/>
        </w:rPr>
        <w:t>Module Code: LCMB 7034</w:t>
      </w:r>
    </w:p>
    <w:p w14:paraId="0C5DBD2C">
      <w:pPr>
        <w:spacing w:line="360" w:lineRule="auto"/>
        <w:jc w:val="center"/>
        <w:rPr>
          <w:rFonts w:ascii="Arial" w:hAnsi="Arial" w:cs="Arial"/>
          <w:b/>
          <w:bCs/>
          <w:sz w:val="24"/>
          <w:szCs w:val="24"/>
        </w:rPr>
      </w:pPr>
      <w:bookmarkStart w:id="9" w:name="_GoBack"/>
      <w:bookmarkEnd w:id="9"/>
    </w:p>
    <w:p w14:paraId="39D87663">
      <w:pPr>
        <w:spacing w:line="360" w:lineRule="auto"/>
        <w:jc w:val="center"/>
        <w:rPr>
          <w:rFonts w:hint="default" w:ascii="Arial" w:hAnsi="Arial" w:cs="Arial"/>
          <w:b/>
          <w:bCs/>
          <w:sz w:val="24"/>
          <w:szCs w:val="24"/>
          <w:lang w:val="en-US"/>
        </w:rPr>
      </w:pPr>
      <w:r>
        <w:rPr>
          <w:rFonts w:ascii="Arial" w:hAnsi="Arial" w:cs="Arial"/>
          <w:b/>
          <w:bCs/>
          <w:sz w:val="24"/>
          <w:szCs w:val="24"/>
        </w:rPr>
        <w:t>Lecturer’s Name:</w:t>
      </w:r>
      <w:r>
        <w:rPr>
          <w:rFonts w:hint="default" w:ascii="Arial" w:hAnsi="Arial" w:cs="Arial"/>
          <w:b/>
          <w:bCs/>
          <w:sz w:val="24"/>
          <w:szCs w:val="24"/>
          <w:lang w:val="en-US"/>
        </w:rPr>
        <w:t>Dr.Gladius Kulothungan</w:t>
      </w:r>
    </w:p>
    <w:p w14:paraId="262EEAB2">
      <w:pPr>
        <w:spacing w:line="360" w:lineRule="auto"/>
        <w:jc w:val="center"/>
        <w:rPr>
          <w:rFonts w:ascii="Arial" w:hAnsi="Arial" w:cs="Arial"/>
          <w:b/>
          <w:bCs/>
          <w:sz w:val="24"/>
          <w:szCs w:val="24"/>
        </w:rPr>
      </w:pPr>
    </w:p>
    <w:p w14:paraId="06B8D3EA">
      <w:pPr>
        <w:spacing w:line="360" w:lineRule="auto"/>
        <w:jc w:val="center"/>
        <w:rPr>
          <w:rFonts w:ascii="Arial" w:hAnsi="Arial" w:cs="Arial"/>
          <w:b/>
          <w:bCs/>
          <w:sz w:val="24"/>
          <w:szCs w:val="24"/>
        </w:rPr>
      </w:pPr>
      <w:r>
        <w:rPr>
          <w:rFonts w:ascii="Arial" w:hAnsi="Arial" w:cs="Arial"/>
          <w:b/>
          <w:bCs/>
          <w:sz w:val="24"/>
          <w:szCs w:val="24"/>
        </w:rPr>
        <w:t>Topic –</w:t>
      </w:r>
      <w:r>
        <w:rPr>
          <w:rFonts w:hint="default" w:ascii="Arial" w:hAnsi="Arial" w:cs="Arial"/>
          <w:b/>
          <w:bCs/>
          <w:sz w:val="24"/>
          <w:szCs w:val="24"/>
        </w:rPr>
        <w:t>Strategic Evaluation of Lidl’s International Market Entry into India</w:t>
      </w:r>
    </w:p>
    <w:p w14:paraId="53E8255C">
      <w:pPr>
        <w:spacing w:line="360" w:lineRule="auto"/>
        <w:jc w:val="center"/>
        <w:rPr>
          <w:rFonts w:ascii="Arial" w:hAnsi="Arial" w:cs="Arial"/>
          <w:b/>
          <w:bCs/>
          <w:sz w:val="24"/>
          <w:szCs w:val="24"/>
        </w:rPr>
      </w:pPr>
    </w:p>
    <w:p w14:paraId="467DEC2B">
      <w:pPr>
        <w:spacing w:line="360" w:lineRule="auto"/>
        <w:jc w:val="center"/>
        <w:rPr>
          <w:rFonts w:ascii="Arial" w:hAnsi="Arial" w:cs="Arial"/>
          <w:b/>
          <w:bCs/>
          <w:sz w:val="24"/>
          <w:szCs w:val="24"/>
        </w:rPr>
      </w:pPr>
    </w:p>
    <w:p w14:paraId="32DB85DA">
      <w:pPr>
        <w:spacing w:line="360" w:lineRule="auto"/>
        <w:jc w:val="center"/>
        <w:rPr>
          <w:rFonts w:ascii="Arial" w:hAnsi="Arial" w:cs="Arial"/>
          <w:b/>
          <w:bCs/>
          <w:sz w:val="24"/>
          <w:szCs w:val="24"/>
        </w:rPr>
      </w:pPr>
    </w:p>
    <w:p w14:paraId="72A359D3">
      <w:pPr>
        <w:spacing w:line="360" w:lineRule="auto"/>
        <w:jc w:val="center"/>
        <w:rPr>
          <w:rFonts w:ascii="Arial" w:hAnsi="Arial" w:cs="Arial"/>
          <w:b/>
          <w:bCs/>
          <w:sz w:val="24"/>
          <w:szCs w:val="24"/>
        </w:rPr>
      </w:pPr>
    </w:p>
    <w:p w14:paraId="19770535">
      <w:pPr>
        <w:spacing w:line="360" w:lineRule="auto"/>
        <w:jc w:val="center"/>
        <w:rPr>
          <w:rFonts w:ascii="Arial" w:hAnsi="Arial" w:cs="Arial"/>
          <w:b/>
          <w:bCs/>
          <w:sz w:val="24"/>
          <w:szCs w:val="24"/>
        </w:rPr>
      </w:pPr>
    </w:p>
    <w:p w14:paraId="1D1B3677">
      <w:pPr>
        <w:spacing w:line="360" w:lineRule="auto"/>
        <w:jc w:val="center"/>
        <w:rPr>
          <w:rFonts w:ascii="Arial" w:hAnsi="Arial" w:cs="Arial"/>
          <w:b/>
          <w:bCs/>
          <w:sz w:val="24"/>
          <w:szCs w:val="24"/>
        </w:rPr>
      </w:pPr>
    </w:p>
    <w:p w14:paraId="3C4855C9">
      <w:pPr>
        <w:spacing w:line="360" w:lineRule="auto"/>
        <w:jc w:val="center"/>
        <w:rPr>
          <w:rFonts w:ascii="Arial" w:hAnsi="Arial" w:cs="Arial"/>
          <w:b/>
          <w:bCs/>
          <w:sz w:val="24"/>
          <w:szCs w:val="24"/>
        </w:rPr>
      </w:pPr>
    </w:p>
    <w:p w14:paraId="7DB0466C">
      <w:pPr>
        <w:spacing w:line="360" w:lineRule="auto"/>
        <w:jc w:val="center"/>
        <w:rPr>
          <w:rFonts w:ascii="Arial" w:hAnsi="Arial" w:cs="Arial"/>
          <w:b/>
          <w:bCs/>
          <w:sz w:val="24"/>
          <w:szCs w:val="24"/>
        </w:rPr>
      </w:pPr>
    </w:p>
    <w:p w14:paraId="7849993F">
      <w:pPr>
        <w:spacing w:line="360" w:lineRule="auto"/>
        <w:rPr>
          <w:rFonts w:ascii="Arial" w:hAnsi="Arial" w:eastAsia="Times New Roman" w:cs="Arial"/>
          <w:b/>
          <w:bCs/>
          <w:color w:val="000000"/>
          <w:sz w:val="28"/>
          <w:szCs w:val="28"/>
          <w:lang w:val="en-US"/>
        </w:rPr>
      </w:pPr>
      <w:r>
        <w:rPr>
          <w:rFonts w:ascii="Arial" w:hAnsi="Arial" w:eastAsia="Times New Roman" w:cs="Arial"/>
          <w:b/>
          <w:bCs/>
          <w:color w:val="000000"/>
          <w:sz w:val="28"/>
          <w:szCs w:val="28"/>
          <w:lang w:val="en-US"/>
        </w:rPr>
        <w:t>Table of Contents</w:t>
      </w:r>
    </w:p>
    <w:p w14:paraId="5733DE85">
      <w:pPr>
        <w:spacing w:line="360" w:lineRule="auto"/>
        <w:rPr>
          <w:rFonts w:ascii="Arial" w:hAnsi="Arial" w:cs="Arial"/>
        </w:rPr>
      </w:pPr>
    </w:p>
    <w:p w14:paraId="67F69A16">
      <w:pPr>
        <w:pStyle w:val="21"/>
        <w:tabs>
          <w:tab w:val="right" w:leader="dot" w:pos="9026"/>
        </w:tabs>
      </w:pPr>
      <w:r>
        <w:rPr>
          <w:rFonts w:ascii="Arial" w:hAnsi="Arial" w:cs="Arial"/>
        </w:rPr>
        <w:fldChar w:fldCharType="begin"/>
      </w:r>
      <w:r>
        <w:rPr>
          <w:rFonts w:ascii="Arial" w:hAnsi="Arial" w:cs="Arial"/>
        </w:rPr>
        <w:instrText xml:space="preserve">TOC \o "1-3" \h \u </w:instrText>
      </w:r>
      <w:r>
        <w:rPr>
          <w:rFonts w:ascii="Arial" w:hAnsi="Arial" w:cs="Arial"/>
        </w:rPr>
        <w:fldChar w:fldCharType="separate"/>
      </w:r>
      <w:r>
        <w:rPr>
          <w:rFonts w:ascii="Arial" w:hAnsi="Arial" w:cs="Arial"/>
        </w:rPr>
        <w:fldChar w:fldCharType="begin"/>
      </w:r>
      <w:r>
        <w:rPr>
          <w:rFonts w:ascii="Arial" w:hAnsi="Arial" w:cs="Arial"/>
        </w:rPr>
        <w:instrText xml:space="preserve"> HYPERLINK \l _Toc4885 </w:instrText>
      </w:r>
      <w:r>
        <w:rPr>
          <w:rFonts w:ascii="Arial" w:hAnsi="Arial" w:cs="Arial"/>
        </w:rPr>
        <w:fldChar w:fldCharType="separate"/>
      </w:r>
      <w:r>
        <w:rPr>
          <w:rFonts w:hint="default" w:ascii="Arial" w:hAnsi="Arial" w:cs="Arial"/>
          <w:bCs/>
          <w:szCs w:val="32"/>
        </w:rPr>
        <w:t>Executive Summary</w:t>
      </w:r>
      <w:r>
        <w:tab/>
      </w:r>
      <w:r>
        <w:fldChar w:fldCharType="begin"/>
      </w:r>
      <w:r>
        <w:instrText xml:space="preserve"> PAGEREF _Toc4885 \h </w:instrText>
      </w:r>
      <w:r>
        <w:fldChar w:fldCharType="separate"/>
      </w:r>
      <w:r>
        <w:t>2</w:t>
      </w:r>
      <w:r>
        <w:fldChar w:fldCharType="end"/>
      </w:r>
      <w:r>
        <w:rPr>
          <w:rFonts w:ascii="Arial" w:hAnsi="Arial" w:cs="Arial"/>
        </w:rPr>
        <w:fldChar w:fldCharType="end"/>
      </w:r>
    </w:p>
    <w:p w14:paraId="5C4889D9">
      <w:pPr>
        <w:pStyle w:val="21"/>
        <w:tabs>
          <w:tab w:val="right" w:leader="dot" w:pos="9026"/>
        </w:tabs>
      </w:pPr>
      <w:r>
        <w:rPr>
          <w:rFonts w:ascii="Arial" w:hAnsi="Arial" w:cs="Arial"/>
        </w:rPr>
        <w:fldChar w:fldCharType="begin"/>
      </w:r>
      <w:r>
        <w:rPr>
          <w:rFonts w:ascii="Arial" w:hAnsi="Arial" w:cs="Arial"/>
        </w:rPr>
        <w:instrText xml:space="preserve"> HYPERLINK \l _Toc8800 </w:instrText>
      </w:r>
      <w:r>
        <w:rPr>
          <w:rFonts w:ascii="Arial" w:hAnsi="Arial" w:cs="Arial"/>
        </w:rPr>
        <w:fldChar w:fldCharType="separate"/>
      </w:r>
      <w:r>
        <w:rPr>
          <w:rFonts w:hint="default" w:ascii="Arial" w:hAnsi="Arial" w:cs="Arial"/>
          <w:bCs/>
          <w:szCs w:val="32"/>
        </w:rPr>
        <w:t>Organisational Classification and Global Strategy</w:t>
      </w:r>
      <w:r>
        <w:tab/>
      </w:r>
      <w:r>
        <w:fldChar w:fldCharType="begin"/>
      </w:r>
      <w:r>
        <w:instrText xml:space="preserve"> PAGEREF _Toc8800 \h </w:instrText>
      </w:r>
      <w:r>
        <w:fldChar w:fldCharType="separate"/>
      </w:r>
      <w:r>
        <w:t>4</w:t>
      </w:r>
      <w:r>
        <w:fldChar w:fldCharType="end"/>
      </w:r>
      <w:r>
        <w:rPr>
          <w:rFonts w:ascii="Arial" w:hAnsi="Arial" w:cs="Arial"/>
        </w:rPr>
        <w:fldChar w:fldCharType="end"/>
      </w:r>
    </w:p>
    <w:p w14:paraId="159A1634">
      <w:pPr>
        <w:pStyle w:val="21"/>
        <w:tabs>
          <w:tab w:val="right" w:leader="dot" w:pos="9026"/>
        </w:tabs>
      </w:pPr>
      <w:r>
        <w:rPr>
          <w:rFonts w:ascii="Arial" w:hAnsi="Arial" w:cs="Arial"/>
        </w:rPr>
        <w:fldChar w:fldCharType="begin"/>
      </w:r>
      <w:r>
        <w:rPr>
          <w:rFonts w:ascii="Arial" w:hAnsi="Arial" w:cs="Arial"/>
        </w:rPr>
        <w:instrText xml:space="preserve"> HYPERLINK \l _Toc24747 </w:instrText>
      </w:r>
      <w:r>
        <w:rPr>
          <w:rFonts w:ascii="Arial" w:hAnsi="Arial" w:cs="Arial"/>
        </w:rPr>
        <w:fldChar w:fldCharType="separate"/>
      </w:r>
      <w:r>
        <w:rPr>
          <w:rFonts w:hint="default" w:ascii="Arial" w:hAnsi="Arial" w:cs="Arial"/>
          <w:bCs/>
          <w:szCs w:val="32"/>
        </w:rPr>
        <w:t>Macro-Environmental Appraisal and Market Attractiveness</w:t>
      </w:r>
      <w:r>
        <w:tab/>
      </w:r>
      <w:r>
        <w:fldChar w:fldCharType="begin"/>
      </w:r>
      <w:r>
        <w:instrText xml:space="preserve"> PAGEREF _Toc24747 \h </w:instrText>
      </w:r>
      <w:r>
        <w:fldChar w:fldCharType="separate"/>
      </w:r>
      <w:r>
        <w:t>7</w:t>
      </w:r>
      <w:r>
        <w:fldChar w:fldCharType="end"/>
      </w:r>
      <w:r>
        <w:rPr>
          <w:rFonts w:ascii="Arial" w:hAnsi="Arial" w:cs="Arial"/>
        </w:rPr>
        <w:fldChar w:fldCharType="end"/>
      </w:r>
    </w:p>
    <w:p w14:paraId="53518288">
      <w:pPr>
        <w:pStyle w:val="21"/>
        <w:tabs>
          <w:tab w:val="right" w:leader="dot" w:pos="9026"/>
        </w:tabs>
      </w:pPr>
      <w:r>
        <w:rPr>
          <w:rFonts w:ascii="Arial" w:hAnsi="Arial" w:cs="Arial"/>
        </w:rPr>
        <w:fldChar w:fldCharType="begin"/>
      </w:r>
      <w:r>
        <w:rPr>
          <w:rFonts w:ascii="Arial" w:hAnsi="Arial" w:cs="Arial"/>
        </w:rPr>
        <w:instrText xml:space="preserve"> HYPERLINK \l _Toc23801 </w:instrText>
      </w:r>
      <w:r>
        <w:rPr>
          <w:rFonts w:ascii="Arial" w:hAnsi="Arial" w:cs="Arial"/>
        </w:rPr>
        <w:fldChar w:fldCharType="separate"/>
      </w:r>
      <w:r>
        <w:rPr>
          <w:rFonts w:hint="default" w:ascii="Arial" w:hAnsi="Arial" w:cs="Arial"/>
          <w:bCs/>
          <w:szCs w:val="32"/>
        </w:rPr>
        <w:t>OLI Framework and Market Entry Logic</w:t>
      </w:r>
      <w:r>
        <w:tab/>
      </w:r>
      <w:r>
        <w:fldChar w:fldCharType="begin"/>
      </w:r>
      <w:r>
        <w:instrText xml:space="preserve"> PAGEREF _Toc23801 \h </w:instrText>
      </w:r>
      <w:r>
        <w:fldChar w:fldCharType="separate"/>
      </w:r>
      <w:r>
        <w:t>10</w:t>
      </w:r>
      <w:r>
        <w:fldChar w:fldCharType="end"/>
      </w:r>
      <w:r>
        <w:rPr>
          <w:rFonts w:ascii="Arial" w:hAnsi="Arial" w:cs="Arial"/>
        </w:rPr>
        <w:fldChar w:fldCharType="end"/>
      </w:r>
    </w:p>
    <w:p w14:paraId="4EEF7D6E">
      <w:pPr>
        <w:pStyle w:val="21"/>
        <w:tabs>
          <w:tab w:val="right" w:leader="dot" w:pos="9026"/>
        </w:tabs>
      </w:pPr>
      <w:r>
        <w:rPr>
          <w:rFonts w:ascii="Arial" w:hAnsi="Arial" w:cs="Arial"/>
        </w:rPr>
        <w:fldChar w:fldCharType="begin"/>
      </w:r>
      <w:r>
        <w:rPr>
          <w:rFonts w:ascii="Arial" w:hAnsi="Arial" w:cs="Arial"/>
        </w:rPr>
        <w:instrText xml:space="preserve"> HYPERLINK \l _Toc23306 </w:instrText>
      </w:r>
      <w:r>
        <w:rPr>
          <w:rFonts w:ascii="Arial" w:hAnsi="Arial" w:cs="Arial"/>
        </w:rPr>
        <w:fldChar w:fldCharType="separate"/>
      </w:r>
      <w:r>
        <w:rPr>
          <w:rFonts w:hint="default" w:ascii="Arial" w:hAnsi="Arial" w:cs="Arial"/>
          <w:bCs/>
          <w:szCs w:val="32"/>
        </w:rPr>
        <w:t>Entry Mode Strategy and Strategic Synthesis</w:t>
      </w:r>
      <w:r>
        <w:tab/>
      </w:r>
      <w:r>
        <w:fldChar w:fldCharType="begin"/>
      </w:r>
      <w:r>
        <w:instrText xml:space="preserve"> PAGEREF _Toc23306 \h </w:instrText>
      </w:r>
      <w:r>
        <w:fldChar w:fldCharType="separate"/>
      </w:r>
      <w:r>
        <w:t>12</w:t>
      </w:r>
      <w:r>
        <w:fldChar w:fldCharType="end"/>
      </w:r>
      <w:r>
        <w:rPr>
          <w:rFonts w:ascii="Arial" w:hAnsi="Arial" w:cs="Arial"/>
        </w:rPr>
        <w:fldChar w:fldCharType="end"/>
      </w:r>
    </w:p>
    <w:p w14:paraId="5B6E3C03">
      <w:pPr>
        <w:pStyle w:val="21"/>
        <w:tabs>
          <w:tab w:val="right" w:leader="dot" w:pos="9026"/>
        </w:tabs>
      </w:pPr>
      <w:r>
        <w:rPr>
          <w:rFonts w:ascii="Arial" w:hAnsi="Arial" w:cs="Arial"/>
        </w:rPr>
        <w:fldChar w:fldCharType="begin"/>
      </w:r>
      <w:r>
        <w:rPr>
          <w:rFonts w:ascii="Arial" w:hAnsi="Arial" w:cs="Arial"/>
        </w:rPr>
        <w:instrText xml:space="preserve"> HYPERLINK \l _Toc939 </w:instrText>
      </w:r>
      <w:r>
        <w:rPr>
          <w:rFonts w:ascii="Arial" w:hAnsi="Arial" w:cs="Arial"/>
        </w:rPr>
        <w:fldChar w:fldCharType="separate"/>
      </w:r>
      <w:r>
        <w:rPr>
          <w:rFonts w:hint="default" w:ascii="Arial" w:hAnsi="Arial" w:cs="Arial"/>
          <w:bCs/>
          <w:szCs w:val="32"/>
        </w:rPr>
        <w:t>Reflective Account – Gibbs’ Reflective Cycle</w:t>
      </w:r>
      <w:r>
        <w:tab/>
      </w:r>
      <w:r>
        <w:fldChar w:fldCharType="begin"/>
      </w:r>
      <w:r>
        <w:instrText xml:space="preserve"> PAGEREF _Toc939 \h </w:instrText>
      </w:r>
      <w:r>
        <w:fldChar w:fldCharType="separate"/>
      </w:r>
      <w:r>
        <w:t>13</w:t>
      </w:r>
      <w:r>
        <w:fldChar w:fldCharType="end"/>
      </w:r>
      <w:r>
        <w:rPr>
          <w:rFonts w:ascii="Arial" w:hAnsi="Arial" w:cs="Arial"/>
        </w:rPr>
        <w:fldChar w:fldCharType="end"/>
      </w:r>
    </w:p>
    <w:p w14:paraId="74A55AF0">
      <w:pPr>
        <w:pStyle w:val="21"/>
        <w:tabs>
          <w:tab w:val="right" w:leader="dot" w:pos="9026"/>
        </w:tabs>
      </w:pPr>
      <w:r>
        <w:rPr>
          <w:rFonts w:ascii="Arial" w:hAnsi="Arial" w:cs="Arial"/>
        </w:rPr>
        <w:fldChar w:fldCharType="begin"/>
      </w:r>
      <w:r>
        <w:rPr>
          <w:rFonts w:ascii="Arial" w:hAnsi="Arial" w:cs="Arial"/>
        </w:rPr>
        <w:instrText xml:space="preserve"> HYPERLINK \l _Toc2622 </w:instrText>
      </w:r>
      <w:r>
        <w:rPr>
          <w:rFonts w:ascii="Arial" w:hAnsi="Arial" w:cs="Arial"/>
        </w:rPr>
        <w:fldChar w:fldCharType="separate"/>
      </w:r>
      <w:r>
        <w:rPr>
          <w:rFonts w:hint="default" w:ascii="Arial" w:hAnsi="Arial" w:cs="Arial"/>
          <w:bCs/>
          <w:szCs w:val="32"/>
        </w:rPr>
        <w:t>Conclusion &amp; Recommendations</w:t>
      </w:r>
      <w:r>
        <w:tab/>
      </w:r>
      <w:r>
        <w:fldChar w:fldCharType="begin"/>
      </w:r>
      <w:r>
        <w:instrText xml:space="preserve"> PAGEREF _Toc2622 \h </w:instrText>
      </w:r>
      <w:r>
        <w:fldChar w:fldCharType="separate"/>
      </w:r>
      <w:r>
        <w:t>18</w:t>
      </w:r>
      <w:r>
        <w:fldChar w:fldCharType="end"/>
      </w:r>
      <w:r>
        <w:rPr>
          <w:rFonts w:ascii="Arial" w:hAnsi="Arial" w:cs="Arial"/>
        </w:rPr>
        <w:fldChar w:fldCharType="end"/>
      </w:r>
    </w:p>
    <w:p w14:paraId="1F829E9A">
      <w:pPr>
        <w:pStyle w:val="21"/>
        <w:tabs>
          <w:tab w:val="right" w:leader="dot" w:pos="9026"/>
        </w:tabs>
      </w:pPr>
      <w:r>
        <w:rPr>
          <w:rFonts w:ascii="Arial" w:hAnsi="Arial" w:cs="Arial"/>
        </w:rPr>
        <w:fldChar w:fldCharType="begin"/>
      </w:r>
      <w:r>
        <w:rPr>
          <w:rFonts w:ascii="Arial" w:hAnsi="Arial" w:cs="Arial"/>
        </w:rPr>
        <w:instrText xml:space="preserve"> HYPERLINK \l _Toc19733 </w:instrText>
      </w:r>
      <w:r>
        <w:rPr>
          <w:rFonts w:ascii="Arial" w:hAnsi="Arial" w:cs="Arial"/>
        </w:rPr>
        <w:fldChar w:fldCharType="separate"/>
      </w:r>
      <w:r>
        <w:rPr>
          <w:rFonts w:hint="default" w:ascii="Arial" w:hAnsi="Arial" w:cs="Arial"/>
          <w:bCs/>
          <w:szCs w:val="32"/>
        </w:rPr>
        <w:t>References</w:t>
      </w:r>
      <w:r>
        <w:tab/>
      </w:r>
      <w:r>
        <w:fldChar w:fldCharType="begin"/>
      </w:r>
      <w:r>
        <w:instrText xml:space="preserve"> PAGEREF _Toc19733 \h </w:instrText>
      </w:r>
      <w:r>
        <w:fldChar w:fldCharType="separate"/>
      </w:r>
      <w:r>
        <w:t>20</w:t>
      </w:r>
      <w:r>
        <w:fldChar w:fldCharType="end"/>
      </w:r>
      <w:r>
        <w:rPr>
          <w:rFonts w:ascii="Arial" w:hAnsi="Arial" w:cs="Arial"/>
        </w:rPr>
        <w:fldChar w:fldCharType="end"/>
      </w:r>
    </w:p>
    <w:p w14:paraId="332935D0">
      <w:pPr>
        <w:spacing w:line="360" w:lineRule="auto"/>
        <w:rPr>
          <w:rFonts w:ascii="Arial" w:hAnsi="Arial" w:cs="Arial"/>
        </w:rPr>
      </w:pPr>
      <w:r>
        <w:rPr>
          <w:rFonts w:ascii="Arial" w:hAnsi="Arial" w:cs="Arial"/>
        </w:rPr>
        <w:fldChar w:fldCharType="end"/>
      </w:r>
    </w:p>
    <w:p w14:paraId="23513D3F">
      <w:pPr>
        <w:spacing w:line="360" w:lineRule="auto"/>
        <w:rPr>
          <w:rFonts w:ascii="Arial" w:hAnsi="Arial" w:cs="Arial"/>
        </w:rPr>
      </w:pPr>
    </w:p>
    <w:p w14:paraId="7332FBBF">
      <w:pPr>
        <w:spacing w:line="360" w:lineRule="auto"/>
        <w:rPr>
          <w:rFonts w:ascii="Arial" w:hAnsi="Arial" w:cs="Arial"/>
        </w:rPr>
      </w:pPr>
    </w:p>
    <w:p w14:paraId="028E4478">
      <w:pPr>
        <w:spacing w:line="360" w:lineRule="auto"/>
        <w:rPr>
          <w:rFonts w:ascii="Arial" w:hAnsi="Arial" w:cs="Arial"/>
        </w:rPr>
      </w:pPr>
    </w:p>
    <w:p w14:paraId="478CACEE">
      <w:pPr>
        <w:spacing w:line="360" w:lineRule="auto"/>
        <w:rPr>
          <w:rFonts w:ascii="Arial" w:hAnsi="Arial" w:cs="Arial"/>
        </w:rPr>
      </w:pPr>
    </w:p>
    <w:p w14:paraId="0D7FC779">
      <w:pPr>
        <w:spacing w:line="360" w:lineRule="auto"/>
        <w:rPr>
          <w:rFonts w:ascii="Arial" w:hAnsi="Arial" w:cs="Arial"/>
        </w:rPr>
      </w:pPr>
    </w:p>
    <w:p w14:paraId="72860479">
      <w:pPr>
        <w:spacing w:line="360" w:lineRule="auto"/>
        <w:rPr>
          <w:rFonts w:ascii="Arial" w:hAnsi="Arial" w:cs="Arial"/>
        </w:rPr>
      </w:pPr>
    </w:p>
    <w:p w14:paraId="6D30EDEA">
      <w:pPr>
        <w:spacing w:line="360" w:lineRule="auto"/>
        <w:rPr>
          <w:rFonts w:ascii="Arial" w:hAnsi="Arial" w:cs="Arial"/>
        </w:rPr>
      </w:pPr>
    </w:p>
    <w:p w14:paraId="00DE3530">
      <w:pPr>
        <w:spacing w:line="360" w:lineRule="auto"/>
        <w:rPr>
          <w:rFonts w:ascii="Arial" w:hAnsi="Arial" w:cs="Arial"/>
        </w:rPr>
      </w:pPr>
    </w:p>
    <w:p w14:paraId="18BB73DD">
      <w:pPr>
        <w:spacing w:line="360" w:lineRule="auto"/>
        <w:rPr>
          <w:rFonts w:ascii="Arial" w:hAnsi="Arial" w:cs="Arial"/>
          <w:b/>
          <w:bCs/>
          <w:sz w:val="28"/>
          <w:szCs w:val="28"/>
        </w:rPr>
      </w:pPr>
    </w:p>
    <w:p w14:paraId="473D24ED">
      <w:pPr>
        <w:spacing w:line="360" w:lineRule="auto"/>
        <w:rPr>
          <w:rFonts w:ascii="Arial" w:hAnsi="Arial" w:cs="Arial"/>
          <w:b/>
          <w:bCs/>
          <w:sz w:val="28"/>
          <w:szCs w:val="28"/>
        </w:rPr>
      </w:pPr>
    </w:p>
    <w:p w14:paraId="17C41A42">
      <w:pPr>
        <w:spacing w:line="360" w:lineRule="auto"/>
        <w:rPr>
          <w:rFonts w:ascii="Arial" w:hAnsi="Arial" w:cs="Arial"/>
          <w:b/>
          <w:bCs/>
          <w:sz w:val="28"/>
          <w:szCs w:val="28"/>
        </w:rPr>
      </w:pPr>
    </w:p>
    <w:p w14:paraId="69776F6B">
      <w:pPr>
        <w:pStyle w:val="2"/>
        <w:bidi w:val="0"/>
        <w:rPr>
          <w:rFonts w:hint="default" w:ascii="Arial" w:hAnsi="Arial" w:cs="Arial"/>
          <w:b/>
          <w:bCs/>
          <w:color w:val="000000" w:themeColor="text1"/>
          <w:sz w:val="32"/>
          <w:szCs w:val="32"/>
          <w14:textFill>
            <w14:solidFill>
              <w14:schemeClr w14:val="tx1"/>
            </w14:solidFill>
          </w14:textFill>
        </w:rPr>
      </w:pPr>
      <w:bookmarkStart w:id="0" w:name="_Toc4885"/>
      <w:r>
        <w:rPr>
          <w:rFonts w:hint="default" w:ascii="Arial" w:hAnsi="Arial" w:cs="Arial"/>
          <w:b/>
          <w:bCs/>
          <w:color w:val="000000" w:themeColor="text1"/>
          <w:sz w:val="32"/>
          <w:szCs w:val="32"/>
          <w14:textFill>
            <w14:solidFill>
              <w14:schemeClr w14:val="tx1"/>
            </w14:solidFill>
          </w14:textFill>
        </w:rPr>
        <w:t>Executive Summary</w:t>
      </w:r>
      <w:bookmarkEnd w:id="0"/>
    </w:p>
    <w:p w14:paraId="0D5AE792">
      <w:pPr>
        <w:spacing w:line="360" w:lineRule="auto"/>
        <w:jc w:val="both"/>
        <w:rPr>
          <w:rFonts w:hint="default" w:ascii="Arial" w:hAnsi="Arial" w:cs="Arial"/>
          <w:sz w:val="24"/>
          <w:szCs w:val="24"/>
        </w:rPr>
      </w:pPr>
      <w:r>
        <w:rPr>
          <w:rFonts w:hint="default" w:ascii="Arial" w:hAnsi="Arial" w:cs="Arial"/>
          <w:sz w:val="24"/>
          <w:szCs w:val="24"/>
        </w:rPr>
        <w:t>The objective of this report is to assess the strategic feasibility of Lidl, a German hard discount supermarket, establishing operations in India in the grocery retail sector. The business model of Lidl includes cost leadership, operational efficiency, private label products, centralized purchasing, and integrated logistics. The firm has considerable advantages due to its size but the Indian market is very different from other markets and cannot adopt Lidl’s current business model. Lidl operates in 31 countries and employs 360,000 people which illustrates the scale of organization and international capabilities that Lidl may apply to enter India.</w:t>
      </w:r>
      <w:r>
        <w:rPr>
          <w:rFonts w:hint="default" w:ascii="Arial" w:hAnsi="Arial" w:eastAsia="SimSun" w:cs="Arial"/>
          <w:sz w:val="24"/>
          <w:szCs w:val="24"/>
        </w:rPr>
        <w:t>(Lidl, 2026)</w:t>
      </w:r>
    </w:p>
    <w:p w14:paraId="095ED8DE">
      <w:pPr>
        <w:spacing w:line="360" w:lineRule="auto"/>
        <w:jc w:val="both"/>
        <w:rPr>
          <w:rFonts w:hint="default" w:ascii="Arial" w:hAnsi="Arial" w:cs="Arial"/>
          <w:sz w:val="24"/>
          <w:szCs w:val="24"/>
        </w:rPr>
      </w:pPr>
      <w:r>
        <w:rPr>
          <w:rFonts w:hint="default" w:ascii="Arial" w:hAnsi="Arial" w:cs="Arial"/>
          <w:sz w:val="24"/>
          <w:szCs w:val="24"/>
        </w:rPr>
        <w:t>The pressures for integration and responsiveness using Bartlett and Ghoshal's Integration-Responsiveness Framework are high and Lidl should maintain its core cost-efficient business model and adapt other aspects of its operations to the Indian market conditions. Thus, a Transnational Strategy is considered appropriate as compared to the Global Strategy.</w:t>
      </w:r>
    </w:p>
    <w:p w14:paraId="0152EB10">
      <w:pPr>
        <w:spacing w:line="360" w:lineRule="auto"/>
        <w:jc w:val="both"/>
        <w:rPr>
          <w:rFonts w:hint="default" w:ascii="Arial" w:hAnsi="Arial" w:cs="Arial"/>
          <w:sz w:val="24"/>
          <w:szCs w:val="24"/>
        </w:rPr>
      </w:pPr>
      <w:r>
        <w:rPr>
          <w:rFonts w:hint="default" w:ascii="Arial" w:hAnsi="Arial" w:cs="Arial"/>
          <w:sz w:val="24"/>
          <w:szCs w:val="24"/>
        </w:rPr>
        <w:t>India presents itself as a potentially attractive place for investment due to its huge consumer base, urbanization, growth of the organized retail sector and demand for value-for-money products. But, market attractiveness is limited by the regulatory issues surrounding the entry of foreign companies into the multi-brand retail segment. Under the Indian FDI regime, foreign investment of 51% is allowed in multi-brand retail through the government route. There are certain regulatory issues relating to minimum investment, back-end logistics and sourcing. These play a very crucial role in determining the mode of entry.</w:t>
      </w:r>
    </w:p>
    <w:p w14:paraId="4A58006A">
      <w:pPr>
        <w:spacing w:line="360" w:lineRule="auto"/>
        <w:jc w:val="both"/>
        <w:rPr>
          <w:rFonts w:hint="default" w:ascii="Arial" w:hAnsi="Arial" w:cs="Arial"/>
          <w:sz w:val="24"/>
          <w:szCs w:val="24"/>
        </w:rPr>
      </w:pPr>
      <w:r>
        <w:rPr>
          <w:rFonts w:hint="default" w:ascii="Arial" w:hAnsi="Arial" w:cs="Arial"/>
          <w:sz w:val="24"/>
          <w:szCs w:val="24"/>
        </w:rPr>
        <w:t>Dunning’s OLI model further clarifies that Lidl has the Ownership advantage because of its purchasing power, private label capabilities, logistics know-how and systems. India provides Location advantage because of the scale of the market, sourcing possibilities and future growth in the retail sector. But, the Internalization advantages must be considered against the regulatory challenges.</w:t>
      </w:r>
    </w:p>
    <w:p w14:paraId="031057B8">
      <w:pPr>
        <w:spacing w:line="360" w:lineRule="auto"/>
        <w:jc w:val="both"/>
        <w:rPr>
          <w:rFonts w:hint="default" w:ascii="Arial" w:hAnsi="Arial" w:cs="Arial"/>
          <w:sz w:val="24"/>
          <w:szCs w:val="24"/>
        </w:rPr>
      </w:pPr>
      <w:r>
        <w:rPr>
          <w:rFonts w:hint="default" w:ascii="Arial" w:hAnsi="Arial" w:cs="Arial"/>
          <w:sz w:val="24"/>
          <w:szCs w:val="24"/>
        </w:rPr>
        <w:t>The recommendation is thus a staged approach. Lidl should first set up its own wholly owned cash and carry business, which will help it learn about the supply chain logistics in the country. The Indian government allows 100% FDI via automatic route for cash and carry wholesale business subject to meeting the required conditions. Once learning about the market and setting up the required logistics system is done, Lidl can think of a consumer-oriented multi-brand retail business subject to the same considerations.</w:t>
      </w:r>
    </w:p>
    <w:p w14:paraId="14776102">
      <w:pPr>
        <w:spacing w:line="360" w:lineRule="auto"/>
        <w:jc w:val="both"/>
        <w:rPr>
          <w:rFonts w:hint="default" w:ascii="Arial" w:hAnsi="Arial" w:cs="Arial"/>
          <w:sz w:val="24"/>
          <w:szCs w:val="24"/>
        </w:rPr>
      </w:pPr>
      <w:r>
        <w:rPr>
          <w:rFonts w:hint="default" w:ascii="Arial" w:hAnsi="Arial" w:cs="Arial"/>
          <w:sz w:val="24"/>
          <w:szCs w:val="24"/>
        </w:rPr>
        <w:t>India certainly provides Lidl with great strategic opportunities, but these depend not so much on replicating its European model as on combining global cost advantages with strong local response.</w:t>
      </w:r>
    </w:p>
    <w:p w14:paraId="3FAB5C19">
      <w:pPr>
        <w:spacing w:line="360" w:lineRule="auto"/>
        <w:jc w:val="both"/>
        <w:rPr>
          <w:rFonts w:hint="default" w:ascii="Arial" w:hAnsi="Arial" w:cs="Arial"/>
          <w:sz w:val="24"/>
          <w:szCs w:val="24"/>
        </w:rPr>
      </w:pPr>
    </w:p>
    <w:p w14:paraId="2CB4929B">
      <w:pPr>
        <w:pStyle w:val="2"/>
        <w:bidi w:val="0"/>
        <w:rPr>
          <w:rFonts w:hint="default" w:ascii="Arial" w:hAnsi="Arial" w:cs="Arial"/>
          <w:b/>
          <w:bCs/>
          <w:color w:val="000000" w:themeColor="text1"/>
          <w:sz w:val="32"/>
          <w:szCs w:val="32"/>
          <w14:textFill>
            <w14:solidFill>
              <w14:schemeClr w14:val="tx1"/>
            </w14:solidFill>
          </w14:textFill>
        </w:rPr>
      </w:pPr>
      <w:bookmarkStart w:id="1" w:name="_Toc8800"/>
      <w:r>
        <w:rPr>
          <w:rFonts w:hint="default" w:ascii="Arial" w:hAnsi="Arial" w:cs="Arial"/>
          <w:b/>
          <w:bCs/>
          <w:color w:val="000000" w:themeColor="text1"/>
          <w:sz w:val="32"/>
          <w:szCs w:val="32"/>
          <w14:textFill>
            <w14:solidFill>
              <w14:schemeClr w14:val="tx1"/>
            </w14:solidFill>
          </w14:textFill>
        </w:rPr>
        <w:t>Organisational Classification and Global Strategy</w:t>
      </w:r>
      <w:bookmarkEnd w:id="1"/>
    </w:p>
    <w:p w14:paraId="7C47AE26">
      <w:pPr>
        <w:spacing w:line="360" w:lineRule="auto"/>
        <w:jc w:val="both"/>
        <w:rPr>
          <w:rFonts w:hint="default" w:ascii="Arial" w:hAnsi="Arial" w:eastAsia="SimSun" w:cs="Arial"/>
          <w:b/>
          <w:bCs/>
          <w:sz w:val="32"/>
          <w:szCs w:val="32"/>
        </w:rPr>
      </w:pPr>
    </w:p>
    <w:p w14:paraId="6FEE5116">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Bartlett and Ghoshal’s Integration–Responsiveness Framework</w:t>
      </w:r>
    </w:p>
    <w:p w14:paraId="2D3B8033">
      <w:pPr>
        <w:spacing w:line="360" w:lineRule="auto"/>
        <w:jc w:val="both"/>
        <w:rPr>
          <w:rFonts w:hint="default" w:ascii="Arial" w:hAnsi="Arial" w:cs="Arial"/>
          <w:b w:val="0"/>
          <w:bCs w:val="0"/>
          <w:sz w:val="24"/>
          <w:szCs w:val="24"/>
        </w:rPr>
      </w:pPr>
      <w:r>
        <w:rPr>
          <w:rFonts w:hint="default" w:ascii="Arial" w:hAnsi="Arial" w:cs="Arial"/>
          <w:b w:val="0"/>
          <w:bCs w:val="0"/>
          <w:sz w:val="24"/>
          <w:szCs w:val="24"/>
        </w:rPr>
        <w:t>The Integration-Responsiveness (I-R) framework of Bartlett and Ghoshal (1989) is suitable for the categorisation of Lidl’s international strategy since the model assesses multinational firms based on two opposing strategic forces such as the force of global integration and cost efficiency and the force of local responsiveness. The existing business model of Lidl is characterised by high force of global integration and cost efficiency. The competitive advantage of Lidl is provided by the following factors: centralised procurement, standardised store format, relatively narrow range of products, private label manufacturing and efficient supply chain management.</w:t>
      </w:r>
      <w:r>
        <w:rPr>
          <w:rFonts w:hint="default" w:ascii="Arial" w:hAnsi="Arial" w:eastAsia="SimSun" w:cs="Arial"/>
          <w:sz w:val="24"/>
          <w:szCs w:val="24"/>
        </w:rPr>
        <w:t>(Bartlett and Ghoshal, 1989)</w:t>
      </w:r>
    </w:p>
    <w:p w14:paraId="1F598F46">
      <w:pPr>
        <w:spacing w:line="360" w:lineRule="auto"/>
        <w:jc w:val="both"/>
        <w:rPr>
          <w:rFonts w:hint="default" w:ascii="Arial" w:hAnsi="Arial" w:cs="Arial"/>
          <w:b w:val="0"/>
          <w:bCs w:val="0"/>
          <w:sz w:val="24"/>
          <w:szCs w:val="24"/>
        </w:rPr>
      </w:pPr>
      <w:r>
        <w:rPr>
          <w:rFonts w:hint="default" w:ascii="Arial" w:hAnsi="Arial" w:cs="Arial"/>
          <w:b w:val="0"/>
          <w:bCs w:val="0"/>
          <w:sz w:val="24"/>
          <w:szCs w:val="24"/>
        </w:rPr>
        <w:t>Following the I-R approach, it may then be stated that Lidl belongs to the category of global organisations. This categorisation is based on the degree of competitiveness of Lidl relying on the transfer of centrally designed competencies rather than on the reorganisation of the business according to individual needs of each particular nation. The focus on standardisation helps the company to cut costs, gain buying economies and ensure product quality and store execution consistency. It serves as an essential source of competitive advantage as the hard-discounter requires low costs as a prerequisite of competitive pricing.</w:t>
      </w:r>
    </w:p>
    <w:p w14:paraId="57B690AE">
      <w:pPr>
        <w:spacing w:line="360" w:lineRule="auto"/>
        <w:jc w:val="both"/>
        <w:rPr>
          <w:rFonts w:hint="default" w:ascii="Arial" w:hAnsi="Arial" w:cs="Arial"/>
          <w:b w:val="0"/>
          <w:bCs w:val="0"/>
          <w:sz w:val="24"/>
          <w:szCs w:val="24"/>
        </w:rPr>
      </w:pPr>
      <w:r>
        <w:rPr>
          <w:rFonts w:hint="default" w:ascii="Arial" w:hAnsi="Arial" w:cs="Arial"/>
          <w:b w:val="0"/>
          <w:bCs w:val="0"/>
          <w:sz w:val="24"/>
          <w:szCs w:val="24"/>
        </w:rPr>
        <w:t>Nevertheless, the categorisation of Lidl as a global company does not imply that everything about it is possible to standardise internationally. International retail is vulnerable to many factors including differences in consumer preferences, institutions, regulation, infrastructure and competition. Thus, the appropriateness of Lidl’s traditional Global Strategy needs to be evaluated considering the specific nature of the Indian market.</w:t>
      </w:r>
    </w:p>
    <w:p w14:paraId="0D3A93B9">
      <w:pPr>
        <w:spacing w:line="360" w:lineRule="auto"/>
        <w:jc w:val="both"/>
        <w:rPr>
          <w:rFonts w:hint="default" w:ascii="Arial" w:hAnsi="Arial" w:cs="Arial"/>
          <w:b w:val="0"/>
          <w:bCs w:val="0"/>
          <w:sz w:val="24"/>
          <w:szCs w:val="24"/>
        </w:rPr>
      </w:pPr>
    </w:p>
    <w:p w14:paraId="4856F948">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Lidl’s Global Strategy and Sources of Competitive Advantage</w:t>
      </w:r>
    </w:p>
    <w:p w14:paraId="7AD3EB30">
      <w:pPr>
        <w:spacing w:line="360" w:lineRule="auto"/>
        <w:jc w:val="both"/>
        <w:rPr>
          <w:rFonts w:hint="default" w:ascii="Arial" w:hAnsi="Arial" w:cs="Arial"/>
          <w:sz w:val="24"/>
          <w:szCs w:val="24"/>
          <w:lang w:val="en-US"/>
        </w:rPr>
      </w:pPr>
      <w:r>
        <w:rPr>
          <w:rFonts w:hint="default" w:ascii="Arial" w:hAnsi="Arial" w:cs="Arial"/>
          <w:sz w:val="24"/>
          <w:szCs w:val="24"/>
        </w:rPr>
        <w:t>Cost leadership and efficiency are key aspects of Lidl’s global strategy. Through centralized purchasing, Lidl benefits from its size on the global market to negotiate better conditions with suppliers, while private label products give Lidl more control over specifications and pricing of the products. Standardization of operations and retail formats helps in achieving efficiency in the organization by eliminating any unnecessary complications</w:t>
      </w:r>
      <w:r>
        <w:rPr>
          <w:rFonts w:hint="default" w:ascii="Arial" w:hAnsi="Arial" w:cs="Arial"/>
          <w:sz w:val="24"/>
          <w:szCs w:val="24"/>
          <w:lang w:val="en-US"/>
        </w:rPr>
        <w:t>.</w:t>
      </w:r>
    </w:p>
    <w:p w14:paraId="1D26FE01">
      <w:pPr>
        <w:spacing w:line="360" w:lineRule="auto"/>
        <w:jc w:val="both"/>
        <w:rPr>
          <w:rFonts w:hint="default" w:ascii="Arial" w:hAnsi="Arial" w:cs="Arial"/>
          <w:sz w:val="24"/>
          <w:szCs w:val="24"/>
        </w:rPr>
      </w:pPr>
      <w:r>
        <w:rPr>
          <w:rFonts w:hint="default" w:ascii="Arial" w:hAnsi="Arial" w:cs="Arial"/>
          <w:sz w:val="24"/>
          <w:szCs w:val="24"/>
        </w:rPr>
        <w:t>The international structure of the resources is a source of value creation for Lidl because the knowledge gained through the purchasing practices and logistics operations in one subsidiary can be utilized in other subsidiaries through organizational learning. The report, therefore, highlights the importance of Lidl’s global network, logistics operations, and purchasing power as a competitive advantage.</w:t>
      </w:r>
    </w:p>
    <w:p w14:paraId="45E2EF7C">
      <w:pPr>
        <w:spacing w:line="360" w:lineRule="auto"/>
        <w:jc w:val="both"/>
        <w:rPr>
          <w:rFonts w:hint="default" w:ascii="Arial" w:hAnsi="Arial" w:cs="Arial"/>
          <w:sz w:val="24"/>
          <w:szCs w:val="24"/>
        </w:rPr>
      </w:pPr>
      <w:r>
        <w:rPr>
          <w:rFonts w:hint="default" w:ascii="Arial" w:hAnsi="Arial" w:cs="Arial"/>
          <w:sz w:val="24"/>
          <w:szCs w:val="24"/>
        </w:rPr>
        <w:t>However, at the same time, the very strengths that give rise to efficiency also give rise to inflexibility. A business model built on the principle of standardisation might not be able to adapt quickly enough to environments in which consumer demands, regulations, and buying behavior are very different from what is typical in Lidl’s established markets. This is the key strategic challenge facing Lidl in India – how to safeguard its efficiency while avoiding standardisation.</w:t>
      </w:r>
    </w:p>
    <w:p w14:paraId="7010B091">
      <w:pPr>
        <w:spacing w:line="360" w:lineRule="auto"/>
        <w:jc w:val="both"/>
        <w:rPr>
          <w:rFonts w:hint="default" w:ascii="Arial" w:hAnsi="Arial" w:cs="Arial"/>
          <w:sz w:val="24"/>
          <w:szCs w:val="24"/>
        </w:rPr>
      </w:pPr>
    </w:p>
    <w:p w14:paraId="5DF31B63">
      <w:pPr>
        <w:spacing w:line="360" w:lineRule="auto"/>
        <w:jc w:val="both"/>
        <w:rPr>
          <w:rFonts w:hint="default" w:ascii="Arial" w:hAnsi="Arial" w:cs="Arial"/>
          <w:b/>
          <w:bCs/>
          <w:sz w:val="28"/>
          <w:szCs w:val="28"/>
        </w:rPr>
      </w:pPr>
      <w:r>
        <w:rPr>
          <w:rFonts w:hint="default" w:ascii="Arial" w:hAnsi="Arial" w:eastAsia="SimSun" w:cs="Arial"/>
          <w:b/>
          <w:bCs/>
          <w:sz w:val="28"/>
          <w:szCs w:val="28"/>
        </w:rPr>
        <w:t>Strategic Pressures in the Indian Market</w:t>
      </w:r>
    </w:p>
    <w:p w14:paraId="2E114F37">
      <w:pPr>
        <w:spacing w:line="360" w:lineRule="auto"/>
        <w:jc w:val="both"/>
        <w:rPr>
          <w:rFonts w:hint="default" w:ascii="Arial" w:hAnsi="Arial" w:cs="Arial"/>
          <w:b w:val="0"/>
          <w:bCs w:val="0"/>
          <w:sz w:val="24"/>
          <w:szCs w:val="24"/>
        </w:rPr>
      </w:pPr>
      <w:r>
        <w:rPr>
          <w:rFonts w:hint="default" w:ascii="Arial" w:hAnsi="Arial" w:cs="Arial"/>
          <w:b w:val="0"/>
          <w:bCs w:val="0"/>
          <w:sz w:val="24"/>
          <w:szCs w:val="24"/>
        </w:rPr>
        <w:t>The degree of pressure for local responsiveness in India would be much higher than the pressure created through Lidl's Global Strategy. The grocery industry of India is known for its regional variation of preferences, eating habits, buying behaviour and formats. The existing study highlights that there are many other factors such as vegetarianism, fresh foods, kirana stores and grocery shopping using technology which could make Lidl consider the need for adaptation.</w:t>
      </w:r>
    </w:p>
    <w:p w14:paraId="09EEF9D7">
      <w:pPr>
        <w:spacing w:line="360" w:lineRule="auto"/>
        <w:jc w:val="both"/>
        <w:rPr>
          <w:rFonts w:hint="default" w:ascii="Arial" w:hAnsi="Arial" w:cs="Arial"/>
          <w:b w:val="0"/>
          <w:bCs w:val="0"/>
          <w:sz w:val="24"/>
          <w:szCs w:val="24"/>
        </w:rPr>
      </w:pPr>
      <w:r>
        <w:rPr>
          <w:rFonts w:hint="default" w:ascii="Arial" w:hAnsi="Arial" w:cs="Arial"/>
          <w:b w:val="0"/>
          <w:bCs w:val="0"/>
          <w:sz w:val="24"/>
          <w:szCs w:val="24"/>
        </w:rPr>
        <w:t>A further factor that creates pressure for local responsiveness is regulation. Lidl would have to run under the specific framework of FDI in India. Local sourcing and requirements for back-end infrastructure would impact procurement and logistics structure as well. This means that Lidl cannot only depend on its global supplier network and global operating system. It needs to establish relations with Indian suppliers and MSMEs along with understanding of local regulations.</w:t>
      </w:r>
    </w:p>
    <w:p w14:paraId="23A8C193">
      <w:pPr>
        <w:spacing w:line="360" w:lineRule="auto"/>
        <w:jc w:val="both"/>
        <w:rPr>
          <w:rFonts w:hint="default" w:ascii="Arial" w:hAnsi="Arial" w:cs="Arial"/>
          <w:b w:val="0"/>
          <w:bCs w:val="0"/>
          <w:sz w:val="24"/>
          <w:szCs w:val="24"/>
        </w:rPr>
      </w:pPr>
      <w:r>
        <w:rPr>
          <w:rFonts w:hint="default" w:ascii="Arial" w:hAnsi="Arial" w:cs="Arial"/>
          <w:b w:val="0"/>
          <w:bCs w:val="0"/>
          <w:sz w:val="24"/>
          <w:szCs w:val="24"/>
        </w:rPr>
        <w:t>This creates a strategic dilemma. Firstly, on one hand, Lidl needs to retain the strengths that it enjoys globally in purchasing, private label, logistics, cost management and efficiency. On the other hand, it has to adjust its range, purchasing, store operations and offer to suit the Indian market. If it tries to pursue any one of these two strategies aggressively, it will end up creating risks for itself because of possible poor fit or weak cost base.</w:t>
      </w:r>
    </w:p>
    <w:p w14:paraId="40432AAC">
      <w:pPr>
        <w:spacing w:line="360" w:lineRule="auto"/>
        <w:jc w:val="both"/>
        <w:rPr>
          <w:rFonts w:hint="default" w:ascii="Arial" w:hAnsi="Arial" w:cs="Arial"/>
          <w:b w:val="0"/>
          <w:bCs w:val="0"/>
          <w:sz w:val="24"/>
          <w:szCs w:val="24"/>
        </w:rPr>
      </w:pPr>
    </w:p>
    <w:p w14:paraId="49D37E09">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Strategic Shift Towards a Transnational Strategy</w:t>
      </w:r>
    </w:p>
    <w:p w14:paraId="1D31C77E">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This analysis suggests, therefore, that Lidl must make a transition from its conventional Global Strategy to Transnational Strategy strategy in view of the Indian context. The Transnational Strategy of Bartlett and Ghoshal (1989) is an apt strategy for multinational firms where there are pressures from both sides - global integration and local responsiveness.</w:t>
      </w:r>
    </w:p>
    <w:p w14:paraId="50E7E948">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 the case of Lidl India, it should not be the aim of the company to do away with standardization. However, it should rather try to find out what aspects should be kept in line with global integration capabilities and what aspects need to be changed according to the local environment. The core of purchasing, cost control, private label, logistics and performance standards of the organization must be integrated with its international capabilities.</w:t>
      </w:r>
    </w:p>
    <w:p w14:paraId="539F2AED">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It is also a way in which Lidl can benefit from its global scale economics while also gaining the responsiveness necessary to successfully compete in India. Critically, however, such localization needs to be strategic in nature and should not be applied universally. Excessive localization may lead to higher costs and increased complexities, potentially jeopardizing the hard discounting approach. Thus, the strategic question is what aspects of localization will bring added value to the customers and regulators while others continue to offer advantages through standardization.</w:t>
      </w:r>
    </w:p>
    <w:p w14:paraId="38E80F99">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 this respect, it is clear that a Transnational strategy offers the most appropriate strategic fit for Lidl’s possible entry into the Indian market. This type of strategy allows the firm to apply its global competencies in the Indian environment while also allowing learning from India to inform the wider organization.</w:t>
      </w:r>
    </w:p>
    <w:p w14:paraId="026C3549">
      <w:pPr>
        <w:spacing w:line="360" w:lineRule="auto"/>
        <w:jc w:val="both"/>
        <w:rPr>
          <w:rFonts w:hint="default" w:ascii="Arial" w:hAnsi="Arial" w:eastAsia="SimSun" w:cs="Arial"/>
          <w:b w:val="0"/>
          <w:bCs w:val="0"/>
          <w:sz w:val="24"/>
          <w:szCs w:val="24"/>
        </w:rPr>
      </w:pPr>
    </w:p>
    <w:p w14:paraId="48ABF7A6">
      <w:pPr>
        <w:pStyle w:val="2"/>
        <w:bidi w:val="0"/>
        <w:rPr>
          <w:rFonts w:hint="default" w:ascii="Arial" w:hAnsi="Arial" w:cs="Arial"/>
          <w:b/>
          <w:bCs/>
          <w:color w:val="000000" w:themeColor="text1"/>
          <w:sz w:val="32"/>
          <w:szCs w:val="32"/>
          <w14:textFill>
            <w14:solidFill>
              <w14:schemeClr w14:val="tx1"/>
            </w14:solidFill>
          </w14:textFill>
        </w:rPr>
      </w:pPr>
      <w:bookmarkStart w:id="2" w:name="_Toc24747"/>
      <w:r>
        <w:rPr>
          <w:rFonts w:hint="default" w:ascii="Arial" w:hAnsi="Arial" w:cs="Arial"/>
          <w:b/>
          <w:bCs/>
          <w:color w:val="000000" w:themeColor="text1"/>
          <w:sz w:val="32"/>
          <w:szCs w:val="32"/>
          <w14:textFill>
            <w14:solidFill>
              <w14:schemeClr w14:val="tx1"/>
            </w14:solidFill>
          </w14:textFill>
        </w:rPr>
        <w:t>Macro-Environmental Appraisal and Market Attractiveness</w:t>
      </w:r>
      <w:bookmarkEnd w:id="2"/>
    </w:p>
    <w:p w14:paraId="324A94BD">
      <w:pPr>
        <w:spacing w:line="360" w:lineRule="auto"/>
        <w:jc w:val="both"/>
        <w:rPr>
          <w:rFonts w:hint="default" w:ascii="Arial" w:hAnsi="Arial" w:cs="Arial"/>
          <w:b w:val="0"/>
          <w:bCs w:val="0"/>
          <w:sz w:val="24"/>
          <w:szCs w:val="24"/>
        </w:rPr>
      </w:pPr>
    </w:p>
    <w:p w14:paraId="29262B26">
      <w:pPr>
        <w:spacing w:line="360" w:lineRule="auto"/>
        <w:jc w:val="both"/>
        <w:rPr>
          <w:rFonts w:hint="default" w:ascii="Arial" w:hAnsi="Arial" w:cs="Arial"/>
          <w:b/>
          <w:bCs/>
          <w:sz w:val="28"/>
          <w:szCs w:val="28"/>
        </w:rPr>
      </w:pPr>
      <w:r>
        <w:rPr>
          <w:rFonts w:hint="default" w:ascii="Arial" w:hAnsi="Arial" w:eastAsia="SimSun" w:cs="Arial"/>
          <w:b/>
          <w:bCs/>
          <w:sz w:val="28"/>
          <w:szCs w:val="28"/>
        </w:rPr>
        <w:t>Host-Country Market Assessment</w:t>
      </w:r>
    </w:p>
    <w:p w14:paraId="788B3248">
      <w:pPr>
        <w:spacing w:line="360" w:lineRule="auto"/>
        <w:jc w:val="both"/>
        <w:rPr>
          <w:rFonts w:hint="default" w:ascii="Arial" w:hAnsi="Arial" w:cs="Arial"/>
          <w:b w:val="0"/>
          <w:bCs w:val="0"/>
          <w:sz w:val="24"/>
          <w:szCs w:val="24"/>
        </w:rPr>
      </w:pPr>
      <w:r>
        <w:rPr>
          <w:rFonts w:hint="default" w:ascii="Arial" w:hAnsi="Arial" w:cs="Arial"/>
          <w:b w:val="0"/>
          <w:bCs w:val="0"/>
          <w:sz w:val="24"/>
          <w:szCs w:val="24"/>
        </w:rPr>
        <w:t>India is a market which provides an attractive potential, but is institutionally complicated at the same time. India is appealing as it has a great number of consumers, growing sector of organized retail, increased level of urbanization and demand for value-oriented products. However, it is accompanied by several problems such as regulation, competition, culture and operations. Thus, India cannot be evaluated just through its market size, but rather the strategic compatibility between India and Lidl’s business model is more important to determine the feasibility of the market entrance.</w:t>
      </w:r>
    </w:p>
    <w:p w14:paraId="1456CF92">
      <w:pPr>
        <w:spacing w:line="360" w:lineRule="auto"/>
        <w:jc w:val="both"/>
        <w:rPr>
          <w:rFonts w:hint="default" w:ascii="Arial" w:hAnsi="Arial" w:cs="Arial"/>
          <w:b w:val="0"/>
          <w:bCs w:val="0"/>
          <w:sz w:val="24"/>
          <w:szCs w:val="24"/>
        </w:rPr>
      </w:pPr>
      <w:r>
        <w:rPr>
          <w:rFonts w:hint="default" w:ascii="Arial" w:hAnsi="Arial" w:cs="Arial"/>
          <w:b w:val="0"/>
          <w:bCs w:val="0"/>
          <w:sz w:val="24"/>
          <w:szCs w:val="24"/>
        </w:rPr>
        <w:t>Macro-environmental analysis shows that India is characterized by location advantages, but those can be turned into competitive advantages only if there is a right entry strategy for this market.</w:t>
      </w:r>
    </w:p>
    <w:p w14:paraId="6618CEC7">
      <w:pPr>
        <w:spacing w:line="360" w:lineRule="auto"/>
        <w:jc w:val="both"/>
        <w:rPr>
          <w:rFonts w:hint="default" w:ascii="Arial" w:hAnsi="Arial" w:cs="Arial"/>
          <w:b w:val="0"/>
          <w:bCs w:val="0"/>
          <w:sz w:val="24"/>
          <w:szCs w:val="24"/>
        </w:rPr>
      </w:pPr>
    </w:p>
    <w:p w14:paraId="785E2651">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Political and Regulatory Environment</w:t>
      </w:r>
    </w:p>
    <w:p w14:paraId="3BEB20A7">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The political and regulatory environment is another significant constraint that can limit Lidl from entering this market. Historically, India has kept foreign investment regulations for multi-brand retail stores to ensure that the interests of foreign investors and their contribution to the process of modernisation are balanced with</w:t>
      </w:r>
      <w:r>
        <w:rPr>
          <w:rFonts w:hint="default" w:ascii="Arial" w:hAnsi="Arial" w:eastAsia="SimSun" w:cs="Arial"/>
          <w:b w:val="0"/>
          <w:bCs w:val="0"/>
          <w:sz w:val="24"/>
          <w:szCs w:val="24"/>
          <w:lang w:val="en-US"/>
        </w:rPr>
        <w:t xml:space="preserve"> </w:t>
      </w:r>
      <w:r>
        <w:rPr>
          <w:rFonts w:hint="default" w:ascii="Arial" w:hAnsi="Arial" w:eastAsia="SimSun" w:cs="Arial"/>
          <w:b w:val="0"/>
          <w:bCs w:val="0"/>
          <w:sz w:val="24"/>
          <w:szCs w:val="24"/>
        </w:rPr>
        <w:t>the interests of local retailers and manufacturers of goods. The current analysis highlights the limitation imposed by the foreign investment rule of 51% in the case of the Government route of multi-brand retail as a significant constraint to a conventional wholly-owned retail operation.</w:t>
      </w:r>
    </w:p>
    <w:p w14:paraId="398E0A8D">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For Lidl, this means much because the company's traditional approach to international growth implies high reliance on operational control, whereas in the current situation Lidl cannot have complete control of the operation. Therefore, the regulatory environment affects the decision of the company concerning its entry mode and ownership structure.</w:t>
      </w:r>
    </w:p>
    <w:p w14:paraId="48C8E351">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Institutional complexity is also exacerbated by differences among states. The report emphasizes that retail businesses that involve foreign investment need to factor in the state policies and implementation conditions. In this regard, Lidl would have to adopt a well-thought-out geographical expansion strategy and cannot just rely on one national strategy to implement its plans in India.</w:t>
      </w:r>
    </w:p>
    <w:p w14:paraId="5E2A49A7">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The political environment further reinforces the importance of adopting a phased strategy. Institutional knowledge and capacity, as well as relationship-building with local players, becomes important. It is thus clear that having an Indian partner in such a situation can minimize institutional risk in any future consumer-oriented expansion.</w:t>
      </w:r>
    </w:p>
    <w:p w14:paraId="1A48E619">
      <w:pPr>
        <w:spacing w:line="360" w:lineRule="auto"/>
        <w:jc w:val="both"/>
        <w:rPr>
          <w:rFonts w:hint="default" w:ascii="Arial" w:hAnsi="Arial" w:eastAsia="SimSun" w:cs="Arial"/>
          <w:b w:val="0"/>
          <w:bCs w:val="0"/>
          <w:sz w:val="28"/>
          <w:szCs w:val="28"/>
        </w:rPr>
      </w:pPr>
    </w:p>
    <w:p w14:paraId="18DBCDCF">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Economic Environment and Market Attractiveness</w:t>
      </w:r>
    </w:p>
    <w:p w14:paraId="41A2304A">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India provides good economic prospects for Lidl because of the large consumer population, growth in organized food retailing, and increasing price sensitivity. Such a situation perfectly fits Lidl’s low-cost leadership strategy that requires high volumes, efficiency, and competitiveness. But being economically profitable does not necessarily mean having a big market. Lidl needs to reach a certain level of scale and store density, as well as build an efficient supply chain in the region. Thus, India is a promising market economically, but Lidl will have to be efficient in order to be profitable.</w:t>
      </w:r>
    </w:p>
    <w:p w14:paraId="0A2CFEB5">
      <w:pPr>
        <w:spacing w:line="360" w:lineRule="auto"/>
        <w:jc w:val="both"/>
        <w:rPr>
          <w:rFonts w:hint="default" w:ascii="Arial" w:hAnsi="Arial" w:eastAsia="SimSun" w:cs="Arial"/>
          <w:b w:val="0"/>
          <w:bCs w:val="0"/>
          <w:sz w:val="24"/>
          <w:szCs w:val="24"/>
        </w:rPr>
      </w:pPr>
    </w:p>
    <w:p w14:paraId="2A0D893C">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Legal Environment and Supply-Chain Implications</w:t>
      </w:r>
    </w:p>
    <w:p w14:paraId="47F7AC7F">
      <w:pPr>
        <w:spacing w:line="360" w:lineRule="auto"/>
        <w:jc w:val="both"/>
        <w:rPr>
          <w:rFonts w:hint="default" w:ascii="Arial" w:hAnsi="Arial" w:eastAsia="SimSun" w:cs="Arial"/>
          <w:b w:val="0"/>
          <w:bCs w:val="0"/>
          <w:sz w:val="24"/>
          <w:szCs w:val="24"/>
        </w:rPr>
      </w:pPr>
      <w:r>
        <w:rPr>
          <w:rFonts w:hint="default" w:ascii="Arial" w:hAnsi="Arial" w:eastAsia="SimSun" w:cs="Arial"/>
          <w:sz w:val="24"/>
          <w:szCs w:val="24"/>
        </w:rPr>
        <w:t xml:space="preserve">India’s FDI regulations create significant entry barriers for Lidl, particularly through investment and local-sourcing requirements. While these increase initial costs and operational complexity, they could also encourage Lidl to build a strong network of Indian suppliers and back-end infrastructure. This could strengthen supply resilience and localisation. Hence, regulation should be viewed not only as a constraint but also as an opportunity to develop </w:t>
      </w:r>
      <w:r>
        <w:rPr>
          <w:rStyle w:val="17"/>
          <w:rFonts w:hint="default" w:ascii="Arial" w:hAnsi="Arial" w:eastAsia="SimSun" w:cs="Arial"/>
          <w:b w:val="0"/>
          <w:bCs w:val="0"/>
          <w:sz w:val="24"/>
          <w:szCs w:val="24"/>
        </w:rPr>
        <w:t>local capabilities supporting Lidl’s Transnational Strategy</w:t>
      </w:r>
      <w:r>
        <w:rPr>
          <w:rFonts w:hint="default" w:ascii="Arial" w:hAnsi="Arial" w:eastAsia="SimSun" w:cs="Arial"/>
          <w:b w:val="0"/>
          <w:bCs w:val="0"/>
          <w:sz w:val="24"/>
          <w:szCs w:val="24"/>
        </w:rPr>
        <w:t>.</w:t>
      </w:r>
    </w:p>
    <w:p w14:paraId="10A43C1C">
      <w:pPr>
        <w:spacing w:line="360" w:lineRule="auto"/>
        <w:jc w:val="both"/>
        <w:rPr>
          <w:rFonts w:hint="default" w:ascii="Arial" w:hAnsi="Arial" w:eastAsia="SimSun" w:cs="Arial"/>
          <w:b w:val="0"/>
          <w:bCs w:val="0"/>
          <w:sz w:val="24"/>
          <w:szCs w:val="24"/>
        </w:rPr>
      </w:pPr>
    </w:p>
    <w:p w14:paraId="56EE226E">
      <w:pPr>
        <w:spacing w:line="360" w:lineRule="auto"/>
        <w:jc w:val="both"/>
        <w:rPr>
          <w:rFonts w:hint="default" w:ascii="Arial" w:hAnsi="Arial" w:eastAsia="SimSun" w:cs="Arial"/>
          <w:b w:val="0"/>
          <w:bCs w:val="0"/>
          <w:sz w:val="24"/>
          <w:szCs w:val="24"/>
        </w:rPr>
      </w:pPr>
      <w:r>
        <w:rPr>
          <w:rFonts w:hint="default" w:ascii="Arial" w:hAnsi="Arial" w:eastAsia="SimSun" w:cs="Arial"/>
          <w:b/>
          <w:bCs/>
          <w:sz w:val="28"/>
          <w:szCs w:val="28"/>
        </w:rPr>
        <w:t>Cultural and Consumer Environment</w:t>
      </w:r>
    </w:p>
    <w:p w14:paraId="4117A218">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The variety of taste preferences in India along with the continued relevance of kirana stores suggests the need for local responsiveness. Thus, the limited range and standardisation approach of Lidl might have to be adapted based on regional tastes and demands for fresh foods. Lidl may rely on offering low costs, private label, high hygienic and modern shopping standards; however, success would depend on adaptation while retaining cost-effectiveness.</w:t>
      </w:r>
    </w:p>
    <w:p w14:paraId="322594A9">
      <w:pPr>
        <w:spacing w:line="360" w:lineRule="auto"/>
        <w:jc w:val="both"/>
        <w:rPr>
          <w:rFonts w:hint="default" w:ascii="Arial" w:hAnsi="Arial" w:eastAsia="SimSun" w:cs="Arial"/>
          <w:b/>
          <w:bCs/>
          <w:sz w:val="28"/>
          <w:szCs w:val="28"/>
        </w:rPr>
      </w:pPr>
    </w:p>
    <w:p w14:paraId="337D95BE">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Technological Transformation and Quick Commerce</w:t>
      </w:r>
    </w:p>
    <w:p w14:paraId="218CAEDC">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The quick growth of quick commerce transforms the habits of purchasing groceries and raises convenience expectations. Thus, Lidl is presented with an opportunity to utilise its logistics abilities along with technological innovations in ordering, inventory control and selected omnichannel capabilities. However, over-reliance on technological investments might reduce the advantages in terms of costs. Thus, Lidl should focus on technological solutions that improve efficiency and convenience.</w:t>
      </w:r>
    </w:p>
    <w:p w14:paraId="19862068">
      <w:pPr>
        <w:spacing w:line="360" w:lineRule="auto"/>
        <w:jc w:val="both"/>
        <w:rPr>
          <w:rFonts w:hint="default" w:ascii="Arial" w:hAnsi="Arial" w:eastAsia="SimSun" w:cs="Arial"/>
          <w:b w:val="0"/>
          <w:bCs w:val="0"/>
          <w:sz w:val="24"/>
          <w:szCs w:val="24"/>
        </w:rPr>
      </w:pPr>
    </w:p>
    <w:p w14:paraId="046600A6">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Overall Market Attractiveness</w:t>
      </w:r>
    </w:p>
    <w:p w14:paraId="3F4ED409">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On balance, India can be seen as an attractive yet complex market for Lidl. Market attractiveness emanates from the high consumer demand in the market and the growing retail sector; however, factors such as regulatory issues, cultural diversity, kirana stores, and quick commerce raise challenges to market entry. Thus, Lidl cannot just import the same business model used in Europe into India.</w:t>
      </w:r>
    </w:p>
    <w:p w14:paraId="5D14F6E5">
      <w:pPr>
        <w:spacing w:line="360" w:lineRule="auto"/>
        <w:jc w:val="both"/>
        <w:rPr>
          <w:rFonts w:hint="default" w:ascii="Arial" w:hAnsi="Arial" w:eastAsia="SimSun" w:cs="Arial"/>
          <w:b w:val="0"/>
          <w:bCs w:val="0"/>
          <w:sz w:val="24"/>
          <w:szCs w:val="24"/>
        </w:rPr>
      </w:pPr>
    </w:p>
    <w:p w14:paraId="770CD96F">
      <w:pPr>
        <w:pStyle w:val="2"/>
        <w:bidi w:val="0"/>
        <w:rPr>
          <w:rFonts w:hint="default" w:ascii="Arial" w:hAnsi="Arial" w:cs="Arial"/>
          <w:b/>
          <w:bCs/>
          <w:color w:val="000000" w:themeColor="text1"/>
          <w:sz w:val="32"/>
          <w:szCs w:val="32"/>
          <w14:textFill>
            <w14:solidFill>
              <w14:schemeClr w14:val="tx1"/>
            </w14:solidFill>
          </w14:textFill>
        </w:rPr>
      </w:pPr>
      <w:bookmarkStart w:id="3" w:name="_Toc23801"/>
      <w:r>
        <w:rPr>
          <w:rFonts w:hint="default" w:ascii="Arial" w:hAnsi="Arial" w:cs="Arial"/>
          <w:b/>
          <w:bCs/>
          <w:color w:val="000000" w:themeColor="text1"/>
          <w:sz w:val="32"/>
          <w:szCs w:val="32"/>
          <w14:textFill>
            <w14:solidFill>
              <w14:schemeClr w14:val="tx1"/>
            </w14:solidFill>
          </w14:textFill>
        </w:rPr>
        <w:t>OLI Framework and Market Entry Logic</w:t>
      </w:r>
      <w:bookmarkEnd w:id="3"/>
    </w:p>
    <w:p w14:paraId="2DE9AAE6">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According to Dunning’s (1988) Eclectic Paradigm for international investments, there are three types of advantage that include Ownership, Location, and Internalisation (OLI). An application of this paradigm to Lidl would reveal that India has high potential, although there is need for an appropriate entry strategy.</w:t>
      </w:r>
      <w:r>
        <w:rPr>
          <w:rFonts w:hint="default" w:ascii="Arial" w:hAnsi="Arial" w:eastAsia="SimSun" w:cs="Arial"/>
          <w:sz w:val="24"/>
          <w:szCs w:val="24"/>
        </w:rPr>
        <w:t>(Dunning, 1988)</w:t>
      </w:r>
    </w:p>
    <w:p w14:paraId="64B7BA17">
      <w:pPr>
        <w:spacing w:line="360" w:lineRule="auto"/>
        <w:jc w:val="both"/>
        <w:rPr>
          <w:rFonts w:hint="default" w:ascii="Arial" w:hAnsi="Arial" w:eastAsia="SimSun" w:cs="Arial"/>
          <w:b w:val="0"/>
          <w:bCs w:val="0"/>
          <w:sz w:val="24"/>
          <w:szCs w:val="24"/>
        </w:rPr>
      </w:pPr>
    </w:p>
    <w:p w14:paraId="7F13B9C9">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Ownership Advantages</w:t>
      </w:r>
    </w:p>
    <w:p w14:paraId="7CA91987">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The ownership-specific advantages of Lidl include low-cost strategies, bulk purchasing capability, expertise in private labels and integration of the supply chain. The resources owned by Lidl help it keep its costs low and at the same time offer value for money. Thus, the experience and knowledge of operations can act as transferable resources giving Lidl an edge over its inefficient competitors.</w:t>
      </w:r>
    </w:p>
    <w:p w14:paraId="3B7A0F37">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These capabilities cannot simply be transferred as such since the demands of Indian consumers and local conditions will be different from those in Lidl’s other locations. It is important for Lidl to safeguard its core capabilities while adjusting some of its processes.</w:t>
      </w:r>
    </w:p>
    <w:p w14:paraId="727AC80E">
      <w:pPr>
        <w:spacing w:line="360" w:lineRule="auto"/>
        <w:jc w:val="both"/>
        <w:rPr>
          <w:rFonts w:hint="default" w:ascii="Arial" w:hAnsi="Arial" w:eastAsia="SimSun" w:cs="Arial"/>
          <w:b w:val="0"/>
          <w:bCs w:val="0"/>
          <w:sz w:val="24"/>
          <w:szCs w:val="24"/>
        </w:rPr>
      </w:pPr>
    </w:p>
    <w:p w14:paraId="24525491">
      <w:pPr>
        <w:pStyle w:val="4"/>
        <w:keepNext w:val="0"/>
        <w:keepLines w:val="0"/>
        <w:widowControl/>
        <w:suppressLineNumbers w:val="0"/>
        <w:spacing w:line="360" w:lineRule="auto"/>
        <w:rPr>
          <w:rFonts w:hint="default" w:ascii="Arial" w:hAnsi="Arial" w:cs="Arial"/>
          <w:b/>
          <w:bCs/>
          <w:color w:val="000000" w:themeColor="text1"/>
          <w14:textFill>
            <w14:solidFill>
              <w14:schemeClr w14:val="tx1"/>
            </w14:solidFill>
          </w14:textFill>
        </w:rPr>
      </w:pPr>
      <w:bookmarkStart w:id="4" w:name="_Toc3954"/>
      <w:r>
        <w:rPr>
          <w:rFonts w:hint="default" w:ascii="Arial" w:hAnsi="Arial" w:cs="Arial"/>
          <w:b/>
          <w:bCs/>
          <w:color w:val="000000" w:themeColor="text1"/>
          <w14:textFill>
            <w14:solidFill>
              <w14:schemeClr w14:val="tx1"/>
            </w14:solidFill>
          </w14:textFill>
        </w:rPr>
        <w:t>Location Advantages</w:t>
      </w:r>
      <w:bookmarkEnd w:id="4"/>
    </w:p>
    <w:p w14:paraId="23048B40">
      <w:pPr>
        <w:spacing w:line="360" w:lineRule="auto"/>
        <w:jc w:val="both"/>
        <w:rPr>
          <w:rFonts w:hint="default" w:ascii="Arial" w:hAnsi="Arial" w:cs="Arial"/>
          <w:sz w:val="24"/>
          <w:szCs w:val="24"/>
        </w:rPr>
      </w:pPr>
      <w:r>
        <w:rPr>
          <w:rFonts w:hint="default" w:ascii="Arial" w:hAnsi="Arial" w:cs="Arial"/>
          <w:sz w:val="24"/>
          <w:szCs w:val="24"/>
        </w:rPr>
        <w:t>India offers considerable Location benefits in terms of its sizable consumer base, increasing organized retail industry, growing demand for value-for-money products and ability to source domestically. These aspects are very well-suited to Lidl's high volume, low cost business strategy. India may become an important source of supply as well thanks to partnerships with local suppliers and MSMEs.</w:t>
      </w:r>
    </w:p>
    <w:p w14:paraId="03D5EC04">
      <w:pPr>
        <w:spacing w:line="360" w:lineRule="auto"/>
        <w:jc w:val="both"/>
        <w:rPr>
          <w:rFonts w:hint="default" w:ascii="Arial" w:hAnsi="Arial" w:cs="Arial"/>
          <w:sz w:val="24"/>
          <w:szCs w:val="24"/>
        </w:rPr>
      </w:pPr>
      <w:r>
        <w:rPr>
          <w:rFonts w:hint="default" w:ascii="Arial" w:hAnsi="Arial" w:cs="Arial"/>
          <w:sz w:val="24"/>
          <w:szCs w:val="24"/>
        </w:rPr>
        <w:t>However, India does not constitute a low-risk location. Its regulatory system, differences across states and the presence of indigenous retailers complicate market access. Thus, India is a high-potential but high-complexity location that requires Lidl to build up its local expertise along with its global expertise.</w:t>
      </w:r>
    </w:p>
    <w:p w14:paraId="3A3A5AEC">
      <w:pPr>
        <w:spacing w:line="360" w:lineRule="auto"/>
        <w:jc w:val="both"/>
        <w:rPr>
          <w:rFonts w:hint="default" w:ascii="Arial" w:hAnsi="Arial" w:cs="Arial"/>
          <w:sz w:val="24"/>
          <w:szCs w:val="24"/>
        </w:rPr>
      </w:pPr>
    </w:p>
    <w:p w14:paraId="1F876A43">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Internalisation Advantages</w:t>
      </w:r>
    </w:p>
    <w:p w14:paraId="03DFA7D5">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It would be reasonable to note that there are numerous Internalisation advantages in the case of Lidl since its competitive strategy relies on retaining control over procurement, logistics, standards of quality, inventory management and store operations. High level of internal control will help Lidl preserve its cost advantage and avoid undermining its business model</w:t>
      </w:r>
      <w:r>
        <w:rPr>
          <w:rFonts w:hint="default" w:ascii="Arial" w:hAnsi="Arial" w:eastAsia="SimSun" w:cs="Arial"/>
          <w:b w:val="0"/>
          <w:bCs w:val="0"/>
          <w:sz w:val="24"/>
          <w:szCs w:val="24"/>
          <w:lang w:val="en-US"/>
        </w:rPr>
        <w:t xml:space="preserve"> </w:t>
      </w:r>
      <w:r>
        <w:rPr>
          <w:rFonts w:hint="default" w:ascii="Arial" w:hAnsi="Arial" w:eastAsia="SimSun" w:cs="Arial"/>
          <w:b w:val="0"/>
          <w:bCs w:val="0"/>
          <w:sz w:val="24"/>
          <w:szCs w:val="24"/>
        </w:rPr>
        <w:t>by the external party.</w:t>
      </w:r>
    </w:p>
    <w:p w14:paraId="3ADFB6C6">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At the same time, it might not be always reasonable to choose complete internalisation in the Indian context. The limitations related to multi-brand retailing and the necessity of local knowledge imply that it is necessary to make the choice of selective cooperation.</w:t>
      </w:r>
    </w:p>
    <w:p w14:paraId="51A2E15B">
      <w:pPr>
        <w:spacing w:line="360" w:lineRule="auto"/>
        <w:jc w:val="both"/>
        <w:rPr>
          <w:rFonts w:hint="default" w:ascii="Arial" w:hAnsi="Arial" w:eastAsia="SimSun" w:cs="Arial"/>
          <w:b w:val="0"/>
          <w:bCs w:val="0"/>
          <w:sz w:val="24"/>
          <w:szCs w:val="24"/>
        </w:rPr>
      </w:pPr>
    </w:p>
    <w:p w14:paraId="31937A98">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Strategic Synthesis</w:t>
      </w:r>
    </w:p>
    <w:p w14:paraId="374F81C5">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Strategic implications of the OLI framework are:</w:t>
      </w:r>
    </w:p>
    <w:p w14:paraId="4D6CD007">
      <w:pPr>
        <w:spacing w:line="360" w:lineRule="auto"/>
        <w:jc w:val="both"/>
        <w:rPr>
          <w:rFonts w:hint="default" w:ascii="Arial" w:hAnsi="Arial" w:eastAsia="SimSun" w:cs="Arial"/>
          <w:b w:val="0"/>
          <w:bCs w:val="0"/>
          <w:sz w:val="24"/>
          <w:szCs w:val="24"/>
        </w:rPr>
      </w:pPr>
      <w:r>
        <w:rPr>
          <w:rFonts w:hint="default" w:ascii="Arial" w:hAnsi="Arial" w:eastAsia="SimSun" w:cs="Arial"/>
          <w:b/>
          <w:bCs/>
          <w:sz w:val="24"/>
          <w:szCs w:val="24"/>
        </w:rPr>
        <w:t>Ownership Advantage</w:t>
      </w:r>
      <w:r>
        <w:rPr>
          <w:rFonts w:hint="default" w:ascii="Arial" w:hAnsi="Arial" w:eastAsia="SimSun" w:cs="Arial"/>
          <w:b w:val="0"/>
          <w:bCs w:val="0"/>
          <w:sz w:val="24"/>
          <w:szCs w:val="24"/>
        </w:rPr>
        <w:t xml:space="preserve"> - Lidl has strong ownership capability to transfer</w:t>
      </w:r>
    </w:p>
    <w:p w14:paraId="0D384D46">
      <w:pPr>
        <w:spacing w:line="360" w:lineRule="auto"/>
        <w:jc w:val="both"/>
        <w:rPr>
          <w:rFonts w:hint="default" w:ascii="Arial" w:hAnsi="Arial" w:eastAsia="SimSun" w:cs="Arial"/>
          <w:b w:val="0"/>
          <w:bCs w:val="0"/>
          <w:sz w:val="24"/>
          <w:szCs w:val="24"/>
        </w:rPr>
      </w:pPr>
      <w:r>
        <w:rPr>
          <w:rFonts w:hint="default" w:ascii="Arial" w:hAnsi="Arial" w:eastAsia="SimSun" w:cs="Arial"/>
          <w:b/>
          <w:bCs/>
          <w:sz w:val="24"/>
          <w:szCs w:val="24"/>
        </w:rPr>
        <w:t>Location Advantage</w:t>
      </w:r>
      <w:r>
        <w:rPr>
          <w:rFonts w:hint="default" w:ascii="Arial" w:hAnsi="Arial" w:eastAsia="SimSun" w:cs="Arial"/>
          <w:b w:val="0"/>
          <w:bCs w:val="0"/>
          <w:sz w:val="24"/>
          <w:szCs w:val="24"/>
        </w:rPr>
        <w:t xml:space="preserve"> - India provides substantial market and sourcing opportunity</w:t>
      </w:r>
    </w:p>
    <w:p w14:paraId="3CC80D4D">
      <w:pPr>
        <w:spacing w:line="360" w:lineRule="auto"/>
        <w:jc w:val="both"/>
        <w:rPr>
          <w:rFonts w:hint="default" w:ascii="Arial" w:hAnsi="Arial" w:eastAsia="SimSun" w:cs="Arial"/>
          <w:b w:val="0"/>
          <w:bCs w:val="0"/>
          <w:sz w:val="24"/>
          <w:szCs w:val="24"/>
        </w:rPr>
      </w:pPr>
      <w:r>
        <w:rPr>
          <w:rFonts w:hint="default" w:ascii="Arial" w:hAnsi="Arial" w:eastAsia="SimSun" w:cs="Arial"/>
          <w:b/>
          <w:bCs/>
          <w:sz w:val="24"/>
          <w:szCs w:val="24"/>
        </w:rPr>
        <w:t>Internalization Advantage</w:t>
      </w:r>
      <w:r>
        <w:rPr>
          <w:rFonts w:hint="default" w:ascii="Arial" w:hAnsi="Arial" w:eastAsia="SimSun" w:cs="Arial"/>
          <w:b w:val="0"/>
          <w:bCs w:val="0"/>
          <w:sz w:val="24"/>
          <w:szCs w:val="24"/>
        </w:rPr>
        <w:t xml:space="preserve"> - Lidl requires control over their core activities; however, cannot discount the importance of local capabilities.</w:t>
      </w:r>
    </w:p>
    <w:p w14:paraId="29079571">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Thus, the OLI framework suggests a gradual entry strategy as opposed to the immediate full-scale entry into the consumer market. Lidl will have an opportunity to build up its wholesale operations, logistics capabilities and market information prior to venturing into consumer-based multibrand retailing operations. An approach in the form of partnerships may allow Lidl to utilize its strengths along with the Indian market information and capabilities.</w:t>
      </w:r>
    </w:p>
    <w:p w14:paraId="62C0E768">
      <w:pPr>
        <w:spacing w:line="360" w:lineRule="auto"/>
        <w:jc w:val="both"/>
        <w:rPr>
          <w:rFonts w:hint="default" w:ascii="Arial" w:hAnsi="Arial" w:eastAsia="SimSun" w:cs="Arial"/>
          <w:b w:val="0"/>
          <w:bCs w:val="0"/>
          <w:sz w:val="24"/>
          <w:szCs w:val="24"/>
        </w:rPr>
      </w:pPr>
    </w:p>
    <w:p w14:paraId="58DADC16">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On the whole, what Lidl faces is not whether it has enough competitive advantage to enter the Indian market, but how to use that advantage in the context of the Indian regulations and market environment.</w:t>
      </w:r>
    </w:p>
    <w:p w14:paraId="59B52859">
      <w:pPr>
        <w:spacing w:line="360" w:lineRule="auto"/>
        <w:jc w:val="both"/>
        <w:rPr>
          <w:rFonts w:hint="default" w:ascii="Arial" w:hAnsi="Arial" w:eastAsia="SimSun" w:cs="Arial"/>
          <w:b w:val="0"/>
          <w:bCs w:val="0"/>
          <w:sz w:val="24"/>
          <w:szCs w:val="24"/>
        </w:rPr>
      </w:pPr>
    </w:p>
    <w:p w14:paraId="2344B20D">
      <w:pPr>
        <w:pStyle w:val="2"/>
        <w:bidi w:val="0"/>
        <w:rPr>
          <w:rFonts w:hint="default" w:ascii="Arial" w:hAnsi="Arial" w:cs="Arial"/>
          <w:b/>
          <w:bCs/>
          <w:color w:val="000000" w:themeColor="text1"/>
          <w:sz w:val="32"/>
          <w:szCs w:val="32"/>
          <w14:textFill>
            <w14:solidFill>
              <w14:schemeClr w14:val="tx1"/>
            </w14:solidFill>
          </w14:textFill>
        </w:rPr>
      </w:pPr>
      <w:bookmarkStart w:id="5" w:name="_Toc23306"/>
      <w:r>
        <w:rPr>
          <w:rFonts w:hint="default" w:ascii="Arial" w:hAnsi="Arial" w:cs="Arial"/>
          <w:b/>
          <w:bCs/>
          <w:color w:val="000000" w:themeColor="text1"/>
          <w:sz w:val="32"/>
          <w:szCs w:val="32"/>
          <w14:textFill>
            <w14:solidFill>
              <w14:schemeClr w14:val="tx1"/>
            </w14:solidFill>
          </w14:textFill>
        </w:rPr>
        <w:t>Entry Mode Strategy and Strategic Synthesis</w:t>
      </w:r>
      <w:bookmarkEnd w:id="5"/>
    </w:p>
    <w:p w14:paraId="1F5C7337">
      <w:pPr>
        <w:rPr>
          <w:rFonts w:hint="default"/>
        </w:rPr>
      </w:pPr>
    </w:p>
    <w:p w14:paraId="66B9B451">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Evaluation of Lidl’s Traditional Entry Mode</w:t>
      </w:r>
    </w:p>
    <w:p w14:paraId="27BC3244">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Traditionally, Lidl has made use of Greenfield Investment and wholly-owned subsidiaries in its international growth strategy. In this manner, Lidl derives great control over procurement, logistics, and even store operations, which is an asset that the hard-discounter needs, especially in view of the fact that its competitive edge lies in operational efficiency and cost saving.</w:t>
      </w:r>
    </w:p>
    <w:p w14:paraId="38723F14">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 this case, it will be a disadvantage to adopt the same approach in India, owing to the regulations regarding multi-brand retail in India which impose restrictions on foreign investment, and also taking into consideration the importance of local information due to the difficulties involved in procurement, implementation and consumer demands.</w:t>
      </w:r>
    </w:p>
    <w:p w14:paraId="71465CF5">
      <w:pPr>
        <w:spacing w:line="360" w:lineRule="auto"/>
        <w:jc w:val="both"/>
        <w:rPr>
          <w:rFonts w:hint="default" w:ascii="Arial" w:hAnsi="Arial" w:eastAsia="SimSun" w:cs="Arial"/>
          <w:b w:val="0"/>
          <w:bCs w:val="0"/>
          <w:sz w:val="24"/>
          <w:szCs w:val="24"/>
        </w:rPr>
      </w:pPr>
    </w:p>
    <w:p w14:paraId="102FF49E">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Joint Venture as a Strategic Alternative</w:t>
      </w:r>
    </w:p>
    <w:p w14:paraId="48DDA07E">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Joint Venture (JV) offers a better trade-off between the requirements of control and local embeddedness of both Lidl and India. An appropriate Indian partner would offer local market expertise, access to suppliers and property, regulatory expertise, and distribution capabilities, while Lidl would bring international retailing expertise, private label experience, scale and logistics capability.</w:t>
      </w:r>
      <w:r>
        <w:rPr>
          <w:rFonts w:hint="default" w:ascii="Arial" w:hAnsi="Arial" w:eastAsia="SimSun" w:cs="Arial"/>
          <w:sz w:val="24"/>
          <w:szCs w:val="24"/>
        </w:rPr>
        <w:t>(Lidl, 2026)</w:t>
      </w:r>
    </w:p>
    <w:p w14:paraId="32FE63F6">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The most significant drawback here would be the loss of autonomy and the potential for disputes with the partner. In any case, this venture would require an appropriate system of governance, delineation of responsibilities, and proper protection of core capabilities of Lidl. However, such drawbacks may be offset by lower risks.</w:t>
      </w:r>
    </w:p>
    <w:p w14:paraId="27A6DB83">
      <w:pPr>
        <w:spacing w:line="360" w:lineRule="auto"/>
        <w:jc w:val="both"/>
        <w:rPr>
          <w:rFonts w:hint="default" w:ascii="Arial" w:hAnsi="Arial" w:eastAsia="SimSun" w:cs="Arial"/>
          <w:b w:val="0"/>
          <w:bCs w:val="0"/>
          <w:sz w:val="24"/>
          <w:szCs w:val="24"/>
        </w:rPr>
      </w:pPr>
    </w:p>
    <w:p w14:paraId="60EC75A1">
      <w:pPr>
        <w:spacing w:line="360" w:lineRule="auto"/>
        <w:jc w:val="both"/>
        <w:rPr>
          <w:rFonts w:hint="default" w:ascii="Arial" w:hAnsi="Arial" w:eastAsia="SimSun" w:cs="Arial"/>
          <w:b/>
          <w:bCs/>
          <w:sz w:val="32"/>
          <w:szCs w:val="32"/>
        </w:rPr>
      </w:pPr>
      <w:r>
        <w:rPr>
          <w:rFonts w:hint="default" w:ascii="Arial" w:hAnsi="Arial" w:eastAsia="SimSun" w:cs="Arial"/>
          <w:b/>
          <w:bCs/>
          <w:sz w:val="32"/>
          <w:szCs w:val="32"/>
        </w:rPr>
        <w:t>Recommended Phased Entry Strategy</w:t>
      </w:r>
    </w:p>
    <w:p w14:paraId="6F66A5E1">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A phased entry strategy will be the most appropriate from a strategic standpoint.</w:t>
      </w:r>
    </w:p>
    <w:p w14:paraId="6B2848C2">
      <w:pPr>
        <w:spacing w:line="360" w:lineRule="auto"/>
        <w:jc w:val="both"/>
        <w:rPr>
          <w:rFonts w:hint="default" w:ascii="Arial" w:hAnsi="Arial" w:eastAsia="SimSun" w:cs="Arial"/>
          <w:b w:val="0"/>
          <w:bCs w:val="0"/>
          <w:sz w:val="24"/>
          <w:szCs w:val="24"/>
        </w:rPr>
      </w:pPr>
    </w:p>
    <w:p w14:paraId="1D399FB5">
      <w:pPr>
        <w:spacing w:line="360" w:lineRule="auto"/>
        <w:jc w:val="both"/>
        <w:rPr>
          <w:rFonts w:hint="default" w:ascii="Arial" w:hAnsi="Arial" w:eastAsia="SimSun" w:cs="Arial"/>
          <w:b/>
          <w:bCs/>
          <w:sz w:val="24"/>
          <w:szCs w:val="24"/>
        </w:rPr>
      </w:pPr>
      <w:r>
        <w:rPr>
          <w:rFonts w:hint="default" w:ascii="Arial" w:hAnsi="Arial" w:eastAsia="SimSun" w:cs="Arial"/>
          <w:b/>
          <w:bCs/>
          <w:sz w:val="24"/>
          <w:szCs w:val="24"/>
        </w:rPr>
        <w:t>Phase I – Wholesaling / Cash &amp; Carry:</w:t>
      </w:r>
    </w:p>
    <w:p w14:paraId="5CB8AE8F">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For Phase I, Lidl is recommended to set up its presence using the wholsale route so that the company develops Indian supplier relationships, infrastructure, and local market know-how. In doing so, the risk of establishing an extensive consumer retail network can be minimized.</w:t>
      </w:r>
    </w:p>
    <w:p w14:paraId="39067AC0">
      <w:pPr>
        <w:spacing w:line="360" w:lineRule="auto"/>
        <w:jc w:val="both"/>
        <w:rPr>
          <w:rFonts w:hint="default" w:ascii="Arial" w:hAnsi="Arial" w:eastAsia="SimSun" w:cs="Arial"/>
          <w:b w:val="0"/>
          <w:bCs w:val="0"/>
          <w:sz w:val="24"/>
          <w:szCs w:val="24"/>
        </w:rPr>
      </w:pPr>
    </w:p>
    <w:p w14:paraId="3AF63D34">
      <w:pPr>
        <w:spacing w:line="360" w:lineRule="auto"/>
        <w:jc w:val="both"/>
        <w:rPr>
          <w:rFonts w:hint="default" w:ascii="Arial" w:hAnsi="Arial" w:eastAsia="SimSun" w:cs="Arial"/>
          <w:b/>
          <w:bCs/>
          <w:sz w:val="24"/>
          <w:szCs w:val="24"/>
        </w:rPr>
      </w:pPr>
      <w:r>
        <w:rPr>
          <w:rFonts w:hint="default" w:ascii="Arial" w:hAnsi="Arial" w:eastAsia="SimSun" w:cs="Arial"/>
          <w:b/>
          <w:bCs/>
          <w:sz w:val="24"/>
          <w:szCs w:val="24"/>
        </w:rPr>
        <w:t>Phase II – Consumer Retail:</w:t>
      </w:r>
    </w:p>
    <w:p w14:paraId="11A8406E">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 Phase II, Lidl can think about joining the consumer retail market through appropriate partnerships, depending on the FDI laws and approvals.</w:t>
      </w:r>
    </w:p>
    <w:p w14:paraId="76AB87FF">
      <w:pPr>
        <w:spacing w:line="360" w:lineRule="auto"/>
        <w:jc w:val="both"/>
        <w:rPr>
          <w:rFonts w:hint="default" w:ascii="Arial" w:hAnsi="Arial" w:eastAsia="SimSun" w:cs="Arial"/>
          <w:b/>
          <w:bCs/>
          <w:sz w:val="28"/>
          <w:szCs w:val="28"/>
        </w:rPr>
      </w:pPr>
    </w:p>
    <w:p w14:paraId="5869CB23">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Strategic Synthesis</w:t>
      </w:r>
    </w:p>
    <w:p w14:paraId="3ACA8FA1">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This proposed strategy addresses the key strategic dilemma outlined through the analysis of the case:</w:t>
      </w:r>
    </w:p>
    <w:p w14:paraId="758BC7EF">
      <w:pPr>
        <w:spacing w:line="360" w:lineRule="auto"/>
        <w:jc w:val="both"/>
        <w:rPr>
          <w:rFonts w:hint="default" w:ascii="Arial" w:hAnsi="Arial" w:eastAsia="SimSun" w:cs="Arial"/>
          <w:b w:val="0"/>
          <w:bCs w:val="0"/>
          <w:sz w:val="24"/>
          <w:szCs w:val="24"/>
        </w:rPr>
      </w:pPr>
      <w:r>
        <w:rPr>
          <w:rFonts w:hint="default" w:ascii="Arial" w:hAnsi="Arial" w:eastAsia="SimSun" w:cs="Arial"/>
          <w:b/>
          <w:bCs/>
          <w:sz w:val="24"/>
          <w:szCs w:val="24"/>
        </w:rPr>
        <w:t>Lidl’s Global Competitive Advantages + Indian Local Expertise = Successful Market Entry Strategy</w:t>
      </w:r>
    </w:p>
    <w:p w14:paraId="73E64657">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A WOS approach is one that maximizes control but puts Lidl at risk due to regulatory and market risks. Partnership may offer local expertise but may affect the control of Lidl over its competitive advantages. The phased approach allows Lidl to keep control of its competitive advantages and gradually build local responsiveness.</w:t>
      </w:r>
    </w:p>
    <w:p w14:paraId="3BF2AE65">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Thus, it is not advisable for Lidl to replicate its European business model in India. The best option for Lidl is the controlled and phased market entry, which balances the global efficiency of Lidl and the local responsiveness of Lidl. This is in line with the suggested Transnational Strategy and OLI framework analysis.</w:t>
      </w:r>
    </w:p>
    <w:p w14:paraId="4B8715A1">
      <w:pPr>
        <w:spacing w:line="360" w:lineRule="auto"/>
        <w:jc w:val="both"/>
        <w:rPr>
          <w:rFonts w:hint="default" w:ascii="Arial" w:hAnsi="Arial" w:eastAsia="SimSun" w:cs="Arial"/>
          <w:b w:val="0"/>
          <w:bCs w:val="0"/>
          <w:sz w:val="24"/>
          <w:szCs w:val="24"/>
        </w:rPr>
      </w:pPr>
    </w:p>
    <w:p w14:paraId="449D2064">
      <w:pPr>
        <w:pStyle w:val="2"/>
        <w:bidi w:val="0"/>
        <w:rPr>
          <w:rFonts w:hint="default" w:ascii="Arial" w:hAnsi="Arial" w:cs="Arial"/>
          <w:b/>
          <w:bCs/>
          <w:color w:val="000000" w:themeColor="text1"/>
          <w:sz w:val="32"/>
          <w:szCs w:val="32"/>
          <w14:textFill>
            <w14:solidFill>
              <w14:schemeClr w14:val="tx1"/>
            </w14:solidFill>
          </w14:textFill>
        </w:rPr>
      </w:pPr>
      <w:bookmarkStart w:id="6" w:name="_Toc939"/>
      <w:r>
        <w:rPr>
          <w:rFonts w:hint="default" w:ascii="Arial" w:hAnsi="Arial" w:cs="Arial"/>
          <w:b/>
          <w:bCs/>
          <w:color w:val="000000" w:themeColor="text1"/>
          <w:sz w:val="32"/>
          <w:szCs w:val="32"/>
          <w14:textFill>
            <w14:solidFill>
              <w14:schemeClr w14:val="tx1"/>
            </w14:solidFill>
          </w14:textFill>
        </w:rPr>
        <w:t>Reflective Account – Gibbs’ Reflective Cycle</w:t>
      </w:r>
      <w:bookmarkEnd w:id="6"/>
    </w:p>
    <w:p w14:paraId="1937A559">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Description</w:t>
      </w:r>
    </w:p>
    <w:p w14:paraId="1F5CF33B">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Through this assessment, I got an opportunity to critically assess the strategic feasibility of Lidl expanding to India through the application of international business theories to a real world scenario of internationalisation. The analysis was done taking into account the existing hard discount model of business operations of Lidl, which includes cost leadership, efficiency, use of private labels, centralized purchasing and supply chain management. All these aspects were considered in relation to the economic, institutional, regulatory, cultural and competitive environment of India. Main theoretical frameworks applied include the OLFI framework of Dunning and the Integration–Responsiveness Framework of Bartlett &amp; Ghoshal. Finally, the decision to be taken after this assessment will be whether Lidl should adapt its existing model of internationalization into India or not.</w:t>
      </w:r>
    </w:p>
    <w:p w14:paraId="042E52A8">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Instead of considering international expansion as an opportunity to access a large and rapidly expanding market, I took the assignment in the way that it involved competing pressures and I was supposed to do strategic evaluation of the situation.</w:t>
      </w:r>
    </w:p>
    <w:p w14:paraId="42AF22A5">
      <w:pPr>
        <w:spacing w:line="360" w:lineRule="auto"/>
        <w:jc w:val="both"/>
        <w:rPr>
          <w:rFonts w:hint="default" w:ascii="Arial" w:hAnsi="Arial" w:eastAsia="SimSun" w:cs="Arial"/>
          <w:b w:val="0"/>
          <w:bCs w:val="0"/>
          <w:sz w:val="24"/>
          <w:szCs w:val="24"/>
        </w:rPr>
      </w:pPr>
    </w:p>
    <w:p w14:paraId="3E27D77B">
      <w:pPr>
        <w:spacing w:line="360" w:lineRule="auto"/>
        <w:jc w:val="both"/>
        <w:rPr>
          <w:rFonts w:hint="default" w:ascii="Arial" w:hAnsi="Arial" w:eastAsia="SimSun" w:cs="Arial"/>
          <w:b w:val="0"/>
          <w:bCs w:val="0"/>
          <w:sz w:val="24"/>
          <w:szCs w:val="24"/>
        </w:rPr>
      </w:pPr>
      <w:r>
        <w:rPr>
          <w:rFonts w:hint="default" w:ascii="Arial" w:hAnsi="Arial" w:eastAsia="SimSun" w:cs="Arial"/>
          <w:b/>
          <w:bCs/>
          <w:sz w:val="28"/>
          <w:szCs w:val="28"/>
        </w:rPr>
        <w:t>Feelings</w:t>
      </w:r>
    </w:p>
    <w:p w14:paraId="110F0663">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As a first step in the process of the assessment, I was quite confident about the choice of Lidl for the analysis since the competitive strategy of this company can be easily described in terms of cost-leadership and efficiency. However, this level of confidence dropped while conducting research on the Indian retail market and the influence of the environment on the strategic decisions of any foreign firm entering this country.</w:t>
      </w:r>
    </w:p>
    <w:p w14:paraId="714134E3">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Additionally, it was difficult to choose the appropriate position of Lidl among the strategies offered by Bartlett and Ghoshal. At the very beginning of the work, it seemed that the company's business model based on the principle of standardization and economies of scale is close to the idea of Global Strategy. However, the environment of the Indian market creates additional pressure for the necessity to adapt the company to the local needs.</w:t>
      </w:r>
    </w:p>
    <w:p w14:paraId="585E766D">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Instead of considering this situation as a problem, I realized that it is a key point of the case study. This fact made me change my attitude towards the whole task and the approach to it.</w:t>
      </w:r>
    </w:p>
    <w:p w14:paraId="42AC6815">
      <w:pPr>
        <w:spacing w:line="360" w:lineRule="auto"/>
        <w:jc w:val="both"/>
        <w:rPr>
          <w:rFonts w:hint="default" w:ascii="Arial" w:hAnsi="Arial" w:eastAsia="SimSun" w:cs="Arial"/>
          <w:b w:val="0"/>
          <w:bCs w:val="0"/>
          <w:sz w:val="24"/>
          <w:szCs w:val="24"/>
        </w:rPr>
      </w:pPr>
    </w:p>
    <w:p w14:paraId="47EAF4A2">
      <w:pPr>
        <w:spacing w:line="360" w:lineRule="auto"/>
        <w:jc w:val="both"/>
        <w:rPr>
          <w:rFonts w:hint="default" w:ascii="Arial" w:hAnsi="Arial" w:eastAsia="SimSun" w:cs="Arial"/>
          <w:b w:val="0"/>
          <w:bCs w:val="0"/>
          <w:sz w:val="24"/>
          <w:szCs w:val="24"/>
        </w:rPr>
      </w:pPr>
      <w:r>
        <w:rPr>
          <w:rFonts w:hint="default" w:ascii="Arial" w:hAnsi="Arial" w:eastAsia="SimSun" w:cs="Arial"/>
          <w:b/>
          <w:bCs/>
          <w:sz w:val="28"/>
          <w:szCs w:val="28"/>
        </w:rPr>
        <w:t>Evaluation</w:t>
      </w:r>
    </w:p>
    <w:p w14:paraId="69AA8F91">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One of the strengths in my assignment was the incorporation of theories in the strategic analysis process. Through Dunning’s OLI theory, I could identify the Ownership advantages of Lidl from the Location advantages available in India. The ability of Lidl to have branding advantages, purchase advantages, experience and supply chain knowledge are key specific advantages that a firm can possess.</w:t>
      </w:r>
    </w:p>
    <w:p w14:paraId="5D74E008">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However, for such advantages to be commercially profitable, there should be effective ways of transferring the same to the Indian institutional setting. The theory therefore helped me go beyond the notion of India being a great location owing to the population size and growth of retailing in the country.</w:t>
      </w:r>
    </w:p>
    <w:p w14:paraId="2301116D">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Similarly, the theoretical model by Bartlett and Ghoshal improved my understanding of the strategic dichotomy between global integration and local responsiveness. Standardisation is helpful for Lidl as centralised procurement, narrow variety of goods, and uniform operations help save money. On the other hand, over-standardisation may hinder Lidl's efforts to adapt to Indian customers and regulations. This helped me to realise that Transnational Strategy would work better in balancing global efficiency and local responsiveness.</w:t>
      </w:r>
    </w:p>
    <w:p w14:paraId="6AEA05FB">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Yet, I recognised that there were flaws in my analysis. The first one was that I focused on market attractiveness without taking institutional factors into account. Another mistake was that I considered regulatory requirement as an external limitation, rather than something that can actually define Lidl's strategy of entering the market.</w:t>
      </w:r>
    </w:p>
    <w:p w14:paraId="5445EA5A">
      <w:pPr>
        <w:spacing w:line="360" w:lineRule="auto"/>
        <w:jc w:val="both"/>
        <w:rPr>
          <w:rFonts w:hint="default" w:ascii="Arial" w:hAnsi="Arial" w:eastAsia="SimSun" w:cs="Arial"/>
          <w:b w:val="0"/>
          <w:bCs w:val="0"/>
          <w:sz w:val="24"/>
          <w:szCs w:val="24"/>
        </w:rPr>
      </w:pPr>
    </w:p>
    <w:p w14:paraId="46A8713F">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Analysis</w:t>
      </w:r>
    </w:p>
    <w:p w14:paraId="7D60EAF8">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The key insight I gained through this assessment is that international strategy is more about managing trade-offs than about picking a single attractive market. Prior to undertaking this assessment, I used to think about international expansion as an exercise of finding markets with good growth opportunities and figuring out how the firm can enter them. The Lidl case shows that this view is incomplete.</w:t>
      </w:r>
    </w:p>
    <w:p w14:paraId="0F2E7E7E">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For instance, although India has high market potential, it doesn’t necessarily imply that the existing European model of Lidl should be simply transplanted into it. The competitive advantage of Lidl partly consists of having standardised buying and operating procedures. Yet the effectiveness of this competitive advantage largely depends on the institutional context within which the process operates.</w:t>
      </w:r>
    </w:p>
    <w:p w14:paraId="4E634C1A">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This helped me to revise my understanding of the OLI approach. First, Ownership advantages cannot be transferred across locations; part of their usefulness depends on Location. Even though Lidl may have good internal resources, they should be compatible with the market situation in India. Moreover, Internalisation of OLI approach cannot be assessed without taking into account the costs of controlling activities in a different institutional setting.</w:t>
      </w:r>
    </w:p>
    <w:p w14:paraId="3F1EDC07">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It also helped me to reassess my understanding of the Bartlett and Ghoshal approach. Earlier, I perceived the four categories of strategies as classificatory. However, through the analysis of Lidl, I realized that they can serve as decision-making approaches. Lidl faces a trade-off between global and local strategies: the former may provide efficiency but lack flexibility, while the latter may lose the cost benefits of hard discount.</w:t>
      </w:r>
    </w:p>
    <w:p w14:paraId="52B6913C">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 other words, this explains why a Transnational Strategy seems to be more suitable for Lidl compared to merely replicating its Global Strategy. Lidl would still be able to maintain some global aspects of its operation, namely procurement process management, expertise in own label production, efficiency, and cost management, and change certain areas, such as product portfolio, relationships with suppliers, store formats, and communication with customers.</w:t>
      </w:r>
    </w:p>
    <w:p w14:paraId="57C492BC">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Another significant lesson was about market-entry strategy. At first, I used to think about a wholly-owned option exclusively in terms of control. Now I know that there are many other dimensions to entry mode selection. While a wholly-owned approach might give more control over Lidl’s operating standards, it involves greater investments, uncertainties on institutional level, and risks associated with market specifics. In addition, this strategy would let Lidl acquire some local expertise and try out if the company’s operating model could be adjusted in accordance with these new conditions.</w:t>
      </w:r>
    </w:p>
    <w:p w14:paraId="238422F8">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 other words, I learned that market entry strategy should not be chosen separately from the whole strategic analysis.</w:t>
      </w:r>
    </w:p>
    <w:p w14:paraId="1EBB4616">
      <w:pPr>
        <w:spacing w:line="360" w:lineRule="auto"/>
        <w:jc w:val="both"/>
        <w:rPr>
          <w:rFonts w:hint="default" w:ascii="Arial" w:hAnsi="Arial" w:eastAsia="SimSun" w:cs="Arial"/>
          <w:b w:val="0"/>
          <w:bCs w:val="0"/>
          <w:sz w:val="32"/>
          <w:szCs w:val="32"/>
        </w:rPr>
      </w:pPr>
    </w:p>
    <w:p w14:paraId="628278F2">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Conclusion</w:t>
      </w:r>
    </w:p>
    <w:p w14:paraId="1364216C">
      <w:pPr>
        <w:spacing w:line="360" w:lineRule="auto"/>
        <w:jc w:val="both"/>
        <w:rPr>
          <w:rFonts w:hint="default" w:ascii="Arial" w:hAnsi="Arial" w:eastAsia="SimSun" w:cs="Arial"/>
          <w:b w:val="0"/>
          <w:bCs w:val="0"/>
          <w:sz w:val="22"/>
          <w:szCs w:val="22"/>
        </w:rPr>
      </w:pPr>
      <w:r>
        <w:rPr>
          <w:rFonts w:hint="default" w:ascii="Arial" w:hAnsi="Arial" w:eastAsia="SimSun" w:cs="Arial"/>
          <w:b w:val="0"/>
          <w:bCs w:val="0"/>
          <w:sz w:val="22"/>
          <w:szCs w:val="22"/>
        </w:rPr>
        <w:t>In summary, the assessment has greatly helped me to develop a critical mindset rather than descriptive in applying international-business theories. In my opinion, the market attractiveness is not the only consideration in judging internationalization feasibility. The other issues that the firm must consider are whether it has transferable competitive advantages, whether institutions in host country are supportive for its operations, and whether the firm will be able to balance global efficiency and local responsiveness.</w:t>
      </w:r>
    </w:p>
    <w:p w14:paraId="63C0B91A">
      <w:pPr>
        <w:spacing w:line="360" w:lineRule="auto"/>
        <w:jc w:val="both"/>
        <w:rPr>
          <w:rFonts w:hint="default" w:ascii="Arial" w:hAnsi="Arial" w:eastAsia="SimSun" w:cs="Arial"/>
          <w:b w:val="0"/>
          <w:bCs w:val="0"/>
          <w:sz w:val="22"/>
          <w:szCs w:val="22"/>
        </w:rPr>
      </w:pPr>
      <w:r>
        <w:rPr>
          <w:rFonts w:hint="default" w:ascii="Arial" w:hAnsi="Arial" w:eastAsia="SimSun" w:cs="Arial"/>
          <w:b w:val="0"/>
          <w:bCs w:val="0"/>
          <w:sz w:val="22"/>
          <w:szCs w:val="22"/>
        </w:rPr>
        <w:t>The assessment has also indicated the need for me to improve my analytical skills in some aspects. Even though I have managed to use OLI and Bartlett and Ghoshal framework well, at the beginning I tended to assume certain things in relation to Lidl’s competitive advantages without any testing.</w:t>
      </w:r>
    </w:p>
    <w:p w14:paraId="30DE38FA">
      <w:pPr>
        <w:spacing w:line="360" w:lineRule="auto"/>
        <w:jc w:val="both"/>
        <w:rPr>
          <w:rFonts w:hint="default" w:ascii="Arial" w:hAnsi="Arial" w:eastAsia="SimSun" w:cs="Arial"/>
          <w:b w:val="0"/>
          <w:bCs w:val="0"/>
          <w:sz w:val="22"/>
          <w:szCs w:val="22"/>
        </w:rPr>
      </w:pPr>
      <w:r>
        <w:rPr>
          <w:rFonts w:hint="default" w:ascii="Arial" w:hAnsi="Arial" w:eastAsia="SimSun" w:cs="Arial"/>
          <w:b w:val="0"/>
          <w:bCs w:val="0"/>
          <w:sz w:val="22"/>
          <w:szCs w:val="22"/>
        </w:rPr>
        <w:t>The most important thing I have achieved in my assessment is that I learned how to criticize strategic assumptions. Instead of simply posing the question whether Lidl should enter India or not, I should think about the conditions in which Lidl would be able to enter India.</w:t>
      </w:r>
    </w:p>
    <w:p w14:paraId="109CDFAD">
      <w:pPr>
        <w:spacing w:line="360" w:lineRule="auto"/>
        <w:jc w:val="both"/>
        <w:rPr>
          <w:rFonts w:hint="default" w:ascii="Arial" w:hAnsi="Arial" w:eastAsia="SimSun" w:cs="Arial"/>
          <w:b w:val="0"/>
          <w:bCs w:val="0"/>
          <w:sz w:val="22"/>
          <w:szCs w:val="22"/>
        </w:rPr>
      </w:pPr>
    </w:p>
    <w:p w14:paraId="65D6984A">
      <w:pPr>
        <w:spacing w:line="360" w:lineRule="auto"/>
        <w:jc w:val="both"/>
        <w:rPr>
          <w:rFonts w:hint="default" w:ascii="Arial" w:hAnsi="Arial" w:eastAsia="SimSun" w:cs="Arial"/>
          <w:b/>
          <w:bCs/>
          <w:sz w:val="28"/>
          <w:szCs w:val="28"/>
        </w:rPr>
      </w:pPr>
      <w:r>
        <w:rPr>
          <w:rFonts w:hint="default" w:ascii="Arial" w:hAnsi="Arial" w:eastAsia="SimSun" w:cs="Arial"/>
          <w:b/>
          <w:bCs/>
          <w:sz w:val="28"/>
          <w:szCs w:val="28"/>
        </w:rPr>
        <w:t>Action Plan</w:t>
      </w:r>
    </w:p>
    <w:p w14:paraId="6067BABD">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In relation to future international business evaluations, I will undertake a more structured method of research and analysis. The first step would be to determine the key institutional and market-related constraints that exist prior to an assessment of the attractiveness of the market. This will ensure that the size of the market and its growth does not overshadow the evaluation.</w:t>
      </w:r>
    </w:p>
    <w:p w14:paraId="2DBF441A">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The second step would be to rely on reliable sources earlier on, especially where regulation and government-related data is concerned. There will be a clearer distinction made between facts, theoretical analysis, and strategic assessment.</w:t>
      </w:r>
    </w:p>
    <w:p w14:paraId="4AF23A01">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Third, I will improve my skills of carrying out comparative analysis. I will analyze several alternative strategies and justify why one of them is more suitable to the given data than the other rather than apply the given theory to the given firm. For example, when analyzing the entry modes, I will compare the strengths and weaknesses of such options as wholly-owned ventures, joint ventures, and phased entry.</w:t>
      </w:r>
    </w:p>
    <w:p w14:paraId="75E369A1">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Last but not least, I will develop my ability to evaluate implementation risks. In the future, apart from assessing the appropriateness of the given strategy, I will identify possible obstacles from the side of competitors, suppliers, the government, consumers, and organizational resources during the implementation of the given strategy. In order to achieve this goal, I will use a questioning approach while conducting my research. What assumption do I make? How can I prove it? Can it be refuted? What will be the consequences if this assumption proves to be wrong?</w:t>
      </w:r>
    </w:p>
    <w:p w14:paraId="7D4B9B42">
      <w:pPr>
        <w:spacing w:line="360" w:lineRule="auto"/>
        <w:jc w:val="both"/>
        <w:rPr>
          <w:rFonts w:hint="default" w:ascii="Arial" w:hAnsi="Arial" w:eastAsia="SimSun" w:cs="Arial"/>
          <w:b w:val="0"/>
          <w:bCs w:val="0"/>
          <w:sz w:val="24"/>
          <w:szCs w:val="24"/>
        </w:rPr>
      </w:pPr>
      <w:r>
        <w:rPr>
          <w:rFonts w:hint="default" w:ascii="Arial" w:hAnsi="Arial" w:eastAsia="SimSun" w:cs="Arial"/>
          <w:b w:val="0"/>
          <w:bCs w:val="0"/>
          <w:sz w:val="24"/>
          <w:szCs w:val="24"/>
        </w:rPr>
        <w:t>This plan of action will help me concentrate on the critical and evidence-based analysis of strategy rather than applying theories. Furthermore, it will contribute to my understanding of how to translate international business theories into practice.</w:t>
      </w:r>
    </w:p>
    <w:p w14:paraId="63012A05">
      <w:pPr>
        <w:spacing w:line="360" w:lineRule="auto"/>
        <w:jc w:val="both"/>
        <w:rPr>
          <w:rFonts w:hint="default" w:ascii="Arial" w:hAnsi="Arial" w:eastAsia="SimSun" w:cs="Arial"/>
          <w:b w:val="0"/>
          <w:bCs w:val="0"/>
          <w:sz w:val="24"/>
          <w:szCs w:val="24"/>
        </w:rPr>
      </w:pPr>
    </w:p>
    <w:p w14:paraId="2651EA22">
      <w:pPr>
        <w:pStyle w:val="2"/>
        <w:bidi w:val="0"/>
        <w:rPr>
          <w:rFonts w:hint="default" w:ascii="Arial" w:hAnsi="Arial" w:cs="Arial"/>
          <w:b/>
          <w:bCs/>
          <w:color w:val="000000" w:themeColor="text1"/>
          <w:sz w:val="32"/>
          <w:szCs w:val="32"/>
          <w14:textFill>
            <w14:solidFill>
              <w14:schemeClr w14:val="tx1"/>
            </w14:solidFill>
          </w14:textFill>
        </w:rPr>
      </w:pPr>
      <w:bookmarkStart w:id="7" w:name="_Toc2622"/>
      <w:r>
        <w:rPr>
          <w:rFonts w:hint="default" w:ascii="Arial" w:hAnsi="Arial" w:cs="Arial"/>
          <w:b/>
          <w:bCs/>
          <w:color w:val="000000" w:themeColor="text1"/>
          <w:sz w:val="32"/>
          <w:szCs w:val="32"/>
          <w14:textFill>
            <w14:solidFill>
              <w14:schemeClr w14:val="tx1"/>
            </w14:solidFill>
          </w14:textFill>
        </w:rPr>
        <w:t>Conclusion &amp; Recommendations</w:t>
      </w:r>
      <w:bookmarkEnd w:id="7"/>
    </w:p>
    <w:p w14:paraId="6AB33E2D">
      <w:pPr>
        <w:spacing w:line="360" w:lineRule="auto"/>
        <w:jc w:val="both"/>
        <w:rPr>
          <w:rFonts w:hint="default" w:ascii="Arial" w:hAnsi="Arial" w:eastAsia="SimSun" w:cs="Arial"/>
          <w:b w:val="0"/>
          <w:bCs w:val="0"/>
          <w:sz w:val="24"/>
          <w:szCs w:val="24"/>
          <w:lang w:val="en-US"/>
        </w:rPr>
      </w:pPr>
      <w:r>
        <w:rPr>
          <w:rFonts w:hint="default" w:ascii="Arial" w:hAnsi="Arial" w:eastAsia="SimSun" w:cs="Arial"/>
          <w:b w:val="0"/>
          <w:bCs w:val="0"/>
          <w:sz w:val="24"/>
          <w:szCs w:val="24"/>
          <w:lang w:val="en-US"/>
        </w:rPr>
        <w:t>This case study suggests that there are strong reasons for Lidl to enter into India because India is a high potential as well as a complex market for Lidl. The high consumer population, growing organized retail sector, and need for value-based products make it worthwhile for Lidl to consider entering into India. But the regulatory issues, local sourcing requirements, variations in institutional factors of the states, and consumer needs and tastes pose many challenges for the company to replicate its current international business model in India.</w:t>
      </w:r>
    </w:p>
    <w:p w14:paraId="20490869">
      <w:pPr>
        <w:spacing w:line="360" w:lineRule="auto"/>
        <w:jc w:val="both"/>
        <w:rPr>
          <w:rFonts w:hint="default" w:ascii="Arial" w:hAnsi="Arial" w:eastAsia="SimSun" w:cs="Arial"/>
          <w:b w:val="0"/>
          <w:bCs w:val="0"/>
          <w:sz w:val="24"/>
          <w:szCs w:val="24"/>
          <w:lang w:val="en-US"/>
        </w:rPr>
      </w:pPr>
      <w:r>
        <w:rPr>
          <w:rFonts w:hint="default" w:ascii="Arial" w:hAnsi="Arial" w:eastAsia="SimSun" w:cs="Arial"/>
          <w:b w:val="0"/>
          <w:bCs w:val="0"/>
          <w:sz w:val="24"/>
          <w:szCs w:val="24"/>
          <w:lang w:val="en-US"/>
        </w:rPr>
        <w:t>According to the Integration-Responsiveness (I-R) Framework of Bartlett &amp; Ghoshal, the Global Strategy of Lidl holds many cost and efficiency benefits for the company, but India poses much higher demands of local responsiveness for Lidl. Thus, the Transnational Strategy would be more suitable in the case of India which will enable Lidl to utilize its strengths and adapt itself in accordance with the Indian environment.The further assessment through the OLI framework demonstrates that Lidl enjoys strong Ownership advantages while there are strong Location advantages offered by the Indian environment. Nevertheless, the advantages provided by Internalisation have to be considered alongside with the importance of local knowledge and institutional expertise.</w:t>
      </w:r>
    </w:p>
    <w:p w14:paraId="2C921A28">
      <w:pPr>
        <w:spacing w:line="360" w:lineRule="auto"/>
        <w:jc w:val="both"/>
        <w:rPr>
          <w:rFonts w:hint="default" w:ascii="Arial" w:hAnsi="Arial" w:eastAsia="SimSun" w:cs="Arial"/>
          <w:b w:val="0"/>
          <w:bCs w:val="0"/>
          <w:sz w:val="24"/>
          <w:szCs w:val="24"/>
          <w:lang w:val="en-US"/>
        </w:rPr>
      </w:pPr>
      <w:r>
        <w:rPr>
          <w:rFonts w:hint="default" w:ascii="Arial" w:hAnsi="Arial" w:eastAsia="SimSun" w:cs="Arial"/>
          <w:b w:val="0"/>
          <w:bCs w:val="0"/>
          <w:sz w:val="24"/>
          <w:szCs w:val="24"/>
          <w:lang w:val="en-US"/>
        </w:rPr>
        <w:t>As a result, a direct implementation of Lidl's conventional strategy based on Wholly-owned Subsidiaries is not necessary and will entail excessive risk. Thus, the proposed entry mode into the market should include a sequential market entry, starting from the wholesale segment in order to build up the necessary supply chain capabilities and local market expertise and followed by an appropriate partnership model of entering the retail sector, depending on the requirements of Indian FDI legislation.</w:t>
      </w:r>
    </w:p>
    <w:p w14:paraId="3428693F">
      <w:pPr>
        <w:spacing w:line="360" w:lineRule="auto"/>
        <w:jc w:val="both"/>
        <w:rPr>
          <w:rFonts w:hint="default" w:ascii="Arial" w:hAnsi="Arial" w:eastAsia="SimSun" w:cs="Arial"/>
          <w:b w:val="0"/>
          <w:bCs w:val="0"/>
          <w:sz w:val="24"/>
          <w:szCs w:val="24"/>
          <w:lang w:val="en-US"/>
        </w:rPr>
      </w:pPr>
      <w:r>
        <w:rPr>
          <w:rFonts w:hint="default" w:ascii="Arial" w:hAnsi="Arial" w:eastAsia="SimSun" w:cs="Arial"/>
          <w:b w:val="0"/>
          <w:bCs w:val="0"/>
          <w:sz w:val="24"/>
          <w:szCs w:val="24"/>
          <w:lang w:val="en-US"/>
        </w:rPr>
        <w:t>In general, the success of Lidl in the Indian market will depend on the adaptation of the company's global capabilities to the institutional and consumer reality of India rather than on the attractiveness of the Indian market itself.</w:t>
      </w:r>
    </w:p>
    <w:p w14:paraId="6AF8E9EC">
      <w:pPr>
        <w:spacing w:line="360" w:lineRule="auto"/>
        <w:jc w:val="both"/>
        <w:rPr>
          <w:rFonts w:hint="default" w:ascii="Arial" w:hAnsi="Arial" w:eastAsia="SimSun" w:cs="Arial"/>
          <w:b w:val="0"/>
          <w:bCs w:val="0"/>
          <w:sz w:val="24"/>
          <w:szCs w:val="24"/>
          <w:lang w:val="en-US"/>
        </w:rPr>
      </w:pPr>
    </w:p>
    <w:p w14:paraId="44A5F5BD">
      <w:pPr>
        <w:spacing w:line="360" w:lineRule="auto"/>
        <w:jc w:val="both"/>
        <w:rPr>
          <w:rFonts w:hint="default" w:ascii="Arial" w:hAnsi="Arial" w:eastAsia="SimSun" w:cs="Arial"/>
          <w:b w:val="0"/>
          <w:bCs w:val="0"/>
          <w:sz w:val="24"/>
          <w:szCs w:val="24"/>
          <w:lang w:val="en-US"/>
        </w:rPr>
      </w:pPr>
    </w:p>
    <w:p w14:paraId="2D8EC598">
      <w:pPr>
        <w:spacing w:line="360" w:lineRule="auto"/>
        <w:jc w:val="both"/>
        <w:rPr>
          <w:rFonts w:hint="default" w:ascii="Arial" w:hAnsi="Arial" w:eastAsia="SimSun" w:cs="Arial"/>
          <w:b w:val="0"/>
          <w:bCs w:val="0"/>
          <w:sz w:val="24"/>
          <w:szCs w:val="24"/>
          <w:lang w:val="en-US"/>
        </w:rPr>
      </w:pPr>
    </w:p>
    <w:p w14:paraId="6B34DFC1">
      <w:pPr>
        <w:spacing w:line="360" w:lineRule="auto"/>
        <w:jc w:val="both"/>
        <w:rPr>
          <w:rFonts w:hint="default" w:ascii="Arial" w:hAnsi="Arial" w:eastAsia="SimSun" w:cs="Arial"/>
          <w:b w:val="0"/>
          <w:bCs w:val="0"/>
          <w:sz w:val="24"/>
          <w:szCs w:val="24"/>
          <w:lang w:val="en-US"/>
        </w:rPr>
      </w:pPr>
    </w:p>
    <w:p w14:paraId="75E86814">
      <w:pPr>
        <w:spacing w:line="360" w:lineRule="auto"/>
        <w:jc w:val="both"/>
        <w:rPr>
          <w:rFonts w:hint="default" w:ascii="Arial" w:hAnsi="Arial" w:eastAsia="SimSun" w:cs="Arial"/>
          <w:b w:val="0"/>
          <w:bCs w:val="0"/>
          <w:sz w:val="24"/>
          <w:szCs w:val="24"/>
          <w:lang w:val="en-US"/>
        </w:rPr>
      </w:pPr>
    </w:p>
    <w:p w14:paraId="43D96D64">
      <w:pPr>
        <w:spacing w:line="360" w:lineRule="auto"/>
        <w:jc w:val="both"/>
        <w:rPr>
          <w:rFonts w:hint="default" w:ascii="Arial" w:hAnsi="Arial" w:eastAsia="SimSun" w:cs="Arial"/>
          <w:b w:val="0"/>
          <w:bCs w:val="0"/>
          <w:sz w:val="24"/>
          <w:szCs w:val="24"/>
          <w:lang w:val="en-US"/>
        </w:rPr>
      </w:pPr>
    </w:p>
    <w:p w14:paraId="69A94599">
      <w:pPr>
        <w:spacing w:line="360" w:lineRule="auto"/>
        <w:jc w:val="both"/>
        <w:rPr>
          <w:rFonts w:hint="default" w:ascii="Arial" w:hAnsi="Arial" w:eastAsia="SimSun" w:cs="Arial"/>
          <w:b w:val="0"/>
          <w:bCs w:val="0"/>
          <w:sz w:val="24"/>
          <w:szCs w:val="24"/>
          <w:lang w:val="en-US"/>
        </w:rPr>
      </w:pPr>
    </w:p>
    <w:p w14:paraId="31D0FD1A">
      <w:pPr>
        <w:spacing w:line="360" w:lineRule="auto"/>
        <w:jc w:val="both"/>
        <w:rPr>
          <w:rFonts w:hint="default" w:ascii="Arial" w:hAnsi="Arial" w:eastAsia="SimSun" w:cs="Arial"/>
          <w:b w:val="0"/>
          <w:bCs w:val="0"/>
          <w:sz w:val="24"/>
          <w:szCs w:val="24"/>
          <w:lang w:val="en-US"/>
        </w:rPr>
      </w:pPr>
    </w:p>
    <w:p w14:paraId="3BDE48EA">
      <w:pPr>
        <w:spacing w:line="360" w:lineRule="auto"/>
        <w:jc w:val="both"/>
        <w:rPr>
          <w:rFonts w:hint="default" w:ascii="Arial" w:hAnsi="Arial" w:eastAsia="SimSun" w:cs="Arial"/>
          <w:b w:val="0"/>
          <w:bCs w:val="0"/>
          <w:sz w:val="24"/>
          <w:szCs w:val="24"/>
          <w:lang w:val="en-US"/>
        </w:rPr>
      </w:pPr>
    </w:p>
    <w:p w14:paraId="173CBAE3">
      <w:pPr>
        <w:spacing w:line="360" w:lineRule="auto"/>
        <w:jc w:val="both"/>
        <w:rPr>
          <w:rFonts w:hint="default" w:ascii="Arial" w:hAnsi="Arial" w:eastAsia="SimSun" w:cs="Arial"/>
          <w:b w:val="0"/>
          <w:bCs w:val="0"/>
          <w:sz w:val="24"/>
          <w:szCs w:val="24"/>
          <w:lang w:val="en-US"/>
        </w:rPr>
      </w:pPr>
    </w:p>
    <w:p w14:paraId="2107C093">
      <w:pPr>
        <w:spacing w:line="360" w:lineRule="auto"/>
        <w:jc w:val="both"/>
        <w:rPr>
          <w:rFonts w:hint="default" w:ascii="Arial" w:hAnsi="Arial" w:eastAsia="SimSun" w:cs="Arial"/>
          <w:b w:val="0"/>
          <w:bCs w:val="0"/>
          <w:sz w:val="24"/>
          <w:szCs w:val="24"/>
          <w:lang w:val="en-US"/>
        </w:rPr>
      </w:pPr>
    </w:p>
    <w:p w14:paraId="0DDEFA2F">
      <w:pPr>
        <w:spacing w:line="360" w:lineRule="auto"/>
        <w:jc w:val="both"/>
        <w:rPr>
          <w:rFonts w:hint="default" w:ascii="Arial" w:hAnsi="Arial" w:eastAsia="SimSun" w:cs="Arial"/>
          <w:b w:val="0"/>
          <w:bCs w:val="0"/>
          <w:sz w:val="24"/>
          <w:szCs w:val="24"/>
          <w:lang w:val="en-US"/>
        </w:rPr>
      </w:pPr>
    </w:p>
    <w:p w14:paraId="1F527D8C">
      <w:pPr>
        <w:spacing w:line="360" w:lineRule="auto"/>
        <w:jc w:val="both"/>
        <w:rPr>
          <w:rFonts w:hint="default" w:ascii="Arial" w:hAnsi="Arial" w:eastAsia="SimSun" w:cs="Arial"/>
          <w:b w:val="0"/>
          <w:bCs w:val="0"/>
          <w:sz w:val="24"/>
          <w:szCs w:val="24"/>
          <w:lang w:val="en-US"/>
        </w:rPr>
      </w:pPr>
    </w:p>
    <w:p w14:paraId="766AC573">
      <w:pPr>
        <w:pStyle w:val="2"/>
        <w:bidi w:val="0"/>
        <w:rPr>
          <w:rFonts w:hint="default" w:ascii="Arial" w:hAnsi="Arial" w:cs="Arial"/>
          <w:b/>
          <w:bCs/>
          <w:color w:val="000000" w:themeColor="text1"/>
          <w:sz w:val="32"/>
          <w:szCs w:val="32"/>
          <w14:textFill>
            <w14:solidFill>
              <w14:schemeClr w14:val="tx1"/>
            </w14:solidFill>
          </w14:textFill>
        </w:rPr>
      </w:pPr>
      <w:bookmarkStart w:id="8" w:name="_Toc19733"/>
      <w:r>
        <w:rPr>
          <w:rFonts w:hint="default" w:ascii="Arial" w:hAnsi="Arial" w:cs="Arial"/>
          <w:b/>
          <w:bCs/>
          <w:color w:val="000000" w:themeColor="text1"/>
          <w:sz w:val="32"/>
          <w:szCs w:val="32"/>
          <w14:textFill>
            <w14:solidFill>
              <w14:schemeClr w14:val="tx1"/>
            </w14:solidFill>
          </w14:textFill>
        </w:rPr>
        <w:t>References</w:t>
      </w:r>
      <w:bookmarkEnd w:id="8"/>
    </w:p>
    <w:p w14:paraId="7E3414F8">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Agarwal, S. and Ramaswami, S.N. (1992) ‘Choice of foreign market entry mode: Impact of ownership, location and internalization factors’, </w:t>
      </w:r>
      <w:r>
        <w:rPr>
          <w:rStyle w:val="13"/>
          <w:rFonts w:hint="default" w:ascii="Arial" w:hAnsi="Arial" w:cs="Arial"/>
        </w:rPr>
        <w:t>Journal of International Business Studies</w:t>
      </w:r>
      <w:r>
        <w:rPr>
          <w:rFonts w:hint="default" w:ascii="Arial" w:hAnsi="Arial" w:cs="Arial"/>
        </w:rPr>
        <w:t>, 23(1), pp. 1–27. .</w:t>
      </w:r>
    </w:p>
    <w:p w14:paraId="6965CBC7">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Alexander, N. and Doherty, A.M. (2009) </w:t>
      </w:r>
      <w:r>
        <w:rPr>
          <w:rStyle w:val="13"/>
          <w:rFonts w:hint="default" w:ascii="Arial" w:hAnsi="Arial" w:cs="Arial"/>
        </w:rPr>
        <w:t>International Retailing</w:t>
      </w:r>
      <w:r>
        <w:rPr>
          <w:rFonts w:hint="default" w:ascii="Arial" w:hAnsi="Arial" w:cs="Arial"/>
        </w:rPr>
        <w:t>. Oxford: Oxford University Press.</w:t>
      </w:r>
    </w:p>
    <w:p w14:paraId="35D742F8">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Bartlett, C.A. and Ghoshal, S. (1989) </w:t>
      </w:r>
      <w:r>
        <w:rPr>
          <w:rStyle w:val="13"/>
          <w:rFonts w:hint="default" w:ascii="Arial" w:hAnsi="Arial" w:cs="Arial"/>
        </w:rPr>
        <w:t>Managing Across Borders: The Transnational Solution</w:t>
      </w:r>
      <w:r>
        <w:rPr>
          <w:rFonts w:hint="default" w:ascii="Arial" w:hAnsi="Arial" w:cs="Arial"/>
        </w:rPr>
        <w:t>. Boston, MA: Harvard Business School Press.</w:t>
      </w:r>
    </w:p>
    <w:p w14:paraId="434F6D36">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Boston Consulting Group and Retailers Association of India (2025) </w:t>
      </w:r>
      <w:r>
        <w:rPr>
          <w:rStyle w:val="13"/>
          <w:rFonts w:hint="default" w:ascii="Arial" w:hAnsi="Arial" w:cs="Arial"/>
        </w:rPr>
        <w:t>Winning in Bharat &amp; India: The Retail Kaleidoscope</w:t>
      </w:r>
      <w:r>
        <w:rPr>
          <w:rFonts w:hint="default" w:ascii="Arial" w:hAnsi="Arial" w:cs="Arial"/>
        </w:rPr>
        <w:t>. Mumbai: Retailers Association of India.</w:t>
      </w:r>
    </w:p>
    <w:p w14:paraId="02E9AB1C">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Buckley, P.J. and Casson, M. (1976) </w:t>
      </w:r>
      <w:r>
        <w:rPr>
          <w:rStyle w:val="13"/>
          <w:rFonts w:hint="default" w:ascii="Arial" w:hAnsi="Arial" w:cs="Arial"/>
        </w:rPr>
        <w:t>The Future of the Multinational Enterprise</w:t>
      </w:r>
      <w:r>
        <w:rPr>
          <w:rFonts w:hint="default" w:ascii="Arial" w:hAnsi="Arial" w:cs="Arial"/>
        </w:rPr>
        <w:t>. London: Macmillan.</w:t>
      </w:r>
    </w:p>
    <w:p w14:paraId="1784A2C7">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Burt, S., Dawson, J. and Sparks, L. (2003) ‘Failure in international retailing: Research propositions’, </w:t>
      </w:r>
      <w:r>
        <w:rPr>
          <w:rStyle w:val="13"/>
          <w:rFonts w:hint="default" w:ascii="Arial" w:hAnsi="Arial" w:cs="Arial"/>
        </w:rPr>
        <w:t>International Review of Retail, Distribution and Consumer Research</w:t>
      </w:r>
      <w:r>
        <w:rPr>
          <w:rFonts w:hint="default" w:ascii="Arial" w:hAnsi="Arial" w:cs="Arial"/>
        </w:rPr>
        <w:t>, 13(4), pp. 355–373. .</w:t>
      </w:r>
    </w:p>
    <w:p w14:paraId="26B5028E">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Bain &amp; Company and Flipkart (2025) </w:t>
      </w:r>
      <w:r>
        <w:rPr>
          <w:rStyle w:val="13"/>
          <w:rFonts w:hint="default" w:ascii="Arial" w:hAnsi="Arial" w:cs="Arial"/>
        </w:rPr>
        <w:t>How India Shops Online 2025</w:t>
      </w:r>
      <w:r>
        <w:rPr>
          <w:rFonts w:hint="default" w:ascii="Arial" w:hAnsi="Arial" w:cs="Arial"/>
        </w:rPr>
        <w:t>. Bengaluru: Bain &amp; Company and Flipkart.</w:t>
      </w:r>
    </w:p>
    <w:p w14:paraId="761E4991">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Department for Promotion of Industry and Internal Trade (DPIIT) (2020) </w:t>
      </w:r>
      <w:r>
        <w:rPr>
          <w:rStyle w:val="13"/>
          <w:rFonts w:hint="default" w:ascii="Arial" w:hAnsi="Arial" w:cs="Arial"/>
        </w:rPr>
        <w:t>Consolidated FDI Policy Circular of 2020</w:t>
      </w:r>
      <w:r>
        <w:rPr>
          <w:rFonts w:hint="default" w:ascii="Arial" w:hAnsi="Arial" w:cs="Arial"/>
        </w:rPr>
        <w:t>. New Delhi: Ministry of Commerce and Industry, Government of India.</w:t>
      </w:r>
    </w:p>
    <w:p w14:paraId="04511EDB">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Dunning, J.H. (1988) ‘The eclectic paradigm of international production: A restatement and some possible extensions’, </w:t>
      </w:r>
      <w:r>
        <w:rPr>
          <w:rStyle w:val="13"/>
          <w:rFonts w:hint="default" w:ascii="Arial" w:hAnsi="Arial" w:cs="Arial"/>
        </w:rPr>
        <w:t>Journal of International Business Studies</w:t>
      </w:r>
      <w:r>
        <w:rPr>
          <w:rFonts w:hint="default" w:ascii="Arial" w:hAnsi="Arial" w:cs="Arial"/>
        </w:rPr>
        <w:t>, 19(1), pp. 1–31. .</w:t>
      </w:r>
    </w:p>
    <w:p w14:paraId="4A868611">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Dunning, J.H. (2000) ‘The eclectic paradigm as an envelope for economic and business theories of MNE activity’, </w:t>
      </w:r>
      <w:r>
        <w:rPr>
          <w:rStyle w:val="13"/>
          <w:rFonts w:hint="default" w:ascii="Arial" w:hAnsi="Arial" w:cs="Arial"/>
        </w:rPr>
        <w:t>International Business Review</w:t>
      </w:r>
      <w:r>
        <w:rPr>
          <w:rFonts w:hint="default" w:ascii="Arial" w:hAnsi="Arial" w:cs="Arial"/>
        </w:rPr>
        <w:t xml:space="preserve">, 9(2), pp. 163–190. </w:t>
      </w:r>
    </w:p>
    <w:p w14:paraId="1F7CFD8B">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Dunning, J.H. (2001) ‘The eclectic (OLI) paradigm of international production: Past, present and future’, </w:t>
      </w:r>
      <w:r>
        <w:rPr>
          <w:rStyle w:val="13"/>
          <w:rFonts w:hint="default" w:ascii="Arial" w:hAnsi="Arial" w:cs="Arial"/>
        </w:rPr>
        <w:t>International Journal of the Economics of Business</w:t>
      </w:r>
      <w:r>
        <w:rPr>
          <w:rFonts w:hint="default" w:ascii="Arial" w:hAnsi="Arial" w:cs="Arial"/>
        </w:rPr>
        <w:t>, 8(2), pp. 173–190. .</w:t>
      </w:r>
    </w:p>
    <w:p w14:paraId="668810DD">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Estrin, S., Baghdasaryan, D. and Meyer, K.E. (2009) ‘The impact of institutional and human resource distance on international entry strategies’, </w:t>
      </w:r>
      <w:r>
        <w:rPr>
          <w:rStyle w:val="13"/>
          <w:rFonts w:hint="default" w:ascii="Arial" w:hAnsi="Arial" w:cs="Arial"/>
        </w:rPr>
        <w:t>Journal of Management Studies</w:t>
      </w:r>
      <w:r>
        <w:rPr>
          <w:rFonts w:hint="default" w:ascii="Arial" w:hAnsi="Arial" w:cs="Arial"/>
        </w:rPr>
        <w:t xml:space="preserve">, 46(7), pp. 1171–1196. </w:t>
      </w:r>
    </w:p>
    <w:p w14:paraId="4289CCD3">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Ghemawat, P. (2001) ‘Distance still matters: The hard reality of global expansion’, </w:t>
      </w:r>
      <w:r>
        <w:rPr>
          <w:rStyle w:val="13"/>
          <w:rFonts w:hint="default" w:ascii="Arial" w:hAnsi="Arial" w:cs="Arial"/>
        </w:rPr>
        <w:t>Harvard Business Review</w:t>
      </w:r>
      <w:r>
        <w:rPr>
          <w:rFonts w:hint="default" w:ascii="Arial" w:hAnsi="Arial" w:cs="Arial"/>
        </w:rPr>
        <w:t>, 79(8), pp. 137–147.</w:t>
      </w:r>
    </w:p>
    <w:p w14:paraId="62BFC852">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Gibbs, G. (1988) </w:t>
      </w:r>
      <w:r>
        <w:rPr>
          <w:rStyle w:val="13"/>
          <w:rFonts w:hint="default" w:ascii="Arial" w:hAnsi="Arial" w:cs="Arial"/>
        </w:rPr>
        <w:t>Learning by Doing: A Guide to Teaching and Learning Methods</w:t>
      </w:r>
      <w:r>
        <w:rPr>
          <w:rFonts w:hint="default" w:ascii="Arial" w:hAnsi="Arial" w:cs="Arial"/>
        </w:rPr>
        <w:t>. London: Further Education Unit.</w:t>
      </w:r>
    </w:p>
    <w:p w14:paraId="45C1127B">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Gielens, K. and Dekimpe, M.G. (2007) ‘The entry strategy of retail firms into transition economies’, </w:t>
      </w:r>
      <w:r>
        <w:rPr>
          <w:rStyle w:val="13"/>
          <w:rFonts w:hint="default" w:ascii="Arial" w:hAnsi="Arial" w:cs="Arial"/>
        </w:rPr>
        <w:t>Journal of Marketing</w:t>
      </w:r>
      <w:r>
        <w:rPr>
          <w:rFonts w:hint="default" w:ascii="Arial" w:hAnsi="Arial" w:cs="Arial"/>
        </w:rPr>
        <w:t xml:space="preserve">, 71(2), </w:t>
      </w:r>
      <w:r>
        <w:rPr>
          <w:rFonts w:hint="default" w:ascii="Arial" w:hAnsi="Arial" w:cs="Arial"/>
          <w:lang w:val="en-US"/>
        </w:rPr>
        <w:t>.</w:t>
      </w:r>
    </w:p>
    <w:p w14:paraId="6827A953">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Johanson, J. and Vahlne, J.-E. (1977) ‘The internationalization process of the firm – a model of knowledge development and increasing foreign market commitments’, </w:t>
      </w:r>
      <w:r>
        <w:rPr>
          <w:rStyle w:val="13"/>
          <w:rFonts w:hint="default" w:ascii="Arial" w:hAnsi="Arial" w:cs="Arial"/>
        </w:rPr>
        <w:t>Journal of International Business Studies</w:t>
      </w:r>
      <w:r>
        <w:rPr>
          <w:rFonts w:hint="default" w:ascii="Arial" w:hAnsi="Arial" w:cs="Arial"/>
        </w:rPr>
        <w:t xml:space="preserve">, 8(1), pp. 23–32. </w:t>
      </w:r>
    </w:p>
    <w:p w14:paraId="0056C65B">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Khanna, T. and Palepu, K.G. (2010) </w:t>
      </w:r>
      <w:r>
        <w:rPr>
          <w:rStyle w:val="13"/>
          <w:rFonts w:hint="default" w:ascii="Arial" w:hAnsi="Arial" w:cs="Arial"/>
        </w:rPr>
        <w:t>Winning in Emerging Markets: A Road Map for Strategy and Execution</w:t>
      </w:r>
      <w:r>
        <w:rPr>
          <w:rFonts w:hint="default" w:ascii="Arial" w:hAnsi="Arial" w:cs="Arial"/>
        </w:rPr>
        <w:t>. Boston, MA: Harvard Business Press.</w:t>
      </w:r>
    </w:p>
    <w:p w14:paraId="0A93E22F">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Lidl (2026) </w:t>
      </w:r>
      <w:r>
        <w:rPr>
          <w:rStyle w:val="13"/>
          <w:rFonts w:hint="default" w:ascii="Arial" w:hAnsi="Arial" w:cs="Arial"/>
        </w:rPr>
        <w:t>About Us</w:t>
      </w:r>
      <w:r>
        <w:rPr>
          <w:rFonts w:hint="default" w:ascii="Arial" w:hAnsi="Arial" w:cs="Arial"/>
        </w:rPr>
        <w:t>. Lidl.</w:t>
      </w:r>
    </w:p>
    <w:p w14:paraId="11ED90A7">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Meyer, K.E., Estrin, S., Bhaumik, S.K. and Peng, M.W. (2009) ‘Institutions, resources, and entry strategies in emerging economies’, </w:t>
      </w:r>
      <w:r>
        <w:rPr>
          <w:rStyle w:val="13"/>
          <w:rFonts w:hint="default" w:ascii="Arial" w:hAnsi="Arial" w:cs="Arial"/>
        </w:rPr>
        <w:t>Strategic Management Journal</w:t>
      </w:r>
      <w:r>
        <w:rPr>
          <w:rFonts w:hint="default" w:ascii="Arial" w:hAnsi="Arial" w:cs="Arial"/>
        </w:rPr>
        <w:t xml:space="preserve">, 30(1), pp. 61–80. </w:t>
      </w:r>
    </w:p>
    <w:p w14:paraId="2FB799CC">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Panagariya, A. (2008) </w:t>
      </w:r>
      <w:r>
        <w:rPr>
          <w:rStyle w:val="13"/>
          <w:rFonts w:hint="default" w:ascii="Arial" w:hAnsi="Arial" w:cs="Arial"/>
        </w:rPr>
        <w:t>India: The Emerging Giant</w:t>
      </w:r>
      <w:r>
        <w:rPr>
          <w:rFonts w:hint="default" w:ascii="Arial" w:hAnsi="Arial" w:cs="Arial"/>
        </w:rPr>
        <w:t>. New York: Oxford University Press.</w:t>
      </w:r>
    </w:p>
    <w:p w14:paraId="7EF884A5">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Reardon, T. and Gulati, A. (2008) </w:t>
      </w:r>
      <w:r>
        <w:rPr>
          <w:rStyle w:val="13"/>
          <w:rFonts w:hint="default" w:ascii="Arial" w:hAnsi="Arial" w:cs="Arial"/>
        </w:rPr>
        <w:t>The Rise of Supermarkets and Their Development Implications: International Experience Relevant for India</w:t>
      </w:r>
      <w:r>
        <w:rPr>
          <w:rFonts w:hint="default" w:ascii="Arial" w:hAnsi="Arial" w:cs="Arial"/>
        </w:rPr>
        <w:t>. IFPRI Discussion Paper 00752. Washington, DC: International Food Policy Research Institute.</w:t>
      </w:r>
    </w:p>
    <w:p w14:paraId="129B992C">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Reuters (2025) ‘India’s quick commerce sector made two-thirds of all 2024 e-grocery orders, report says’, 27 March.</w:t>
      </w:r>
    </w:p>
    <w:p w14:paraId="75F5E46E">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Rudienė, E. and Stašys, R. (2015) ‘The identification of the retail internationalization elements effected upon consumers’, </w:t>
      </w:r>
      <w:r>
        <w:rPr>
          <w:rStyle w:val="13"/>
          <w:rFonts w:hint="default" w:ascii="Arial" w:hAnsi="Arial" w:cs="Arial"/>
        </w:rPr>
        <w:t>Regional Formation and Development Studies</w:t>
      </w:r>
      <w:r>
        <w:rPr>
          <w:rFonts w:hint="default" w:ascii="Arial" w:hAnsi="Arial" w:cs="Arial"/>
        </w:rPr>
        <w:t>, 16(2), pp. 66–77.</w:t>
      </w:r>
    </w:p>
    <w:p w14:paraId="2D67AC29">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Sinha, P.K., Banerjee, A. and Uniyal, D.P. (2002) ‘Deciding where to buy: Store choice behaviour of Indian shoppers’, </w:t>
      </w:r>
      <w:r>
        <w:rPr>
          <w:rStyle w:val="13"/>
          <w:rFonts w:hint="default" w:ascii="Arial" w:hAnsi="Arial" w:cs="Arial"/>
        </w:rPr>
        <w:t>Vikalpa: The Journal for Decision Makers</w:t>
      </w:r>
      <w:r>
        <w:rPr>
          <w:rFonts w:hint="default" w:ascii="Arial" w:hAnsi="Arial" w:cs="Arial"/>
        </w:rPr>
        <w:t>, 27(2), pp. 13–28.</w:t>
      </w:r>
    </w:p>
    <w:p w14:paraId="26BBA754">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The World Bank (2026) </w:t>
      </w:r>
      <w:r>
        <w:rPr>
          <w:rStyle w:val="13"/>
          <w:rFonts w:hint="default" w:ascii="Arial" w:hAnsi="Arial" w:cs="Arial"/>
        </w:rPr>
        <w:t>India Development Update: April 2026</w:t>
      </w:r>
      <w:r>
        <w:rPr>
          <w:rFonts w:hint="default" w:ascii="Arial" w:hAnsi="Arial" w:cs="Arial"/>
        </w:rPr>
        <w:t>. Washington, DC: World Bank.</w:t>
      </w:r>
    </w:p>
    <w:p w14:paraId="6EA87F43">
      <w:pPr>
        <w:pStyle w:val="16"/>
        <w:keepNext w:val="0"/>
        <w:keepLines w:val="0"/>
        <w:widowControl/>
        <w:numPr>
          <w:ilvl w:val="0"/>
          <w:numId w:val="1"/>
        </w:numPr>
        <w:suppressLineNumbers w:val="0"/>
        <w:spacing w:before="0" w:beforeAutospacing="1" w:after="0" w:afterAutospacing="1" w:line="360" w:lineRule="auto"/>
        <w:ind w:left="420" w:leftChars="0" w:right="0" w:hanging="420" w:firstLineChars="0"/>
        <w:jc w:val="both"/>
        <w:rPr>
          <w:rFonts w:hint="default" w:ascii="Arial" w:hAnsi="Arial" w:cs="Arial"/>
        </w:rPr>
      </w:pPr>
      <w:r>
        <w:rPr>
          <w:rFonts w:hint="default" w:ascii="Arial" w:hAnsi="Arial" w:cs="Arial"/>
        </w:rPr>
        <w:t xml:space="preserve">Government of India, Ministry of Finance (2019) </w:t>
      </w:r>
      <w:r>
        <w:rPr>
          <w:rStyle w:val="13"/>
          <w:rFonts w:hint="default" w:ascii="Arial" w:hAnsi="Arial" w:cs="Arial"/>
        </w:rPr>
        <w:t>Foreign Exchange Management (Non-Debt Instruments) Rules, 2019</w:t>
      </w:r>
      <w:r>
        <w:rPr>
          <w:rFonts w:hint="default" w:ascii="Arial" w:hAnsi="Arial" w:cs="Arial"/>
        </w:rPr>
        <w:t>. New Delhi: Ministry of Finance.</w:t>
      </w:r>
    </w:p>
    <w:p w14:paraId="0569A8E4">
      <w:pPr>
        <w:pStyle w:val="16"/>
        <w:keepNext w:val="0"/>
        <w:keepLines w:val="0"/>
        <w:widowControl/>
        <w:numPr>
          <w:ilvl w:val="0"/>
          <w:numId w:val="1"/>
        </w:numPr>
        <w:suppressLineNumbers w:val="0"/>
        <w:spacing w:line="360" w:lineRule="auto"/>
        <w:ind w:left="420" w:leftChars="0" w:hanging="420" w:firstLineChars="0"/>
        <w:jc w:val="both"/>
        <w:rPr>
          <w:rFonts w:hint="default" w:ascii="Arial" w:hAnsi="Arial" w:cs="Arial"/>
        </w:rPr>
      </w:pPr>
      <w:r>
        <w:rPr>
          <w:rFonts w:hint="default" w:ascii="Arial" w:hAnsi="Arial" w:cs="Arial"/>
        </w:rPr>
        <w:t xml:space="preserve">Coe, N.M. and Wrigley, N. (2018) ‘The globalization of retail trade: Towards an economic geography of the retail transnational corporation’, </w:t>
      </w:r>
      <w:r>
        <w:rPr>
          <w:rStyle w:val="13"/>
          <w:rFonts w:hint="default" w:ascii="Arial" w:hAnsi="Arial" w:cs="Arial"/>
        </w:rPr>
        <w:t>Annual Review of Economics</w:t>
      </w:r>
      <w:r>
        <w:rPr>
          <w:rFonts w:hint="default" w:ascii="Arial" w:hAnsi="Arial" w:cs="Arial"/>
        </w:rPr>
        <w:t>, 10, pp. 15–39.</w:t>
      </w:r>
    </w:p>
    <w:p w14:paraId="4A6DF9BE">
      <w:pPr>
        <w:spacing w:line="360" w:lineRule="auto"/>
        <w:jc w:val="both"/>
        <w:rPr>
          <w:rFonts w:hint="default" w:ascii="Arial" w:hAnsi="Arial" w:eastAsia="SimSun" w:cs="Arial"/>
          <w:b w:val="0"/>
          <w:bCs w:val="0"/>
          <w:sz w:val="24"/>
          <w:szCs w:val="24"/>
          <w:lang w:val="en-US"/>
        </w:rPr>
      </w:pP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angal">
    <w:altName w:val="Segoe Print"/>
    <w:panose1 w:val="02040503050203030202"/>
    <w:charset w:val="00"/>
    <w:family w:val="roman"/>
    <w:pitch w:val="default"/>
    <w:sig w:usb0="00000000" w:usb1="00000000" w:usb2="00000000" w:usb3="00000000" w:csb0="00000001"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32040970"/>
      <w:docPartObj>
        <w:docPartGallery w:val="AutoText"/>
      </w:docPartObj>
    </w:sdtPr>
    <w:sdtContent>
      <w:p w14:paraId="6977A15F">
        <w:pPr>
          <w:pStyle w:val="14"/>
          <w:jc w:val="center"/>
        </w:pPr>
        <w:r>
          <w:fldChar w:fldCharType="begin"/>
        </w:r>
        <w:r>
          <w:instrText xml:space="preserve"> PAGE   \* MERGEFORMAT </w:instrText>
        </w:r>
        <w:r>
          <w:fldChar w:fldCharType="separate"/>
        </w:r>
        <w:r>
          <w:t>2</w:t>
        </w:r>
        <w:r>
          <w:fldChar w:fldCharType="end"/>
        </w:r>
      </w:p>
    </w:sdtContent>
  </w:sdt>
  <w:p w14:paraId="2B499B35">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547B214"/>
    <w:multiLevelType w:val="singleLevel"/>
    <w:tmpl w:val="5547B214"/>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2B50"/>
    <w:rsid w:val="000909B0"/>
    <w:rsid w:val="00116F5D"/>
    <w:rsid w:val="00175C4C"/>
    <w:rsid w:val="002625B3"/>
    <w:rsid w:val="00321AFB"/>
    <w:rsid w:val="0041419E"/>
    <w:rsid w:val="00496B61"/>
    <w:rsid w:val="005B4451"/>
    <w:rsid w:val="0060023B"/>
    <w:rsid w:val="007E625D"/>
    <w:rsid w:val="00852F6B"/>
    <w:rsid w:val="0090266F"/>
    <w:rsid w:val="009472C8"/>
    <w:rsid w:val="00AC2B50"/>
    <w:rsid w:val="00CC2761"/>
    <w:rsid w:val="00D6756E"/>
    <w:rsid w:val="00DA4553"/>
    <w:rsid w:val="00F01BB9"/>
    <w:rsid w:val="00FC1A7D"/>
    <w:rsid w:val="24D41EB0"/>
    <w:rsid w:val="58C064AB"/>
    <w:rsid w:val="751C56B1"/>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IN" w:eastAsia="en-US" w:bidi="ar-SA"/>
      <w14:ligatures w14:val="standardContextual"/>
    </w:rPr>
  </w:style>
  <w:style w:type="paragraph" w:styleId="2">
    <w:name w:val="heading 1"/>
    <w:basedOn w:val="1"/>
    <w:next w:val="1"/>
    <w:link w:val="23"/>
    <w:qFormat/>
    <w:uiPriority w:val="9"/>
    <w:pPr>
      <w:keepNext/>
      <w:keepLines/>
      <w:spacing w:before="360" w:after="80"/>
      <w:outlineLvl w:val="0"/>
    </w:pPr>
    <w:rPr>
      <w:rFonts w:asciiTheme="majorHAnsi" w:hAnsiTheme="majorHAnsi" w:eastAsiaTheme="majorEastAsia" w:cstheme="majorBidi"/>
      <w:color w:val="2F5597" w:themeColor="accent1" w:themeShade="BF"/>
      <w:sz w:val="40"/>
      <w:szCs w:val="40"/>
    </w:rPr>
  </w:style>
  <w:style w:type="paragraph" w:styleId="3">
    <w:name w:val="heading 2"/>
    <w:basedOn w:val="1"/>
    <w:next w:val="1"/>
    <w:link w:val="24"/>
    <w:semiHidden/>
    <w:unhideWhenUsed/>
    <w:qFormat/>
    <w:uiPriority w:val="9"/>
    <w:pPr>
      <w:keepNext/>
      <w:keepLines/>
      <w:spacing w:before="160" w:after="80"/>
      <w:outlineLvl w:val="1"/>
    </w:pPr>
    <w:rPr>
      <w:rFonts w:asciiTheme="majorHAnsi" w:hAnsiTheme="majorHAnsi" w:eastAsiaTheme="majorEastAsia" w:cstheme="majorBidi"/>
      <w:color w:val="2F5597" w:themeColor="accent1" w:themeShade="BF"/>
      <w:sz w:val="32"/>
      <w:szCs w:val="32"/>
    </w:rPr>
  </w:style>
  <w:style w:type="paragraph" w:styleId="4">
    <w:name w:val="heading 3"/>
    <w:basedOn w:val="1"/>
    <w:next w:val="1"/>
    <w:link w:val="25"/>
    <w:semiHidden/>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6"/>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7"/>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8"/>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9"/>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0"/>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1"/>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paragraph" w:styleId="14">
    <w:name w:val="footer"/>
    <w:basedOn w:val="1"/>
    <w:link w:val="42"/>
    <w:unhideWhenUsed/>
    <w:qFormat/>
    <w:uiPriority w:val="99"/>
    <w:pPr>
      <w:tabs>
        <w:tab w:val="center" w:pos="4513"/>
        <w:tab w:val="right" w:pos="9026"/>
      </w:tabs>
      <w:spacing w:after="0" w:line="240" w:lineRule="auto"/>
    </w:pPr>
  </w:style>
  <w:style w:type="paragraph" w:styleId="15">
    <w:name w:val="header"/>
    <w:basedOn w:val="1"/>
    <w:link w:val="41"/>
    <w:unhideWhenUsed/>
    <w:uiPriority w:val="99"/>
    <w:pPr>
      <w:tabs>
        <w:tab w:val="center" w:pos="4513"/>
        <w:tab w:val="right" w:pos="9026"/>
      </w:tabs>
      <w:spacing w:after="0" w:line="240" w:lineRule="auto"/>
    </w:pPr>
  </w:style>
  <w:style w:type="paragraph" w:styleId="16">
    <w:name w:val="Normal (Web)"/>
    <w:semiHidden/>
    <w:unhideWhenUsed/>
    <w:uiPriority w:val="99"/>
    <w:pPr>
      <w:spacing w:before="0" w:beforeAutospacing="1" w:after="0" w:afterAutospacing="1"/>
      <w:ind w:left="0" w:right="0"/>
      <w:jc w:val="left"/>
    </w:pPr>
    <w:rPr>
      <w:kern w:val="0"/>
      <w:sz w:val="24"/>
      <w:szCs w:val="24"/>
      <w:lang w:val="en-US" w:eastAsia="zh-CN" w:bidi="ar"/>
    </w:rPr>
  </w:style>
  <w:style w:type="character" w:styleId="17">
    <w:name w:val="Strong"/>
    <w:basedOn w:val="11"/>
    <w:qFormat/>
    <w:uiPriority w:val="22"/>
    <w:rPr>
      <w:b/>
      <w:bCs/>
    </w:rPr>
  </w:style>
  <w:style w:type="paragraph" w:styleId="18">
    <w:name w:val="Subtitle"/>
    <w:basedOn w:val="1"/>
    <w:next w:val="1"/>
    <w:link w:val="33"/>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2"/>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1">
    <w:name w:val="toc 1"/>
    <w:basedOn w:val="1"/>
    <w:next w:val="1"/>
    <w:semiHidden/>
    <w:unhideWhenUsed/>
    <w:uiPriority w:val="39"/>
  </w:style>
  <w:style w:type="paragraph" w:styleId="22">
    <w:name w:val="toc 3"/>
    <w:basedOn w:val="1"/>
    <w:next w:val="1"/>
    <w:semiHidden/>
    <w:unhideWhenUsed/>
    <w:uiPriority w:val="39"/>
    <w:pPr>
      <w:ind w:left="840" w:leftChars="400"/>
    </w:pPr>
  </w:style>
  <w:style w:type="character" w:customStyle="1" w:styleId="23">
    <w:name w:val="Heading 1 Char"/>
    <w:basedOn w:val="11"/>
    <w:link w:val="2"/>
    <w:qFormat/>
    <w:uiPriority w:val="9"/>
    <w:rPr>
      <w:rFonts w:asciiTheme="majorHAnsi" w:hAnsiTheme="majorHAnsi" w:eastAsiaTheme="majorEastAsia" w:cstheme="majorBidi"/>
      <w:color w:val="2F5597" w:themeColor="accent1" w:themeShade="BF"/>
      <w:sz w:val="40"/>
      <w:szCs w:val="40"/>
    </w:rPr>
  </w:style>
  <w:style w:type="character" w:customStyle="1" w:styleId="24">
    <w:name w:val="Heading 2 Char"/>
    <w:basedOn w:val="11"/>
    <w:link w:val="3"/>
    <w:semiHidden/>
    <w:uiPriority w:val="9"/>
    <w:rPr>
      <w:rFonts w:asciiTheme="majorHAnsi" w:hAnsiTheme="majorHAnsi" w:eastAsiaTheme="majorEastAsia" w:cstheme="majorBidi"/>
      <w:color w:val="2F5597" w:themeColor="accent1" w:themeShade="BF"/>
      <w:sz w:val="32"/>
      <w:szCs w:val="32"/>
    </w:rPr>
  </w:style>
  <w:style w:type="character" w:customStyle="1" w:styleId="25">
    <w:name w:val="Heading 3 Char"/>
    <w:basedOn w:val="11"/>
    <w:link w:val="4"/>
    <w:semiHidden/>
    <w:qFormat/>
    <w:uiPriority w:val="9"/>
    <w:rPr>
      <w:rFonts w:eastAsiaTheme="majorEastAsia" w:cstheme="majorBidi"/>
      <w:color w:val="2F5597" w:themeColor="accent1" w:themeShade="BF"/>
      <w:sz w:val="28"/>
      <w:szCs w:val="28"/>
    </w:rPr>
  </w:style>
  <w:style w:type="character" w:customStyle="1" w:styleId="26">
    <w:name w:val="Heading 4 Char"/>
    <w:basedOn w:val="11"/>
    <w:link w:val="5"/>
    <w:semiHidden/>
    <w:uiPriority w:val="9"/>
    <w:rPr>
      <w:rFonts w:eastAsiaTheme="majorEastAsia" w:cstheme="majorBidi"/>
      <w:i/>
      <w:iCs/>
      <w:color w:val="2F5597" w:themeColor="accent1" w:themeShade="BF"/>
    </w:rPr>
  </w:style>
  <w:style w:type="character" w:customStyle="1" w:styleId="27">
    <w:name w:val="Heading 5 Char"/>
    <w:basedOn w:val="11"/>
    <w:link w:val="6"/>
    <w:semiHidden/>
    <w:qFormat/>
    <w:uiPriority w:val="9"/>
    <w:rPr>
      <w:rFonts w:eastAsiaTheme="majorEastAsia" w:cstheme="majorBidi"/>
      <w:color w:val="2F5597" w:themeColor="accent1" w:themeShade="BF"/>
    </w:rPr>
  </w:style>
  <w:style w:type="character" w:customStyle="1" w:styleId="28">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9">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0">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1">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2">
    <w:name w:val="Title Char"/>
    <w:basedOn w:val="11"/>
    <w:link w:val="20"/>
    <w:qFormat/>
    <w:uiPriority w:val="10"/>
    <w:rPr>
      <w:rFonts w:asciiTheme="majorHAnsi" w:hAnsiTheme="majorHAnsi" w:eastAsiaTheme="majorEastAsia" w:cstheme="majorBidi"/>
      <w:spacing w:val="-10"/>
      <w:kern w:val="28"/>
      <w:sz w:val="56"/>
      <w:szCs w:val="56"/>
    </w:rPr>
  </w:style>
  <w:style w:type="character" w:customStyle="1" w:styleId="33">
    <w:name w:val="Subtitle Char"/>
    <w:basedOn w:val="11"/>
    <w:link w:val="1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4">
    <w:name w:val="Quote"/>
    <w:basedOn w:val="1"/>
    <w:next w:val="1"/>
    <w:link w:val="35"/>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Quote Char"/>
    <w:basedOn w:val="11"/>
    <w:link w:val="34"/>
    <w:qFormat/>
    <w:uiPriority w:val="29"/>
    <w:rPr>
      <w:i/>
      <w:iCs/>
      <w:color w:val="404040" w:themeColor="text1" w:themeTint="BF"/>
      <w14:textFill>
        <w14:solidFill>
          <w14:schemeClr w14:val="tx1">
            <w14:lumMod w14:val="75000"/>
            <w14:lumOff w14:val="25000"/>
          </w14:schemeClr>
        </w14:solidFill>
      </w14:textFill>
    </w:rPr>
  </w:style>
  <w:style w:type="paragraph" w:styleId="36">
    <w:name w:val="List Paragraph"/>
    <w:basedOn w:val="1"/>
    <w:qFormat/>
    <w:uiPriority w:val="34"/>
    <w:pPr>
      <w:ind w:left="720"/>
      <w:contextualSpacing/>
    </w:pPr>
  </w:style>
  <w:style w:type="character" w:customStyle="1" w:styleId="37">
    <w:name w:val="Intense Emphasis"/>
    <w:basedOn w:val="11"/>
    <w:qFormat/>
    <w:uiPriority w:val="21"/>
    <w:rPr>
      <w:i/>
      <w:iCs/>
      <w:color w:val="2F5597" w:themeColor="accent1" w:themeShade="BF"/>
    </w:rPr>
  </w:style>
  <w:style w:type="paragraph" w:styleId="38">
    <w:name w:val="Intense Quote"/>
    <w:basedOn w:val="1"/>
    <w:next w:val="1"/>
    <w:link w:val="39"/>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9">
    <w:name w:val="Intense Quote Char"/>
    <w:basedOn w:val="11"/>
    <w:link w:val="38"/>
    <w:qFormat/>
    <w:uiPriority w:val="30"/>
    <w:rPr>
      <w:i/>
      <w:iCs/>
      <w:color w:val="2F5597" w:themeColor="accent1" w:themeShade="BF"/>
    </w:rPr>
  </w:style>
  <w:style w:type="character" w:customStyle="1" w:styleId="40">
    <w:name w:val="Intense Reference"/>
    <w:basedOn w:val="11"/>
    <w:qFormat/>
    <w:uiPriority w:val="32"/>
    <w:rPr>
      <w:b/>
      <w:bCs/>
      <w:smallCaps/>
      <w:color w:val="2F5597" w:themeColor="accent1" w:themeShade="BF"/>
      <w:spacing w:val="5"/>
    </w:rPr>
  </w:style>
  <w:style w:type="character" w:customStyle="1" w:styleId="41">
    <w:name w:val="Header Char"/>
    <w:basedOn w:val="11"/>
    <w:link w:val="15"/>
    <w:qFormat/>
    <w:uiPriority w:val="99"/>
  </w:style>
  <w:style w:type="character" w:customStyle="1" w:styleId="42">
    <w:name w:val="Footer Char"/>
    <w:basedOn w:val="11"/>
    <w:link w:val="14"/>
    <w:qFormat/>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22</Pages>
  <Words>5214</Words>
  <Characters>30115</Characters>
  <Lines>251</Lines>
  <Paragraphs>70</Paragraphs>
  <TotalTime>38</TotalTime>
  <ScaleCrop>false</ScaleCrop>
  <LinksUpToDate>false</LinksUpToDate>
  <CharactersWithSpaces>35228</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2026-08-10T14:18:00Z</dcterms:created>
  <dc:creator>SHLOK CHOUDHARY</dc:creator>
  <cp:lastModifiedBy>Mohdsaqibkhan</cp:lastModifiedBy>
  <dcterms:modified xsi:type="dcterms:W3CDTF">2026-08-12T18:22:32Z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eyJoZGlkIjoiZWI0MWYxNTMxMTVhYzdmZjZhZmFjYWNiMTg2NzZmMDciLCJ1c2VySWQiOiIzODQ4MjkxOTg3ODQyIn0=</vt:lpwstr>
  </property>
  <property fmtid="{D5CDD505-2E9C-101B-9397-08002B2CF9AE}" pid="3" name="KSOProductBuildVer">
    <vt:lpwstr>1033-12.1.0.28032</vt:lpwstr>
  </property>
  <property fmtid="{D5CDD505-2E9C-101B-9397-08002B2CF9AE}" pid="4" name="ICV">
    <vt:lpwstr>3B74C78A340A4AA18D6A954FB5A463DB_13</vt:lpwstr>
  </property>
</Properties>
</file>