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8A2CC" w14:textId="22D9E60A" w:rsidR="00B621D3" w:rsidRPr="00800067" w:rsidRDefault="001D5F98" w:rsidP="00800067">
      <w:pPr>
        <w:spacing w:line="360" w:lineRule="auto"/>
        <w:jc w:val="both"/>
        <w:rPr>
          <w:rFonts w:asciiTheme="minorBidi" w:hAnsiTheme="minorBidi"/>
          <w:b/>
          <w:bCs/>
        </w:rPr>
      </w:pPr>
      <w:r w:rsidRPr="00800067">
        <w:rPr>
          <w:rFonts w:asciiTheme="minorBidi" w:hAnsiTheme="minorBidi"/>
          <w:noProof/>
        </w:rPr>
        <w:drawing>
          <wp:anchor distT="0" distB="0" distL="114300" distR="114300" simplePos="0" relativeHeight="251663360" behindDoc="0" locked="0" layoutInCell="1" allowOverlap="1" wp14:anchorId="1AD365A1" wp14:editId="4217263D">
            <wp:simplePos x="0" y="0"/>
            <wp:positionH relativeFrom="column">
              <wp:posOffset>-565150</wp:posOffset>
            </wp:positionH>
            <wp:positionV relativeFrom="paragraph">
              <wp:posOffset>0</wp:posOffset>
            </wp:positionV>
            <wp:extent cx="3137811" cy="1743075"/>
            <wp:effectExtent l="0" t="0" r="5715" b="0"/>
            <wp:wrapTopAndBottom/>
            <wp:docPr id="401997888" name="Picture 1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97888" name="Picture 11" descr="A black and yellow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37811" cy="1743075"/>
                    </a:xfrm>
                    <a:prstGeom prst="rect">
                      <a:avLst/>
                    </a:prstGeom>
                  </pic:spPr>
                </pic:pic>
              </a:graphicData>
            </a:graphic>
            <wp14:sizeRelH relativeFrom="page">
              <wp14:pctWidth>0</wp14:pctWidth>
            </wp14:sizeRelH>
            <wp14:sizeRelV relativeFrom="page">
              <wp14:pctHeight>0</wp14:pctHeight>
            </wp14:sizeRelV>
          </wp:anchor>
        </w:drawing>
      </w:r>
    </w:p>
    <w:p w14:paraId="63F040FA" w14:textId="61916B9A" w:rsidR="00B621D3" w:rsidRPr="00800067" w:rsidRDefault="00B621D3" w:rsidP="00800067">
      <w:pPr>
        <w:spacing w:line="360" w:lineRule="auto"/>
        <w:jc w:val="both"/>
        <w:rPr>
          <w:rFonts w:asciiTheme="minorBidi" w:hAnsiTheme="minorBidi"/>
          <w:b/>
          <w:bCs/>
        </w:rPr>
      </w:pPr>
    </w:p>
    <w:p w14:paraId="0E2EF28A" w14:textId="7F0D644F" w:rsidR="00B621D3" w:rsidRPr="00800067" w:rsidRDefault="00B621D3" w:rsidP="00800067">
      <w:pPr>
        <w:spacing w:line="360" w:lineRule="auto"/>
        <w:jc w:val="both"/>
        <w:rPr>
          <w:rFonts w:asciiTheme="minorBidi" w:hAnsiTheme="minorBidi"/>
          <w:b/>
          <w:bCs/>
        </w:rPr>
      </w:pPr>
    </w:p>
    <w:p w14:paraId="5BA2045B" w14:textId="53269FE1" w:rsidR="00B621D3" w:rsidRPr="00800067" w:rsidRDefault="00B621D3" w:rsidP="00800067">
      <w:pPr>
        <w:spacing w:line="360" w:lineRule="auto"/>
        <w:jc w:val="both"/>
        <w:rPr>
          <w:rFonts w:asciiTheme="minorBidi" w:hAnsiTheme="minorBidi"/>
          <w:b/>
          <w:bCs/>
        </w:rPr>
      </w:pPr>
    </w:p>
    <w:p w14:paraId="6FDABCA5" w14:textId="7B9A0B42" w:rsidR="00B621D3" w:rsidRPr="00800067" w:rsidRDefault="00B621D3" w:rsidP="00800067">
      <w:pPr>
        <w:spacing w:line="360" w:lineRule="auto"/>
        <w:jc w:val="both"/>
        <w:rPr>
          <w:rFonts w:asciiTheme="minorBidi" w:hAnsiTheme="minorBidi"/>
          <w:b/>
          <w:bCs/>
        </w:rPr>
      </w:pPr>
    </w:p>
    <w:p w14:paraId="209CBCDA" w14:textId="5FAECF65" w:rsidR="00B621D3" w:rsidRPr="00800067" w:rsidRDefault="009742B9" w:rsidP="00800067">
      <w:pPr>
        <w:spacing w:line="360" w:lineRule="auto"/>
        <w:jc w:val="both"/>
        <w:rPr>
          <w:rFonts w:asciiTheme="minorBidi" w:hAnsiTheme="minorBidi"/>
          <w:b/>
          <w:bCs/>
        </w:rPr>
      </w:pPr>
      <w:r>
        <w:rPr>
          <w:rFonts w:asciiTheme="minorBidi" w:hAnsiTheme="minorBidi"/>
          <w:b/>
          <w:bCs/>
          <w:noProof/>
        </w:rPr>
        <mc:AlternateContent>
          <mc:Choice Requires="wps">
            <w:drawing>
              <wp:anchor distT="0" distB="0" distL="114300" distR="114300" simplePos="0" relativeHeight="251660288" behindDoc="0" locked="0" layoutInCell="1" allowOverlap="1" wp14:anchorId="64475380" wp14:editId="50574F99">
                <wp:simplePos x="0" y="0"/>
                <wp:positionH relativeFrom="margin">
                  <wp:align>center</wp:align>
                </wp:positionH>
                <wp:positionV relativeFrom="paragraph">
                  <wp:posOffset>235048</wp:posOffset>
                </wp:positionV>
                <wp:extent cx="6738425" cy="1005840"/>
                <wp:effectExtent l="0" t="0" r="24765" b="22860"/>
                <wp:wrapNone/>
                <wp:docPr id="1265838451" name="Text Box 2"/>
                <wp:cNvGraphicFramePr/>
                <a:graphic xmlns:a="http://schemas.openxmlformats.org/drawingml/2006/main">
                  <a:graphicData uri="http://schemas.microsoft.com/office/word/2010/wordprocessingShape">
                    <wps:wsp>
                      <wps:cNvSpPr txBox="1"/>
                      <wps:spPr>
                        <a:xfrm>
                          <a:off x="0" y="0"/>
                          <a:ext cx="6738425" cy="1005840"/>
                        </a:xfrm>
                        <a:prstGeom prst="rect">
                          <a:avLst/>
                        </a:prstGeom>
                        <a:solidFill>
                          <a:schemeClr val="lt1"/>
                        </a:solidFill>
                        <a:ln w="6350">
                          <a:solidFill>
                            <a:prstClr val="black"/>
                          </a:solidFill>
                        </a:ln>
                      </wps:spPr>
                      <wps:txbx>
                        <w:txbxContent>
                          <w:p w14:paraId="2B4637C6" w14:textId="2814A2B8" w:rsidR="009742B9" w:rsidRPr="009742B9" w:rsidRDefault="009742B9" w:rsidP="009742B9">
                            <w:pPr>
                              <w:jc w:val="center"/>
                              <w:rPr>
                                <w:sz w:val="40"/>
                                <w:szCs w:val="40"/>
                              </w:rPr>
                            </w:pPr>
                            <w:r w:rsidRPr="009742B9">
                              <w:rPr>
                                <w:sz w:val="40"/>
                                <w:szCs w:val="40"/>
                              </w:rPr>
                              <w:t>Evaluating</w:t>
                            </w:r>
                            <w:r>
                              <w:rPr>
                                <w:sz w:val="40"/>
                                <w:szCs w:val="40"/>
                              </w:rPr>
                              <w:t xml:space="preserve"> </w:t>
                            </w:r>
                            <w:r w:rsidRPr="009742B9">
                              <w:rPr>
                                <w:sz w:val="40"/>
                                <w:szCs w:val="40"/>
                              </w:rPr>
                              <w:t xml:space="preserve">Person </w:t>
                            </w:r>
                            <w:r>
                              <w:rPr>
                                <w:sz w:val="40"/>
                                <w:szCs w:val="40"/>
                              </w:rPr>
                              <w:t>C</w:t>
                            </w:r>
                            <w:r w:rsidRPr="009742B9">
                              <w:rPr>
                                <w:sz w:val="40"/>
                                <w:szCs w:val="40"/>
                              </w:rPr>
                              <w:t xml:space="preserve">entred </w:t>
                            </w:r>
                            <w:r>
                              <w:rPr>
                                <w:sz w:val="40"/>
                                <w:szCs w:val="40"/>
                              </w:rPr>
                              <w:t>C</w:t>
                            </w:r>
                            <w:r w:rsidRPr="009742B9">
                              <w:rPr>
                                <w:sz w:val="40"/>
                                <w:szCs w:val="40"/>
                              </w:rPr>
                              <w:t xml:space="preserve">are </w:t>
                            </w:r>
                            <w:r>
                              <w:rPr>
                                <w:sz w:val="40"/>
                                <w:szCs w:val="40"/>
                              </w:rPr>
                              <w:t>A</w:t>
                            </w:r>
                            <w:r w:rsidRPr="009742B9">
                              <w:rPr>
                                <w:sz w:val="40"/>
                                <w:szCs w:val="40"/>
                              </w:rPr>
                              <w:t xml:space="preserve">nd </w:t>
                            </w:r>
                            <w:r>
                              <w:rPr>
                                <w:sz w:val="40"/>
                                <w:szCs w:val="40"/>
                              </w:rPr>
                              <w:t>P</w:t>
                            </w:r>
                            <w:r w:rsidRPr="009742B9">
                              <w:rPr>
                                <w:sz w:val="40"/>
                                <w:szCs w:val="40"/>
                              </w:rPr>
                              <w:t xml:space="preserve">artnership </w:t>
                            </w:r>
                            <w:r>
                              <w:rPr>
                                <w:sz w:val="40"/>
                                <w:szCs w:val="40"/>
                              </w:rPr>
                              <w:t>W</w:t>
                            </w:r>
                            <w:r w:rsidRPr="009742B9">
                              <w:rPr>
                                <w:sz w:val="40"/>
                                <w:szCs w:val="40"/>
                              </w:rPr>
                              <w:t xml:space="preserve">orking </w:t>
                            </w:r>
                            <w:r>
                              <w:rPr>
                                <w:sz w:val="40"/>
                                <w:szCs w:val="40"/>
                              </w:rPr>
                              <w:t>I</w:t>
                            </w:r>
                            <w:r w:rsidRPr="009742B9">
                              <w:rPr>
                                <w:sz w:val="40"/>
                                <w:szCs w:val="40"/>
                              </w:rPr>
                              <w:t xml:space="preserve">n </w:t>
                            </w:r>
                            <w:r>
                              <w:rPr>
                                <w:sz w:val="40"/>
                                <w:szCs w:val="40"/>
                              </w:rPr>
                              <w:t xml:space="preserve">GP Surgeries: </w:t>
                            </w:r>
                            <w:r w:rsidRPr="009742B9">
                              <w:rPr>
                                <w:sz w:val="40"/>
                                <w:szCs w:val="40"/>
                              </w:rPr>
                              <w:t>Ethical</w:t>
                            </w:r>
                            <w:r>
                              <w:rPr>
                                <w:sz w:val="40"/>
                                <w:szCs w:val="40"/>
                              </w:rPr>
                              <w:t>,</w:t>
                            </w:r>
                            <w:r w:rsidRPr="009742B9">
                              <w:rPr>
                                <w:sz w:val="40"/>
                                <w:szCs w:val="40"/>
                              </w:rPr>
                              <w:t xml:space="preserve"> </w:t>
                            </w:r>
                            <w:r>
                              <w:rPr>
                                <w:sz w:val="40"/>
                                <w:szCs w:val="40"/>
                              </w:rPr>
                              <w:t>T</w:t>
                            </w:r>
                            <w:r w:rsidRPr="009742B9">
                              <w:rPr>
                                <w:sz w:val="40"/>
                                <w:szCs w:val="40"/>
                              </w:rPr>
                              <w:t>heoretical</w:t>
                            </w:r>
                            <w:r>
                              <w:rPr>
                                <w:sz w:val="40"/>
                                <w:szCs w:val="40"/>
                              </w:rPr>
                              <w:t xml:space="preserve"> </w:t>
                            </w:r>
                            <w:r w:rsidRPr="009742B9">
                              <w:rPr>
                                <w:sz w:val="40"/>
                                <w:szCs w:val="40"/>
                              </w:rPr>
                              <w:t xml:space="preserve">And </w:t>
                            </w:r>
                            <w:r>
                              <w:rPr>
                                <w:sz w:val="40"/>
                                <w:szCs w:val="40"/>
                              </w:rPr>
                              <w:t>P</w:t>
                            </w:r>
                            <w:r w:rsidRPr="009742B9">
                              <w:rPr>
                                <w:sz w:val="40"/>
                                <w:szCs w:val="40"/>
                              </w:rPr>
                              <w:t xml:space="preserve">olicy </w:t>
                            </w:r>
                            <w:r>
                              <w:rPr>
                                <w:sz w:val="40"/>
                                <w:szCs w:val="40"/>
                              </w:rPr>
                              <w:t>P</w:t>
                            </w:r>
                            <w:r w:rsidRPr="009742B9">
                              <w:rPr>
                                <w:sz w:val="40"/>
                                <w:szCs w:val="40"/>
                              </w:rPr>
                              <w:t>erspective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475380" id="_x0000_t202" coordsize="21600,21600" o:spt="202" path="m,l,21600r21600,l21600,xe">
                <v:stroke joinstyle="miter"/>
                <v:path gradientshapeok="t" o:connecttype="rect"/>
              </v:shapetype>
              <v:shape id="Text Box 2" o:spid="_x0000_s1026" type="#_x0000_t202" style="position:absolute;left:0;text-align:left;margin-left:0;margin-top:18.5pt;width:530.6pt;height:79.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" fillcolor="white [3201]" strokeweight=".5pt">
                <v:textbox>
                  <w:txbxContent>
                    <w:p w14:paraId="2B4637C6" w14:textId="2814A2B8" w:rsidR="009742B9" w:rsidRPr="009742B9" w:rsidRDefault="009742B9" w:rsidP="009742B9">
                      <w:pPr>
                        <w:jc w:val="center"/>
                        <w:rPr>
                          <w:sz w:val="40"/>
                          <w:szCs w:val="40"/>
                        </w:rPr>
                      </w:pPr>
                      <w:r w:rsidRPr="009742B9">
                        <w:rPr>
                          <w:sz w:val="40"/>
                          <w:szCs w:val="40"/>
                        </w:rPr>
                        <w:t>Evaluating</w:t>
                      </w:r>
                      <w:r>
                        <w:rPr>
                          <w:sz w:val="40"/>
                          <w:szCs w:val="40"/>
                        </w:rPr>
                        <w:t xml:space="preserve"> </w:t>
                      </w:r>
                      <w:r w:rsidRPr="009742B9">
                        <w:rPr>
                          <w:sz w:val="40"/>
                          <w:szCs w:val="40"/>
                        </w:rPr>
                        <w:t xml:space="preserve">Person </w:t>
                      </w:r>
                      <w:r>
                        <w:rPr>
                          <w:sz w:val="40"/>
                          <w:szCs w:val="40"/>
                        </w:rPr>
                        <w:t>C</w:t>
                      </w:r>
                      <w:r w:rsidRPr="009742B9">
                        <w:rPr>
                          <w:sz w:val="40"/>
                          <w:szCs w:val="40"/>
                        </w:rPr>
                        <w:t xml:space="preserve">entred </w:t>
                      </w:r>
                      <w:r>
                        <w:rPr>
                          <w:sz w:val="40"/>
                          <w:szCs w:val="40"/>
                        </w:rPr>
                        <w:t>C</w:t>
                      </w:r>
                      <w:r w:rsidRPr="009742B9">
                        <w:rPr>
                          <w:sz w:val="40"/>
                          <w:szCs w:val="40"/>
                        </w:rPr>
                        <w:t xml:space="preserve">are </w:t>
                      </w:r>
                      <w:r>
                        <w:rPr>
                          <w:sz w:val="40"/>
                          <w:szCs w:val="40"/>
                        </w:rPr>
                        <w:t>A</w:t>
                      </w:r>
                      <w:r w:rsidRPr="009742B9">
                        <w:rPr>
                          <w:sz w:val="40"/>
                          <w:szCs w:val="40"/>
                        </w:rPr>
                        <w:t xml:space="preserve">nd </w:t>
                      </w:r>
                      <w:r>
                        <w:rPr>
                          <w:sz w:val="40"/>
                          <w:szCs w:val="40"/>
                        </w:rPr>
                        <w:t>P</w:t>
                      </w:r>
                      <w:r w:rsidRPr="009742B9">
                        <w:rPr>
                          <w:sz w:val="40"/>
                          <w:szCs w:val="40"/>
                        </w:rPr>
                        <w:t xml:space="preserve">artnership </w:t>
                      </w:r>
                      <w:r>
                        <w:rPr>
                          <w:sz w:val="40"/>
                          <w:szCs w:val="40"/>
                        </w:rPr>
                        <w:t>W</w:t>
                      </w:r>
                      <w:r w:rsidRPr="009742B9">
                        <w:rPr>
                          <w:sz w:val="40"/>
                          <w:szCs w:val="40"/>
                        </w:rPr>
                        <w:t xml:space="preserve">orking </w:t>
                      </w:r>
                      <w:r>
                        <w:rPr>
                          <w:sz w:val="40"/>
                          <w:szCs w:val="40"/>
                        </w:rPr>
                        <w:t>I</w:t>
                      </w:r>
                      <w:r w:rsidRPr="009742B9">
                        <w:rPr>
                          <w:sz w:val="40"/>
                          <w:szCs w:val="40"/>
                        </w:rPr>
                        <w:t xml:space="preserve">n </w:t>
                      </w:r>
                      <w:r>
                        <w:rPr>
                          <w:sz w:val="40"/>
                          <w:szCs w:val="40"/>
                        </w:rPr>
                        <w:t xml:space="preserve">GP Surgeries: </w:t>
                      </w:r>
                      <w:r w:rsidRPr="009742B9">
                        <w:rPr>
                          <w:sz w:val="40"/>
                          <w:szCs w:val="40"/>
                        </w:rPr>
                        <w:t>Ethical</w:t>
                      </w:r>
                      <w:r>
                        <w:rPr>
                          <w:sz w:val="40"/>
                          <w:szCs w:val="40"/>
                        </w:rPr>
                        <w:t>,</w:t>
                      </w:r>
                      <w:r w:rsidRPr="009742B9">
                        <w:rPr>
                          <w:sz w:val="40"/>
                          <w:szCs w:val="40"/>
                        </w:rPr>
                        <w:t xml:space="preserve"> </w:t>
                      </w:r>
                      <w:r>
                        <w:rPr>
                          <w:sz w:val="40"/>
                          <w:szCs w:val="40"/>
                        </w:rPr>
                        <w:t>T</w:t>
                      </w:r>
                      <w:r w:rsidRPr="009742B9">
                        <w:rPr>
                          <w:sz w:val="40"/>
                          <w:szCs w:val="40"/>
                        </w:rPr>
                        <w:t>heoretical</w:t>
                      </w:r>
                      <w:r>
                        <w:rPr>
                          <w:sz w:val="40"/>
                          <w:szCs w:val="40"/>
                        </w:rPr>
                        <w:t xml:space="preserve"> </w:t>
                      </w:r>
                      <w:r w:rsidRPr="009742B9">
                        <w:rPr>
                          <w:sz w:val="40"/>
                          <w:szCs w:val="40"/>
                        </w:rPr>
                        <w:t xml:space="preserve">And </w:t>
                      </w:r>
                      <w:r>
                        <w:rPr>
                          <w:sz w:val="40"/>
                          <w:szCs w:val="40"/>
                        </w:rPr>
                        <w:t>P</w:t>
                      </w:r>
                      <w:r w:rsidRPr="009742B9">
                        <w:rPr>
                          <w:sz w:val="40"/>
                          <w:szCs w:val="40"/>
                        </w:rPr>
                        <w:t xml:space="preserve">olicy </w:t>
                      </w:r>
                      <w:r>
                        <w:rPr>
                          <w:sz w:val="40"/>
                          <w:szCs w:val="40"/>
                        </w:rPr>
                        <w:t>P</w:t>
                      </w:r>
                      <w:r w:rsidRPr="009742B9">
                        <w:rPr>
                          <w:sz w:val="40"/>
                          <w:szCs w:val="40"/>
                        </w:rPr>
                        <w:t>erspective</w:t>
                      </w:r>
                    </w:p>
                  </w:txbxContent>
                </v:textbox>
                <w10:wrap anchorx="margin"/>
              </v:shape>
            </w:pict>
          </mc:Fallback>
        </mc:AlternateContent>
      </w:r>
    </w:p>
    <w:p w14:paraId="4EDB5E5A" w14:textId="123D5329" w:rsidR="00B621D3" w:rsidRPr="00800067" w:rsidRDefault="00B621D3" w:rsidP="00800067">
      <w:pPr>
        <w:spacing w:line="360" w:lineRule="auto"/>
        <w:jc w:val="both"/>
        <w:rPr>
          <w:rFonts w:asciiTheme="minorBidi" w:hAnsiTheme="minorBidi"/>
          <w:b/>
          <w:bCs/>
        </w:rPr>
      </w:pPr>
    </w:p>
    <w:p w14:paraId="5C7B4C8E" w14:textId="0D1A1855" w:rsidR="00B621D3" w:rsidRPr="00800067" w:rsidRDefault="00B621D3" w:rsidP="00800067">
      <w:pPr>
        <w:spacing w:line="360" w:lineRule="auto"/>
        <w:jc w:val="both"/>
        <w:rPr>
          <w:rFonts w:asciiTheme="minorBidi" w:hAnsiTheme="minorBidi"/>
          <w:b/>
          <w:bCs/>
        </w:rPr>
      </w:pPr>
    </w:p>
    <w:p w14:paraId="5EBB771F" w14:textId="5BEC93D0" w:rsidR="00B621D3" w:rsidRPr="00800067" w:rsidRDefault="00B621D3" w:rsidP="00800067">
      <w:pPr>
        <w:spacing w:line="360" w:lineRule="auto"/>
        <w:jc w:val="both"/>
        <w:rPr>
          <w:rFonts w:asciiTheme="minorBidi" w:hAnsiTheme="minorBidi"/>
          <w:b/>
          <w:bCs/>
        </w:rPr>
      </w:pPr>
    </w:p>
    <w:p w14:paraId="1E3C8773" w14:textId="77777777" w:rsidR="00B621D3" w:rsidRPr="00800067" w:rsidRDefault="00B621D3" w:rsidP="00800067">
      <w:pPr>
        <w:spacing w:line="360" w:lineRule="auto"/>
        <w:jc w:val="both"/>
        <w:rPr>
          <w:rFonts w:asciiTheme="minorBidi" w:hAnsiTheme="minorBidi"/>
          <w:b/>
          <w:bCs/>
        </w:rPr>
      </w:pPr>
    </w:p>
    <w:p w14:paraId="0E4ACE26" w14:textId="1CDDE4BA" w:rsidR="00B621D3" w:rsidRPr="00800067" w:rsidRDefault="00B621D3" w:rsidP="00800067">
      <w:pPr>
        <w:spacing w:line="360" w:lineRule="auto"/>
        <w:jc w:val="both"/>
        <w:rPr>
          <w:rFonts w:asciiTheme="minorBidi" w:hAnsiTheme="minorBidi"/>
          <w:b/>
          <w:bCs/>
        </w:rPr>
      </w:pPr>
    </w:p>
    <w:p w14:paraId="511A44E1" w14:textId="29261E53" w:rsidR="00B621D3" w:rsidRPr="00800067" w:rsidRDefault="00B621D3" w:rsidP="00800067">
      <w:pPr>
        <w:spacing w:line="360" w:lineRule="auto"/>
        <w:jc w:val="both"/>
        <w:rPr>
          <w:rFonts w:asciiTheme="minorBidi" w:hAnsiTheme="minorBidi"/>
          <w:b/>
          <w:bCs/>
        </w:rPr>
      </w:pPr>
    </w:p>
    <w:p w14:paraId="03B3B334" w14:textId="56C8FED7" w:rsidR="00B621D3" w:rsidRPr="00800067" w:rsidRDefault="00E6443C" w:rsidP="00800067">
      <w:pPr>
        <w:spacing w:line="360" w:lineRule="auto"/>
        <w:jc w:val="both"/>
        <w:rPr>
          <w:rFonts w:asciiTheme="minorBidi" w:hAnsiTheme="minorBidi"/>
          <w:b/>
          <w:bCs/>
        </w:rPr>
      </w:pPr>
      <w:r w:rsidRPr="00800067">
        <w:rPr>
          <w:rFonts w:asciiTheme="minorBidi" w:hAnsiTheme="minorBidi"/>
          <w:noProof/>
        </w:rPr>
        <mc:AlternateContent>
          <mc:Choice Requires="wps">
            <w:drawing>
              <wp:anchor distT="0" distB="0" distL="114300" distR="114300" simplePos="0" relativeHeight="251659264" behindDoc="0" locked="0" layoutInCell="1" allowOverlap="1" wp14:anchorId="1458CF28" wp14:editId="5B51D05F">
                <wp:simplePos x="0" y="0"/>
                <wp:positionH relativeFrom="column">
                  <wp:posOffset>-434340</wp:posOffset>
                </wp:positionH>
                <wp:positionV relativeFrom="paragraph">
                  <wp:posOffset>334645</wp:posOffset>
                </wp:positionV>
                <wp:extent cx="4378036" cy="2098964"/>
                <wp:effectExtent l="0" t="0" r="0" b="0"/>
                <wp:wrapNone/>
                <wp:docPr id="478126927" name="Text Box 1"/>
                <wp:cNvGraphicFramePr/>
                <a:graphic xmlns:a="http://schemas.openxmlformats.org/drawingml/2006/main">
                  <a:graphicData uri="http://schemas.microsoft.com/office/word/2010/wordprocessingShape">
                    <wps:wsp>
                      <wps:cNvSpPr txBox="1"/>
                      <wps:spPr>
                        <a:xfrm>
                          <a:off x="0" y="0"/>
                          <a:ext cx="4378036" cy="2098964"/>
                        </a:xfrm>
                        <a:prstGeom prst="rect">
                          <a:avLst/>
                        </a:prstGeom>
                        <a:noFill/>
                        <a:ln w="6350">
                          <a:noFill/>
                        </a:ln>
                      </wps:spPr>
                      <wps:txbx>
                        <w:txbxContent>
                          <w:p w14:paraId="45F3BD0A"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Name: Abeer Al Qadhi</w:t>
                            </w:r>
                          </w:p>
                          <w:p w14:paraId="32A80732"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Student Number: 2410956</w:t>
                            </w:r>
                          </w:p>
                          <w:p w14:paraId="7328C57B" w14:textId="77777777" w:rsidR="00B621D3" w:rsidRPr="00BA6D93" w:rsidRDefault="00B621D3" w:rsidP="00B621D3">
                            <w:pPr>
                              <w:rPr>
                                <w:rFonts w:ascii="Arial" w:hAnsi="Arial" w:cs="Arial"/>
                                <w:b/>
                                <w:bCs/>
                                <w:sz w:val="28"/>
                                <w:szCs w:val="28"/>
                              </w:rPr>
                            </w:pPr>
                            <w:r w:rsidRPr="00BA6D93">
                              <w:rPr>
                                <w:rFonts w:ascii="Arial" w:hAnsi="Arial" w:cs="Arial"/>
                                <w:b/>
                                <w:bCs/>
                                <w:sz w:val="28"/>
                                <w:szCs w:val="28"/>
                                <w:lang w:val="en-US"/>
                              </w:rPr>
                              <w:t xml:space="preserve">Course Name: </w:t>
                            </w:r>
                            <w:r w:rsidRPr="00BA6D93">
                              <w:rPr>
                                <w:rFonts w:ascii="Arial" w:hAnsi="Arial" w:cs="Arial"/>
                                <w:b/>
                                <w:bCs/>
                                <w:sz w:val="28"/>
                                <w:szCs w:val="28"/>
                              </w:rPr>
                              <w:t>Principles of Health and Social Care</w:t>
                            </w:r>
                          </w:p>
                          <w:p w14:paraId="7E2CE1FC"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Class Group: G2</w:t>
                            </w:r>
                          </w:p>
                          <w:p w14:paraId="1AE68CBE" w14:textId="77777777" w:rsidR="00B621D3" w:rsidRPr="00BA6D93" w:rsidRDefault="00B621D3" w:rsidP="00B621D3">
                            <w:pPr>
                              <w:rPr>
                                <w:rFonts w:ascii="Arial" w:hAnsi="Arial" w:cs="Arial"/>
                                <w:b/>
                                <w:bCs/>
                                <w:sz w:val="28"/>
                                <w:szCs w:val="28"/>
                              </w:rPr>
                            </w:pPr>
                            <w:r w:rsidRPr="00BA6D93">
                              <w:rPr>
                                <w:rFonts w:ascii="Arial" w:hAnsi="Arial" w:cs="Arial"/>
                                <w:b/>
                                <w:bCs/>
                                <w:sz w:val="28"/>
                                <w:szCs w:val="28"/>
                                <w:lang w:val="en-US"/>
                              </w:rPr>
                              <w:t>Course Code: (BMHP5016_BIRM)</w:t>
                            </w:r>
                          </w:p>
                          <w:p w14:paraId="19B202CF"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 xml:space="preserve">Lecturer Name: </w:t>
                            </w:r>
                            <w:r w:rsidRPr="00BA6D93">
                              <w:rPr>
                                <w:rFonts w:ascii="Arial" w:hAnsi="Arial" w:cs="Arial"/>
                                <w:b/>
                                <w:bCs/>
                                <w:sz w:val="28"/>
                                <w:szCs w:val="28"/>
                              </w:rPr>
                              <w:t>Farah Islam</w:t>
                            </w:r>
                          </w:p>
                          <w:p w14:paraId="5D227200" w14:textId="77777777" w:rsidR="00B621D3" w:rsidRPr="00D263D9" w:rsidRDefault="00B621D3" w:rsidP="00B621D3">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58CF28" id="Text Box 1" o:spid="_x0000_s1027" type="#_x0000_t202" style="position:absolute;left:0;text-align:left;margin-left:-34.2pt;margin-top:26.35pt;width:344.75pt;height:165.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" filled="f" stroked="f" strokeweight=".5pt">
                <v:textbox>
                  <w:txbxContent>
                    <w:p w14:paraId="45F3BD0A"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Name: Abeer Al Qadhi</w:t>
                      </w:r>
                    </w:p>
                    <w:p w14:paraId="32A80732"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Student Number: 2410956</w:t>
                      </w:r>
                    </w:p>
                    <w:p w14:paraId="7328C57B" w14:textId="77777777" w:rsidR="00B621D3" w:rsidRPr="00BA6D93" w:rsidRDefault="00B621D3" w:rsidP="00B621D3">
                      <w:pPr>
                        <w:rPr>
                          <w:rFonts w:ascii="Arial" w:hAnsi="Arial" w:cs="Arial"/>
                          <w:b/>
                          <w:bCs/>
                          <w:sz w:val="28"/>
                          <w:szCs w:val="28"/>
                        </w:rPr>
                      </w:pPr>
                      <w:r w:rsidRPr="00BA6D93">
                        <w:rPr>
                          <w:rFonts w:ascii="Arial" w:hAnsi="Arial" w:cs="Arial"/>
                          <w:b/>
                          <w:bCs/>
                          <w:sz w:val="28"/>
                          <w:szCs w:val="28"/>
                          <w:lang w:val="en-US"/>
                        </w:rPr>
                        <w:t xml:space="preserve">Course Name: </w:t>
                      </w:r>
                      <w:r w:rsidRPr="00BA6D93">
                        <w:rPr>
                          <w:rFonts w:ascii="Arial" w:hAnsi="Arial" w:cs="Arial"/>
                          <w:b/>
                          <w:bCs/>
                          <w:sz w:val="28"/>
                          <w:szCs w:val="28"/>
                        </w:rPr>
                        <w:t>Principles of Health and Social Care</w:t>
                      </w:r>
                    </w:p>
                    <w:p w14:paraId="7E2CE1FC"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Class Group: G2</w:t>
                      </w:r>
                    </w:p>
                    <w:p w14:paraId="1AE68CBE" w14:textId="77777777" w:rsidR="00B621D3" w:rsidRPr="00BA6D93" w:rsidRDefault="00B621D3" w:rsidP="00B621D3">
                      <w:pPr>
                        <w:rPr>
                          <w:rFonts w:ascii="Arial" w:hAnsi="Arial" w:cs="Arial"/>
                          <w:b/>
                          <w:bCs/>
                          <w:sz w:val="28"/>
                          <w:szCs w:val="28"/>
                        </w:rPr>
                      </w:pPr>
                      <w:r w:rsidRPr="00BA6D93">
                        <w:rPr>
                          <w:rFonts w:ascii="Arial" w:hAnsi="Arial" w:cs="Arial"/>
                          <w:b/>
                          <w:bCs/>
                          <w:sz w:val="28"/>
                          <w:szCs w:val="28"/>
                          <w:lang w:val="en-US"/>
                        </w:rPr>
                        <w:t>Course Code: (BMHP5016_BIRM)</w:t>
                      </w:r>
                    </w:p>
                    <w:p w14:paraId="19B202CF" w14:textId="77777777" w:rsidR="00B621D3" w:rsidRPr="00BA6D93" w:rsidRDefault="00B621D3" w:rsidP="00B621D3">
                      <w:pPr>
                        <w:rPr>
                          <w:rFonts w:ascii="Arial" w:hAnsi="Arial" w:cs="Arial"/>
                          <w:sz w:val="28"/>
                          <w:szCs w:val="28"/>
                        </w:rPr>
                      </w:pPr>
                      <w:r w:rsidRPr="00BA6D93">
                        <w:rPr>
                          <w:rFonts w:ascii="Arial" w:hAnsi="Arial" w:cs="Arial"/>
                          <w:b/>
                          <w:bCs/>
                          <w:sz w:val="28"/>
                          <w:szCs w:val="28"/>
                          <w:lang w:val="en-US"/>
                        </w:rPr>
                        <w:t xml:space="preserve">Lecturer Name: </w:t>
                      </w:r>
                      <w:r w:rsidRPr="00BA6D93">
                        <w:rPr>
                          <w:rFonts w:ascii="Arial" w:hAnsi="Arial" w:cs="Arial"/>
                          <w:b/>
                          <w:bCs/>
                          <w:sz w:val="28"/>
                          <w:szCs w:val="28"/>
                        </w:rPr>
                        <w:t>Farah Islam</w:t>
                      </w:r>
                    </w:p>
                    <w:p w14:paraId="5D227200" w14:textId="77777777" w:rsidR="00B621D3" w:rsidRPr="00D263D9" w:rsidRDefault="00B621D3" w:rsidP="00B621D3">
                      <w:pPr>
                        <w:rPr>
                          <w:color w:val="000000" w:themeColor="text1"/>
                        </w:rPr>
                      </w:pPr>
                    </w:p>
                  </w:txbxContent>
                </v:textbox>
              </v:shape>
            </w:pict>
          </mc:Fallback>
        </mc:AlternateContent>
      </w:r>
    </w:p>
    <w:p w14:paraId="19EFD64F" w14:textId="3D89492C" w:rsidR="00B621D3" w:rsidRPr="00800067" w:rsidRDefault="00B621D3" w:rsidP="00800067">
      <w:pPr>
        <w:spacing w:line="360" w:lineRule="auto"/>
        <w:jc w:val="both"/>
        <w:rPr>
          <w:rFonts w:asciiTheme="minorBidi" w:hAnsiTheme="minorBidi"/>
          <w:b/>
          <w:bCs/>
        </w:rPr>
      </w:pPr>
    </w:p>
    <w:p w14:paraId="3289D835" w14:textId="77777777" w:rsidR="00B621D3" w:rsidRPr="00800067" w:rsidRDefault="00B621D3" w:rsidP="00800067">
      <w:pPr>
        <w:spacing w:line="360" w:lineRule="auto"/>
        <w:jc w:val="both"/>
        <w:rPr>
          <w:rFonts w:asciiTheme="minorBidi" w:hAnsiTheme="minorBidi"/>
          <w:b/>
          <w:bCs/>
        </w:rPr>
      </w:pPr>
    </w:p>
    <w:p w14:paraId="1FEEDE5D" w14:textId="77777777" w:rsidR="00B621D3" w:rsidRPr="00800067" w:rsidRDefault="00B621D3" w:rsidP="00800067">
      <w:pPr>
        <w:spacing w:line="360" w:lineRule="auto"/>
        <w:jc w:val="both"/>
        <w:rPr>
          <w:rFonts w:asciiTheme="minorBidi" w:hAnsiTheme="minorBidi"/>
          <w:b/>
          <w:bCs/>
        </w:rPr>
      </w:pPr>
    </w:p>
    <w:p w14:paraId="76B8DD63" w14:textId="77777777" w:rsidR="00B621D3" w:rsidRPr="00800067" w:rsidRDefault="00B621D3" w:rsidP="00800067">
      <w:pPr>
        <w:spacing w:line="360" w:lineRule="auto"/>
        <w:jc w:val="both"/>
        <w:rPr>
          <w:rFonts w:asciiTheme="minorBidi" w:hAnsiTheme="minorBidi"/>
          <w:b/>
          <w:bCs/>
        </w:rPr>
      </w:pPr>
    </w:p>
    <w:p w14:paraId="2B25C7AA" w14:textId="77777777" w:rsidR="00B621D3" w:rsidRPr="00800067" w:rsidRDefault="00B621D3" w:rsidP="00800067">
      <w:pPr>
        <w:spacing w:line="360" w:lineRule="auto"/>
        <w:jc w:val="both"/>
        <w:rPr>
          <w:rFonts w:asciiTheme="minorBidi" w:hAnsiTheme="minorBidi"/>
          <w:b/>
          <w:bCs/>
        </w:rPr>
      </w:pPr>
    </w:p>
    <w:p w14:paraId="619DB74D" w14:textId="77777777" w:rsidR="00B621D3" w:rsidRPr="00800067" w:rsidRDefault="00B621D3" w:rsidP="00800067">
      <w:pPr>
        <w:spacing w:line="360" w:lineRule="auto"/>
        <w:jc w:val="both"/>
        <w:rPr>
          <w:rFonts w:asciiTheme="minorBidi" w:hAnsiTheme="minorBidi"/>
          <w:b/>
          <w:bCs/>
        </w:rPr>
      </w:pPr>
    </w:p>
    <w:p w14:paraId="32E29E1E" w14:textId="77777777" w:rsidR="00B621D3" w:rsidRPr="00800067" w:rsidRDefault="00B621D3" w:rsidP="00800067">
      <w:pPr>
        <w:spacing w:line="360" w:lineRule="auto"/>
        <w:jc w:val="both"/>
        <w:rPr>
          <w:rFonts w:asciiTheme="minorBidi" w:hAnsiTheme="minorBidi"/>
          <w:b/>
          <w:bCs/>
        </w:rPr>
      </w:pPr>
    </w:p>
    <w:p w14:paraId="2905DFBB" w14:textId="77777777" w:rsidR="00B621D3" w:rsidRPr="00800067" w:rsidRDefault="00B621D3" w:rsidP="00800067">
      <w:pPr>
        <w:spacing w:line="360" w:lineRule="auto"/>
        <w:jc w:val="both"/>
        <w:rPr>
          <w:rFonts w:asciiTheme="minorBidi" w:hAnsiTheme="minorBidi"/>
          <w:b/>
          <w:bCs/>
        </w:rPr>
      </w:pPr>
    </w:p>
    <w:p w14:paraId="71A54DEA" w14:textId="77777777" w:rsidR="00B621D3" w:rsidRPr="00800067" w:rsidRDefault="00B621D3" w:rsidP="00800067">
      <w:pPr>
        <w:spacing w:line="360" w:lineRule="auto"/>
        <w:jc w:val="both"/>
        <w:rPr>
          <w:rFonts w:asciiTheme="minorBidi" w:hAnsiTheme="minorBidi"/>
          <w:b/>
          <w:bCs/>
        </w:rPr>
      </w:pPr>
    </w:p>
    <w:p w14:paraId="76675583" w14:textId="77777777" w:rsidR="00B621D3" w:rsidRPr="00800067" w:rsidRDefault="00B621D3" w:rsidP="00800067">
      <w:pPr>
        <w:spacing w:line="360" w:lineRule="auto"/>
        <w:jc w:val="both"/>
        <w:rPr>
          <w:rFonts w:asciiTheme="minorBidi" w:hAnsiTheme="minorBidi"/>
          <w:b/>
          <w:bCs/>
        </w:rPr>
      </w:pPr>
    </w:p>
    <w:sdt>
      <w:sdtPr>
        <w:rPr>
          <w:rFonts w:asciiTheme="minorBidi" w:eastAsiaTheme="minorHAnsi" w:hAnsiTheme="minorBidi" w:cstheme="minorBidi"/>
          <w:color w:val="auto"/>
          <w:kern w:val="2"/>
          <w:sz w:val="22"/>
          <w:szCs w:val="22"/>
          <w:lang w:val="en-GB"/>
          <w14:ligatures w14:val="standardContextual"/>
        </w:rPr>
        <w:id w:val="-1439670129"/>
        <w:docPartObj>
          <w:docPartGallery w:val="Table of Contents"/>
          <w:docPartUnique/>
        </w:docPartObj>
      </w:sdtPr>
      <w:sdtEndPr>
        <w:rPr>
          <w:b/>
          <w:bCs/>
          <w:noProof/>
        </w:rPr>
      </w:sdtEndPr>
      <w:sdtContent>
        <w:p w14:paraId="37154AC3" w14:textId="08C6FE5C" w:rsidR="00B621D3" w:rsidRPr="00800067" w:rsidRDefault="00B621D3" w:rsidP="00800067">
          <w:pPr>
            <w:pStyle w:val="TOCHeading"/>
            <w:spacing w:line="360" w:lineRule="auto"/>
            <w:jc w:val="both"/>
            <w:rPr>
              <w:rFonts w:asciiTheme="minorBidi" w:hAnsiTheme="minorBidi" w:cstheme="minorBidi"/>
              <w:b/>
              <w:bCs/>
              <w:color w:val="auto"/>
              <w:sz w:val="22"/>
              <w:szCs w:val="22"/>
            </w:rPr>
          </w:pPr>
          <w:r w:rsidRPr="00800067">
            <w:rPr>
              <w:rFonts w:asciiTheme="minorBidi" w:hAnsiTheme="minorBidi" w:cstheme="minorBidi"/>
              <w:b/>
              <w:bCs/>
              <w:color w:val="auto"/>
              <w:sz w:val="22"/>
              <w:szCs w:val="22"/>
            </w:rPr>
            <w:t>Table of Contents</w:t>
          </w:r>
        </w:p>
        <w:p w14:paraId="2BDC21FB" w14:textId="69F17802" w:rsidR="00A21176" w:rsidRDefault="00B621D3">
          <w:pPr>
            <w:pStyle w:val="TOC1"/>
            <w:tabs>
              <w:tab w:val="right" w:leader="dot" w:pos="9016"/>
            </w:tabs>
            <w:rPr>
              <w:rFonts w:eastAsiaTheme="minorEastAsia"/>
              <w:noProof/>
              <w:sz w:val="24"/>
              <w:szCs w:val="24"/>
              <w:lang w:eastAsia="en-GB"/>
            </w:rPr>
          </w:pPr>
          <w:r w:rsidRPr="00800067">
            <w:rPr>
              <w:rFonts w:asciiTheme="minorBidi" w:hAnsiTheme="minorBidi"/>
            </w:rPr>
            <w:fldChar w:fldCharType="begin"/>
          </w:r>
          <w:r w:rsidRPr="00800067">
            <w:rPr>
              <w:rFonts w:asciiTheme="minorBidi" w:hAnsiTheme="minorBidi"/>
            </w:rPr>
            <w:instrText xml:space="preserve"> TOC \o "1-3" \h \z \u </w:instrText>
          </w:r>
          <w:r w:rsidRPr="00800067">
            <w:rPr>
              <w:rFonts w:asciiTheme="minorBidi" w:hAnsiTheme="minorBidi"/>
            </w:rPr>
            <w:fldChar w:fldCharType="separate"/>
          </w:r>
          <w:hyperlink w:anchor="_Toc213319825" w:history="1">
            <w:r w:rsidR="00A21176" w:rsidRPr="00773D82">
              <w:rPr>
                <w:rStyle w:val="Hyperlink"/>
                <w:rFonts w:asciiTheme="minorBidi" w:hAnsiTheme="minorBidi"/>
                <w:b/>
                <w:bCs/>
                <w:noProof/>
              </w:rPr>
              <w:t>Abstract</w:t>
            </w:r>
            <w:r w:rsidR="00A21176">
              <w:rPr>
                <w:noProof/>
                <w:webHidden/>
              </w:rPr>
              <w:tab/>
            </w:r>
            <w:r w:rsidR="00A21176">
              <w:rPr>
                <w:noProof/>
                <w:webHidden/>
              </w:rPr>
              <w:fldChar w:fldCharType="begin"/>
            </w:r>
            <w:r w:rsidR="00A21176">
              <w:rPr>
                <w:noProof/>
                <w:webHidden/>
              </w:rPr>
              <w:instrText xml:space="preserve"> PAGEREF _Toc213319825 \h </w:instrText>
            </w:r>
            <w:r w:rsidR="00A21176">
              <w:rPr>
                <w:noProof/>
                <w:webHidden/>
              </w:rPr>
            </w:r>
            <w:r w:rsidR="00A21176">
              <w:rPr>
                <w:noProof/>
                <w:webHidden/>
              </w:rPr>
              <w:fldChar w:fldCharType="separate"/>
            </w:r>
            <w:r w:rsidR="00A21176">
              <w:rPr>
                <w:noProof/>
                <w:webHidden/>
              </w:rPr>
              <w:t>3</w:t>
            </w:r>
            <w:r w:rsidR="00A21176">
              <w:rPr>
                <w:noProof/>
                <w:webHidden/>
              </w:rPr>
              <w:fldChar w:fldCharType="end"/>
            </w:r>
          </w:hyperlink>
        </w:p>
        <w:p w14:paraId="37107034" w14:textId="6106F7F7" w:rsidR="00A21176" w:rsidRDefault="00A21176">
          <w:pPr>
            <w:pStyle w:val="TOC1"/>
            <w:tabs>
              <w:tab w:val="right" w:leader="dot" w:pos="9016"/>
            </w:tabs>
            <w:rPr>
              <w:rFonts w:eastAsiaTheme="minorEastAsia"/>
              <w:noProof/>
              <w:sz w:val="24"/>
              <w:szCs w:val="24"/>
              <w:lang w:eastAsia="en-GB"/>
            </w:rPr>
          </w:pPr>
          <w:hyperlink w:anchor="_Toc213319826" w:history="1">
            <w:r w:rsidRPr="00773D82">
              <w:rPr>
                <w:rStyle w:val="Hyperlink"/>
                <w:rFonts w:asciiTheme="minorBidi" w:hAnsiTheme="minorBidi"/>
                <w:b/>
                <w:bCs/>
                <w:noProof/>
              </w:rPr>
              <w:t>Person Centred Care: Definition, Benefits and Limitations</w:t>
            </w:r>
            <w:r>
              <w:rPr>
                <w:noProof/>
                <w:webHidden/>
              </w:rPr>
              <w:tab/>
            </w:r>
            <w:r>
              <w:rPr>
                <w:noProof/>
                <w:webHidden/>
              </w:rPr>
              <w:fldChar w:fldCharType="begin"/>
            </w:r>
            <w:r>
              <w:rPr>
                <w:noProof/>
                <w:webHidden/>
              </w:rPr>
              <w:instrText xml:space="preserve"> PAGEREF _Toc213319826 \h </w:instrText>
            </w:r>
            <w:r>
              <w:rPr>
                <w:noProof/>
                <w:webHidden/>
              </w:rPr>
            </w:r>
            <w:r>
              <w:rPr>
                <w:noProof/>
                <w:webHidden/>
              </w:rPr>
              <w:fldChar w:fldCharType="separate"/>
            </w:r>
            <w:r>
              <w:rPr>
                <w:noProof/>
                <w:webHidden/>
              </w:rPr>
              <w:t>4</w:t>
            </w:r>
            <w:r>
              <w:rPr>
                <w:noProof/>
                <w:webHidden/>
              </w:rPr>
              <w:fldChar w:fldCharType="end"/>
            </w:r>
          </w:hyperlink>
        </w:p>
        <w:p w14:paraId="0CAD4273" w14:textId="7F53E589" w:rsidR="00A21176" w:rsidRDefault="00A21176">
          <w:pPr>
            <w:pStyle w:val="TOC1"/>
            <w:tabs>
              <w:tab w:val="right" w:leader="dot" w:pos="9016"/>
            </w:tabs>
            <w:rPr>
              <w:rFonts w:eastAsiaTheme="minorEastAsia"/>
              <w:noProof/>
              <w:sz w:val="24"/>
              <w:szCs w:val="24"/>
              <w:lang w:eastAsia="en-GB"/>
            </w:rPr>
          </w:pPr>
          <w:hyperlink w:anchor="_Toc213319827" w:history="1">
            <w:r w:rsidRPr="00773D82">
              <w:rPr>
                <w:rStyle w:val="Hyperlink"/>
                <w:rFonts w:asciiTheme="minorBidi" w:hAnsiTheme="minorBidi"/>
                <w:b/>
                <w:bCs/>
                <w:noProof/>
              </w:rPr>
              <w:t>Bronfenbrenner’s Ecological Theory And Its Application to Person-Centred Care</w:t>
            </w:r>
            <w:r>
              <w:rPr>
                <w:noProof/>
                <w:webHidden/>
              </w:rPr>
              <w:tab/>
            </w:r>
            <w:r>
              <w:rPr>
                <w:noProof/>
                <w:webHidden/>
              </w:rPr>
              <w:fldChar w:fldCharType="begin"/>
            </w:r>
            <w:r>
              <w:rPr>
                <w:noProof/>
                <w:webHidden/>
              </w:rPr>
              <w:instrText xml:space="preserve"> PAGEREF _Toc213319827 \h </w:instrText>
            </w:r>
            <w:r>
              <w:rPr>
                <w:noProof/>
                <w:webHidden/>
              </w:rPr>
            </w:r>
            <w:r>
              <w:rPr>
                <w:noProof/>
                <w:webHidden/>
              </w:rPr>
              <w:fldChar w:fldCharType="separate"/>
            </w:r>
            <w:r>
              <w:rPr>
                <w:noProof/>
                <w:webHidden/>
              </w:rPr>
              <w:t>5</w:t>
            </w:r>
            <w:r>
              <w:rPr>
                <w:noProof/>
                <w:webHidden/>
              </w:rPr>
              <w:fldChar w:fldCharType="end"/>
            </w:r>
          </w:hyperlink>
        </w:p>
        <w:p w14:paraId="6DDAFB29" w14:textId="3293CEA3" w:rsidR="00A21176" w:rsidRDefault="00A21176">
          <w:pPr>
            <w:pStyle w:val="TOC1"/>
            <w:tabs>
              <w:tab w:val="right" w:leader="dot" w:pos="9016"/>
            </w:tabs>
            <w:rPr>
              <w:rFonts w:eastAsiaTheme="minorEastAsia"/>
              <w:noProof/>
              <w:sz w:val="24"/>
              <w:szCs w:val="24"/>
              <w:lang w:eastAsia="en-GB"/>
            </w:rPr>
          </w:pPr>
          <w:hyperlink w:anchor="_Toc213319828" w:history="1">
            <w:r w:rsidRPr="00773D82">
              <w:rPr>
                <w:rStyle w:val="Hyperlink"/>
                <w:rFonts w:asciiTheme="minorBidi" w:hAnsiTheme="minorBidi"/>
                <w:b/>
                <w:bCs/>
                <w:noProof/>
              </w:rPr>
              <w:t>Ethical Fundamentals In Health And Social Care</w:t>
            </w:r>
            <w:r>
              <w:rPr>
                <w:noProof/>
                <w:webHidden/>
              </w:rPr>
              <w:tab/>
            </w:r>
            <w:r>
              <w:rPr>
                <w:noProof/>
                <w:webHidden/>
              </w:rPr>
              <w:fldChar w:fldCharType="begin"/>
            </w:r>
            <w:r>
              <w:rPr>
                <w:noProof/>
                <w:webHidden/>
              </w:rPr>
              <w:instrText xml:space="preserve"> PAGEREF _Toc213319828 \h </w:instrText>
            </w:r>
            <w:r>
              <w:rPr>
                <w:noProof/>
                <w:webHidden/>
              </w:rPr>
            </w:r>
            <w:r>
              <w:rPr>
                <w:noProof/>
                <w:webHidden/>
              </w:rPr>
              <w:fldChar w:fldCharType="separate"/>
            </w:r>
            <w:r>
              <w:rPr>
                <w:noProof/>
                <w:webHidden/>
              </w:rPr>
              <w:t>5</w:t>
            </w:r>
            <w:r>
              <w:rPr>
                <w:noProof/>
                <w:webHidden/>
              </w:rPr>
              <w:fldChar w:fldCharType="end"/>
            </w:r>
          </w:hyperlink>
        </w:p>
        <w:p w14:paraId="04E23561" w14:textId="08184A52" w:rsidR="00A21176" w:rsidRDefault="00A21176">
          <w:pPr>
            <w:pStyle w:val="TOC1"/>
            <w:tabs>
              <w:tab w:val="right" w:leader="dot" w:pos="9016"/>
            </w:tabs>
            <w:rPr>
              <w:rFonts w:eastAsiaTheme="minorEastAsia"/>
              <w:noProof/>
              <w:sz w:val="24"/>
              <w:szCs w:val="24"/>
              <w:lang w:eastAsia="en-GB"/>
            </w:rPr>
          </w:pPr>
          <w:hyperlink w:anchor="_Toc213319829" w:history="1">
            <w:r w:rsidRPr="00773D82">
              <w:rPr>
                <w:rStyle w:val="Hyperlink"/>
                <w:rFonts w:asciiTheme="minorBidi" w:hAnsiTheme="minorBidi"/>
                <w:b/>
                <w:bCs/>
                <w:noProof/>
              </w:rPr>
              <w:t>Application Of Partnership Working In GP Surgeries</w:t>
            </w:r>
            <w:r>
              <w:rPr>
                <w:noProof/>
                <w:webHidden/>
              </w:rPr>
              <w:tab/>
            </w:r>
            <w:r>
              <w:rPr>
                <w:noProof/>
                <w:webHidden/>
              </w:rPr>
              <w:fldChar w:fldCharType="begin"/>
            </w:r>
            <w:r>
              <w:rPr>
                <w:noProof/>
                <w:webHidden/>
              </w:rPr>
              <w:instrText xml:space="preserve"> PAGEREF _Toc213319829 \h </w:instrText>
            </w:r>
            <w:r>
              <w:rPr>
                <w:noProof/>
                <w:webHidden/>
              </w:rPr>
            </w:r>
            <w:r>
              <w:rPr>
                <w:noProof/>
                <w:webHidden/>
              </w:rPr>
              <w:fldChar w:fldCharType="separate"/>
            </w:r>
            <w:r>
              <w:rPr>
                <w:noProof/>
                <w:webHidden/>
              </w:rPr>
              <w:t>7</w:t>
            </w:r>
            <w:r>
              <w:rPr>
                <w:noProof/>
                <w:webHidden/>
              </w:rPr>
              <w:fldChar w:fldCharType="end"/>
            </w:r>
          </w:hyperlink>
        </w:p>
        <w:p w14:paraId="752689D9" w14:textId="29477B8C" w:rsidR="00A21176" w:rsidRDefault="00A21176">
          <w:pPr>
            <w:pStyle w:val="TOC1"/>
            <w:tabs>
              <w:tab w:val="right" w:leader="dot" w:pos="9016"/>
            </w:tabs>
            <w:rPr>
              <w:rFonts w:eastAsiaTheme="minorEastAsia"/>
              <w:noProof/>
              <w:sz w:val="24"/>
              <w:szCs w:val="24"/>
              <w:lang w:eastAsia="en-GB"/>
            </w:rPr>
          </w:pPr>
          <w:hyperlink w:anchor="_Toc213319830" w:history="1">
            <w:r w:rsidRPr="00773D82">
              <w:rPr>
                <w:rStyle w:val="Hyperlink"/>
                <w:rFonts w:asciiTheme="minorBidi" w:hAnsiTheme="minorBidi"/>
                <w:b/>
                <w:bCs/>
                <w:noProof/>
              </w:rPr>
              <w:t>Policy And Legislation In Relation To PCC and PW</w:t>
            </w:r>
            <w:r>
              <w:rPr>
                <w:noProof/>
                <w:webHidden/>
              </w:rPr>
              <w:tab/>
            </w:r>
            <w:r>
              <w:rPr>
                <w:noProof/>
                <w:webHidden/>
              </w:rPr>
              <w:fldChar w:fldCharType="begin"/>
            </w:r>
            <w:r>
              <w:rPr>
                <w:noProof/>
                <w:webHidden/>
              </w:rPr>
              <w:instrText xml:space="preserve"> PAGEREF _Toc213319830 \h </w:instrText>
            </w:r>
            <w:r>
              <w:rPr>
                <w:noProof/>
                <w:webHidden/>
              </w:rPr>
            </w:r>
            <w:r>
              <w:rPr>
                <w:noProof/>
                <w:webHidden/>
              </w:rPr>
              <w:fldChar w:fldCharType="separate"/>
            </w:r>
            <w:r>
              <w:rPr>
                <w:noProof/>
                <w:webHidden/>
              </w:rPr>
              <w:t>7</w:t>
            </w:r>
            <w:r>
              <w:rPr>
                <w:noProof/>
                <w:webHidden/>
              </w:rPr>
              <w:fldChar w:fldCharType="end"/>
            </w:r>
          </w:hyperlink>
        </w:p>
        <w:p w14:paraId="62835233" w14:textId="6ED58756" w:rsidR="00A21176" w:rsidRDefault="00A21176">
          <w:pPr>
            <w:pStyle w:val="TOC1"/>
            <w:tabs>
              <w:tab w:val="right" w:leader="dot" w:pos="9016"/>
            </w:tabs>
            <w:rPr>
              <w:rFonts w:eastAsiaTheme="minorEastAsia"/>
              <w:noProof/>
              <w:sz w:val="24"/>
              <w:szCs w:val="24"/>
              <w:lang w:eastAsia="en-GB"/>
            </w:rPr>
          </w:pPr>
          <w:hyperlink w:anchor="_Toc213319831" w:history="1">
            <w:r w:rsidRPr="00773D82">
              <w:rPr>
                <w:rStyle w:val="Hyperlink"/>
                <w:rFonts w:asciiTheme="minorBidi" w:hAnsiTheme="minorBidi"/>
                <w:b/>
                <w:bCs/>
                <w:noProof/>
              </w:rPr>
              <w:t>Recommendations For Future Development Of Person-Centred Care</w:t>
            </w:r>
            <w:r w:rsidRPr="00773D82">
              <w:rPr>
                <w:rStyle w:val="Hyperlink"/>
                <w:rFonts w:asciiTheme="minorBidi" w:hAnsiTheme="minorBidi"/>
                <w:noProof/>
              </w:rPr>
              <w:t xml:space="preserve"> </w:t>
            </w:r>
            <w:r w:rsidRPr="00773D82">
              <w:rPr>
                <w:rStyle w:val="Hyperlink"/>
                <w:rFonts w:asciiTheme="minorBidi" w:hAnsiTheme="minorBidi"/>
                <w:b/>
                <w:bCs/>
                <w:noProof/>
              </w:rPr>
              <w:t>And Partnership Working</w:t>
            </w:r>
            <w:r>
              <w:rPr>
                <w:noProof/>
                <w:webHidden/>
              </w:rPr>
              <w:tab/>
            </w:r>
            <w:r>
              <w:rPr>
                <w:noProof/>
                <w:webHidden/>
              </w:rPr>
              <w:fldChar w:fldCharType="begin"/>
            </w:r>
            <w:r>
              <w:rPr>
                <w:noProof/>
                <w:webHidden/>
              </w:rPr>
              <w:instrText xml:space="preserve"> PAGEREF _Toc213319831 \h </w:instrText>
            </w:r>
            <w:r>
              <w:rPr>
                <w:noProof/>
                <w:webHidden/>
              </w:rPr>
            </w:r>
            <w:r>
              <w:rPr>
                <w:noProof/>
                <w:webHidden/>
              </w:rPr>
              <w:fldChar w:fldCharType="separate"/>
            </w:r>
            <w:r>
              <w:rPr>
                <w:noProof/>
                <w:webHidden/>
              </w:rPr>
              <w:t>8</w:t>
            </w:r>
            <w:r>
              <w:rPr>
                <w:noProof/>
                <w:webHidden/>
              </w:rPr>
              <w:fldChar w:fldCharType="end"/>
            </w:r>
          </w:hyperlink>
        </w:p>
        <w:p w14:paraId="62F55ED8" w14:textId="2C8F73EC" w:rsidR="00A21176" w:rsidRDefault="00A21176">
          <w:pPr>
            <w:pStyle w:val="TOC1"/>
            <w:tabs>
              <w:tab w:val="right" w:leader="dot" w:pos="9016"/>
            </w:tabs>
            <w:rPr>
              <w:rFonts w:eastAsiaTheme="minorEastAsia"/>
              <w:noProof/>
              <w:sz w:val="24"/>
              <w:szCs w:val="24"/>
              <w:lang w:eastAsia="en-GB"/>
            </w:rPr>
          </w:pPr>
          <w:hyperlink w:anchor="_Toc213319832" w:history="1">
            <w:r w:rsidRPr="00773D82">
              <w:rPr>
                <w:rStyle w:val="Hyperlink"/>
                <w:rFonts w:asciiTheme="minorBidi" w:hAnsiTheme="minorBidi"/>
                <w:b/>
                <w:bCs/>
                <w:noProof/>
              </w:rPr>
              <w:t>Conclusion</w:t>
            </w:r>
            <w:r>
              <w:rPr>
                <w:noProof/>
                <w:webHidden/>
              </w:rPr>
              <w:tab/>
            </w:r>
            <w:r>
              <w:rPr>
                <w:noProof/>
                <w:webHidden/>
              </w:rPr>
              <w:fldChar w:fldCharType="begin"/>
            </w:r>
            <w:r>
              <w:rPr>
                <w:noProof/>
                <w:webHidden/>
              </w:rPr>
              <w:instrText xml:space="preserve"> PAGEREF _Toc213319832 \h </w:instrText>
            </w:r>
            <w:r>
              <w:rPr>
                <w:noProof/>
                <w:webHidden/>
              </w:rPr>
            </w:r>
            <w:r>
              <w:rPr>
                <w:noProof/>
                <w:webHidden/>
              </w:rPr>
              <w:fldChar w:fldCharType="separate"/>
            </w:r>
            <w:r>
              <w:rPr>
                <w:noProof/>
                <w:webHidden/>
              </w:rPr>
              <w:t>9</w:t>
            </w:r>
            <w:r>
              <w:rPr>
                <w:noProof/>
                <w:webHidden/>
              </w:rPr>
              <w:fldChar w:fldCharType="end"/>
            </w:r>
          </w:hyperlink>
        </w:p>
        <w:p w14:paraId="7A446905" w14:textId="55C93A08" w:rsidR="00A21176" w:rsidRDefault="00A21176">
          <w:pPr>
            <w:pStyle w:val="TOC1"/>
            <w:tabs>
              <w:tab w:val="right" w:leader="dot" w:pos="9016"/>
            </w:tabs>
            <w:rPr>
              <w:rFonts w:eastAsiaTheme="minorEastAsia"/>
              <w:noProof/>
              <w:sz w:val="24"/>
              <w:szCs w:val="24"/>
              <w:lang w:eastAsia="en-GB"/>
            </w:rPr>
          </w:pPr>
          <w:hyperlink w:anchor="_Toc213319833" w:history="1">
            <w:r w:rsidRPr="00773D82">
              <w:rPr>
                <w:rStyle w:val="Hyperlink"/>
                <w:rFonts w:asciiTheme="minorBidi" w:hAnsiTheme="minorBidi"/>
                <w:b/>
                <w:bCs/>
                <w:noProof/>
              </w:rPr>
              <w:t>Reference List</w:t>
            </w:r>
            <w:r>
              <w:rPr>
                <w:noProof/>
                <w:webHidden/>
              </w:rPr>
              <w:tab/>
            </w:r>
            <w:r>
              <w:rPr>
                <w:noProof/>
                <w:webHidden/>
              </w:rPr>
              <w:fldChar w:fldCharType="begin"/>
            </w:r>
            <w:r>
              <w:rPr>
                <w:noProof/>
                <w:webHidden/>
              </w:rPr>
              <w:instrText xml:space="preserve"> PAGEREF _Toc213319833 \h </w:instrText>
            </w:r>
            <w:r>
              <w:rPr>
                <w:noProof/>
                <w:webHidden/>
              </w:rPr>
            </w:r>
            <w:r>
              <w:rPr>
                <w:noProof/>
                <w:webHidden/>
              </w:rPr>
              <w:fldChar w:fldCharType="separate"/>
            </w:r>
            <w:r>
              <w:rPr>
                <w:noProof/>
                <w:webHidden/>
              </w:rPr>
              <w:t>10</w:t>
            </w:r>
            <w:r>
              <w:rPr>
                <w:noProof/>
                <w:webHidden/>
              </w:rPr>
              <w:fldChar w:fldCharType="end"/>
            </w:r>
          </w:hyperlink>
        </w:p>
        <w:p w14:paraId="46E1F461" w14:textId="2D7DDBE1" w:rsidR="00B621D3" w:rsidRPr="00800067" w:rsidRDefault="00B621D3" w:rsidP="00800067">
          <w:pPr>
            <w:spacing w:line="360" w:lineRule="auto"/>
            <w:jc w:val="both"/>
            <w:rPr>
              <w:rFonts w:asciiTheme="minorBidi" w:hAnsiTheme="minorBidi"/>
            </w:rPr>
          </w:pPr>
          <w:r w:rsidRPr="00800067">
            <w:rPr>
              <w:rFonts w:asciiTheme="minorBidi" w:hAnsiTheme="minorBidi"/>
              <w:b/>
              <w:bCs/>
              <w:noProof/>
            </w:rPr>
            <w:fldChar w:fldCharType="end"/>
          </w:r>
        </w:p>
      </w:sdtContent>
    </w:sdt>
    <w:p w14:paraId="7AE82AD1" w14:textId="77777777" w:rsidR="00B621D3" w:rsidRPr="00800067" w:rsidRDefault="00B621D3" w:rsidP="00800067">
      <w:pPr>
        <w:spacing w:line="360" w:lineRule="auto"/>
        <w:jc w:val="both"/>
        <w:rPr>
          <w:rFonts w:asciiTheme="minorBidi" w:hAnsiTheme="minorBidi"/>
          <w:b/>
          <w:bCs/>
        </w:rPr>
      </w:pPr>
    </w:p>
    <w:p w14:paraId="51DD4D3B" w14:textId="77777777" w:rsidR="00B621D3" w:rsidRPr="00800067" w:rsidRDefault="00B621D3" w:rsidP="00800067">
      <w:pPr>
        <w:spacing w:line="360" w:lineRule="auto"/>
        <w:jc w:val="both"/>
        <w:rPr>
          <w:rFonts w:asciiTheme="minorBidi" w:hAnsiTheme="minorBidi"/>
          <w:b/>
          <w:bCs/>
        </w:rPr>
      </w:pPr>
    </w:p>
    <w:p w14:paraId="47DB99F4" w14:textId="77777777" w:rsidR="00B621D3" w:rsidRDefault="00B621D3" w:rsidP="00800067">
      <w:pPr>
        <w:spacing w:line="360" w:lineRule="auto"/>
        <w:jc w:val="both"/>
        <w:rPr>
          <w:rFonts w:asciiTheme="minorBidi" w:hAnsiTheme="minorBidi"/>
          <w:b/>
          <w:bCs/>
        </w:rPr>
      </w:pPr>
    </w:p>
    <w:p w14:paraId="5BC7CAD7" w14:textId="77777777" w:rsidR="00D51E74" w:rsidRDefault="00D51E74" w:rsidP="00800067">
      <w:pPr>
        <w:spacing w:line="360" w:lineRule="auto"/>
        <w:jc w:val="both"/>
        <w:rPr>
          <w:rFonts w:asciiTheme="minorBidi" w:hAnsiTheme="minorBidi"/>
          <w:b/>
          <w:bCs/>
        </w:rPr>
      </w:pPr>
    </w:p>
    <w:p w14:paraId="4BB9ABC9" w14:textId="77777777" w:rsidR="00D51E74" w:rsidRPr="00800067" w:rsidRDefault="00D51E74" w:rsidP="00800067">
      <w:pPr>
        <w:spacing w:line="360" w:lineRule="auto"/>
        <w:jc w:val="both"/>
        <w:rPr>
          <w:rFonts w:asciiTheme="minorBidi" w:hAnsiTheme="minorBidi"/>
          <w:b/>
          <w:bCs/>
        </w:rPr>
      </w:pPr>
    </w:p>
    <w:p w14:paraId="2D62D35E" w14:textId="77777777" w:rsidR="00B621D3" w:rsidRPr="00800067" w:rsidRDefault="00B621D3" w:rsidP="00800067">
      <w:pPr>
        <w:spacing w:line="360" w:lineRule="auto"/>
        <w:jc w:val="both"/>
        <w:rPr>
          <w:rFonts w:asciiTheme="minorBidi" w:hAnsiTheme="minorBidi"/>
          <w:b/>
          <w:bCs/>
        </w:rPr>
      </w:pPr>
    </w:p>
    <w:p w14:paraId="02CD5344" w14:textId="77777777" w:rsidR="00B621D3" w:rsidRPr="00800067" w:rsidRDefault="00B621D3" w:rsidP="00800067">
      <w:pPr>
        <w:spacing w:line="360" w:lineRule="auto"/>
        <w:jc w:val="both"/>
        <w:rPr>
          <w:rFonts w:asciiTheme="minorBidi" w:hAnsiTheme="minorBidi"/>
          <w:b/>
          <w:bCs/>
        </w:rPr>
      </w:pPr>
    </w:p>
    <w:p w14:paraId="675BB501" w14:textId="77777777" w:rsidR="00B621D3" w:rsidRPr="00800067" w:rsidRDefault="00B621D3" w:rsidP="00800067">
      <w:pPr>
        <w:spacing w:line="360" w:lineRule="auto"/>
        <w:jc w:val="both"/>
        <w:rPr>
          <w:rFonts w:asciiTheme="minorBidi" w:hAnsiTheme="minorBidi"/>
          <w:b/>
          <w:bCs/>
        </w:rPr>
      </w:pPr>
    </w:p>
    <w:p w14:paraId="4718CF67" w14:textId="77777777" w:rsidR="00B621D3" w:rsidRPr="00800067" w:rsidRDefault="00B621D3" w:rsidP="00800067">
      <w:pPr>
        <w:spacing w:line="360" w:lineRule="auto"/>
        <w:jc w:val="both"/>
        <w:rPr>
          <w:rFonts w:asciiTheme="minorBidi" w:hAnsiTheme="minorBidi"/>
          <w:b/>
          <w:bCs/>
        </w:rPr>
      </w:pPr>
    </w:p>
    <w:p w14:paraId="3B52C3B8" w14:textId="77777777" w:rsidR="00B621D3" w:rsidRPr="00800067" w:rsidRDefault="00B621D3" w:rsidP="00800067">
      <w:pPr>
        <w:spacing w:line="360" w:lineRule="auto"/>
        <w:jc w:val="both"/>
        <w:rPr>
          <w:rFonts w:asciiTheme="minorBidi" w:hAnsiTheme="minorBidi"/>
          <w:b/>
          <w:bCs/>
        </w:rPr>
      </w:pPr>
    </w:p>
    <w:p w14:paraId="6C2AADCA" w14:textId="77777777" w:rsidR="00B621D3" w:rsidRDefault="00B621D3" w:rsidP="00800067">
      <w:pPr>
        <w:spacing w:line="360" w:lineRule="auto"/>
        <w:jc w:val="both"/>
        <w:rPr>
          <w:rFonts w:asciiTheme="minorBidi" w:hAnsiTheme="minorBidi"/>
          <w:b/>
          <w:bCs/>
        </w:rPr>
      </w:pPr>
    </w:p>
    <w:p w14:paraId="5F3257D1" w14:textId="77777777" w:rsidR="00A20DA8" w:rsidRDefault="00A20DA8" w:rsidP="00800067">
      <w:pPr>
        <w:pStyle w:val="Heading1"/>
        <w:spacing w:line="360" w:lineRule="auto"/>
        <w:jc w:val="both"/>
        <w:rPr>
          <w:rFonts w:asciiTheme="minorBidi" w:hAnsiTheme="minorBidi" w:cstheme="minorBidi"/>
          <w:b/>
          <w:bCs/>
          <w:color w:val="auto"/>
          <w:sz w:val="22"/>
          <w:szCs w:val="22"/>
        </w:rPr>
      </w:pPr>
    </w:p>
    <w:p w14:paraId="55696BB5" w14:textId="77777777" w:rsidR="001D5F98" w:rsidRPr="001D5F98" w:rsidRDefault="001D5F98" w:rsidP="001D5F98"/>
    <w:p w14:paraId="79134739" w14:textId="50B231EE" w:rsidR="00317393" w:rsidRPr="00800067" w:rsidRDefault="00317393" w:rsidP="00800067">
      <w:pPr>
        <w:pStyle w:val="Heading1"/>
        <w:spacing w:line="360" w:lineRule="auto"/>
        <w:jc w:val="both"/>
        <w:rPr>
          <w:rFonts w:asciiTheme="minorBidi" w:hAnsiTheme="minorBidi" w:cstheme="minorBidi"/>
          <w:b/>
          <w:bCs/>
          <w:color w:val="auto"/>
          <w:sz w:val="22"/>
          <w:szCs w:val="22"/>
        </w:rPr>
      </w:pPr>
      <w:bookmarkStart w:id="0" w:name="_Toc213319825"/>
      <w:r w:rsidRPr="00800067">
        <w:rPr>
          <w:rFonts w:asciiTheme="minorBidi" w:hAnsiTheme="minorBidi" w:cstheme="minorBidi"/>
          <w:b/>
          <w:bCs/>
          <w:color w:val="auto"/>
          <w:sz w:val="22"/>
          <w:szCs w:val="22"/>
        </w:rPr>
        <w:lastRenderedPageBreak/>
        <w:t>Abstract</w:t>
      </w:r>
      <w:bookmarkEnd w:id="0"/>
    </w:p>
    <w:p w14:paraId="04F6D1A0" w14:textId="77777777" w:rsidR="0009191D" w:rsidRPr="00800067" w:rsidRDefault="0009191D" w:rsidP="00800067">
      <w:pPr>
        <w:spacing w:line="360" w:lineRule="auto"/>
        <w:jc w:val="both"/>
        <w:rPr>
          <w:rFonts w:asciiTheme="minorBidi" w:hAnsiTheme="minorBidi"/>
        </w:rPr>
      </w:pPr>
      <w:r w:rsidRPr="00800067">
        <w:rPr>
          <w:rFonts w:asciiTheme="minorBidi" w:hAnsiTheme="minorBidi"/>
        </w:rPr>
        <w:t>This report explores the significance of person-centred care (PCC) and partnership working (PW) in GP surgeries, emphasising their crucial roles in providing holistic, ethical, and effective care. PCC centres on recognising the patient as an individual, while PW facilitates coordinated support across various professions and services.</w:t>
      </w:r>
    </w:p>
    <w:p w14:paraId="2792AC02" w14:textId="1CF7C4CD" w:rsidR="0009191D" w:rsidRPr="0009191D" w:rsidRDefault="0009191D" w:rsidP="00800067">
      <w:pPr>
        <w:spacing w:line="360" w:lineRule="auto"/>
        <w:jc w:val="both"/>
        <w:rPr>
          <w:rFonts w:asciiTheme="minorBidi" w:hAnsiTheme="minorBidi"/>
        </w:rPr>
      </w:pPr>
      <w:r w:rsidRPr="0009191D">
        <w:rPr>
          <w:rFonts w:asciiTheme="minorBidi" w:hAnsiTheme="minorBidi"/>
        </w:rPr>
        <w:t xml:space="preserve">Bronfenbrenner’s Ecological Theory illustrates how care is influenced by broader social and organisational systems. Ethical principles, including autonomy, beneficence, non-maleficence, and justice, are examined in the context of real dilemmas faced by general practitioners. Additionally, pertinent UK policies, such as the Health and Care Act 2022 and the Care Act 2014, are assessed in relation to person-centred care (PCC) and </w:t>
      </w:r>
      <w:r w:rsidR="00A77F33" w:rsidRPr="00800067">
        <w:rPr>
          <w:rFonts w:asciiTheme="minorBidi" w:hAnsiTheme="minorBidi"/>
        </w:rPr>
        <w:t>partnership working</w:t>
      </w:r>
      <w:r w:rsidR="00A77F33" w:rsidRPr="0009191D">
        <w:rPr>
          <w:rFonts w:asciiTheme="minorBidi" w:hAnsiTheme="minorBidi"/>
        </w:rPr>
        <w:t xml:space="preserve"> </w:t>
      </w:r>
      <w:r w:rsidRPr="0009191D">
        <w:rPr>
          <w:rFonts w:asciiTheme="minorBidi" w:hAnsiTheme="minorBidi"/>
        </w:rPr>
        <w:t>(PW).</w:t>
      </w:r>
    </w:p>
    <w:p w14:paraId="17F7B310" w14:textId="77777777" w:rsidR="00A20DA8" w:rsidRDefault="0009191D" w:rsidP="00A20DA8">
      <w:pPr>
        <w:spacing w:line="360" w:lineRule="auto"/>
        <w:jc w:val="both"/>
        <w:rPr>
          <w:rFonts w:asciiTheme="minorBidi" w:hAnsiTheme="minorBidi"/>
        </w:rPr>
      </w:pPr>
      <w:r w:rsidRPr="0009191D">
        <w:rPr>
          <w:rFonts w:asciiTheme="minorBidi" w:hAnsiTheme="minorBidi"/>
        </w:rPr>
        <w:t>The report concludes with recommendations for strengthening primary care, which include longer consultations, promoting digital inclusion, implementing inter-professional training</w:t>
      </w:r>
      <w:r w:rsidR="000D1C45">
        <w:rPr>
          <w:rFonts w:asciiTheme="minorBidi" w:hAnsiTheme="minorBidi"/>
        </w:rPr>
        <w:t>,</w:t>
      </w:r>
      <w:r w:rsidR="00A77F33">
        <w:rPr>
          <w:rFonts w:asciiTheme="minorBidi" w:hAnsiTheme="minorBidi"/>
        </w:rPr>
        <w:t xml:space="preserve"> and</w:t>
      </w:r>
      <w:r w:rsidRPr="0009191D">
        <w:rPr>
          <w:rFonts w:asciiTheme="minorBidi" w:hAnsiTheme="minorBidi"/>
        </w:rPr>
        <w:t xml:space="preserve"> engaging in co-design.</w:t>
      </w:r>
    </w:p>
    <w:p w14:paraId="31DF972D" w14:textId="57E21976" w:rsidR="00317393" w:rsidRPr="00800067" w:rsidRDefault="00317393" w:rsidP="00A20DA8">
      <w:pPr>
        <w:spacing w:line="360" w:lineRule="auto"/>
        <w:jc w:val="both"/>
        <w:rPr>
          <w:rFonts w:asciiTheme="minorBidi" w:hAnsiTheme="minorBidi"/>
          <w:b/>
          <w:bCs/>
        </w:rPr>
      </w:pPr>
      <w:r w:rsidRPr="00800067">
        <w:rPr>
          <w:rFonts w:asciiTheme="minorBidi" w:hAnsiTheme="minorBidi"/>
          <w:b/>
          <w:bCs/>
        </w:rPr>
        <w:t>Introduction</w:t>
      </w:r>
    </w:p>
    <w:p w14:paraId="69B77535" w14:textId="752E1129" w:rsidR="00317393" w:rsidRPr="00800067" w:rsidRDefault="00317393" w:rsidP="00800067">
      <w:pPr>
        <w:spacing w:line="360" w:lineRule="auto"/>
        <w:jc w:val="both"/>
        <w:rPr>
          <w:rFonts w:asciiTheme="minorBidi" w:hAnsiTheme="minorBidi"/>
        </w:rPr>
      </w:pPr>
      <w:r w:rsidRPr="00800067">
        <w:rPr>
          <w:rFonts w:asciiTheme="minorBidi" w:hAnsiTheme="minorBidi"/>
        </w:rPr>
        <w:t>Person-centred care (PCC) and partnership working (PW) are widely recognised as essential components of contemporary health and social care delivery in the UK. Instead of viewing patients as passive recipients of care, PCC seeks to acknowledge individuals as active agents with their own rights, preferences, and personal values.</w:t>
      </w:r>
    </w:p>
    <w:p w14:paraId="7F0C603F" w14:textId="4BE38280" w:rsidR="00317393" w:rsidRPr="00800067" w:rsidRDefault="00317393" w:rsidP="00800067">
      <w:pPr>
        <w:spacing w:line="360" w:lineRule="auto"/>
        <w:jc w:val="both"/>
        <w:rPr>
          <w:rFonts w:asciiTheme="minorBidi" w:hAnsiTheme="minorBidi"/>
        </w:rPr>
      </w:pPr>
      <w:r w:rsidRPr="00800067">
        <w:rPr>
          <w:rFonts w:asciiTheme="minorBidi" w:hAnsiTheme="minorBidi"/>
        </w:rPr>
        <w:t>Partnership working enhances this approach by promoting coordinated practice among professionals, services, and service users, ultimately aiming to improve outcomes and reduce fragmentation (Glasby and Dickinson, 2014). GP surgeries are a pertinent setting for exploring these concepts, as they frequently serve as the first point of contact within the National Health Service (NHS)</w:t>
      </w:r>
      <w:r w:rsidR="004160AE" w:rsidRPr="00800067">
        <w:rPr>
          <w:rFonts w:asciiTheme="minorBidi" w:hAnsiTheme="minorBidi"/>
        </w:rPr>
        <w:t>.</w:t>
      </w:r>
    </w:p>
    <w:p w14:paraId="566D7F97" w14:textId="5D87C831" w:rsidR="00317393" w:rsidRDefault="00317393" w:rsidP="00800067">
      <w:pPr>
        <w:spacing w:line="360" w:lineRule="auto"/>
        <w:jc w:val="both"/>
        <w:rPr>
          <w:rFonts w:asciiTheme="minorBidi" w:hAnsiTheme="minorBidi"/>
        </w:rPr>
      </w:pPr>
      <w:r w:rsidRPr="00800067">
        <w:rPr>
          <w:rFonts w:asciiTheme="minorBidi" w:hAnsiTheme="minorBidi"/>
        </w:rPr>
        <w:t xml:space="preserve">This report assesses PCC and PW by examining their theoretical foundations, ethical </w:t>
      </w:r>
      <w:r w:rsidR="005064F7" w:rsidRPr="00800067">
        <w:rPr>
          <w:rFonts w:asciiTheme="minorBidi" w:hAnsiTheme="minorBidi"/>
        </w:rPr>
        <w:t>foundations</w:t>
      </w:r>
      <w:r w:rsidRPr="00800067">
        <w:rPr>
          <w:rFonts w:asciiTheme="minorBidi" w:hAnsiTheme="minorBidi"/>
        </w:rPr>
        <w:t xml:space="preserve">, practical applications, and policy </w:t>
      </w:r>
      <w:r w:rsidR="005064F7" w:rsidRPr="00800067">
        <w:rPr>
          <w:rFonts w:asciiTheme="minorBidi" w:hAnsiTheme="minorBidi"/>
        </w:rPr>
        <w:t>perspectives</w:t>
      </w:r>
      <w:r w:rsidRPr="00800067">
        <w:rPr>
          <w:rFonts w:asciiTheme="minorBidi" w:hAnsiTheme="minorBidi"/>
        </w:rPr>
        <w:t>. It employs Bronfenbrenner’s Ecological Theory to critically illustrate how PCC is influenced by social, organisational, and political systems, rather than solely by clinical skills or individual communication. Additionally, the report explores partnership working within GP practices and provides recommendations for future development in the UK.</w:t>
      </w:r>
    </w:p>
    <w:p w14:paraId="6E1CE3D3" w14:textId="77777777" w:rsidR="00A20DA8" w:rsidRDefault="00A20DA8" w:rsidP="00800067">
      <w:pPr>
        <w:spacing w:line="360" w:lineRule="auto"/>
        <w:jc w:val="both"/>
        <w:rPr>
          <w:rFonts w:asciiTheme="minorBidi" w:hAnsiTheme="minorBidi"/>
        </w:rPr>
      </w:pPr>
    </w:p>
    <w:p w14:paraId="3C1FA6B5" w14:textId="77777777" w:rsidR="00A20DA8" w:rsidRPr="00800067" w:rsidRDefault="00A20DA8" w:rsidP="00800067">
      <w:pPr>
        <w:spacing w:line="360" w:lineRule="auto"/>
        <w:jc w:val="both"/>
        <w:rPr>
          <w:rFonts w:asciiTheme="minorBidi" w:hAnsiTheme="minorBidi"/>
        </w:rPr>
      </w:pPr>
    </w:p>
    <w:p w14:paraId="24F6373E" w14:textId="57DBE321" w:rsidR="00317393" w:rsidRDefault="00A20DA8" w:rsidP="00800067">
      <w:pPr>
        <w:pStyle w:val="Heading1"/>
        <w:spacing w:line="360" w:lineRule="auto"/>
        <w:jc w:val="both"/>
        <w:rPr>
          <w:rFonts w:asciiTheme="minorBidi" w:hAnsiTheme="minorBidi" w:cstheme="minorBidi"/>
          <w:b/>
          <w:bCs/>
          <w:color w:val="auto"/>
          <w:sz w:val="22"/>
          <w:szCs w:val="22"/>
        </w:rPr>
      </w:pPr>
      <w:bookmarkStart w:id="1" w:name="_Toc213319826"/>
      <w:r>
        <w:rPr>
          <w:noProof/>
        </w:rPr>
        <w:lastRenderedPageBreak/>
        <w:drawing>
          <wp:anchor distT="0" distB="0" distL="114300" distR="114300" simplePos="0" relativeHeight="251661312" behindDoc="0" locked="0" layoutInCell="1" allowOverlap="1" wp14:anchorId="78AFCC19" wp14:editId="74E86491">
            <wp:simplePos x="0" y="0"/>
            <wp:positionH relativeFrom="column">
              <wp:posOffset>2317750</wp:posOffset>
            </wp:positionH>
            <wp:positionV relativeFrom="paragraph">
              <wp:posOffset>419100</wp:posOffset>
            </wp:positionV>
            <wp:extent cx="1416050" cy="1416050"/>
            <wp:effectExtent l="0" t="0" r="0" b="0"/>
            <wp:wrapTopAndBottom/>
            <wp:docPr id="694434931" name="Picture 5" descr="A diagram of a person centered 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34931" name="Picture 5" descr="A diagram of a person centered car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6050" cy="1416050"/>
                    </a:xfrm>
                    <a:prstGeom prst="rect">
                      <a:avLst/>
                    </a:prstGeom>
                  </pic:spPr>
                </pic:pic>
              </a:graphicData>
            </a:graphic>
            <wp14:sizeRelH relativeFrom="page">
              <wp14:pctWidth>0</wp14:pctWidth>
            </wp14:sizeRelH>
            <wp14:sizeRelV relativeFrom="page">
              <wp14:pctHeight>0</wp14:pctHeight>
            </wp14:sizeRelV>
          </wp:anchor>
        </w:drawing>
      </w:r>
      <w:r w:rsidR="00317393" w:rsidRPr="00800067">
        <w:rPr>
          <w:rFonts w:asciiTheme="minorBidi" w:hAnsiTheme="minorBidi" w:cstheme="minorBidi"/>
          <w:b/>
          <w:bCs/>
          <w:color w:val="auto"/>
          <w:sz w:val="22"/>
          <w:szCs w:val="22"/>
        </w:rPr>
        <w:t>Person Centred Care: Definition, Benefits and Limitations</w:t>
      </w:r>
      <w:bookmarkEnd w:id="1"/>
    </w:p>
    <w:p w14:paraId="55042580" w14:textId="7B85D226" w:rsidR="00F72EBB" w:rsidRDefault="00F72EBB" w:rsidP="00F72EBB"/>
    <w:p w14:paraId="14B20524" w14:textId="4424267D" w:rsidR="00317393" w:rsidRPr="00800067" w:rsidRDefault="00317393" w:rsidP="00800067">
      <w:pPr>
        <w:spacing w:line="360" w:lineRule="auto"/>
        <w:jc w:val="both"/>
        <w:rPr>
          <w:rFonts w:asciiTheme="minorBidi" w:hAnsiTheme="minorBidi"/>
        </w:rPr>
      </w:pPr>
      <w:r w:rsidRPr="00800067">
        <w:rPr>
          <w:rFonts w:asciiTheme="minorBidi" w:hAnsiTheme="minorBidi"/>
        </w:rPr>
        <w:t>Person centred care (PCC) is an approach that respects the values, preferences, and needs of individuals, ensuring they are active partners in their care rather than passive recipients (Brooker, 2007). This approach shifts the clinical focus from What is the matter with the patient?</w:t>
      </w:r>
      <w:r w:rsidR="005064F7">
        <w:rPr>
          <w:rFonts w:asciiTheme="minorBidi" w:hAnsiTheme="minorBidi"/>
        </w:rPr>
        <w:t xml:space="preserve"> </w:t>
      </w:r>
      <w:r w:rsidRPr="00800067">
        <w:rPr>
          <w:rFonts w:asciiTheme="minorBidi" w:hAnsiTheme="minorBidi"/>
        </w:rPr>
        <w:t>to What matters to the patient? (Bhatt, Aljohani, and Forget, 2023). In GP surgeries, PCC entails more than just diagnosis and prescribing; it requires a comprehensive understanding of a patient’s social context, beliefs, communication needs, and long-term goals.</w:t>
      </w:r>
    </w:p>
    <w:p w14:paraId="271F9C7E" w14:textId="77777777" w:rsidR="00317393" w:rsidRPr="00800067" w:rsidRDefault="00317393" w:rsidP="00800067">
      <w:pPr>
        <w:spacing w:line="360" w:lineRule="auto"/>
        <w:jc w:val="both"/>
        <w:rPr>
          <w:rFonts w:asciiTheme="minorBidi" w:hAnsiTheme="minorBidi"/>
        </w:rPr>
      </w:pPr>
      <w:r w:rsidRPr="00800067">
        <w:rPr>
          <w:rFonts w:asciiTheme="minorBidi" w:hAnsiTheme="minorBidi"/>
        </w:rPr>
        <w:t>Evidence links patient-centred care (PCC) to higher patient satisfaction, stronger trust in clinicians, and improved treatment adherence (Barry and Edgman-Levitan, 2012). In primary care, PCC has been associated with reduced hospital admissions, enhanced self-management, and better outcomes for individuals with long-term conditions and multimorbidity. When patients feel heard and involved, they are more likely to engage in preventive measures and lifestyle changes, which aligns with NHS priorities.</w:t>
      </w:r>
    </w:p>
    <w:p w14:paraId="09896189" w14:textId="261E033D" w:rsidR="00317393" w:rsidRPr="00800067" w:rsidRDefault="00317393" w:rsidP="00800067">
      <w:pPr>
        <w:spacing w:line="360" w:lineRule="auto"/>
        <w:jc w:val="both"/>
        <w:rPr>
          <w:rFonts w:asciiTheme="minorBidi" w:hAnsiTheme="minorBidi"/>
        </w:rPr>
      </w:pPr>
      <w:r w:rsidRPr="00800067">
        <w:rPr>
          <w:rFonts w:asciiTheme="minorBidi" w:hAnsiTheme="minorBidi"/>
        </w:rPr>
        <w:t>However, several barriers hinder consistent implementation. Short appointment times, increased GP workload, and workforce shortages limit opportunities for personalised dialogue (BMA, 2025). Person-Centred Care also assumes that patients are confident, health-literate and capable of making informed decisions, which is not always true. Additionally, organisational resistance may arise in environments dominated by target-driven or biomedical cultures. In many GP surgeries, fragmented IT systems, digital exclusion</w:t>
      </w:r>
      <w:r w:rsidR="000D1C45">
        <w:rPr>
          <w:rFonts w:asciiTheme="minorBidi" w:hAnsiTheme="minorBidi"/>
        </w:rPr>
        <w:t>,</w:t>
      </w:r>
      <w:r w:rsidR="00A77F33">
        <w:rPr>
          <w:rFonts w:asciiTheme="minorBidi" w:hAnsiTheme="minorBidi"/>
        </w:rPr>
        <w:t xml:space="preserve"> </w:t>
      </w:r>
      <w:r w:rsidRPr="00800067">
        <w:rPr>
          <w:rFonts w:asciiTheme="minorBidi" w:hAnsiTheme="minorBidi"/>
        </w:rPr>
        <w:t>and limited access to multidisciplinary teams further undermine PCC.</w:t>
      </w:r>
    </w:p>
    <w:p w14:paraId="065A68A1" w14:textId="77777777" w:rsidR="00317393" w:rsidRPr="00800067" w:rsidRDefault="00317393" w:rsidP="00800067">
      <w:pPr>
        <w:spacing w:line="360" w:lineRule="auto"/>
        <w:jc w:val="both"/>
        <w:rPr>
          <w:rFonts w:asciiTheme="minorBidi" w:hAnsiTheme="minorBidi"/>
        </w:rPr>
      </w:pPr>
      <w:r w:rsidRPr="00800067">
        <w:rPr>
          <w:rFonts w:asciiTheme="minorBidi" w:hAnsiTheme="minorBidi"/>
        </w:rPr>
        <w:t>Overall, PCC is widely supported in both policy and practice; however, its success in GP settings depends on adequate time, resources, training, and a cultural commitment to treating each individual as an informed partner in their own care.</w:t>
      </w:r>
    </w:p>
    <w:p w14:paraId="28423672" w14:textId="03F0A771" w:rsidR="00317393" w:rsidRPr="00800067" w:rsidRDefault="00317393" w:rsidP="00800067">
      <w:pPr>
        <w:pStyle w:val="Heading1"/>
        <w:spacing w:line="360" w:lineRule="auto"/>
        <w:jc w:val="both"/>
        <w:rPr>
          <w:rFonts w:asciiTheme="minorBidi" w:hAnsiTheme="minorBidi" w:cstheme="minorBidi"/>
          <w:b/>
          <w:bCs/>
          <w:color w:val="auto"/>
          <w:sz w:val="22"/>
          <w:szCs w:val="22"/>
        </w:rPr>
      </w:pPr>
      <w:bookmarkStart w:id="2" w:name="_Toc213319827"/>
      <w:r w:rsidRPr="00800067">
        <w:rPr>
          <w:rFonts w:asciiTheme="minorBidi" w:hAnsiTheme="minorBidi" w:cstheme="minorBidi"/>
          <w:b/>
          <w:bCs/>
          <w:color w:val="auto"/>
          <w:sz w:val="22"/>
          <w:szCs w:val="22"/>
        </w:rPr>
        <w:lastRenderedPageBreak/>
        <w:t xml:space="preserve">Bronfenbrenner’s Ecological Theory </w:t>
      </w:r>
      <w:r w:rsidR="000D1C45">
        <w:rPr>
          <w:rFonts w:asciiTheme="minorBidi" w:hAnsiTheme="minorBidi" w:cstheme="minorBidi"/>
          <w:b/>
          <w:bCs/>
          <w:color w:val="auto"/>
          <w:sz w:val="22"/>
          <w:szCs w:val="22"/>
        </w:rPr>
        <w:t>A</w:t>
      </w:r>
      <w:r w:rsidRPr="00800067">
        <w:rPr>
          <w:rFonts w:asciiTheme="minorBidi" w:hAnsiTheme="minorBidi" w:cstheme="minorBidi"/>
          <w:b/>
          <w:bCs/>
          <w:color w:val="auto"/>
          <w:sz w:val="22"/>
          <w:szCs w:val="22"/>
        </w:rPr>
        <w:t xml:space="preserve">nd </w:t>
      </w:r>
      <w:r w:rsidR="003B23B4">
        <w:rPr>
          <w:rFonts w:asciiTheme="minorBidi" w:hAnsiTheme="minorBidi" w:cstheme="minorBidi"/>
          <w:b/>
          <w:bCs/>
          <w:color w:val="auto"/>
          <w:sz w:val="22"/>
          <w:szCs w:val="22"/>
        </w:rPr>
        <w:t>Its</w:t>
      </w:r>
      <w:r w:rsidRPr="00800067">
        <w:rPr>
          <w:rFonts w:asciiTheme="minorBidi" w:hAnsiTheme="minorBidi" w:cstheme="minorBidi"/>
          <w:b/>
          <w:bCs/>
          <w:color w:val="auto"/>
          <w:sz w:val="22"/>
          <w:szCs w:val="22"/>
        </w:rPr>
        <w:t xml:space="preserve"> Application to </w:t>
      </w:r>
      <w:r w:rsidR="003B23B4">
        <w:rPr>
          <w:rFonts w:asciiTheme="minorBidi" w:hAnsiTheme="minorBidi" w:cstheme="minorBidi"/>
          <w:b/>
          <w:bCs/>
          <w:color w:val="auto"/>
          <w:sz w:val="22"/>
          <w:szCs w:val="22"/>
        </w:rPr>
        <w:t>Person-Centred Care</w:t>
      </w:r>
      <w:bookmarkEnd w:id="2"/>
    </w:p>
    <w:p w14:paraId="4DD27243" w14:textId="2BE8C263" w:rsidR="00353E0A" w:rsidRDefault="00353E0A" w:rsidP="00800067">
      <w:pPr>
        <w:spacing w:line="360" w:lineRule="auto"/>
        <w:jc w:val="both"/>
        <w:rPr>
          <w:rFonts w:asciiTheme="minorBidi" w:hAnsiTheme="minorBidi"/>
        </w:rPr>
      </w:pPr>
      <w:r w:rsidRPr="00800067">
        <w:rPr>
          <w:rFonts w:asciiTheme="minorBidi" w:hAnsiTheme="minorBidi"/>
        </w:rPr>
        <w:t xml:space="preserve">Bronfenbrenner’s Ecological Theory (1979) </w:t>
      </w:r>
      <w:r w:rsidR="005064F7" w:rsidRPr="00800067">
        <w:rPr>
          <w:rFonts w:asciiTheme="minorBidi" w:hAnsiTheme="minorBidi"/>
        </w:rPr>
        <w:t>poses</w:t>
      </w:r>
      <w:r w:rsidRPr="00800067">
        <w:rPr>
          <w:rFonts w:asciiTheme="minorBidi" w:hAnsiTheme="minorBidi"/>
        </w:rPr>
        <w:t xml:space="preserve"> a robust </w:t>
      </w:r>
      <w:r w:rsidR="005064F7" w:rsidRPr="00800067">
        <w:rPr>
          <w:rFonts w:asciiTheme="minorBidi" w:hAnsiTheme="minorBidi"/>
        </w:rPr>
        <w:t>support</w:t>
      </w:r>
      <w:r w:rsidRPr="00800067">
        <w:rPr>
          <w:rFonts w:asciiTheme="minorBidi" w:hAnsiTheme="minorBidi"/>
        </w:rPr>
        <w:t xml:space="preserve"> for person-centred care as it emphasises that individuals are influenced by interacting social systems rather than being seen as isolated clinical cases (Crawford, 2020). This perspective aligns with the fundamental goal of PCC: to treat patients as whole individuals, considering their values, relationships, and life experiences, rather than merely focusing on their medical conditions.</w:t>
      </w:r>
    </w:p>
    <w:p w14:paraId="3AEEB72E" w14:textId="4B366553" w:rsidR="0088538D" w:rsidRPr="00800067" w:rsidRDefault="0088538D" w:rsidP="0088538D">
      <w:pPr>
        <w:spacing w:line="360" w:lineRule="auto"/>
        <w:jc w:val="center"/>
        <w:rPr>
          <w:rFonts w:asciiTheme="minorBidi" w:hAnsiTheme="minorBidi"/>
        </w:rPr>
      </w:pPr>
      <w:r>
        <w:rPr>
          <w:rFonts w:asciiTheme="minorBidi" w:hAnsiTheme="minorBidi"/>
          <w:noProof/>
        </w:rPr>
        <w:drawing>
          <wp:inline distT="0" distB="0" distL="0" distR="0" wp14:anchorId="6A762204" wp14:editId="792BE730">
            <wp:extent cx="1930400" cy="1574800"/>
            <wp:effectExtent l="0" t="0" r="0" b="6350"/>
            <wp:docPr id="1690134452" name="Picture 4" descr="A diagram of different stages of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34452" name="Picture 4" descr="A diagram of different stages of developmen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10800000" flipV="1">
                      <a:off x="0" y="0"/>
                      <a:ext cx="1930400" cy="1574800"/>
                    </a:xfrm>
                    <a:prstGeom prst="rect">
                      <a:avLst/>
                    </a:prstGeom>
                  </pic:spPr>
                </pic:pic>
              </a:graphicData>
            </a:graphic>
          </wp:inline>
        </w:drawing>
      </w:r>
    </w:p>
    <w:p w14:paraId="77A6B967" w14:textId="77777777" w:rsidR="00353E0A" w:rsidRPr="00353E0A" w:rsidRDefault="00353E0A" w:rsidP="00800067">
      <w:pPr>
        <w:spacing w:line="360" w:lineRule="auto"/>
        <w:jc w:val="both"/>
        <w:rPr>
          <w:rFonts w:asciiTheme="minorBidi" w:hAnsiTheme="minorBidi"/>
        </w:rPr>
      </w:pPr>
      <w:r w:rsidRPr="00353E0A">
        <w:rPr>
          <w:rFonts w:asciiTheme="minorBidi" w:hAnsiTheme="minorBidi"/>
        </w:rPr>
        <w:t xml:space="preserve">The theory is organised into five interacting layers. The </w:t>
      </w:r>
      <w:r w:rsidRPr="00353E0A">
        <w:rPr>
          <w:rFonts w:asciiTheme="minorBidi" w:hAnsiTheme="minorBidi"/>
          <w:b/>
          <w:bCs/>
        </w:rPr>
        <w:t>microsystem</w:t>
      </w:r>
      <w:r w:rsidRPr="00353E0A">
        <w:rPr>
          <w:rFonts w:asciiTheme="minorBidi" w:hAnsiTheme="minorBidi"/>
        </w:rPr>
        <w:t xml:space="preserve"> encompasses the GP–patient interaction, where shared decision-making and trust are established. The </w:t>
      </w:r>
      <w:r w:rsidRPr="00353E0A">
        <w:rPr>
          <w:rFonts w:asciiTheme="minorBidi" w:hAnsiTheme="minorBidi"/>
          <w:b/>
          <w:bCs/>
        </w:rPr>
        <w:t>mesosystem</w:t>
      </w:r>
      <w:r w:rsidRPr="00353E0A">
        <w:rPr>
          <w:rFonts w:asciiTheme="minorBidi" w:hAnsiTheme="minorBidi"/>
        </w:rPr>
        <w:t xml:space="preserve"> highlights the connections between various aspects of a patient's life, including collaboration among the GP, pharmacist, and family carer, thereby illustrating the concept of partnership working.</w:t>
      </w:r>
    </w:p>
    <w:p w14:paraId="16DAD66D" w14:textId="77777777" w:rsidR="004160AE" w:rsidRPr="004160AE" w:rsidRDefault="004160AE" w:rsidP="00800067">
      <w:pPr>
        <w:spacing w:line="360" w:lineRule="auto"/>
        <w:jc w:val="both"/>
        <w:rPr>
          <w:rFonts w:asciiTheme="minorBidi" w:hAnsiTheme="minorBidi"/>
        </w:rPr>
      </w:pPr>
      <w:r w:rsidRPr="004160AE">
        <w:rPr>
          <w:rFonts w:asciiTheme="minorBidi" w:hAnsiTheme="minorBidi"/>
        </w:rPr>
        <w:t xml:space="preserve">The </w:t>
      </w:r>
      <w:r w:rsidRPr="004160AE">
        <w:rPr>
          <w:rFonts w:asciiTheme="minorBidi" w:hAnsiTheme="minorBidi"/>
          <w:b/>
          <w:bCs/>
        </w:rPr>
        <w:t>exosystem</w:t>
      </w:r>
      <w:r w:rsidRPr="004160AE">
        <w:rPr>
          <w:rFonts w:asciiTheme="minorBidi" w:hAnsiTheme="minorBidi"/>
        </w:rPr>
        <w:t xml:space="preserve"> encompasses indirect influences such as appointment systems, access to social care, and digital connectivity, all of which significantly impact the person-centredness of a GP practice. The </w:t>
      </w:r>
      <w:r w:rsidRPr="004160AE">
        <w:rPr>
          <w:rFonts w:asciiTheme="minorBidi" w:hAnsiTheme="minorBidi"/>
          <w:b/>
          <w:bCs/>
        </w:rPr>
        <w:t>macrosystem</w:t>
      </w:r>
      <w:r w:rsidRPr="004160AE">
        <w:rPr>
          <w:rFonts w:asciiTheme="minorBidi" w:hAnsiTheme="minorBidi"/>
        </w:rPr>
        <w:t xml:space="preserve"> refers to broader structures, including NHS policy, cultural expectations, and legal frameworks, that shape concepts of dignity, choice, and equality. The </w:t>
      </w:r>
      <w:r w:rsidRPr="004160AE">
        <w:rPr>
          <w:rFonts w:asciiTheme="minorBidi" w:hAnsiTheme="minorBidi"/>
          <w:b/>
          <w:bCs/>
        </w:rPr>
        <w:t>chronosystem</w:t>
      </w:r>
      <w:r w:rsidRPr="004160AE">
        <w:rPr>
          <w:rFonts w:asciiTheme="minorBidi" w:hAnsiTheme="minorBidi"/>
        </w:rPr>
        <w:t xml:space="preserve"> acknowledges that needs evolve over time, for instance, during ageing, the progression of illness, or life transitions.</w:t>
      </w:r>
    </w:p>
    <w:p w14:paraId="2E3109DB" w14:textId="621BF36C" w:rsidR="00353E0A" w:rsidRPr="00800067" w:rsidRDefault="004160AE" w:rsidP="00800067">
      <w:pPr>
        <w:spacing w:line="360" w:lineRule="auto"/>
        <w:jc w:val="both"/>
        <w:rPr>
          <w:rFonts w:asciiTheme="minorBidi" w:hAnsiTheme="minorBidi"/>
        </w:rPr>
      </w:pPr>
      <w:r w:rsidRPr="004160AE">
        <w:rPr>
          <w:rFonts w:asciiTheme="minorBidi" w:hAnsiTheme="minorBidi"/>
        </w:rPr>
        <w:t>The value of the theory lies in demonstrating that person-centred care</w:t>
      </w:r>
      <w:r w:rsidR="009A3C15" w:rsidRPr="00800067">
        <w:rPr>
          <w:rFonts w:asciiTheme="minorBidi" w:hAnsiTheme="minorBidi"/>
        </w:rPr>
        <w:t xml:space="preserve"> </w:t>
      </w:r>
      <w:r w:rsidRPr="004160AE">
        <w:rPr>
          <w:rFonts w:asciiTheme="minorBidi" w:hAnsiTheme="minorBidi"/>
        </w:rPr>
        <w:t>requires more than just empathy; it relies on organisational support, effective teamwork and alignment of policies (Glasby and Dickinson, 2014). Its primary limitation is its practicality, as it necessitates system-level change rather than solely individual effort. Nevertheless, for GP surgeries dealing with complex, long-term conditions, it provides a realistic model for achieving fully person-centred care.</w:t>
      </w:r>
    </w:p>
    <w:p w14:paraId="7217A3CB" w14:textId="02A3C42E" w:rsidR="00C91A9E" w:rsidRPr="00800067" w:rsidRDefault="00C91A9E" w:rsidP="00800067">
      <w:pPr>
        <w:pStyle w:val="Heading1"/>
        <w:spacing w:line="360" w:lineRule="auto"/>
        <w:jc w:val="both"/>
        <w:rPr>
          <w:rFonts w:asciiTheme="minorBidi" w:hAnsiTheme="minorBidi" w:cstheme="minorBidi"/>
          <w:b/>
          <w:bCs/>
          <w:color w:val="auto"/>
          <w:sz w:val="22"/>
          <w:szCs w:val="22"/>
        </w:rPr>
      </w:pPr>
      <w:bookmarkStart w:id="3" w:name="_Toc213319828"/>
      <w:r w:rsidRPr="00800067">
        <w:rPr>
          <w:rFonts w:asciiTheme="minorBidi" w:hAnsiTheme="minorBidi" w:cstheme="minorBidi"/>
          <w:b/>
          <w:bCs/>
          <w:color w:val="auto"/>
          <w:sz w:val="22"/>
          <w:szCs w:val="22"/>
        </w:rPr>
        <w:t xml:space="preserve">Ethical Fundamentals </w:t>
      </w:r>
      <w:r w:rsidR="003B23B4">
        <w:rPr>
          <w:rFonts w:asciiTheme="minorBidi" w:hAnsiTheme="minorBidi" w:cstheme="minorBidi"/>
          <w:b/>
          <w:bCs/>
          <w:color w:val="auto"/>
          <w:sz w:val="22"/>
          <w:szCs w:val="22"/>
        </w:rPr>
        <w:t>I</w:t>
      </w:r>
      <w:r w:rsidRPr="00800067">
        <w:rPr>
          <w:rFonts w:asciiTheme="minorBidi" w:hAnsiTheme="minorBidi" w:cstheme="minorBidi"/>
          <w:b/>
          <w:bCs/>
          <w:color w:val="auto"/>
          <w:sz w:val="22"/>
          <w:szCs w:val="22"/>
        </w:rPr>
        <w:t xml:space="preserve">n Health </w:t>
      </w:r>
      <w:r w:rsidR="000D1C45">
        <w:rPr>
          <w:rFonts w:asciiTheme="minorBidi" w:hAnsiTheme="minorBidi" w:cstheme="minorBidi"/>
          <w:b/>
          <w:bCs/>
          <w:color w:val="auto"/>
          <w:sz w:val="22"/>
          <w:szCs w:val="22"/>
        </w:rPr>
        <w:t>A</w:t>
      </w:r>
      <w:r w:rsidRPr="00800067">
        <w:rPr>
          <w:rFonts w:asciiTheme="minorBidi" w:hAnsiTheme="minorBidi" w:cstheme="minorBidi"/>
          <w:b/>
          <w:bCs/>
          <w:color w:val="auto"/>
          <w:sz w:val="22"/>
          <w:szCs w:val="22"/>
        </w:rPr>
        <w:t>nd Social Care</w:t>
      </w:r>
      <w:bookmarkEnd w:id="3"/>
    </w:p>
    <w:p w14:paraId="0FF3A5F3" w14:textId="6608C568" w:rsidR="00C91A9E" w:rsidRDefault="00C91A9E" w:rsidP="00800067">
      <w:pPr>
        <w:spacing w:line="360" w:lineRule="auto"/>
        <w:jc w:val="both"/>
        <w:rPr>
          <w:rFonts w:asciiTheme="minorBidi" w:hAnsiTheme="minorBidi"/>
        </w:rPr>
      </w:pPr>
      <w:r w:rsidRPr="00800067">
        <w:rPr>
          <w:rFonts w:asciiTheme="minorBidi" w:hAnsiTheme="minorBidi"/>
        </w:rPr>
        <w:t xml:space="preserve">Ethical practice in health and social care is founded on four key principles: </w:t>
      </w:r>
      <w:r w:rsidRPr="00800067">
        <w:rPr>
          <w:rFonts w:asciiTheme="minorBidi" w:hAnsiTheme="minorBidi"/>
          <w:b/>
          <w:bCs/>
        </w:rPr>
        <w:t>autonomy, beneficence, non-maleficence</w:t>
      </w:r>
      <w:r w:rsidR="000D1C45">
        <w:rPr>
          <w:rFonts w:asciiTheme="minorBidi" w:hAnsiTheme="minorBidi"/>
          <w:b/>
          <w:bCs/>
        </w:rPr>
        <w:t>,</w:t>
      </w:r>
      <w:r w:rsidRPr="00800067">
        <w:rPr>
          <w:rFonts w:asciiTheme="minorBidi" w:hAnsiTheme="minorBidi"/>
          <w:b/>
          <w:bCs/>
        </w:rPr>
        <w:t xml:space="preserve"> and justice</w:t>
      </w:r>
      <w:r w:rsidRPr="00800067">
        <w:rPr>
          <w:rFonts w:asciiTheme="minorBidi" w:hAnsiTheme="minorBidi"/>
        </w:rPr>
        <w:t xml:space="preserve"> (Beauchamp and Childress, 2009). These principles underpin person-centred care, which emphasises patient choice and dignity, and </w:t>
      </w:r>
      <w:r w:rsidRPr="00800067">
        <w:rPr>
          <w:rFonts w:asciiTheme="minorBidi" w:hAnsiTheme="minorBidi"/>
        </w:rPr>
        <w:lastRenderedPageBreak/>
        <w:t xml:space="preserve">partnership working, which shares responsibility among professionals to achieve fair and safe </w:t>
      </w:r>
      <w:r w:rsidR="00A20DA8">
        <w:rPr>
          <w:rFonts w:asciiTheme="minorBidi" w:hAnsiTheme="minorBidi"/>
          <w:noProof/>
        </w:rPr>
        <w:drawing>
          <wp:anchor distT="0" distB="0" distL="114300" distR="114300" simplePos="0" relativeHeight="251662336" behindDoc="0" locked="0" layoutInCell="1" allowOverlap="1" wp14:anchorId="3970EA34" wp14:editId="3D21A2FA">
            <wp:simplePos x="0" y="0"/>
            <wp:positionH relativeFrom="column">
              <wp:posOffset>3530600</wp:posOffset>
            </wp:positionH>
            <wp:positionV relativeFrom="paragraph">
              <wp:posOffset>412750</wp:posOffset>
            </wp:positionV>
            <wp:extent cx="2197100" cy="1647825"/>
            <wp:effectExtent l="0" t="0" r="0" b="9525"/>
            <wp:wrapTopAndBottom/>
            <wp:docPr id="334163039" name="Picture 6" descr="A diagram of medical eth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63039" name="Picture 6" descr="A diagram of medical ethic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97100" cy="1647825"/>
                    </a:xfrm>
                    <a:prstGeom prst="rect">
                      <a:avLst/>
                    </a:prstGeom>
                  </pic:spPr>
                </pic:pic>
              </a:graphicData>
            </a:graphic>
            <wp14:sizeRelH relativeFrom="page">
              <wp14:pctWidth>0</wp14:pctWidth>
            </wp14:sizeRelH>
            <wp14:sizeRelV relativeFrom="page">
              <wp14:pctHeight>0</wp14:pctHeight>
            </wp14:sizeRelV>
          </wp:anchor>
        </w:drawing>
      </w:r>
      <w:r w:rsidRPr="00800067">
        <w:rPr>
          <w:rFonts w:asciiTheme="minorBidi" w:hAnsiTheme="minorBidi"/>
        </w:rPr>
        <w:t>decisions.</w:t>
      </w:r>
    </w:p>
    <w:p w14:paraId="502F62B9" w14:textId="52D8E652" w:rsidR="00F72EBB" w:rsidRPr="00800067" w:rsidRDefault="00F72EBB" w:rsidP="00F72EBB">
      <w:pPr>
        <w:spacing w:line="360" w:lineRule="auto"/>
        <w:jc w:val="center"/>
        <w:rPr>
          <w:rFonts w:asciiTheme="minorBidi" w:hAnsiTheme="minorBidi"/>
        </w:rPr>
      </w:pPr>
    </w:p>
    <w:p w14:paraId="35CCC240" w14:textId="198A2DB0" w:rsidR="00C91A9E" w:rsidRPr="00800067" w:rsidRDefault="00C91A9E" w:rsidP="00800067">
      <w:pPr>
        <w:spacing w:line="360" w:lineRule="auto"/>
        <w:jc w:val="both"/>
        <w:rPr>
          <w:rFonts w:asciiTheme="minorBidi" w:hAnsiTheme="minorBidi"/>
        </w:rPr>
      </w:pPr>
      <w:r w:rsidRPr="00800067">
        <w:rPr>
          <w:rFonts w:asciiTheme="minorBidi" w:hAnsiTheme="minorBidi"/>
          <w:b/>
          <w:bCs/>
        </w:rPr>
        <w:t>Autonomy</w:t>
      </w:r>
      <w:r w:rsidRPr="00800067">
        <w:rPr>
          <w:rFonts w:asciiTheme="minorBidi" w:hAnsiTheme="minorBidi"/>
        </w:rPr>
        <w:t xml:space="preserve"> refers to respecting a patient’s right to make their own choices. For instance, in a GP surgery, a patient with diabetes may decide to refuse insulin. The GP faces the challenge of balancing this respect for the patient’s choice with the need for safety. By involving a diabetes nurse and the patient’s family, a collaborative plan can be developed</w:t>
      </w:r>
      <w:r w:rsidR="005B6A1B" w:rsidRPr="00800067">
        <w:rPr>
          <w:rFonts w:asciiTheme="minorBidi" w:hAnsiTheme="minorBidi"/>
        </w:rPr>
        <w:t>.</w:t>
      </w:r>
    </w:p>
    <w:p w14:paraId="0B44EEB0" w14:textId="6CF5E0B7" w:rsidR="00C91A9E" w:rsidRPr="00800067" w:rsidRDefault="00C91A9E" w:rsidP="00800067">
      <w:pPr>
        <w:spacing w:line="360" w:lineRule="auto"/>
        <w:jc w:val="both"/>
        <w:rPr>
          <w:rFonts w:asciiTheme="minorBidi" w:hAnsiTheme="minorBidi"/>
        </w:rPr>
      </w:pPr>
      <w:r w:rsidRPr="00800067">
        <w:rPr>
          <w:rFonts w:asciiTheme="minorBidi" w:hAnsiTheme="minorBidi"/>
          <w:b/>
          <w:bCs/>
        </w:rPr>
        <w:t>Beneficence</w:t>
      </w:r>
      <w:r w:rsidRPr="00800067">
        <w:rPr>
          <w:rFonts w:asciiTheme="minorBidi" w:hAnsiTheme="minorBidi"/>
        </w:rPr>
        <w:t xml:space="preserve"> involves acting in a patient’s best interest. A GP might prescribe painkillers for arthritis, yet a social prescriber may recognise that loneliness is the underlying issue. By working together, both professionals can address the situation through medication review and community support, thereby broadening the definition of what constitutes the best interest of the patient.</w:t>
      </w:r>
    </w:p>
    <w:p w14:paraId="5506D5E1" w14:textId="77777777" w:rsidR="00C91A9E" w:rsidRPr="00800067" w:rsidRDefault="00C91A9E" w:rsidP="00800067">
      <w:pPr>
        <w:spacing w:line="360" w:lineRule="auto"/>
        <w:jc w:val="both"/>
        <w:rPr>
          <w:rFonts w:asciiTheme="minorBidi" w:hAnsiTheme="minorBidi"/>
        </w:rPr>
      </w:pPr>
      <w:r w:rsidRPr="00800067">
        <w:rPr>
          <w:rFonts w:asciiTheme="minorBidi" w:hAnsiTheme="minorBidi"/>
          <w:b/>
          <w:bCs/>
        </w:rPr>
        <w:t>Non-maleficence</w:t>
      </w:r>
      <w:r w:rsidRPr="00800067">
        <w:rPr>
          <w:rFonts w:asciiTheme="minorBidi" w:hAnsiTheme="minorBidi"/>
        </w:rPr>
        <w:t xml:space="preserve"> (avoiding harm) is challenged when a patient requests long-term sedatives. The GP may agree to prescribe them only for short-term use while arranging mental health support, thereby reducing potential harm through collaborative efforts.</w:t>
      </w:r>
    </w:p>
    <w:p w14:paraId="0247EC5D" w14:textId="77777777" w:rsidR="00C91A9E" w:rsidRPr="00800067" w:rsidRDefault="00C91A9E" w:rsidP="00800067">
      <w:pPr>
        <w:spacing w:line="360" w:lineRule="auto"/>
        <w:jc w:val="both"/>
        <w:rPr>
          <w:rFonts w:asciiTheme="minorBidi" w:hAnsiTheme="minorBidi"/>
        </w:rPr>
      </w:pPr>
      <w:r w:rsidRPr="00800067">
        <w:rPr>
          <w:rFonts w:asciiTheme="minorBidi" w:hAnsiTheme="minorBidi"/>
          <w:b/>
          <w:bCs/>
        </w:rPr>
        <w:t>Justice</w:t>
      </w:r>
      <w:r w:rsidRPr="00800067">
        <w:rPr>
          <w:rFonts w:asciiTheme="minorBidi" w:hAnsiTheme="minorBidi"/>
        </w:rPr>
        <w:t xml:space="preserve"> relates to fairness. When a patient requires an interpreter, they need additional time during their appointment. To ensure equal access, the practice reserves longer appointment slots for these patients.</w:t>
      </w:r>
    </w:p>
    <w:p w14:paraId="1D17DB35" w14:textId="77777777" w:rsidR="00A20DA8" w:rsidRDefault="00C91A9E" w:rsidP="00A20DA8">
      <w:pPr>
        <w:spacing w:line="360" w:lineRule="auto"/>
        <w:jc w:val="both"/>
        <w:rPr>
          <w:rFonts w:asciiTheme="minorBidi" w:hAnsiTheme="minorBidi"/>
        </w:rPr>
      </w:pPr>
      <w:r w:rsidRPr="00800067">
        <w:rPr>
          <w:rFonts w:asciiTheme="minorBidi" w:hAnsiTheme="minorBidi"/>
        </w:rPr>
        <w:t>These examples illustrate that ethical care in GP surgeries extends beyond individual morality; it relies on patient-centred care values and effective partnership systems.</w:t>
      </w:r>
    </w:p>
    <w:p w14:paraId="79812F7D" w14:textId="15ACB13B" w:rsidR="00C91A9E" w:rsidRDefault="00C91A9E" w:rsidP="00A20DA8">
      <w:pPr>
        <w:spacing w:line="360" w:lineRule="auto"/>
        <w:jc w:val="both"/>
        <w:rPr>
          <w:rFonts w:asciiTheme="minorBidi" w:hAnsiTheme="minorBidi"/>
          <w:b/>
          <w:bCs/>
        </w:rPr>
      </w:pPr>
      <w:r w:rsidRPr="00800067">
        <w:rPr>
          <w:rFonts w:asciiTheme="minorBidi" w:hAnsiTheme="minorBidi"/>
          <w:b/>
          <w:bCs/>
        </w:rPr>
        <w:t>Evaluation of Partnership Working in Health and Social Care</w:t>
      </w:r>
    </w:p>
    <w:p w14:paraId="6C07C458" w14:textId="4A66CC86" w:rsidR="00C91A9E" w:rsidRPr="00800067" w:rsidRDefault="00C91A9E" w:rsidP="00800067">
      <w:pPr>
        <w:spacing w:line="360" w:lineRule="auto"/>
        <w:jc w:val="both"/>
        <w:rPr>
          <w:rFonts w:asciiTheme="minorBidi" w:hAnsiTheme="minorBidi"/>
        </w:rPr>
      </w:pPr>
      <w:r w:rsidRPr="00800067">
        <w:rPr>
          <w:rFonts w:asciiTheme="minorBidi" w:hAnsiTheme="minorBidi"/>
        </w:rPr>
        <w:t xml:space="preserve">Partnership working (PW) involves organisations, professionals, service users, and communities collaborating to achieve common goals in health and social care (Petch, Cook and Miller, 2013). In the UK, PW has become a structural expectation, particularly with the introduction of Integrated Care Systems (ICS), which aim to dismantle traditional barriers between the NHS, local authorities and the voluntary sector (NHS England, 2021). The </w:t>
      </w:r>
      <w:r w:rsidRPr="00800067">
        <w:rPr>
          <w:rFonts w:asciiTheme="minorBidi" w:hAnsiTheme="minorBidi"/>
        </w:rPr>
        <w:lastRenderedPageBreak/>
        <w:t>rationale behind partnership working is that complex health needs, especially for individuals with multimorbidity, cannot be effectively addressed by a single agency acting in isolation.</w:t>
      </w:r>
    </w:p>
    <w:p w14:paraId="27B88D1D" w14:textId="1BD48705" w:rsidR="00C91A9E" w:rsidRPr="00800067" w:rsidRDefault="00C91A9E" w:rsidP="00800067">
      <w:pPr>
        <w:spacing w:line="360" w:lineRule="auto"/>
        <w:jc w:val="both"/>
        <w:rPr>
          <w:rFonts w:asciiTheme="minorBidi" w:hAnsiTheme="minorBidi"/>
        </w:rPr>
      </w:pPr>
      <w:r w:rsidRPr="00800067">
        <w:rPr>
          <w:rFonts w:asciiTheme="minorBidi" w:hAnsiTheme="minorBidi"/>
        </w:rPr>
        <w:t>Benefits associated with PW include improved care coordination, reduced duplication of services, and smoother transitions for patients between hospital, GP, community</w:t>
      </w:r>
      <w:r w:rsidR="000D1C45">
        <w:rPr>
          <w:rFonts w:asciiTheme="minorBidi" w:hAnsiTheme="minorBidi"/>
        </w:rPr>
        <w:t>,</w:t>
      </w:r>
      <w:r w:rsidRPr="00800067">
        <w:rPr>
          <w:rFonts w:asciiTheme="minorBidi" w:hAnsiTheme="minorBidi"/>
        </w:rPr>
        <w:t xml:space="preserve"> and home care settings. When GPs collaborate closely with social workers, pharmacists, physiotherapists, district nurses</w:t>
      </w:r>
      <w:r w:rsidR="000D1C45">
        <w:rPr>
          <w:rFonts w:asciiTheme="minorBidi" w:hAnsiTheme="minorBidi"/>
        </w:rPr>
        <w:t>,</w:t>
      </w:r>
      <w:r w:rsidRPr="00800067">
        <w:rPr>
          <w:rFonts w:asciiTheme="minorBidi" w:hAnsiTheme="minorBidi"/>
        </w:rPr>
        <w:t xml:space="preserve"> and carers, patients benefit from fewer communication gaps and enhanced continuity of care.</w:t>
      </w:r>
      <w:r w:rsidR="00C908A6">
        <w:rPr>
          <w:rFonts w:asciiTheme="minorBidi" w:hAnsiTheme="minorBidi"/>
        </w:rPr>
        <w:t xml:space="preserve"> </w:t>
      </w:r>
      <w:r w:rsidRPr="00800067">
        <w:rPr>
          <w:rFonts w:asciiTheme="minorBidi" w:hAnsiTheme="minorBidi"/>
        </w:rPr>
        <w:t xml:space="preserve"> Additionally, PW facilitates earlier intervention and prevention through the pooling of knowledge and resources.</w:t>
      </w:r>
    </w:p>
    <w:p w14:paraId="0B7ECF0D" w14:textId="77777777" w:rsidR="00C91A9E" w:rsidRDefault="00C91A9E" w:rsidP="00800067">
      <w:pPr>
        <w:spacing w:line="360" w:lineRule="auto"/>
        <w:jc w:val="both"/>
        <w:rPr>
          <w:rFonts w:asciiTheme="minorBidi" w:hAnsiTheme="minorBidi"/>
        </w:rPr>
      </w:pPr>
      <w:r w:rsidRPr="00800067">
        <w:rPr>
          <w:rFonts w:asciiTheme="minorBidi" w:hAnsiTheme="minorBidi"/>
        </w:rPr>
        <w:t>However, research highlights several challenges. Different organisations often have conflicting priorities, funding structures, or cultures, which can hinder practical collaboration (Pedro and Baylin, 2020). Information sharing poses a significant barrier, particularly when digital systems are incompatible or when data protection concerns restrict communication (Hassey, 2020). At the professional level, successful partnerships depend on mutual trust and clarity of roles; without these elements, collaboration may feel more tokenistic than meaningful. In GP settings, time constraints and staff shortages can make sustained joint working difficult, even when all parties support it in principle.</w:t>
      </w:r>
    </w:p>
    <w:p w14:paraId="1AD9DBC0" w14:textId="77777777" w:rsidR="00C91A9E" w:rsidRPr="00800067" w:rsidRDefault="00C91A9E" w:rsidP="00800067">
      <w:pPr>
        <w:spacing w:line="360" w:lineRule="auto"/>
        <w:jc w:val="both"/>
        <w:rPr>
          <w:rFonts w:asciiTheme="minorBidi" w:hAnsiTheme="minorBidi"/>
        </w:rPr>
      </w:pPr>
      <w:r w:rsidRPr="00800067">
        <w:rPr>
          <w:rFonts w:asciiTheme="minorBidi" w:hAnsiTheme="minorBidi"/>
        </w:rPr>
        <w:t>Overall, while partnership working offers clear value, it is not self-executing; it requires investment, leadership, and shared accountability.</w:t>
      </w:r>
    </w:p>
    <w:p w14:paraId="0C139618" w14:textId="07F7F546" w:rsidR="00C91A9E" w:rsidRPr="00800067" w:rsidRDefault="00C91A9E" w:rsidP="00800067">
      <w:pPr>
        <w:pStyle w:val="Heading1"/>
        <w:spacing w:line="360" w:lineRule="auto"/>
        <w:jc w:val="both"/>
        <w:rPr>
          <w:rFonts w:asciiTheme="minorBidi" w:hAnsiTheme="minorBidi" w:cstheme="minorBidi"/>
          <w:b/>
          <w:bCs/>
          <w:color w:val="auto"/>
          <w:sz w:val="22"/>
          <w:szCs w:val="22"/>
        </w:rPr>
      </w:pPr>
      <w:bookmarkStart w:id="4" w:name="_Toc213319829"/>
      <w:r w:rsidRPr="00800067">
        <w:rPr>
          <w:rFonts w:asciiTheme="minorBidi" w:hAnsiTheme="minorBidi" w:cstheme="minorBidi"/>
          <w:b/>
          <w:bCs/>
          <w:color w:val="auto"/>
          <w:sz w:val="22"/>
          <w:szCs w:val="22"/>
        </w:rPr>
        <w:t xml:space="preserve">Application </w:t>
      </w:r>
      <w:r w:rsidR="003B23B4">
        <w:rPr>
          <w:rFonts w:asciiTheme="minorBidi" w:hAnsiTheme="minorBidi" w:cstheme="minorBidi"/>
          <w:b/>
          <w:bCs/>
          <w:color w:val="auto"/>
          <w:sz w:val="22"/>
          <w:szCs w:val="22"/>
        </w:rPr>
        <w:t>O</w:t>
      </w:r>
      <w:r w:rsidRPr="00800067">
        <w:rPr>
          <w:rFonts w:asciiTheme="minorBidi" w:hAnsiTheme="minorBidi" w:cstheme="minorBidi"/>
          <w:b/>
          <w:bCs/>
          <w:color w:val="auto"/>
          <w:sz w:val="22"/>
          <w:szCs w:val="22"/>
        </w:rPr>
        <w:t xml:space="preserve">f Partnership Working </w:t>
      </w:r>
      <w:r w:rsidR="003B23B4">
        <w:rPr>
          <w:rFonts w:asciiTheme="minorBidi" w:hAnsiTheme="minorBidi" w:cstheme="minorBidi"/>
          <w:b/>
          <w:bCs/>
          <w:color w:val="auto"/>
          <w:sz w:val="22"/>
          <w:szCs w:val="22"/>
        </w:rPr>
        <w:t>I</w:t>
      </w:r>
      <w:r w:rsidRPr="00800067">
        <w:rPr>
          <w:rFonts w:asciiTheme="minorBidi" w:hAnsiTheme="minorBidi" w:cstheme="minorBidi"/>
          <w:b/>
          <w:bCs/>
          <w:color w:val="auto"/>
          <w:sz w:val="22"/>
          <w:szCs w:val="22"/>
        </w:rPr>
        <w:t>n GP Surgeries</w:t>
      </w:r>
      <w:bookmarkEnd w:id="4"/>
    </w:p>
    <w:p w14:paraId="6671DA9A" w14:textId="64830E71" w:rsidR="00C91A9E" w:rsidRPr="00800067" w:rsidRDefault="00C91A9E" w:rsidP="00800067">
      <w:pPr>
        <w:spacing w:line="360" w:lineRule="auto"/>
        <w:jc w:val="both"/>
        <w:rPr>
          <w:rFonts w:asciiTheme="minorBidi" w:hAnsiTheme="minorBidi"/>
        </w:rPr>
      </w:pPr>
      <w:r w:rsidRPr="00800067">
        <w:rPr>
          <w:rFonts w:asciiTheme="minorBidi" w:hAnsiTheme="minorBidi"/>
        </w:rPr>
        <w:t>Partnership working in GP surgeries entails collaboration among GPs, nurses, pharmacists, social prescribers, mental health teams, and community services to provide coordinated care. This approach is particularly crucial for patients with long-term or complex needs who require support that spans multiple professions. For instance, a patient dealing with diabetes, depression, and mobility issues may receive a medical review from a GP, dietary advice from a practice nurse, medication support from a pharmacist, and referrals for local activities from a social prescriber.</w:t>
      </w:r>
    </w:p>
    <w:p w14:paraId="73A03C48" w14:textId="4E89276A" w:rsidR="00317393" w:rsidRPr="00800067" w:rsidRDefault="00C91A9E" w:rsidP="00800067">
      <w:pPr>
        <w:spacing w:line="360" w:lineRule="auto"/>
        <w:jc w:val="both"/>
        <w:rPr>
          <w:rFonts w:asciiTheme="minorBidi" w:hAnsiTheme="minorBidi"/>
        </w:rPr>
      </w:pPr>
      <w:r w:rsidRPr="00800067">
        <w:rPr>
          <w:rFonts w:asciiTheme="minorBidi" w:hAnsiTheme="minorBidi"/>
        </w:rPr>
        <w:t>This integrated approach minimises duplication, prevents unnecessary hospital admissions and promotes person-centred care. However, effective partnership working depends on shared records, clear communication, and time for joint planning,</w:t>
      </w:r>
    </w:p>
    <w:p w14:paraId="1A870A30" w14:textId="40E59E24" w:rsidR="003E07F0" w:rsidRPr="00800067" w:rsidRDefault="003E07F0" w:rsidP="00800067">
      <w:pPr>
        <w:pStyle w:val="Heading1"/>
        <w:spacing w:line="360" w:lineRule="auto"/>
        <w:jc w:val="both"/>
        <w:rPr>
          <w:rFonts w:asciiTheme="minorBidi" w:hAnsiTheme="minorBidi" w:cstheme="minorBidi"/>
          <w:b/>
          <w:bCs/>
          <w:color w:val="auto"/>
          <w:sz w:val="22"/>
          <w:szCs w:val="22"/>
        </w:rPr>
      </w:pPr>
      <w:bookmarkStart w:id="5" w:name="_Toc213319830"/>
      <w:r w:rsidRPr="00800067">
        <w:rPr>
          <w:rFonts w:asciiTheme="minorBidi" w:hAnsiTheme="minorBidi" w:cstheme="minorBidi"/>
          <w:b/>
          <w:bCs/>
          <w:color w:val="auto"/>
          <w:sz w:val="22"/>
          <w:szCs w:val="22"/>
        </w:rPr>
        <w:t xml:space="preserve">Policy </w:t>
      </w:r>
      <w:r w:rsidR="00EF1A7C">
        <w:rPr>
          <w:rFonts w:asciiTheme="minorBidi" w:hAnsiTheme="minorBidi" w:cstheme="minorBidi"/>
          <w:b/>
          <w:bCs/>
          <w:color w:val="auto"/>
          <w:sz w:val="22"/>
          <w:szCs w:val="22"/>
        </w:rPr>
        <w:t>A</w:t>
      </w:r>
      <w:r w:rsidRPr="00800067">
        <w:rPr>
          <w:rFonts w:asciiTheme="minorBidi" w:hAnsiTheme="minorBidi" w:cstheme="minorBidi"/>
          <w:b/>
          <w:bCs/>
          <w:color w:val="auto"/>
          <w:sz w:val="22"/>
          <w:szCs w:val="22"/>
        </w:rPr>
        <w:t xml:space="preserve">nd Legislation </w:t>
      </w:r>
      <w:r w:rsidR="00EF1A7C">
        <w:rPr>
          <w:rFonts w:asciiTheme="minorBidi" w:hAnsiTheme="minorBidi" w:cstheme="minorBidi"/>
          <w:b/>
          <w:bCs/>
          <w:color w:val="auto"/>
          <w:sz w:val="22"/>
          <w:szCs w:val="22"/>
        </w:rPr>
        <w:t>I</w:t>
      </w:r>
      <w:r w:rsidRPr="00800067">
        <w:rPr>
          <w:rFonts w:asciiTheme="minorBidi" w:hAnsiTheme="minorBidi" w:cstheme="minorBidi"/>
          <w:b/>
          <w:bCs/>
          <w:color w:val="auto"/>
          <w:sz w:val="22"/>
          <w:szCs w:val="22"/>
        </w:rPr>
        <w:t xml:space="preserve">n Relation </w:t>
      </w:r>
      <w:r w:rsidR="00EF1A7C">
        <w:rPr>
          <w:rFonts w:asciiTheme="minorBidi" w:hAnsiTheme="minorBidi" w:cstheme="minorBidi"/>
          <w:b/>
          <w:bCs/>
          <w:color w:val="auto"/>
          <w:sz w:val="22"/>
          <w:szCs w:val="22"/>
        </w:rPr>
        <w:t>T</w:t>
      </w:r>
      <w:r w:rsidRPr="00800067">
        <w:rPr>
          <w:rFonts w:asciiTheme="minorBidi" w:hAnsiTheme="minorBidi" w:cstheme="minorBidi"/>
          <w:b/>
          <w:bCs/>
          <w:color w:val="auto"/>
          <w:sz w:val="22"/>
          <w:szCs w:val="22"/>
        </w:rPr>
        <w:t>o PCC and PW</w:t>
      </w:r>
      <w:bookmarkEnd w:id="5"/>
    </w:p>
    <w:p w14:paraId="499E84E4" w14:textId="175466FA" w:rsidR="003E07F0" w:rsidRPr="00800067" w:rsidRDefault="003E07F0" w:rsidP="00800067">
      <w:pPr>
        <w:spacing w:line="360" w:lineRule="auto"/>
        <w:jc w:val="both"/>
        <w:rPr>
          <w:rFonts w:asciiTheme="minorBidi" w:hAnsiTheme="minorBidi"/>
        </w:rPr>
      </w:pPr>
      <w:r w:rsidRPr="00800067">
        <w:rPr>
          <w:rFonts w:asciiTheme="minorBidi" w:hAnsiTheme="minorBidi"/>
        </w:rPr>
        <w:t>Several key UK policies and laws influence the delivery of person-centred care</w:t>
      </w:r>
      <w:r w:rsidR="005064F7">
        <w:rPr>
          <w:rFonts w:asciiTheme="minorBidi" w:hAnsiTheme="minorBidi"/>
        </w:rPr>
        <w:t xml:space="preserve"> </w:t>
      </w:r>
      <w:r w:rsidRPr="00800067">
        <w:rPr>
          <w:rFonts w:asciiTheme="minorBidi" w:hAnsiTheme="minorBidi"/>
        </w:rPr>
        <w:t xml:space="preserve">and partnership working in GP surgeries. The </w:t>
      </w:r>
      <w:r w:rsidRPr="00800067">
        <w:rPr>
          <w:rFonts w:asciiTheme="minorBidi" w:hAnsiTheme="minorBidi"/>
          <w:b/>
          <w:bCs/>
        </w:rPr>
        <w:t>Health and Care Act 2022</w:t>
      </w:r>
      <w:r w:rsidRPr="00800067">
        <w:rPr>
          <w:rFonts w:asciiTheme="minorBidi" w:hAnsiTheme="minorBidi"/>
        </w:rPr>
        <w:t xml:space="preserve"> legally established Integrated Care Systems (ICS), which aim to enhance collaboration among the NHS, local </w:t>
      </w:r>
      <w:r w:rsidRPr="00800067">
        <w:rPr>
          <w:rFonts w:asciiTheme="minorBidi" w:hAnsiTheme="minorBidi"/>
        </w:rPr>
        <w:lastRenderedPageBreak/>
        <w:t>authorities, and community services. This framework supports PW by promoting shared budgets and joint planning. However, many GP surgeries have reported that this integration often leads to increased workloads without sufficient staffing or digital support.</w:t>
      </w:r>
    </w:p>
    <w:p w14:paraId="1AAA7391" w14:textId="3805298C" w:rsidR="003E07F0" w:rsidRPr="00800067" w:rsidRDefault="003E07F0" w:rsidP="00800067">
      <w:pPr>
        <w:spacing w:line="360" w:lineRule="auto"/>
        <w:jc w:val="both"/>
        <w:rPr>
          <w:rFonts w:asciiTheme="minorBidi" w:hAnsiTheme="minorBidi"/>
        </w:rPr>
      </w:pPr>
      <w:r w:rsidRPr="00800067">
        <w:rPr>
          <w:rFonts w:asciiTheme="minorBidi" w:hAnsiTheme="minorBidi"/>
        </w:rPr>
        <w:t xml:space="preserve">The </w:t>
      </w:r>
      <w:r w:rsidRPr="00800067">
        <w:rPr>
          <w:rFonts w:asciiTheme="minorBidi" w:hAnsiTheme="minorBidi"/>
          <w:b/>
          <w:bCs/>
        </w:rPr>
        <w:t>Care Act 2014</w:t>
      </w:r>
      <w:r w:rsidRPr="00800067">
        <w:rPr>
          <w:rFonts w:asciiTheme="minorBidi" w:hAnsiTheme="minorBidi"/>
        </w:rPr>
        <w:t xml:space="preserve"> imposes a duty on services to promote individual wellbeing and to involve people in decisions regarding their care. This establishes person-centred care as a legal requirement rather than an optional practice. In General Practice settings, this means that care plans must take into account social, emotional, and medical needs, rather than focusing solely on diagnosis.</w:t>
      </w:r>
    </w:p>
    <w:p w14:paraId="5571A288" w14:textId="1ED1C981" w:rsidR="003E07F0" w:rsidRPr="00800067" w:rsidRDefault="003E07F0" w:rsidP="00800067">
      <w:pPr>
        <w:spacing w:line="360" w:lineRule="auto"/>
        <w:jc w:val="both"/>
        <w:rPr>
          <w:rFonts w:asciiTheme="minorBidi" w:hAnsiTheme="minorBidi"/>
        </w:rPr>
      </w:pPr>
      <w:r w:rsidRPr="00800067">
        <w:rPr>
          <w:rFonts w:asciiTheme="minorBidi" w:hAnsiTheme="minorBidi"/>
        </w:rPr>
        <w:t xml:space="preserve">The </w:t>
      </w:r>
      <w:r w:rsidRPr="00800067">
        <w:rPr>
          <w:rFonts w:asciiTheme="minorBidi" w:hAnsiTheme="minorBidi"/>
          <w:b/>
          <w:bCs/>
        </w:rPr>
        <w:t>Health and Social Care Act 2012</w:t>
      </w:r>
      <w:r w:rsidRPr="00800067">
        <w:rPr>
          <w:rFonts w:asciiTheme="minorBidi" w:hAnsiTheme="minorBidi"/>
        </w:rPr>
        <w:t xml:space="preserve"> enhanced patient choice and introduced the</w:t>
      </w:r>
      <w:r w:rsidR="00EF1A7C">
        <w:rPr>
          <w:rFonts w:asciiTheme="minorBidi" w:hAnsiTheme="minorBidi"/>
        </w:rPr>
        <w:t xml:space="preserve"> </w:t>
      </w:r>
      <w:r w:rsidRPr="00800067">
        <w:rPr>
          <w:rFonts w:asciiTheme="minorBidi" w:hAnsiTheme="minorBidi"/>
        </w:rPr>
        <w:t>no decision about me, without me agenda. While it supported patient-centred care, it also fragmented services through competitive commissioning, which sometimes hindered partnership working by separating providers.</w:t>
      </w:r>
    </w:p>
    <w:p w14:paraId="41792F1D" w14:textId="686766F6" w:rsidR="003E07F0" w:rsidRPr="00800067" w:rsidRDefault="003E07F0" w:rsidP="00800067">
      <w:pPr>
        <w:spacing w:line="360" w:lineRule="auto"/>
        <w:jc w:val="both"/>
        <w:rPr>
          <w:rFonts w:asciiTheme="minorBidi" w:hAnsiTheme="minorBidi"/>
        </w:rPr>
      </w:pPr>
      <w:r w:rsidRPr="00800067">
        <w:rPr>
          <w:rFonts w:asciiTheme="minorBidi" w:hAnsiTheme="minorBidi"/>
        </w:rPr>
        <w:t xml:space="preserve">The </w:t>
      </w:r>
      <w:r w:rsidRPr="00800067">
        <w:rPr>
          <w:rFonts w:asciiTheme="minorBidi" w:hAnsiTheme="minorBidi"/>
          <w:b/>
          <w:bCs/>
        </w:rPr>
        <w:t>Equality Act 2010</w:t>
      </w:r>
      <w:r w:rsidRPr="00800067">
        <w:rPr>
          <w:rFonts w:asciiTheme="minorBidi" w:hAnsiTheme="minorBidi"/>
        </w:rPr>
        <w:t xml:space="preserve"> mandates that GP practices make reasonable adjustments for protected groups. This includes offering longer appointments for patients with learning disabilities and providing interpreters. Additionally, the </w:t>
      </w:r>
      <w:r w:rsidRPr="00800067">
        <w:rPr>
          <w:rFonts w:asciiTheme="minorBidi" w:hAnsiTheme="minorBidi"/>
          <w:b/>
          <w:bCs/>
        </w:rPr>
        <w:t>Human Rights Act 1998</w:t>
      </w:r>
      <w:r w:rsidRPr="00800067">
        <w:rPr>
          <w:rFonts w:asciiTheme="minorBidi" w:hAnsiTheme="minorBidi"/>
        </w:rPr>
        <w:t xml:space="preserve"> supports rights to dignity, respect</w:t>
      </w:r>
      <w:r w:rsidR="000D1C45">
        <w:rPr>
          <w:rFonts w:asciiTheme="minorBidi" w:hAnsiTheme="minorBidi"/>
        </w:rPr>
        <w:t>,</w:t>
      </w:r>
      <w:r w:rsidRPr="00800067">
        <w:rPr>
          <w:rFonts w:asciiTheme="minorBidi" w:hAnsiTheme="minorBidi"/>
        </w:rPr>
        <w:t xml:space="preserve"> and autonomy, which play a crucial role in consent, safeguarding</w:t>
      </w:r>
      <w:r w:rsidR="000D1C45">
        <w:rPr>
          <w:rFonts w:asciiTheme="minorBidi" w:hAnsiTheme="minorBidi"/>
        </w:rPr>
        <w:t>,</w:t>
      </w:r>
      <w:r w:rsidRPr="00800067">
        <w:rPr>
          <w:rFonts w:asciiTheme="minorBidi" w:hAnsiTheme="minorBidi"/>
        </w:rPr>
        <w:t xml:space="preserve"> and end-of-life decisions.</w:t>
      </w:r>
    </w:p>
    <w:p w14:paraId="24276F16" w14:textId="609363CB" w:rsidR="003E07F0" w:rsidRPr="00800067" w:rsidRDefault="003E07F0" w:rsidP="00800067">
      <w:pPr>
        <w:spacing w:line="360" w:lineRule="auto"/>
        <w:jc w:val="both"/>
        <w:rPr>
          <w:rFonts w:asciiTheme="minorBidi" w:hAnsiTheme="minorBidi"/>
        </w:rPr>
      </w:pPr>
      <w:r w:rsidRPr="00800067">
        <w:rPr>
          <w:rFonts w:asciiTheme="minorBidi" w:hAnsiTheme="minorBidi"/>
        </w:rPr>
        <w:t>In practice, these policies encourage GP surgeries to adopt more personalised and collaborative care. However, their implementation heavily relies on available resources. When funding, staffing</w:t>
      </w:r>
      <w:r w:rsidR="000D1C45">
        <w:rPr>
          <w:rFonts w:asciiTheme="minorBidi" w:hAnsiTheme="minorBidi"/>
        </w:rPr>
        <w:t>,</w:t>
      </w:r>
      <w:r w:rsidRPr="00800067">
        <w:rPr>
          <w:rFonts w:asciiTheme="minorBidi" w:hAnsiTheme="minorBidi"/>
        </w:rPr>
        <w:t xml:space="preserve"> or digital systems are lacking, the legal obligations remain, but the reality of personalised care and patient involvement becomes inconsistent.</w:t>
      </w:r>
    </w:p>
    <w:p w14:paraId="517396D4" w14:textId="79F762D6" w:rsidR="003E07F0" w:rsidRPr="00800067" w:rsidRDefault="003E07F0" w:rsidP="00800067">
      <w:pPr>
        <w:pStyle w:val="Heading1"/>
        <w:spacing w:line="360" w:lineRule="auto"/>
        <w:jc w:val="both"/>
        <w:rPr>
          <w:rFonts w:asciiTheme="minorBidi" w:hAnsiTheme="minorBidi" w:cstheme="minorBidi"/>
          <w:b/>
          <w:bCs/>
          <w:color w:val="auto"/>
          <w:sz w:val="22"/>
          <w:szCs w:val="22"/>
        </w:rPr>
      </w:pPr>
      <w:bookmarkStart w:id="6" w:name="_Toc213319831"/>
      <w:r w:rsidRPr="00800067">
        <w:rPr>
          <w:rFonts w:asciiTheme="minorBidi" w:hAnsiTheme="minorBidi" w:cstheme="minorBidi"/>
          <w:b/>
          <w:bCs/>
          <w:color w:val="auto"/>
          <w:sz w:val="22"/>
          <w:szCs w:val="22"/>
        </w:rPr>
        <w:t xml:space="preserve">Recommendations </w:t>
      </w:r>
      <w:r w:rsidR="00A9301C">
        <w:rPr>
          <w:rFonts w:asciiTheme="minorBidi" w:hAnsiTheme="minorBidi" w:cstheme="minorBidi"/>
          <w:b/>
          <w:bCs/>
          <w:color w:val="auto"/>
          <w:sz w:val="22"/>
          <w:szCs w:val="22"/>
        </w:rPr>
        <w:t>F</w:t>
      </w:r>
      <w:r w:rsidRPr="00800067">
        <w:rPr>
          <w:rFonts w:asciiTheme="minorBidi" w:hAnsiTheme="minorBidi" w:cstheme="minorBidi"/>
          <w:b/>
          <w:bCs/>
          <w:color w:val="auto"/>
          <w:sz w:val="22"/>
          <w:szCs w:val="22"/>
        </w:rPr>
        <w:t xml:space="preserve">or Future Development </w:t>
      </w:r>
      <w:r w:rsidR="00A9301C">
        <w:rPr>
          <w:rFonts w:asciiTheme="minorBidi" w:hAnsiTheme="minorBidi" w:cstheme="minorBidi"/>
          <w:b/>
          <w:bCs/>
          <w:color w:val="auto"/>
          <w:sz w:val="22"/>
          <w:szCs w:val="22"/>
        </w:rPr>
        <w:t>O</w:t>
      </w:r>
      <w:r w:rsidRPr="00800067">
        <w:rPr>
          <w:rFonts w:asciiTheme="minorBidi" w:hAnsiTheme="minorBidi" w:cstheme="minorBidi"/>
          <w:b/>
          <w:bCs/>
          <w:color w:val="auto"/>
          <w:sz w:val="22"/>
          <w:szCs w:val="22"/>
        </w:rPr>
        <w:t xml:space="preserve">f </w:t>
      </w:r>
      <w:r w:rsidR="00800067" w:rsidRPr="00800067">
        <w:rPr>
          <w:rFonts w:asciiTheme="minorBidi" w:hAnsiTheme="minorBidi" w:cstheme="minorBidi"/>
          <w:b/>
          <w:bCs/>
          <w:color w:val="auto"/>
          <w:sz w:val="22"/>
          <w:szCs w:val="22"/>
        </w:rPr>
        <w:t>Person-Centred Care</w:t>
      </w:r>
      <w:r w:rsidR="00800067" w:rsidRPr="00800067">
        <w:rPr>
          <w:rFonts w:asciiTheme="minorBidi" w:hAnsiTheme="minorBidi" w:cstheme="minorBidi"/>
          <w:color w:val="auto"/>
          <w:sz w:val="22"/>
          <w:szCs w:val="22"/>
        </w:rPr>
        <w:t xml:space="preserve"> </w:t>
      </w:r>
      <w:r w:rsidR="00A9301C">
        <w:rPr>
          <w:rFonts w:asciiTheme="minorBidi" w:hAnsiTheme="minorBidi" w:cstheme="minorBidi"/>
          <w:b/>
          <w:bCs/>
          <w:color w:val="auto"/>
          <w:sz w:val="22"/>
          <w:szCs w:val="22"/>
        </w:rPr>
        <w:t>A</w:t>
      </w:r>
      <w:r w:rsidRPr="00800067">
        <w:rPr>
          <w:rFonts w:asciiTheme="minorBidi" w:hAnsiTheme="minorBidi" w:cstheme="minorBidi"/>
          <w:b/>
          <w:bCs/>
          <w:color w:val="auto"/>
          <w:sz w:val="22"/>
          <w:szCs w:val="22"/>
        </w:rPr>
        <w:t>nd Partnership Working</w:t>
      </w:r>
      <w:bookmarkEnd w:id="6"/>
    </w:p>
    <w:p w14:paraId="5A6E3355" w14:textId="45E893C3" w:rsidR="003E07F0" w:rsidRPr="00800067" w:rsidRDefault="003E07F0" w:rsidP="00800067">
      <w:pPr>
        <w:spacing w:line="360" w:lineRule="auto"/>
        <w:jc w:val="both"/>
        <w:rPr>
          <w:rFonts w:asciiTheme="minorBidi" w:hAnsiTheme="minorBidi"/>
        </w:rPr>
      </w:pPr>
      <w:r w:rsidRPr="00800067">
        <w:rPr>
          <w:rFonts w:asciiTheme="minorBidi" w:hAnsiTheme="minorBidi"/>
        </w:rPr>
        <w:t xml:space="preserve">While PCC and </w:t>
      </w:r>
      <w:r w:rsidR="00800067" w:rsidRPr="00800067">
        <w:rPr>
          <w:rFonts w:asciiTheme="minorBidi" w:hAnsiTheme="minorBidi"/>
        </w:rPr>
        <w:t>PW</w:t>
      </w:r>
      <w:r w:rsidRPr="00800067">
        <w:rPr>
          <w:rFonts w:asciiTheme="minorBidi" w:hAnsiTheme="minorBidi"/>
        </w:rPr>
        <w:t xml:space="preserve"> are integrated into policy, there are still several gaps in GP surgeries. These include limited consultation time, unequal access to digital resources, and inconsistent collaboration among professionals. If these structural barriers are not addressed, PCC may continue to be seen as an aspiration rather than standard practice.</w:t>
      </w:r>
    </w:p>
    <w:p w14:paraId="268C6FBC" w14:textId="35E0F627" w:rsidR="003E07F0" w:rsidRPr="00800067" w:rsidRDefault="003E07F0" w:rsidP="00800067">
      <w:pPr>
        <w:spacing w:line="360" w:lineRule="auto"/>
        <w:jc w:val="both"/>
        <w:rPr>
          <w:rFonts w:asciiTheme="minorBidi" w:hAnsiTheme="minorBidi"/>
        </w:rPr>
      </w:pPr>
      <w:r w:rsidRPr="00800067">
        <w:rPr>
          <w:rFonts w:asciiTheme="minorBidi" w:hAnsiTheme="minorBidi"/>
        </w:rPr>
        <w:t xml:space="preserve">A key recommendation is to implement </w:t>
      </w:r>
      <w:r w:rsidRPr="00800067">
        <w:rPr>
          <w:rFonts w:asciiTheme="minorBidi" w:hAnsiTheme="minorBidi"/>
          <w:b/>
          <w:bCs/>
        </w:rPr>
        <w:t>protected longer consultations</w:t>
      </w:r>
      <w:r w:rsidRPr="00800067">
        <w:rPr>
          <w:rFonts w:asciiTheme="minorBidi" w:hAnsiTheme="minorBidi"/>
        </w:rPr>
        <w:t xml:space="preserve"> for patients with complex needs. Evidence indicates that multimorbidity necessitates extended consultation time to prevent repeat visits and unsafe decision-making (Tadeu </w:t>
      </w:r>
      <w:r w:rsidRPr="00800067">
        <w:rPr>
          <w:rFonts w:asciiTheme="minorBidi" w:hAnsiTheme="minorBidi"/>
          <w:i/>
          <w:iCs/>
        </w:rPr>
        <w:t>et al.</w:t>
      </w:r>
      <w:r w:rsidRPr="00800067">
        <w:rPr>
          <w:rFonts w:asciiTheme="minorBidi" w:hAnsiTheme="minorBidi"/>
        </w:rPr>
        <w:t>, 2020). However, achieving this will depend on expanding the national workforce, which means that recruitment and retention policies must align with person-centred care goals.</w:t>
      </w:r>
    </w:p>
    <w:p w14:paraId="2A14039E" w14:textId="77777777" w:rsidR="003E07F0" w:rsidRPr="00800067" w:rsidRDefault="003E07F0" w:rsidP="00800067">
      <w:pPr>
        <w:spacing w:line="360" w:lineRule="auto"/>
        <w:jc w:val="both"/>
        <w:rPr>
          <w:rFonts w:asciiTheme="minorBidi" w:hAnsiTheme="minorBidi"/>
        </w:rPr>
      </w:pPr>
      <w:r w:rsidRPr="00800067">
        <w:rPr>
          <w:rFonts w:asciiTheme="minorBidi" w:hAnsiTheme="minorBidi"/>
        </w:rPr>
        <w:lastRenderedPageBreak/>
        <w:t xml:space="preserve">Secondly, </w:t>
      </w:r>
      <w:r w:rsidRPr="00800067">
        <w:rPr>
          <w:rFonts w:asciiTheme="minorBidi" w:hAnsiTheme="minorBidi"/>
          <w:b/>
          <w:bCs/>
        </w:rPr>
        <w:t>digital inclusion strategies</w:t>
      </w:r>
      <w:r w:rsidRPr="00800067">
        <w:rPr>
          <w:rFonts w:asciiTheme="minorBidi" w:hAnsiTheme="minorBidi"/>
        </w:rPr>
        <w:t xml:space="preserve"> should accompany the transition to online triage, remote monitoring, and shared care records. NHS England (2023) has established a national framework to reduce digital exclusion, but local GP practices need to collaborate with community organisations to provide access to devices and training. It is important to recognise that some patients will always need non-digital options; therefore, technology should supplement—not replace—face-to-face care.</w:t>
      </w:r>
    </w:p>
    <w:p w14:paraId="71FE9E56" w14:textId="297009A9" w:rsidR="003E07F0" w:rsidRPr="00800067" w:rsidRDefault="003E07F0" w:rsidP="00800067">
      <w:pPr>
        <w:spacing w:line="360" w:lineRule="auto"/>
        <w:jc w:val="both"/>
        <w:rPr>
          <w:rFonts w:asciiTheme="minorBidi" w:hAnsiTheme="minorBidi"/>
        </w:rPr>
      </w:pPr>
      <w:r w:rsidRPr="00800067">
        <w:rPr>
          <w:rFonts w:asciiTheme="minorBidi" w:hAnsiTheme="minorBidi"/>
        </w:rPr>
        <w:t xml:space="preserve">Third, </w:t>
      </w:r>
      <w:r w:rsidRPr="00800067">
        <w:rPr>
          <w:rFonts w:asciiTheme="minorBidi" w:hAnsiTheme="minorBidi"/>
          <w:b/>
          <w:bCs/>
        </w:rPr>
        <w:t xml:space="preserve">expand inter-professional training </w:t>
      </w:r>
      <w:r w:rsidRPr="00800067">
        <w:rPr>
          <w:rFonts w:asciiTheme="minorBidi" w:hAnsiTheme="minorBidi"/>
        </w:rPr>
        <w:t xml:space="preserve">to enhance teamwork and minimise fragmented care. Research indicates that inadequate collaboration among professionals can lead to avoidable harm, emphasising the importance of shared learning across different roles (Choudhury </w:t>
      </w:r>
      <w:r w:rsidRPr="00800067">
        <w:rPr>
          <w:rFonts w:asciiTheme="minorBidi" w:hAnsiTheme="minorBidi"/>
          <w:i/>
          <w:iCs/>
        </w:rPr>
        <w:t>et al.</w:t>
      </w:r>
      <w:r w:rsidRPr="00800067">
        <w:rPr>
          <w:rFonts w:asciiTheme="minorBidi" w:hAnsiTheme="minorBidi"/>
        </w:rPr>
        <w:t>, 2020).</w:t>
      </w:r>
    </w:p>
    <w:p w14:paraId="1621B764" w14:textId="5B0D3358" w:rsidR="003E07F0" w:rsidRPr="00800067" w:rsidRDefault="003E07F0" w:rsidP="00800067">
      <w:pPr>
        <w:spacing w:line="360" w:lineRule="auto"/>
        <w:jc w:val="both"/>
        <w:rPr>
          <w:rFonts w:asciiTheme="minorBidi" w:hAnsiTheme="minorBidi"/>
        </w:rPr>
      </w:pPr>
      <w:r w:rsidRPr="00800067">
        <w:rPr>
          <w:rFonts w:asciiTheme="minorBidi" w:hAnsiTheme="minorBidi"/>
        </w:rPr>
        <w:t xml:space="preserve">Finally, </w:t>
      </w:r>
      <w:r w:rsidRPr="00800067">
        <w:rPr>
          <w:rFonts w:asciiTheme="minorBidi" w:hAnsiTheme="minorBidi"/>
          <w:b/>
          <w:bCs/>
        </w:rPr>
        <w:t>embed co-design with patients and carers</w:t>
      </w:r>
      <w:r w:rsidRPr="00800067">
        <w:rPr>
          <w:rFonts w:asciiTheme="minorBidi" w:hAnsiTheme="minorBidi"/>
        </w:rPr>
        <w:t xml:space="preserve">. Co-design enhances person-centred care by involving patients and professionals as equal partners in shaping services. Evidence indicates that it has improved areas such as discharge communication and breast care pathways (Fylan </w:t>
      </w:r>
      <w:r w:rsidRPr="00800067">
        <w:rPr>
          <w:rFonts w:asciiTheme="minorBidi" w:hAnsiTheme="minorBidi"/>
          <w:i/>
          <w:iCs/>
        </w:rPr>
        <w:t>et al., 2021</w:t>
      </w:r>
      <w:r w:rsidRPr="00800067">
        <w:rPr>
          <w:rFonts w:asciiTheme="minorBidi" w:hAnsiTheme="minorBidi"/>
        </w:rPr>
        <w:t>). While still evolving, it provides a practical approach to ensuring that GP services align with actual patient needs.</w:t>
      </w:r>
    </w:p>
    <w:p w14:paraId="64EC5C9B" w14:textId="77777777" w:rsidR="003E07F0" w:rsidRPr="00800067" w:rsidRDefault="003E07F0" w:rsidP="00800067">
      <w:pPr>
        <w:spacing w:line="360" w:lineRule="auto"/>
        <w:jc w:val="both"/>
        <w:rPr>
          <w:rFonts w:asciiTheme="minorBidi" w:hAnsiTheme="minorBidi"/>
        </w:rPr>
      </w:pPr>
      <w:r w:rsidRPr="00800067">
        <w:rPr>
          <w:rFonts w:asciiTheme="minorBidi" w:hAnsiTheme="minorBidi"/>
        </w:rPr>
        <w:t>Overall, improvement relies on investment in staffing, digital equality, and a culture of partnership; policy statements alone are insufficient.</w:t>
      </w:r>
    </w:p>
    <w:p w14:paraId="07189E26" w14:textId="77777777" w:rsidR="003E07F0" w:rsidRPr="00800067" w:rsidRDefault="003E07F0" w:rsidP="00800067">
      <w:pPr>
        <w:pStyle w:val="Heading1"/>
        <w:spacing w:line="360" w:lineRule="auto"/>
        <w:jc w:val="both"/>
        <w:rPr>
          <w:rFonts w:asciiTheme="minorBidi" w:hAnsiTheme="minorBidi" w:cstheme="minorBidi"/>
          <w:b/>
          <w:bCs/>
          <w:color w:val="auto"/>
          <w:sz w:val="22"/>
          <w:szCs w:val="22"/>
        </w:rPr>
      </w:pPr>
      <w:bookmarkStart w:id="7" w:name="_Toc213319832"/>
      <w:r w:rsidRPr="00800067">
        <w:rPr>
          <w:rFonts w:asciiTheme="minorBidi" w:hAnsiTheme="minorBidi" w:cstheme="minorBidi"/>
          <w:b/>
          <w:bCs/>
          <w:color w:val="auto"/>
          <w:sz w:val="22"/>
          <w:szCs w:val="22"/>
        </w:rPr>
        <w:t>Conclusion</w:t>
      </w:r>
      <w:bookmarkEnd w:id="7"/>
    </w:p>
    <w:p w14:paraId="5677B985" w14:textId="77777777" w:rsidR="003E07F0" w:rsidRPr="00800067" w:rsidRDefault="003E07F0" w:rsidP="00800067">
      <w:pPr>
        <w:spacing w:line="360" w:lineRule="auto"/>
        <w:jc w:val="both"/>
        <w:rPr>
          <w:rFonts w:asciiTheme="minorBidi" w:hAnsiTheme="minorBidi"/>
        </w:rPr>
      </w:pPr>
      <w:r w:rsidRPr="00800067">
        <w:rPr>
          <w:rFonts w:asciiTheme="minorBidi" w:hAnsiTheme="minorBidi"/>
        </w:rPr>
        <w:t>This report has demonstrated that person-centred care (PCC) and partnership working (PW) are vital for providing effective and ethical care in GP surgeries. PCC ensures that patients are treated as individuals with unique values and circumstances, while PW facilitates collaboration among services to address needs that go beyond medical treatment alone.</w:t>
      </w:r>
    </w:p>
    <w:p w14:paraId="3ECF1364" w14:textId="066B11D1" w:rsidR="009B1B1A" w:rsidRDefault="003E07F0" w:rsidP="009B1B1A">
      <w:pPr>
        <w:spacing w:line="360" w:lineRule="auto"/>
        <w:jc w:val="both"/>
        <w:rPr>
          <w:rFonts w:asciiTheme="minorBidi" w:hAnsiTheme="minorBidi"/>
        </w:rPr>
      </w:pPr>
      <w:r w:rsidRPr="00800067">
        <w:rPr>
          <w:rFonts w:asciiTheme="minorBidi" w:hAnsiTheme="minorBidi"/>
        </w:rPr>
        <w:t xml:space="preserve">The analysis revealed that theory, ethics, policy, and practice all converge on a common goal: providing care that is holistic, collaborative, and centred around the individual rather than the system. However, obstacles such as limited time, workforce pressures, digital inequality, and fragmented communication continue to hinder progress. To enhance Person-Centred Care and </w:t>
      </w:r>
      <w:r w:rsidR="009A3C15" w:rsidRPr="00800067">
        <w:rPr>
          <w:rFonts w:asciiTheme="minorBidi" w:hAnsiTheme="minorBidi"/>
        </w:rPr>
        <w:t>partnership working</w:t>
      </w:r>
      <w:r w:rsidRPr="00800067">
        <w:rPr>
          <w:rFonts w:asciiTheme="minorBidi" w:hAnsiTheme="minorBidi"/>
        </w:rPr>
        <w:t xml:space="preserve"> in primary care, it will be essential to invest in shared records, meaningful patient involvement, and sustained cultural change. When these elements come together, GP surgeries can offer care that is both compassionate and effective.</w:t>
      </w:r>
    </w:p>
    <w:p w14:paraId="487DDF31" w14:textId="77777777" w:rsidR="009B1B1A" w:rsidRPr="009B1B1A" w:rsidRDefault="009B1B1A" w:rsidP="009B1B1A">
      <w:pPr>
        <w:spacing w:line="360" w:lineRule="auto"/>
        <w:jc w:val="both"/>
        <w:rPr>
          <w:rFonts w:asciiTheme="minorBidi" w:hAnsiTheme="minorBidi"/>
        </w:rPr>
      </w:pPr>
    </w:p>
    <w:p w14:paraId="095699F7" w14:textId="5AB3CD12" w:rsidR="00475369" w:rsidRPr="00800067" w:rsidRDefault="00475369" w:rsidP="00800067">
      <w:pPr>
        <w:pStyle w:val="Heading1"/>
        <w:spacing w:line="360" w:lineRule="auto"/>
        <w:jc w:val="both"/>
        <w:rPr>
          <w:rFonts w:asciiTheme="minorBidi" w:hAnsiTheme="minorBidi" w:cstheme="minorBidi"/>
          <w:b/>
          <w:bCs/>
          <w:color w:val="auto"/>
          <w:sz w:val="22"/>
          <w:szCs w:val="22"/>
        </w:rPr>
      </w:pPr>
      <w:bookmarkStart w:id="8" w:name="_Toc213319833"/>
      <w:r w:rsidRPr="00800067">
        <w:rPr>
          <w:rFonts w:asciiTheme="minorBidi" w:hAnsiTheme="minorBidi" w:cstheme="minorBidi"/>
          <w:b/>
          <w:bCs/>
          <w:color w:val="auto"/>
          <w:sz w:val="22"/>
          <w:szCs w:val="22"/>
        </w:rPr>
        <w:lastRenderedPageBreak/>
        <w:t>Reference</w:t>
      </w:r>
      <w:r w:rsidR="009A3C15" w:rsidRPr="00800067">
        <w:rPr>
          <w:rFonts w:asciiTheme="minorBidi" w:hAnsiTheme="minorBidi" w:cstheme="minorBidi"/>
          <w:b/>
          <w:bCs/>
          <w:color w:val="auto"/>
          <w:sz w:val="22"/>
          <w:szCs w:val="22"/>
        </w:rPr>
        <w:t xml:space="preserve"> List</w:t>
      </w:r>
      <w:bookmarkEnd w:id="8"/>
    </w:p>
    <w:p w14:paraId="6D8D40EA" w14:textId="77777777" w:rsidR="00475369" w:rsidRPr="00800067" w:rsidRDefault="00475369" w:rsidP="0041099F">
      <w:pPr>
        <w:spacing w:line="360" w:lineRule="auto"/>
        <w:rPr>
          <w:rFonts w:asciiTheme="minorBidi" w:hAnsiTheme="minorBidi"/>
        </w:rPr>
      </w:pPr>
      <w:r w:rsidRPr="00800067">
        <w:rPr>
          <w:rFonts w:asciiTheme="minorBidi" w:hAnsiTheme="minorBidi"/>
        </w:rPr>
        <w:t>Barry, M.J. and Edgman-Levitan, S. (2012) ‘Shared Decision Making — The Pinnacle of Patient-Centered Care’, </w:t>
      </w:r>
      <w:r w:rsidRPr="00800067">
        <w:rPr>
          <w:rFonts w:asciiTheme="minorBidi" w:hAnsiTheme="minorBidi"/>
          <w:i/>
          <w:iCs/>
        </w:rPr>
        <w:t>The New England journal of medicine</w:t>
      </w:r>
      <w:r w:rsidRPr="00800067">
        <w:rPr>
          <w:rFonts w:asciiTheme="minorBidi" w:hAnsiTheme="minorBidi"/>
        </w:rPr>
        <w:t xml:space="preserve">, 366(9), pp. 780–781. Available at: </w:t>
      </w:r>
      <w:hyperlink r:id="rId11" w:history="1">
        <w:r w:rsidRPr="00800067">
          <w:rPr>
            <w:rStyle w:val="Hyperlink"/>
            <w:rFonts w:asciiTheme="minorBidi" w:hAnsiTheme="minorBidi"/>
            <w:color w:val="auto"/>
          </w:rPr>
          <w:t>https://doi.org/10.1056/NEJMp1109283</w:t>
        </w:r>
      </w:hyperlink>
      <w:r w:rsidRPr="00800067">
        <w:rPr>
          <w:rFonts w:asciiTheme="minorBidi" w:hAnsiTheme="minorBidi"/>
        </w:rPr>
        <w:t>.</w:t>
      </w:r>
    </w:p>
    <w:p w14:paraId="2A7F37D2" w14:textId="2E8776A7" w:rsidR="00475369" w:rsidRPr="00800067" w:rsidRDefault="00475369" w:rsidP="0041099F">
      <w:pPr>
        <w:spacing w:line="360" w:lineRule="auto"/>
        <w:rPr>
          <w:rFonts w:asciiTheme="minorBidi" w:hAnsiTheme="minorBidi"/>
        </w:rPr>
      </w:pPr>
      <w:r w:rsidRPr="00800067">
        <w:rPr>
          <w:rFonts w:asciiTheme="minorBidi" w:hAnsiTheme="minorBidi"/>
        </w:rPr>
        <w:t>Beauchamp, T.L. and Childress, J.F. (2009) </w:t>
      </w:r>
      <w:r w:rsidRPr="00800067">
        <w:rPr>
          <w:rFonts w:asciiTheme="minorBidi" w:hAnsiTheme="minorBidi"/>
          <w:i/>
          <w:iCs/>
        </w:rPr>
        <w:t>Principles of biomedical ethics</w:t>
      </w:r>
      <w:r w:rsidRPr="00800067">
        <w:rPr>
          <w:rFonts w:asciiTheme="minorBidi" w:hAnsiTheme="minorBidi"/>
        </w:rPr>
        <w:t>. 6th ed. Oxford University Press.</w:t>
      </w:r>
    </w:p>
    <w:p w14:paraId="2257F256" w14:textId="77777777" w:rsidR="00475369" w:rsidRPr="00800067" w:rsidRDefault="00475369" w:rsidP="0041099F">
      <w:pPr>
        <w:spacing w:line="360" w:lineRule="auto"/>
        <w:rPr>
          <w:rFonts w:asciiTheme="minorBidi" w:hAnsiTheme="minorBidi"/>
        </w:rPr>
      </w:pPr>
      <w:r w:rsidRPr="00800067">
        <w:rPr>
          <w:rFonts w:asciiTheme="minorBidi" w:hAnsiTheme="minorBidi"/>
        </w:rPr>
        <w:t>Bhatt, K., Aljohani, D. and Forget, P. (2023) 'Both patients and the public should be involved in setting the pain research agenda', </w:t>
      </w:r>
      <w:r w:rsidRPr="00800067">
        <w:rPr>
          <w:rFonts w:asciiTheme="minorBidi" w:hAnsiTheme="minorBidi"/>
          <w:i/>
          <w:iCs/>
        </w:rPr>
        <w:t>BJA</w:t>
      </w:r>
      <w:r w:rsidRPr="00800067">
        <w:rPr>
          <w:rFonts w:asciiTheme="minorBidi" w:hAnsiTheme="minorBidi"/>
        </w:rPr>
        <w:t>, 131(5) , pp. e166-e167. Available at: 10.1016/j.bja.2023.08.008</w:t>
      </w:r>
    </w:p>
    <w:p w14:paraId="176EB92F" w14:textId="77777777" w:rsidR="00475369" w:rsidRPr="00800067" w:rsidRDefault="00475369" w:rsidP="0041099F">
      <w:pPr>
        <w:spacing w:line="360" w:lineRule="auto"/>
        <w:rPr>
          <w:rFonts w:asciiTheme="minorBidi" w:hAnsiTheme="minorBidi"/>
        </w:rPr>
      </w:pPr>
      <w:r w:rsidRPr="00800067">
        <w:rPr>
          <w:rFonts w:asciiTheme="minorBidi" w:hAnsiTheme="minorBidi"/>
        </w:rPr>
        <w:t>BMA (2025) </w:t>
      </w:r>
      <w:r w:rsidRPr="00800067">
        <w:rPr>
          <w:rFonts w:asciiTheme="minorBidi" w:hAnsiTheme="minorBidi"/>
          <w:i/>
          <w:iCs/>
        </w:rPr>
        <w:t>Pressures in general practice data analysis</w:t>
      </w:r>
      <w:r w:rsidRPr="00800067">
        <w:rPr>
          <w:rFonts w:asciiTheme="minorBidi" w:hAnsiTheme="minorBidi"/>
        </w:rPr>
        <w:t xml:space="preserve">. Available at: </w:t>
      </w:r>
      <w:hyperlink r:id="rId12" w:history="1">
        <w:r w:rsidRPr="00800067">
          <w:rPr>
            <w:rStyle w:val="Hyperlink"/>
            <w:rFonts w:asciiTheme="minorBidi" w:hAnsiTheme="minorBidi"/>
            <w:color w:val="auto"/>
          </w:rPr>
          <w:t>https://www.bma.org.uk/advice-and-support/nhs-delivery-and-workforce/pressures/pressures-in-general-practice-data-analysis</w:t>
        </w:r>
      </w:hyperlink>
      <w:r w:rsidRPr="00800067">
        <w:rPr>
          <w:rFonts w:asciiTheme="minorBidi" w:hAnsiTheme="minorBidi"/>
        </w:rPr>
        <w:t xml:space="preserve"> (Accessed: 3 November 2025).</w:t>
      </w:r>
    </w:p>
    <w:p w14:paraId="6141CEA6" w14:textId="7A6C5B1A" w:rsidR="00475369" w:rsidRPr="00800067" w:rsidRDefault="00475369" w:rsidP="0041099F">
      <w:pPr>
        <w:spacing w:line="360" w:lineRule="auto"/>
        <w:rPr>
          <w:rFonts w:asciiTheme="minorBidi" w:hAnsiTheme="minorBidi"/>
        </w:rPr>
      </w:pPr>
      <w:r w:rsidRPr="00800067">
        <w:rPr>
          <w:rFonts w:asciiTheme="minorBidi" w:hAnsiTheme="minorBidi"/>
        </w:rPr>
        <w:t>Brooker, D. (2007) </w:t>
      </w:r>
      <w:r w:rsidRPr="00800067">
        <w:rPr>
          <w:rFonts w:asciiTheme="minorBidi" w:hAnsiTheme="minorBidi"/>
          <w:i/>
          <w:iCs/>
        </w:rPr>
        <w:t>Person-centred dementia care : making services better</w:t>
      </w:r>
      <w:r w:rsidRPr="00800067">
        <w:rPr>
          <w:rFonts w:asciiTheme="minorBidi" w:hAnsiTheme="minorBidi"/>
        </w:rPr>
        <w:t>. Jessica Kingsley Publishers.</w:t>
      </w:r>
    </w:p>
    <w:p w14:paraId="5705ACC5" w14:textId="77777777" w:rsidR="00475369" w:rsidRPr="00800067" w:rsidRDefault="00475369" w:rsidP="0041099F">
      <w:pPr>
        <w:spacing w:line="360" w:lineRule="auto"/>
        <w:rPr>
          <w:rFonts w:asciiTheme="minorBidi" w:hAnsiTheme="minorBidi"/>
        </w:rPr>
      </w:pPr>
      <w:r w:rsidRPr="00800067">
        <w:rPr>
          <w:rFonts w:asciiTheme="minorBidi" w:hAnsiTheme="minorBidi"/>
          <w:i/>
          <w:iCs/>
          <w:lang w:val="en-US"/>
        </w:rPr>
        <w:t>Care Act 2014</w:t>
      </w:r>
      <w:r w:rsidRPr="00800067">
        <w:rPr>
          <w:rFonts w:asciiTheme="minorBidi" w:hAnsiTheme="minorBidi"/>
          <w:lang w:val="en-US"/>
        </w:rPr>
        <w:t xml:space="preserve">, c. 23. Available at: </w:t>
      </w:r>
      <w:hyperlink r:id="rId13" w:history="1">
        <w:r w:rsidRPr="00800067">
          <w:rPr>
            <w:rStyle w:val="Hyperlink"/>
            <w:rFonts w:asciiTheme="minorBidi" w:hAnsiTheme="minorBidi"/>
            <w:color w:val="auto"/>
            <w:lang w:val="en-US"/>
          </w:rPr>
          <w:t>https://www.legislation.gov.uk/ukpga/2014/23/section/1</w:t>
        </w:r>
      </w:hyperlink>
      <w:r w:rsidRPr="00800067">
        <w:rPr>
          <w:rFonts w:asciiTheme="minorBidi" w:hAnsiTheme="minorBidi"/>
          <w:lang w:val="en-US"/>
        </w:rPr>
        <w:t xml:space="preserve"> </w:t>
      </w:r>
      <w:r w:rsidRPr="00800067">
        <w:rPr>
          <w:rFonts w:asciiTheme="minorBidi" w:hAnsiTheme="minorBidi"/>
        </w:rPr>
        <w:t>(Accessed: 4 November 2025).</w:t>
      </w:r>
    </w:p>
    <w:p w14:paraId="6BC418EF" w14:textId="77777777" w:rsidR="00475369" w:rsidRPr="00800067" w:rsidRDefault="00475369" w:rsidP="0041099F">
      <w:pPr>
        <w:spacing w:line="360" w:lineRule="auto"/>
        <w:rPr>
          <w:rFonts w:asciiTheme="minorBidi" w:hAnsiTheme="minorBidi"/>
        </w:rPr>
      </w:pPr>
      <w:r w:rsidRPr="00800067">
        <w:rPr>
          <w:rFonts w:asciiTheme="minorBidi" w:hAnsiTheme="minorBidi"/>
        </w:rPr>
        <w:t>Choudhury, R.I. </w:t>
      </w:r>
      <w:r w:rsidRPr="00800067">
        <w:rPr>
          <w:rFonts w:asciiTheme="minorBidi" w:hAnsiTheme="minorBidi"/>
          <w:i/>
          <w:iCs/>
        </w:rPr>
        <w:t>et al.</w:t>
      </w:r>
      <w:r w:rsidRPr="00800067">
        <w:rPr>
          <w:rFonts w:asciiTheme="minorBidi" w:hAnsiTheme="minorBidi"/>
        </w:rPr>
        <w:t> (2020) ‘How interprofessional education could benefit the future of healthcare – medical students’ perspective’, </w:t>
      </w:r>
      <w:r w:rsidRPr="00800067">
        <w:rPr>
          <w:rFonts w:asciiTheme="minorBidi" w:hAnsiTheme="minorBidi"/>
          <w:i/>
          <w:iCs/>
        </w:rPr>
        <w:t>BMC medical education</w:t>
      </w:r>
      <w:r w:rsidRPr="00800067">
        <w:rPr>
          <w:rFonts w:asciiTheme="minorBidi" w:hAnsiTheme="minorBidi"/>
        </w:rPr>
        <w:t>, 20(1). Available at: https://doi.org/10.1186/s12909-020-02170-w.</w:t>
      </w:r>
    </w:p>
    <w:p w14:paraId="6AA81441" w14:textId="77777777" w:rsidR="00475369" w:rsidRPr="00800067" w:rsidRDefault="00475369" w:rsidP="0041099F">
      <w:pPr>
        <w:spacing w:line="360" w:lineRule="auto"/>
        <w:rPr>
          <w:rFonts w:asciiTheme="minorBidi" w:hAnsiTheme="minorBidi"/>
        </w:rPr>
      </w:pPr>
      <w:r w:rsidRPr="00800067">
        <w:rPr>
          <w:rFonts w:asciiTheme="minorBidi" w:hAnsiTheme="minorBidi"/>
        </w:rPr>
        <w:t>Crawford, M. (2020) ‘Ecological Systems theory: Exploring the development of the theoretical framework as con-ceived by Bronfenbrenner’,  </w:t>
      </w:r>
      <w:r w:rsidRPr="00800067">
        <w:rPr>
          <w:rFonts w:asciiTheme="minorBidi" w:hAnsiTheme="minorBidi"/>
          <w:i/>
          <w:iCs/>
        </w:rPr>
        <w:t>J Pub Health Issue Pract</w:t>
      </w:r>
      <w:r w:rsidRPr="00800067">
        <w:rPr>
          <w:rFonts w:asciiTheme="minorBidi" w:hAnsiTheme="minorBidi"/>
        </w:rPr>
        <w:t>, </w:t>
      </w:r>
      <w:r w:rsidRPr="00800067">
        <w:rPr>
          <w:rFonts w:asciiTheme="minorBidi" w:hAnsiTheme="minorBidi"/>
          <w:i/>
          <w:iCs/>
        </w:rPr>
        <w:t>4</w:t>
      </w:r>
      <w:r w:rsidRPr="00800067">
        <w:rPr>
          <w:rFonts w:asciiTheme="minorBidi" w:hAnsiTheme="minorBidi"/>
        </w:rPr>
        <w:t>(2), pp.170.</w:t>
      </w:r>
    </w:p>
    <w:p w14:paraId="26B0E58B" w14:textId="77777777" w:rsidR="00475369" w:rsidRPr="00800067" w:rsidRDefault="00475369" w:rsidP="0041099F">
      <w:pPr>
        <w:spacing w:line="360" w:lineRule="auto"/>
        <w:rPr>
          <w:rFonts w:asciiTheme="minorBidi" w:hAnsiTheme="minorBidi"/>
        </w:rPr>
      </w:pPr>
      <w:r w:rsidRPr="00800067">
        <w:rPr>
          <w:rFonts w:asciiTheme="minorBidi" w:hAnsiTheme="minorBidi"/>
          <w:i/>
          <w:iCs/>
          <w:lang w:val="en-US"/>
        </w:rPr>
        <w:t>Equality Act 2010</w:t>
      </w:r>
      <w:r w:rsidRPr="00800067">
        <w:rPr>
          <w:rFonts w:asciiTheme="minorBidi" w:hAnsiTheme="minorBidi"/>
          <w:lang w:val="en-US"/>
        </w:rPr>
        <w:t xml:space="preserve">, c.15. Available at: </w:t>
      </w:r>
      <w:hyperlink r:id="rId14" w:history="1">
        <w:r w:rsidRPr="00800067">
          <w:rPr>
            <w:rStyle w:val="Hyperlink"/>
            <w:rFonts w:asciiTheme="minorBidi" w:hAnsiTheme="minorBidi"/>
            <w:color w:val="auto"/>
          </w:rPr>
          <w:t>https://www.legislation.gov.uk/ukpga/2010/15/contents</w:t>
        </w:r>
      </w:hyperlink>
      <w:r w:rsidRPr="00800067">
        <w:rPr>
          <w:rFonts w:asciiTheme="minorBidi" w:hAnsiTheme="minorBidi"/>
        </w:rPr>
        <w:t xml:space="preserve"> </w:t>
      </w:r>
      <w:r w:rsidRPr="00800067">
        <w:rPr>
          <w:rFonts w:asciiTheme="minorBidi" w:hAnsiTheme="minorBidi"/>
          <w:lang w:val="en-US"/>
        </w:rPr>
        <w:t xml:space="preserve"> </w:t>
      </w:r>
      <w:r w:rsidRPr="00800067">
        <w:rPr>
          <w:rFonts w:asciiTheme="minorBidi" w:hAnsiTheme="minorBidi"/>
        </w:rPr>
        <w:t>(Accessed: 3 November 2025).</w:t>
      </w:r>
    </w:p>
    <w:p w14:paraId="18F9DB91" w14:textId="1DDFB1B2" w:rsidR="008E67CE" w:rsidRPr="00800067" w:rsidRDefault="008E67CE" w:rsidP="0041099F">
      <w:pPr>
        <w:spacing w:line="360" w:lineRule="auto"/>
        <w:rPr>
          <w:rFonts w:asciiTheme="minorBidi" w:hAnsiTheme="minorBidi"/>
        </w:rPr>
      </w:pPr>
      <w:r w:rsidRPr="00800067">
        <w:rPr>
          <w:rFonts w:asciiTheme="minorBidi" w:hAnsiTheme="minorBidi"/>
        </w:rPr>
        <w:t>Fylan, B. </w:t>
      </w:r>
      <w:r w:rsidRPr="00800067">
        <w:rPr>
          <w:rFonts w:asciiTheme="minorBidi" w:hAnsiTheme="minorBidi"/>
          <w:i/>
          <w:iCs/>
        </w:rPr>
        <w:t>et al.</w:t>
      </w:r>
      <w:r w:rsidRPr="00800067">
        <w:rPr>
          <w:rFonts w:asciiTheme="minorBidi" w:hAnsiTheme="minorBidi"/>
        </w:rPr>
        <w:t> (2021) ‘Using experience-based co-design with patients, carers and healthcare professionals to develop theory-based interventions for safer medicines use’, </w:t>
      </w:r>
      <w:r w:rsidRPr="00800067">
        <w:rPr>
          <w:rFonts w:asciiTheme="minorBidi" w:hAnsiTheme="minorBidi"/>
          <w:i/>
          <w:iCs/>
        </w:rPr>
        <w:t>Research in social and administrative pharmacy</w:t>
      </w:r>
      <w:r w:rsidRPr="00800067">
        <w:rPr>
          <w:rFonts w:asciiTheme="minorBidi" w:hAnsiTheme="minorBidi"/>
        </w:rPr>
        <w:t xml:space="preserve">, 17(12), pp. 2127–2135. Available at: </w:t>
      </w:r>
      <w:hyperlink r:id="rId15" w:history="1">
        <w:r w:rsidRPr="00800067">
          <w:rPr>
            <w:rStyle w:val="Hyperlink"/>
            <w:rFonts w:asciiTheme="minorBidi" w:hAnsiTheme="minorBidi"/>
            <w:color w:val="auto"/>
          </w:rPr>
          <w:t>https://doi.org/10.1016/j.sapharm.2021.06.004</w:t>
        </w:r>
      </w:hyperlink>
      <w:r w:rsidRPr="00800067">
        <w:rPr>
          <w:rFonts w:asciiTheme="minorBidi" w:hAnsiTheme="minorBidi"/>
        </w:rPr>
        <w:t>.</w:t>
      </w:r>
    </w:p>
    <w:p w14:paraId="457CDF67" w14:textId="77777777" w:rsidR="00475369" w:rsidRPr="00800067" w:rsidRDefault="00475369" w:rsidP="0041099F">
      <w:pPr>
        <w:spacing w:line="360" w:lineRule="auto"/>
        <w:rPr>
          <w:rFonts w:asciiTheme="minorBidi" w:hAnsiTheme="minorBidi"/>
        </w:rPr>
      </w:pPr>
      <w:r w:rsidRPr="00800067">
        <w:rPr>
          <w:rFonts w:asciiTheme="minorBidi" w:hAnsiTheme="minorBidi"/>
        </w:rPr>
        <w:t>Glasby, J. and Dickinson, H. (2014) </w:t>
      </w:r>
      <w:r w:rsidRPr="00800067">
        <w:rPr>
          <w:rFonts w:asciiTheme="minorBidi" w:hAnsiTheme="minorBidi"/>
          <w:i/>
          <w:iCs/>
        </w:rPr>
        <w:t>Partnership working in health and social care : what is integrated care and how can we deliver it?</w:t>
      </w:r>
      <w:r w:rsidRPr="00800067">
        <w:rPr>
          <w:rFonts w:asciiTheme="minorBidi" w:hAnsiTheme="minorBidi"/>
        </w:rPr>
        <w:t> Second edition. Bristol: The Policy Press.</w:t>
      </w:r>
    </w:p>
    <w:p w14:paraId="6C6A73EC" w14:textId="6ED97A21" w:rsidR="00475369" w:rsidRPr="00800067" w:rsidRDefault="00475369" w:rsidP="0041099F">
      <w:pPr>
        <w:spacing w:line="360" w:lineRule="auto"/>
        <w:rPr>
          <w:rFonts w:asciiTheme="minorBidi" w:hAnsiTheme="minorBidi"/>
        </w:rPr>
      </w:pPr>
      <w:r w:rsidRPr="00800067">
        <w:rPr>
          <w:rFonts w:asciiTheme="minorBidi" w:hAnsiTheme="minorBidi"/>
        </w:rPr>
        <w:lastRenderedPageBreak/>
        <w:t>Hassey, A. (2020) </w:t>
      </w:r>
      <w:r w:rsidRPr="00800067">
        <w:rPr>
          <w:rFonts w:asciiTheme="minorBidi" w:hAnsiTheme="minorBidi"/>
          <w:i/>
          <w:iCs/>
        </w:rPr>
        <w:t>Exploring the barriers to information sharing for direct care</w:t>
      </w:r>
      <w:r w:rsidRPr="00800067">
        <w:rPr>
          <w:rFonts w:asciiTheme="minorBidi" w:hAnsiTheme="minorBidi"/>
        </w:rPr>
        <w:t xml:space="preserve">. Available at: </w:t>
      </w:r>
      <w:hyperlink r:id="rId16" w:anchor=":~:text=The%20barriers%20to%20information%20sharing%20emerged%20as%20six%20themes:%20poor,and%20guidance;%20concerns%20about%20onward" w:history="1">
        <w:r w:rsidRPr="00800067">
          <w:rPr>
            <w:rStyle w:val="Hyperlink"/>
            <w:rFonts w:asciiTheme="minorBidi" w:hAnsiTheme="minorBidi"/>
            <w:color w:val="auto"/>
          </w:rPr>
          <w:t>https://www.gov.uk/government/news/exploring-the-barriers-to-information-sharing-for-direct-care#:~:text=The%20barriers%20to%20information%20sharing%20emerged%20as%20six%20themes:%20poor,and%20guidance;%20concerns%20about%20onward</w:t>
        </w:r>
      </w:hyperlink>
      <w:r w:rsidRPr="00800067">
        <w:rPr>
          <w:rFonts w:asciiTheme="minorBidi" w:hAnsiTheme="minorBidi"/>
        </w:rPr>
        <w:t xml:space="preserve">  (Accessed:</w:t>
      </w:r>
      <w:r w:rsidR="00800067" w:rsidRPr="00800067">
        <w:rPr>
          <w:rFonts w:asciiTheme="minorBidi" w:hAnsiTheme="minorBidi"/>
        </w:rPr>
        <w:t>1</w:t>
      </w:r>
      <w:r w:rsidRPr="00800067">
        <w:rPr>
          <w:rFonts w:asciiTheme="minorBidi" w:hAnsiTheme="minorBidi"/>
        </w:rPr>
        <w:t xml:space="preserve"> November 2025).</w:t>
      </w:r>
    </w:p>
    <w:p w14:paraId="56709B2D" w14:textId="77777777" w:rsidR="00475369" w:rsidRPr="00800067" w:rsidRDefault="00475369" w:rsidP="0041099F">
      <w:pPr>
        <w:spacing w:line="360" w:lineRule="auto"/>
        <w:rPr>
          <w:rFonts w:asciiTheme="minorBidi" w:hAnsiTheme="minorBidi"/>
        </w:rPr>
      </w:pPr>
      <w:r w:rsidRPr="00800067">
        <w:rPr>
          <w:rFonts w:asciiTheme="minorBidi" w:hAnsiTheme="minorBidi"/>
          <w:i/>
          <w:iCs/>
        </w:rPr>
        <w:t xml:space="preserve">Health and Care Act </w:t>
      </w:r>
      <w:r w:rsidRPr="00800067">
        <w:rPr>
          <w:rFonts w:asciiTheme="minorBidi" w:hAnsiTheme="minorBidi"/>
          <w:i/>
          <w:iCs/>
          <w:lang w:val="en-US"/>
        </w:rPr>
        <w:t>2022</w:t>
      </w:r>
      <w:r w:rsidRPr="00800067">
        <w:rPr>
          <w:rFonts w:asciiTheme="minorBidi" w:hAnsiTheme="minorBidi"/>
          <w:lang w:val="en-US"/>
        </w:rPr>
        <w:t xml:space="preserve">, c. 31. Available at: </w:t>
      </w:r>
      <w:hyperlink r:id="rId17" w:history="1">
        <w:r w:rsidRPr="00800067">
          <w:rPr>
            <w:rStyle w:val="Hyperlink"/>
            <w:rFonts w:asciiTheme="minorBidi" w:hAnsiTheme="minorBidi"/>
            <w:color w:val="auto"/>
            <w:lang w:val="en-US"/>
          </w:rPr>
          <w:t>https://www.legislation.gov.uk/ukpga/2022/31/section/19</w:t>
        </w:r>
      </w:hyperlink>
      <w:r w:rsidRPr="00800067">
        <w:rPr>
          <w:rFonts w:asciiTheme="minorBidi" w:hAnsiTheme="minorBidi"/>
          <w:lang w:val="en-US"/>
        </w:rPr>
        <w:t xml:space="preserve"> </w:t>
      </w:r>
      <w:r w:rsidRPr="00800067">
        <w:rPr>
          <w:rFonts w:asciiTheme="minorBidi" w:hAnsiTheme="minorBidi"/>
        </w:rPr>
        <w:t>(Accessed: 1 November 2025).</w:t>
      </w:r>
    </w:p>
    <w:p w14:paraId="16A4866E" w14:textId="77777777" w:rsidR="008E67CE" w:rsidRPr="00800067" w:rsidRDefault="008E67CE" w:rsidP="0041099F">
      <w:pPr>
        <w:spacing w:line="360" w:lineRule="auto"/>
        <w:rPr>
          <w:rFonts w:asciiTheme="minorBidi" w:hAnsiTheme="minorBidi"/>
        </w:rPr>
      </w:pPr>
      <w:r w:rsidRPr="00800067">
        <w:rPr>
          <w:rFonts w:asciiTheme="minorBidi" w:hAnsiTheme="minorBidi"/>
          <w:i/>
          <w:iCs/>
          <w:lang w:val="en-US"/>
        </w:rPr>
        <w:t>Health and Social Care Act 2012</w:t>
      </w:r>
      <w:r w:rsidRPr="00800067">
        <w:rPr>
          <w:rFonts w:asciiTheme="minorBidi" w:hAnsiTheme="minorBidi"/>
          <w:lang w:val="en-US"/>
        </w:rPr>
        <w:t xml:space="preserve">, c.7. Available at: </w:t>
      </w:r>
      <w:hyperlink r:id="rId18" w:history="1">
        <w:r w:rsidRPr="00800067">
          <w:rPr>
            <w:rStyle w:val="Hyperlink"/>
            <w:rFonts w:asciiTheme="minorBidi" w:hAnsiTheme="minorBidi"/>
            <w:color w:val="auto"/>
          </w:rPr>
          <w:t>https://www.legislation.gov.uk/ukpga/2012/7/contents</w:t>
        </w:r>
      </w:hyperlink>
      <w:r w:rsidRPr="00800067">
        <w:rPr>
          <w:rFonts w:asciiTheme="minorBidi" w:hAnsiTheme="minorBidi"/>
        </w:rPr>
        <w:t xml:space="preserve"> </w:t>
      </w:r>
      <w:r w:rsidRPr="00800067">
        <w:rPr>
          <w:rFonts w:asciiTheme="minorBidi" w:hAnsiTheme="minorBidi"/>
          <w:lang w:val="en-US"/>
        </w:rPr>
        <w:t xml:space="preserve"> </w:t>
      </w:r>
      <w:r w:rsidRPr="00800067">
        <w:rPr>
          <w:rFonts w:asciiTheme="minorBidi" w:hAnsiTheme="minorBidi"/>
        </w:rPr>
        <w:t>(Accessed: 2 November 2025).</w:t>
      </w:r>
    </w:p>
    <w:p w14:paraId="7DA978A5" w14:textId="77777777" w:rsidR="008E67CE" w:rsidRPr="00800067" w:rsidRDefault="008E67CE" w:rsidP="0041099F">
      <w:pPr>
        <w:spacing w:line="360" w:lineRule="auto"/>
        <w:rPr>
          <w:rFonts w:asciiTheme="minorBidi" w:hAnsiTheme="minorBidi"/>
        </w:rPr>
      </w:pPr>
      <w:r w:rsidRPr="00800067">
        <w:rPr>
          <w:rFonts w:asciiTheme="minorBidi" w:hAnsiTheme="minorBidi"/>
          <w:i/>
          <w:iCs/>
          <w:lang w:val="en-US"/>
        </w:rPr>
        <w:t>Human Rights Act 1998</w:t>
      </w:r>
      <w:r w:rsidRPr="00800067">
        <w:rPr>
          <w:rFonts w:asciiTheme="minorBidi" w:hAnsiTheme="minorBidi"/>
          <w:lang w:val="en-US"/>
        </w:rPr>
        <w:t xml:space="preserve">, c.42. Available at: </w:t>
      </w:r>
      <w:hyperlink r:id="rId19" w:history="1">
        <w:r w:rsidRPr="00800067">
          <w:rPr>
            <w:rStyle w:val="Hyperlink"/>
            <w:rFonts w:asciiTheme="minorBidi" w:hAnsiTheme="minorBidi"/>
            <w:color w:val="auto"/>
          </w:rPr>
          <w:t>https://www.legislation.gov.uk/ukpga/1998/42/contents</w:t>
        </w:r>
      </w:hyperlink>
      <w:r w:rsidRPr="00800067">
        <w:rPr>
          <w:rFonts w:asciiTheme="minorBidi" w:hAnsiTheme="minorBidi"/>
        </w:rPr>
        <w:t xml:space="preserve">  </w:t>
      </w:r>
      <w:r w:rsidRPr="00800067">
        <w:rPr>
          <w:rFonts w:asciiTheme="minorBidi" w:hAnsiTheme="minorBidi"/>
          <w:lang w:val="en-US"/>
        </w:rPr>
        <w:t xml:space="preserve"> </w:t>
      </w:r>
      <w:r w:rsidRPr="00800067">
        <w:rPr>
          <w:rFonts w:asciiTheme="minorBidi" w:hAnsiTheme="minorBidi"/>
        </w:rPr>
        <w:t>(Accessed: 3 November 2025).</w:t>
      </w:r>
    </w:p>
    <w:p w14:paraId="68D14231" w14:textId="77777777" w:rsidR="00475369" w:rsidRPr="00800067" w:rsidRDefault="00475369" w:rsidP="0041099F">
      <w:pPr>
        <w:spacing w:line="360" w:lineRule="auto"/>
        <w:rPr>
          <w:rFonts w:asciiTheme="minorBidi" w:hAnsiTheme="minorBidi"/>
        </w:rPr>
      </w:pPr>
      <w:r w:rsidRPr="00800067">
        <w:rPr>
          <w:rFonts w:asciiTheme="minorBidi" w:hAnsiTheme="minorBidi"/>
        </w:rPr>
        <w:t>NHS England (2021) </w:t>
      </w:r>
      <w:r w:rsidRPr="00800067">
        <w:rPr>
          <w:rFonts w:asciiTheme="minorBidi" w:hAnsiTheme="minorBidi"/>
          <w:i/>
          <w:iCs/>
        </w:rPr>
        <w:t>Building strong integrated care systems everywhere</w:t>
      </w:r>
      <w:r w:rsidRPr="00800067">
        <w:rPr>
          <w:rFonts w:asciiTheme="minorBidi" w:hAnsiTheme="minorBidi"/>
        </w:rPr>
        <w:t xml:space="preserve">. Available at: </w:t>
      </w:r>
      <w:hyperlink r:id="rId20" w:history="1">
        <w:r w:rsidRPr="00800067">
          <w:rPr>
            <w:rStyle w:val="Hyperlink"/>
            <w:rFonts w:asciiTheme="minorBidi" w:hAnsiTheme="minorBidi"/>
            <w:color w:val="auto"/>
          </w:rPr>
          <w:t>https://www.england.nhs.uk/wp-content/uploads/2021/06/B0664-ics-clinical-and-care-professional-leadership.pdf</w:t>
        </w:r>
      </w:hyperlink>
      <w:r w:rsidRPr="00800067">
        <w:rPr>
          <w:rFonts w:asciiTheme="minorBidi" w:hAnsiTheme="minorBidi"/>
        </w:rPr>
        <w:t xml:space="preserve">  (Accessed: 5 November 2025).</w:t>
      </w:r>
    </w:p>
    <w:p w14:paraId="7473F102" w14:textId="375AE8EE" w:rsidR="008E67CE" w:rsidRPr="00800067" w:rsidRDefault="008E67CE" w:rsidP="0041099F">
      <w:pPr>
        <w:spacing w:line="360" w:lineRule="auto"/>
        <w:rPr>
          <w:rFonts w:asciiTheme="minorBidi" w:hAnsiTheme="minorBidi"/>
        </w:rPr>
      </w:pPr>
      <w:r w:rsidRPr="00800067">
        <w:rPr>
          <w:rFonts w:asciiTheme="minorBidi" w:hAnsiTheme="minorBidi"/>
        </w:rPr>
        <w:t>NHS England (2023) </w:t>
      </w:r>
      <w:r w:rsidRPr="00800067">
        <w:rPr>
          <w:rFonts w:asciiTheme="minorBidi" w:hAnsiTheme="minorBidi"/>
          <w:i/>
          <w:iCs/>
        </w:rPr>
        <w:t>Inclusive digital healthcare: a framework for NHS action on digital inclusion</w:t>
      </w:r>
      <w:r w:rsidRPr="00800067">
        <w:rPr>
          <w:rFonts w:asciiTheme="minorBidi" w:hAnsiTheme="minorBidi"/>
        </w:rPr>
        <w:t xml:space="preserve">. Available at </w:t>
      </w:r>
      <w:hyperlink r:id="rId21" w:history="1">
        <w:r w:rsidRPr="00800067">
          <w:rPr>
            <w:rStyle w:val="Hyperlink"/>
            <w:rFonts w:asciiTheme="minorBidi" w:hAnsiTheme="minorBidi"/>
            <w:color w:val="auto"/>
          </w:rPr>
          <w:t>https://www.england.nhs.uk/long-read/inclusive-digital-healthcare-a-framework-for-nhs-action-on-digital-inclusion/</w:t>
        </w:r>
      </w:hyperlink>
      <w:r w:rsidRPr="00800067">
        <w:rPr>
          <w:rFonts w:asciiTheme="minorBidi" w:hAnsiTheme="minorBidi"/>
        </w:rPr>
        <w:t xml:space="preserve">  (Accessed: </w:t>
      </w:r>
      <w:r w:rsidR="00800067" w:rsidRPr="00800067">
        <w:rPr>
          <w:rFonts w:asciiTheme="minorBidi" w:hAnsiTheme="minorBidi"/>
        </w:rPr>
        <w:t>6</w:t>
      </w:r>
      <w:r w:rsidRPr="00800067">
        <w:rPr>
          <w:rFonts w:asciiTheme="minorBidi" w:hAnsiTheme="minorBidi"/>
        </w:rPr>
        <w:t xml:space="preserve"> November 2025).</w:t>
      </w:r>
    </w:p>
    <w:p w14:paraId="406A63F6" w14:textId="218DF178" w:rsidR="008E67CE" w:rsidRPr="00800067" w:rsidRDefault="008E67CE" w:rsidP="0041099F">
      <w:pPr>
        <w:spacing w:line="360" w:lineRule="auto"/>
        <w:rPr>
          <w:rFonts w:asciiTheme="minorBidi" w:hAnsiTheme="minorBidi"/>
        </w:rPr>
      </w:pPr>
      <w:r w:rsidRPr="00800067">
        <w:rPr>
          <w:rFonts w:asciiTheme="minorBidi" w:hAnsiTheme="minorBidi"/>
        </w:rPr>
        <w:t>Pedro, L. and Baylin, E. (2020) </w:t>
      </w:r>
      <w:r w:rsidRPr="00800067">
        <w:rPr>
          <w:rFonts w:asciiTheme="minorBidi" w:hAnsiTheme="minorBidi"/>
          <w:i/>
          <w:iCs/>
        </w:rPr>
        <w:t>Creating partnerships for success</w:t>
      </w:r>
      <w:r w:rsidRPr="00800067">
        <w:rPr>
          <w:rFonts w:asciiTheme="minorBidi" w:hAnsiTheme="minorBidi"/>
        </w:rPr>
        <w:t xml:space="preserve">. Available at: </w:t>
      </w:r>
      <w:hyperlink r:id="rId22" w:anchor=":~:text=their%20partnership%20makes.-,Culture%20change,each%20level%20of%20the%20structure" w:history="1">
        <w:r w:rsidRPr="00800067">
          <w:rPr>
            <w:rStyle w:val="Hyperlink"/>
            <w:rFonts w:asciiTheme="minorBidi" w:hAnsiTheme="minorBidi"/>
            <w:color w:val="auto"/>
          </w:rPr>
          <w:t>https://www.ncvo.org.uk/news-and-insights/news-index/creating-partnerships-success/challenges/#:~:text=their%20partnership%20makes.-,Culture%20change,each%20level%20of%20the%20structure</w:t>
        </w:r>
      </w:hyperlink>
      <w:r w:rsidRPr="00800067">
        <w:rPr>
          <w:rFonts w:asciiTheme="minorBidi" w:hAnsiTheme="minorBidi"/>
        </w:rPr>
        <w:t>.  (Accessed: 3 November 2025).</w:t>
      </w:r>
    </w:p>
    <w:p w14:paraId="7B375FFD" w14:textId="77777777" w:rsidR="008E67CE" w:rsidRPr="00800067" w:rsidRDefault="008E67CE" w:rsidP="0041099F">
      <w:pPr>
        <w:spacing w:line="360" w:lineRule="auto"/>
        <w:ind w:left="720" w:hanging="720"/>
        <w:rPr>
          <w:rFonts w:asciiTheme="minorBidi" w:hAnsiTheme="minorBidi"/>
        </w:rPr>
      </w:pPr>
      <w:r w:rsidRPr="00800067">
        <w:rPr>
          <w:rFonts w:asciiTheme="minorBidi" w:hAnsiTheme="minorBidi"/>
        </w:rPr>
        <w:t>Petch, A., Cook, A. and Miller, E. (2013) ‘Partnership working and outcomes: do health and social care partnerships deliver for users and carers?’, </w:t>
      </w:r>
      <w:r w:rsidRPr="00800067">
        <w:rPr>
          <w:rFonts w:asciiTheme="minorBidi" w:hAnsiTheme="minorBidi"/>
          <w:i/>
          <w:iCs/>
        </w:rPr>
        <w:t>Health &amp; social care in the community</w:t>
      </w:r>
      <w:r w:rsidRPr="00800067">
        <w:rPr>
          <w:rFonts w:asciiTheme="minorBidi" w:hAnsiTheme="minorBidi"/>
        </w:rPr>
        <w:t xml:space="preserve">, 21(6), pp. 623–633. Available at: </w:t>
      </w:r>
      <w:hyperlink r:id="rId23" w:history="1">
        <w:r w:rsidRPr="00800067">
          <w:rPr>
            <w:rStyle w:val="Hyperlink"/>
            <w:rFonts w:asciiTheme="minorBidi" w:hAnsiTheme="minorBidi"/>
            <w:color w:val="auto"/>
          </w:rPr>
          <w:t>https://doi.org/10.1111/hsc.12050</w:t>
        </w:r>
      </w:hyperlink>
      <w:r w:rsidRPr="00800067">
        <w:rPr>
          <w:rFonts w:asciiTheme="minorBidi" w:hAnsiTheme="minorBidi"/>
        </w:rPr>
        <w:t>.</w:t>
      </w:r>
    </w:p>
    <w:p w14:paraId="6FFC49E1" w14:textId="77777777" w:rsidR="008E67CE" w:rsidRPr="00800067" w:rsidRDefault="008E67CE" w:rsidP="0041099F">
      <w:pPr>
        <w:spacing w:line="360" w:lineRule="auto"/>
        <w:rPr>
          <w:rFonts w:asciiTheme="minorBidi" w:hAnsiTheme="minorBidi"/>
        </w:rPr>
      </w:pPr>
      <w:r w:rsidRPr="00800067">
        <w:rPr>
          <w:rFonts w:asciiTheme="minorBidi" w:hAnsiTheme="minorBidi"/>
        </w:rPr>
        <w:t>Tadeu, A.C.R. </w:t>
      </w:r>
      <w:r w:rsidRPr="00800067">
        <w:rPr>
          <w:rFonts w:asciiTheme="minorBidi" w:hAnsiTheme="minorBidi"/>
          <w:i/>
          <w:iCs/>
        </w:rPr>
        <w:t>et al.</w:t>
      </w:r>
      <w:r w:rsidRPr="00800067">
        <w:rPr>
          <w:rFonts w:asciiTheme="minorBidi" w:hAnsiTheme="minorBidi"/>
        </w:rPr>
        <w:t> (2020) ‘Multimorbidity and consultation time: a systematic review’, </w:t>
      </w:r>
      <w:r w:rsidRPr="00800067">
        <w:rPr>
          <w:rFonts w:asciiTheme="minorBidi" w:hAnsiTheme="minorBidi"/>
          <w:i/>
          <w:iCs/>
        </w:rPr>
        <w:t>BMC family practice</w:t>
      </w:r>
      <w:r w:rsidRPr="00800067">
        <w:rPr>
          <w:rFonts w:asciiTheme="minorBidi" w:hAnsiTheme="minorBidi"/>
        </w:rPr>
        <w:t xml:space="preserve">, 21(1). Available at: </w:t>
      </w:r>
      <w:hyperlink r:id="rId24" w:history="1">
        <w:r w:rsidRPr="00800067">
          <w:rPr>
            <w:rStyle w:val="Hyperlink"/>
            <w:rFonts w:asciiTheme="minorBidi" w:hAnsiTheme="minorBidi"/>
            <w:color w:val="auto"/>
          </w:rPr>
          <w:t>https://doi.org/10.1186/s12875-020-01219-5</w:t>
        </w:r>
      </w:hyperlink>
      <w:r w:rsidRPr="00800067">
        <w:rPr>
          <w:rFonts w:asciiTheme="minorBidi" w:hAnsiTheme="minorBidi"/>
        </w:rPr>
        <w:t>.</w:t>
      </w:r>
    </w:p>
    <w:p w14:paraId="65E753AC" w14:textId="77777777" w:rsidR="00475369" w:rsidRPr="00800067" w:rsidRDefault="00475369" w:rsidP="00800067">
      <w:pPr>
        <w:spacing w:line="360" w:lineRule="auto"/>
        <w:jc w:val="both"/>
        <w:rPr>
          <w:rFonts w:asciiTheme="minorBidi" w:hAnsiTheme="minorBidi"/>
        </w:rPr>
      </w:pPr>
    </w:p>
    <w:sectPr w:rsidR="00475369" w:rsidRPr="00800067">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AA410" w14:textId="77777777" w:rsidR="001C3AA4" w:rsidRDefault="001C3AA4" w:rsidP="00B621D3">
      <w:pPr>
        <w:spacing w:after="0" w:line="240" w:lineRule="auto"/>
      </w:pPr>
      <w:r>
        <w:separator/>
      </w:r>
    </w:p>
  </w:endnote>
  <w:endnote w:type="continuationSeparator" w:id="0">
    <w:p w14:paraId="091EED20" w14:textId="77777777" w:rsidR="001C3AA4" w:rsidRDefault="001C3AA4" w:rsidP="00B62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499638"/>
      <w:docPartObj>
        <w:docPartGallery w:val="Page Numbers (Bottom of Page)"/>
        <w:docPartUnique/>
      </w:docPartObj>
    </w:sdtPr>
    <w:sdtEndPr>
      <w:rPr>
        <w:noProof/>
      </w:rPr>
    </w:sdtEndPr>
    <w:sdtContent>
      <w:p w14:paraId="67E1DD4B" w14:textId="6C16F641" w:rsidR="00B621D3" w:rsidRDefault="00B621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7766BC" w14:textId="77777777" w:rsidR="00B621D3" w:rsidRDefault="00B62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69E09" w14:textId="77777777" w:rsidR="001C3AA4" w:rsidRDefault="001C3AA4" w:rsidP="00B621D3">
      <w:pPr>
        <w:spacing w:after="0" w:line="240" w:lineRule="auto"/>
      </w:pPr>
      <w:r>
        <w:separator/>
      </w:r>
    </w:p>
  </w:footnote>
  <w:footnote w:type="continuationSeparator" w:id="0">
    <w:p w14:paraId="3F0E3EC7" w14:textId="77777777" w:rsidR="001C3AA4" w:rsidRDefault="001C3AA4" w:rsidP="00B621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6AC"/>
    <w:rsid w:val="00065037"/>
    <w:rsid w:val="0009191D"/>
    <w:rsid w:val="000D1C45"/>
    <w:rsid w:val="001C3AA4"/>
    <w:rsid w:val="001D5F98"/>
    <w:rsid w:val="002B7C56"/>
    <w:rsid w:val="00317393"/>
    <w:rsid w:val="00353E0A"/>
    <w:rsid w:val="003B23B4"/>
    <w:rsid w:val="003E07F0"/>
    <w:rsid w:val="00403D03"/>
    <w:rsid w:val="0041099F"/>
    <w:rsid w:val="004160AE"/>
    <w:rsid w:val="004167B0"/>
    <w:rsid w:val="00447C48"/>
    <w:rsid w:val="00475369"/>
    <w:rsid w:val="005064F7"/>
    <w:rsid w:val="005574B8"/>
    <w:rsid w:val="005B6A1B"/>
    <w:rsid w:val="00613481"/>
    <w:rsid w:val="00763768"/>
    <w:rsid w:val="00782D5A"/>
    <w:rsid w:val="007D44A4"/>
    <w:rsid w:val="00800067"/>
    <w:rsid w:val="0088538D"/>
    <w:rsid w:val="008E67CE"/>
    <w:rsid w:val="00965E63"/>
    <w:rsid w:val="009742B9"/>
    <w:rsid w:val="009A1C60"/>
    <w:rsid w:val="009A3C15"/>
    <w:rsid w:val="009B1B1A"/>
    <w:rsid w:val="00A20DA8"/>
    <w:rsid w:val="00A21176"/>
    <w:rsid w:val="00A42EBA"/>
    <w:rsid w:val="00A77F33"/>
    <w:rsid w:val="00A856AC"/>
    <w:rsid w:val="00A9301C"/>
    <w:rsid w:val="00B57E09"/>
    <w:rsid w:val="00B621D3"/>
    <w:rsid w:val="00BA185A"/>
    <w:rsid w:val="00BC58F5"/>
    <w:rsid w:val="00C908A6"/>
    <w:rsid w:val="00C91A9E"/>
    <w:rsid w:val="00CB7DE9"/>
    <w:rsid w:val="00D51E74"/>
    <w:rsid w:val="00E6443C"/>
    <w:rsid w:val="00EF1A7C"/>
    <w:rsid w:val="00F61F27"/>
    <w:rsid w:val="00F72E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0B7A"/>
  <w15:chartTrackingRefBased/>
  <w15:docId w15:val="{035DE284-4A72-4567-A7C5-6C69247B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6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6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6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6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6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6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6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6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6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6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6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6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6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6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6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6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6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6AC"/>
    <w:rPr>
      <w:rFonts w:eastAsiaTheme="majorEastAsia" w:cstheme="majorBidi"/>
      <w:color w:val="272727" w:themeColor="text1" w:themeTint="D8"/>
    </w:rPr>
  </w:style>
  <w:style w:type="paragraph" w:styleId="Title">
    <w:name w:val="Title"/>
    <w:basedOn w:val="Normal"/>
    <w:next w:val="Normal"/>
    <w:link w:val="TitleChar"/>
    <w:uiPriority w:val="10"/>
    <w:qFormat/>
    <w:rsid w:val="00A856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6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6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6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6AC"/>
    <w:pPr>
      <w:spacing w:before="160"/>
      <w:jc w:val="center"/>
    </w:pPr>
    <w:rPr>
      <w:i/>
      <w:iCs/>
      <w:color w:val="404040" w:themeColor="text1" w:themeTint="BF"/>
    </w:rPr>
  </w:style>
  <w:style w:type="character" w:customStyle="1" w:styleId="QuoteChar">
    <w:name w:val="Quote Char"/>
    <w:basedOn w:val="DefaultParagraphFont"/>
    <w:link w:val="Quote"/>
    <w:uiPriority w:val="29"/>
    <w:rsid w:val="00A856AC"/>
    <w:rPr>
      <w:i/>
      <w:iCs/>
      <w:color w:val="404040" w:themeColor="text1" w:themeTint="BF"/>
    </w:rPr>
  </w:style>
  <w:style w:type="paragraph" w:styleId="ListParagraph">
    <w:name w:val="List Paragraph"/>
    <w:basedOn w:val="Normal"/>
    <w:uiPriority w:val="34"/>
    <w:qFormat/>
    <w:rsid w:val="00A856AC"/>
    <w:pPr>
      <w:ind w:left="720"/>
      <w:contextualSpacing/>
    </w:pPr>
  </w:style>
  <w:style w:type="character" w:styleId="IntenseEmphasis">
    <w:name w:val="Intense Emphasis"/>
    <w:basedOn w:val="DefaultParagraphFont"/>
    <w:uiPriority w:val="21"/>
    <w:qFormat/>
    <w:rsid w:val="00A856AC"/>
    <w:rPr>
      <w:i/>
      <w:iCs/>
      <w:color w:val="0F4761" w:themeColor="accent1" w:themeShade="BF"/>
    </w:rPr>
  </w:style>
  <w:style w:type="paragraph" w:styleId="IntenseQuote">
    <w:name w:val="Intense Quote"/>
    <w:basedOn w:val="Normal"/>
    <w:next w:val="Normal"/>
    <w:link w:val="IntenseQuoteChar"/>
    <w:uiPriority w:val="30"/>
    <w:qFormat/>
    <w:rsid w:val="00A856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6AC"/>
    <w:rPr>
      <w:i/>
      <w:iCs/>
      <w:color w:val="0F4761" w:themeColor="accent1" w:themeShade="BF"/>
    </w:rPr>
  </w:style>
  <w:style w:type="character" w:styleId="IntenseReference">
    <w:name w:val="Intense Reference"/>
    <w:basedOn w:val="DefaultParagraphFont"/>
    <w:uiPriority w:val="32"/>
    <w:qFormat/>
    <w:rsid w:val="00A856AC"/>
    <w:rPr>
      <w:b/>
      <w:bCs/>
      <w:smallCaps/>
      <w:color w:val="0F4761" w:themeColor="accent1" w:themeShade="BF"/>
      <w:spacing w:val="5"/>
    </w:rPr>
  </w:style>
  <w:style w:type="paragraph" w:styleId="NormalWeb">
    <w:name w:val="Normal (Web)"/>
    <w:basedOn w:val="Normal"/>
    <w:uiPriority w:val="99"/>
    <w:semiHidden/>
    <w:unhideWhenUsed/>
    <w:rsid w:val="00317393"/>
    <w:rPr>
      <w:rFonts w:ascii="Times New Roman" w:hAnsi="Times New Roman" w:cs="Times New Roman"/>
      <w:sz w:val="24"/>
      <w:szCs w:val="24"/>
    </w:rPr>
  </w:style>
  <w:style w:type="paragraph" w:styleId="Header">
    <w:name w:val="header"/>
    <w:basedOn w:val="Normal"/>
    <w:link w:val="HeaderChar"/>
    <w:uiPriority w:val="99"/>
    <w:unhideWhenUsed/>
    <w:rsid w:val="00B621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1D3"/>
  </w:style>
  <w:style w:type="paragraph" w:styleId="Footer">
    <w:name w:val="footer"/>
    <w:basedOn w:val="Normal"/>
    <w:link w:val="FooterChar"/>
    <w:uiPriority w:val="99"/>
    <w:unhideWhenUsed/>
    <w:rsid w:val="00B62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1D3"/>
  </w:style>
  <w:style w:type="paragraph" w:styleId="TOCHeading">
    <w:name w:val="TOC Heading"/>
    <w:basedOn w:val="Heading1"/>
    <w:next w:val="Normal"/>
    <w:uiPriority w:val="39"/>
    <w:unhideWhenUsed/>
    <w:qFormat/>
    <w:rsid w:val="00B621D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621D3"/>
    <w:pPr>
      <w:spacing w:after="100"/>
    </w:pPr>
  </w:style>
  <w:style w:type="character" w:styleId="Hyperlink">
    <w:name w:val="Hyperlink"/>
    <w:basedOn w:val="DefaultParagraphFont"/>
    <w:uiPriority w:val="99"/>
    <w:unhideWhenUsed/>
    <w:rsid w:val="00B621D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legislation.gov.uk/ukpga/2014/23/section/1" TargetMode="External"/><Relationship Id="rId18" Type="http://schemas.openxmlformats.org/officeDocument/2006/relationships/hyperlink" Target="https://www.legislation.gov.uk/ukpga/2012/7/content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ngland.nhs.uk/long-read/inclusive-digital-healthcare-a-framework-for-nhs-action-on-digital-inclusion/" TargetMode="External"/><Relationship Id="rId7" Type="http://schemas.openxmlformats.org/officeDocument/2006/relationships/image" Target="media/image1.png"/><Relationship Id="rId12" Type="http://schemas.openxmlformats.org/officeDocument/2006/relationships/hyperlink" Target="https://www.bma.org.uk/advice-and-support/nhs-delivery-and-workforce/pressures/pressures-in-general-practice-data-analysis%20" TargetMode="External"/><Relationship Id="rId17" Type="http://schemas.openxmlformats.org/officeDocument/2006/relationships/hyperlink" Target="https://www.legislation.gov.uk/ukpga/2022/31/section/19%2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government/news/exploring-the-barriers-to-information-sharing-for-direct-care" TargetMode="External"/><Relationship Id="rId20" Type="http://schemas.openxmlformats.org/officeDocument/2006/relationships/hyperlink" Target="https://www.england.nhs.uk/wp-content/uploads/2021/06/B0664-ics-clinical-and-care-professional-leadership.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56/NEJMp1109283" TargetMode="External"/><Relationship Id="rId24" Type="http://schemas.openxmlformats.org/officeDocument/2006/relationships/hyperlink" Target="https://doi.org/10.1186/s12875-020-01219-5" TargetMode="External"/><Relationship Id="rId5" Type="http://schemas.openxmlformats.org/officeDocument/2006/relationships/footnotes" Target="footnotes.xml"/><Relationship Id="rId15" Type="http://schemas.openxmlformats.org/officeDocument/2006/relationships/hyperlink" Target="https://doi.org/10.1016/j.sapharm.2021.06.004" TargetMode="External"/><Relationship Id="rId23" Type="http://schemas.openxmlformats.org/officeDocument/2006/relationships/hyperlink" Target="https://doi.org/10.1111/hsc.12050" TargetMode="External"/><Relationship Id="rId10" Type="http://schemas.openxmlformats.org/officeDocument/2006/relationships/image" Target="media/image4.jpeg"/><Relationship Id="rId19" Type="http://schemas.openxmlformats.org/officeDocument/2006/relationships/hyperlink" Target="https://www.legislation.gov.uk/ukpga/1998/42/conte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egislation.gov.uk/ukpga/2010/15/contents" TargetMode="External"/><Relationship Id="rId22" Type="http://schemas.openxmlformats.org/officeDocument/2006/relationships/hyperlink" Target="https://www.ncvo.org.uk/news-and-insights/news-index/creating-partnerships-success/challeng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5DD89-EBD6-488A-88B6-F6CA5FB45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11</Pages>
  <Words>3336</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 Qadhi (2410956)</dc:creator>
  <cp:keywords/>
  <dc:description/>
  <cp:lastModifiedBy>Abeer Al Qadhi (2410956)</cp:lastModifiedBy>
  <cp:revision>29</cp:revision>
  <dcterms:created xsi:type="dcterms:W3CDTF">2025-11-05T09:33:00Z</dcterms:created>
  <dcterms:modified xsi:type="dcterms:W3CDTF">2025-11-06T11:22:00Z</dcterms:modified>
</cp:coreProperties>
</file>