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B0DDC" w:rsidRPr="006C28BE" w:rsidRDefault="000B0DDC" w:rsidP="000B0DDC">
      <w:pPr>
        <w:spacing w:line="360" w:lineRule="auto"/>
        <w:rPr>
          <w:rFonts w:cs="Arial"/>
          <w:lang w:val="en-GB"/>
        </w:rPr>
      </w:pPr>
    </w:p>
    <w:sdt>
      <w:sdtPr>
        <w:rPr>
          <w:rFonts w:cs="Arial"/>
          <w:lang w:val="en-GB"/>
        </w:rPr>
        <w:id w:val="-1507430245"/>
        <w:docPartObj>
          <w:docPartGallery w:val="Cover Pages"/>
          <w:docPartUnique/>
        </w:docPartObj>
      </w:sdtPr>
      <w:sdtEndPr>
        <w:rPr>
          <w:b/>
          <w:bCs/>
          <w:sz w:val="48"/>
          <w:szCs w:val="44"/>
        </w:rPr>
      </w:sdtEndPr>
      <w:sdtContent>
        <w:p w:rsidR="000B0DDC" w:rsidRPr="008F57C7" w:rsidRDefault="000B0DDC" w:rsidP="000B0DDC">
          <w:pPr>
            <w:spacing w:line="360" w:lineRule="auto"/>
            <w:jc w:val="center"/>
            <w:rPr>
              <w:rFonts w:cs="Arial"/>
              <w:b/>
              <w:sz w:val="40"/>
              <w:szCs w:val="40"/>
              <w:u w:val="single"/>
              <w:lang w:val="en-GB"/>
            </w:rPr>
          </w:pPr>
          <w:r w:rsidRPr="008F57C7">
            <w:rPr>
              <w:rFonts w:cs="Arial"/>
              <w:b/>
              <w:sz w:val="40"/>
              <w:szCs w:val="40"/>
              <w:u w:val="single"/>
              <w:lang w:val="en-GB"/>
            </w:rPr>
            <w:t>Dissertation</w:t>
          </w:r>
        </w:p>
        <w:p w:rsidR="000B0DDC" w:rsidRDefault="000B0DDC" w:rsidP="000B0DDC">
          <w:pPr>
            <w:pStyle w:val="Heading7"/>
            <w:rPr>
              <w:lang w:val="en-GB"/>
            </w:rPr>
          </w:pPr>
        </w:p>
        <w:p w:rsidR="000B0DDC" w:rsidRDefault="000B0DDC" w:rsidP="000B0DDC">
          <w:pPr>
            <w:pStyle w:val="Title"/>
            <w:spacing w:after="160" w:line="360" w:lineRule="auto"/>
            <w:jc w:val="center"/>
            <w:rPr>
              <w:rFonts w:ascii="Arial" w:hAnsi="Arial" w:cs="Arial"/>
              <w:b/>
              <w:bCs/>
              <w:sz w:val="36"/>
              <w:szCs w:val="36"/>
              <w:lang w:val="en-GB"/>
            </w:rPr>
          </w:pPr>
        </w:p>
        <w:p w:rsidR="000B0DDC" w:rsidRDefault="000B0DDC" w:rsidP="000B0DDC">
          <w:pPr>
            <w:pStyle w:val="Title"/>
            <w:spacing w:after="160" w:line="360" w:lineRule="auto"/>
            <w:jc w:val="center"/>
            <w:rPr>
              <w:rFonts w:ascii="Arial" w:hAnsi="Arial" w:cs="Arial"/>
              <w:b/>
              <w:bCs/>
              <w:sz w:val="36"/>
              <w:szCs w:val="36"/>
              <w:lang w:val="en-GB"/>
            </w:rPr>
          </w:pPr>
          <w:r>
            <w:rPr>
              <w:rFonts w:ascii="Arial" w:hAnsi="Arial" w:cs="Arial"/>
              <w:b/>
              <w:bCs/>
              <w:sz w:val="36"/>
              <w:szCs w:val="36"/>
              <w:lang w:val="en-GB"/>
            </w:rPr>
            <w:t xml:space="preserve">University of Wales Trinity of </w:t>
          </w:r>
          <w:r w:rsidRPr="00B50C35">
            <w:rPr>
              <w:rFonts w:ascii="Arial" w:hAnsi="Arial" w:cs="Arial"/>
              <w:b/>
              <w:bCs/>
              <w:sz w:val="36"/>
              <w:szCs w:val="36"/>
              <w:lang w:val="en-GB"/>
            </w:rPr>
            <w:t>Saint David</w:t>
          </w:r>
        </w:p>
        <w:p w:rsidR="000B0DDC" w:rsidRDefault="000B0DDC" w:rsidP="000B0DDC">
          <w:pPr>
            <w:jc w:val="center"/>
            <w:rPr>
              <w:b/>
              <w:sz w:val="36"/>
              <w:szCs w:val="36"/>
              <w:lang w:val="en-GB"/>
            </w:rPr>
          </w:pPr>
          <w:r>
            <w:rPr>
              <w:b/>
              <w:sz w:val="36"/>
              <w:szCs w:val="36"/>
              <w:lang w:val="en-GB"/>
            </w:rPr>
            <w:t>Master Of Business Administration</w:t>
          </w:r>
        </w:p>
        <w:p w:rsidR="000B0DDC" w:rsidRDefault="000B0DDC" w:rsidP="000B0DDC">
          <w:pPr>
            <w:rPr>
              <w:b/>
              <w:sz w:val="36"/>
              <w:szCs w:val="36"/>
              <w:lang w:val="en-GB"/>
            </w:rPr>
          </w:pPr>
        </w:p>
        <w:p w:rsidR="000B0DDC" w:rsidRDefault="000B0DDC" w:rsidP="000B0DDC">
          <w:pPr>
            <w:rPr>
              <w:b/>
              <w:sz w:val="36"/>
              <w:szCs w:val="36"/>
              <w:lang w:val="en-GB"/>
            </w:rPr>
          </w:pPr>
        </w:p>
        <w:p w:rsidR="000B0DDC" w:rsidRDefault="000B0DDC" w:rsidP="000B0DDC">
          <w:pPr>
            <w:rPr>
              <w:b/>
              <w:sz w:val="36"/>
              <w:szCs w:val="36"/>
              <w:lang w:val="en-GB"/>
            </w:rPr>
          </w:pPr>
          <w:r>
            <w:rPr>
              <w:b/>
              <w:sz w:val="36"/>
              <w:szCs w:val="36"/>
              <w:lang w:val="en-GB"/>
            </w:rPr>
            <w:t>Module Code : LCMB7020</w:t>
          </w:r>
        </w:p>
        <w:p w:rsidR="000B0DDC" w:rsidRDefault="000B0DDC" w:rsidP="000B0DDC">
          <w:pPr>
            <w:rPr>
              <w:b/>
              <w:sz w:val="36"/>
              <w:szCs w:val="36"/>
              <w:lang w:val="en-GB"/>
            </w:rPr>
          </w:pPr>
          <w:r>
            <w:rPr>
              <w:b/>
              <w:sz w:val="36"/>
              <w:szCs w:val="36"/>
              <w:lang w:val="en-GB"/>
            </w:rPr>
            <w:t>Student Name : Viral Jivani</w:t>
          </w:r>
        </w:p>
        <w:p w:rsidR="000B0DDC" w:rsidRDefault="000B0DDC" w:rsidP="000B0DDC">
          <w:pPr>
            <w:rPr>
              <w:b/>
              <w:sz w:val="36"/>
              <w:szCs w:val="36"/>
              <w:lang w:val="en-GB"/>
            </w:rPr>
          </w:pPr>
          <w:r>
            <w:rPr>
              <w:b/>
              <w:sz w:val="36"/>
              <w:szCs w:val="36"/>
              <w:lang w:val="en-GB"/>
            </w:rPr>
            <w:t>Student Id : 2242374</w:t>
          </w:r>
        </w:p>
        <w:p w:rsidR="000B0DDC" w:rsidRDefault="000B0DDC" w:rsidP="000B0DDC">
          <w:pPr>
            <w:pStyle w:val="Title"/>
            <w:spacing w:after="160" w:line="360" w:lineRule="auto"/>
            <w:rPr>
              <w:rFonts w:ascii="Arial" w:hAnsi="Arial" w:cs="Arial"/>
              <w:b/>
              <w:bCs/>
              <w:sz w:val="36"/>
              <w:szCs w:val="36"/>
              <w:lang w:val="en-GB"/>
            </w:rPr>
          </w:pPr>
          <w:r w:rsidRPr="002306DD">
            <w:rPr>
              <w:rFonts w:ascii="Arial" w:hAnsi="Arial" w:cs="Arial"/>
              <w:b/>
              <w:sz w:val="36"/>
              <w:szCs w:val="36"/>
              <w:lang w:val="en-GB"/>
            </w:rPr>
            <w:t>Research Title</w:t>
          </w:r>
          <w:r>
            <w:rPr>
              <w:b/>
              <w:sz w:val="36"/>
              <w:szCs w:val="36"/>
              <w:lang w:val="en-GB"/>
            </w:rPr>
            <w:t xml:space="preserve"> :  </w:t>
          </w:r>
          <w:r w:rsidRPr="00874A24">
            <w:rPr>
              <w:rFonts w:ascii="Arial" w:hAnsi="Arial" w:cs="Arial"/>
              <w:b/>
              <w:bCs/>
              <w:sz w:val="36"/>
              <w:szCs w:val="36"/>
              <w:u w:val="single"/>
              <w:lang w:val="en-GB"/>
            </w:rPr>
            <w:t>A study on the Double Pay check</w:t>
          </w:r>
          <w:r w:rsidRPr="00B50C35">
            <w:rPr>
              <w:rFonts w:ascii="Arial" w:hAnsi="Arial" w:cs="Arial"/>
              <w:b/>
              <w:bCs/>
              <w:sz w:val="36"/>
              <w:szCs w:val="36"/>
              <w:lang w:val="en-GB"/>
            </w:rPr>
            <w:t xml:space="preserve"> </w:t>
          </w:r>
        </w:p>
        <w:p w:rsidR="000B0DDC" w:rsidRPr="00874A24" w:rsidRDefault="000B0DDC" w:rsidP="000B0DDC">
          <w:pPr>
            <w:pStyle w:val="Title"/>
            <w:spacing w:after="160" w:line="360" w:lineRule="auto"/>
            <w:rPr>
              <w:rFonts w:ascii="Arial" w:hAnsi="Arial" w:cs="Arial"/>
              <w:b/>
              <w:bCs/>
              <w:sz w:val="36"/>
              <w:szCs w:val="36"/>
              <w:u w:val="single"/>
              <w:lang w:val="en-GB"/>
            </w:rPr>
          </w:pPr>
          <w:r>
            <w:rPr>
              <w:lang w:val="en-GB"/>
            </w:rPr>
            <w:tab/>
          </w:r>
          <w:r>
            <w:rPr>
              <w:lang w:val="en-GB"/>
            </w:rPr>
            <w:tab/>
          </w:r>
          <w:r>
            <w:rPr>
              <w:lang w:val="en-GB"/>
            </w:rPr>
            <w:tab/>
          </w:r>
          <w:r>
            <w:rPr>
              <w:lang w:val="en-GB"/>
            </w:rPr>
            <w:tab/>
          </w:r>
          <w:r w:rsidRPr="00874A24">
            <w:rPr>
              <w:rFonts w:ascii="Arial" w:hAnsi="Arial" w:cs="Arial"/>
              <w:b/>
              <w:bCs/>
              <w:sz w:val="36"/>
              <w:szCs w:val="36"/>
              <w:u w:val="single"/>
              <w:lang w:val="en-GB"/>
            </w:rPr>
            <w:t>Revolution in the UK</w:t>
          </w:r>
        </w:p>
        <w:p w:rsidR="000B0DDC" w:rsidRPr="00B50C35" w:rsidRDefault="000B0DDC" w:rsidP="000B0DDC">
          <w:pPr>
            <w:spacing w:line="360" w:lineRule="auto"/>
            <w:rPr>
              <w:rFonts w:cs="Arial"/>
              <w:b/>
              <w:sz w:val="36"/>
              <w:szCs w:val="36"/>
              <w:lang w:val="en-GB"/>
            </w:rPr>
          </w:pPr>
          <w:r w:rsidRPr="00B50C35">
            <w:rPr>
              <w:rFonts w:cs="Arial"/>
              <w:b/>
              <w:sz w:val="36"/>
              <w:szCs w:val="36"/>
              <w:lang w:val="en-GB"/>
            </w:rPr>
            <w:t>Supervisor Name</w:t>
          </w:r>
          <w:r>
            <w:rPr>
              <w:rFonts w:cs="Arial"/>
              <w:b/>
              <w:sz w:val="36"/>
              <w:szCs w:val="36"/>
              <w:lang w:val="en-GB"/>
            </w:rPr>
            <w:t xml:space="preserve"> : Dr. Sampath Liyanage Rodrigo</w:t>
          </w:r>
        </w:p>
        <w:p w:rsidR="000B0DDC" w:rsidRPr="00B50C35" w:rsidRDefault="000B0DDC" w:rsidP="000B0DDC">
          <w:pPr>
            <w:jc w:val="both"/>
            <w:rPr>
              <w:lang w:val="en-GB"/>
            </w:rPr>
          </w:pPr>
        </w:p>
        <w:p w:rsidR="000B0DDC" w:rsidRPr="006C28BE" w:rsidRDefault="000B0DDC" w:rsidP="000B0DDC">
          <w:pPr>
            <w:spacing w:line="360" w:lineRule="auto"/>
            <w:jc w:val="center"/>
            <w:rPr>
              <w:rFonts w:eastAsia="DengXian Light" w:cs="Arial"/>
              <w:b/>
              <w:bCs/>
              <w:spacing w:val="-10"/>
              <w:kern w:val="28"/>
              <w:sz w:val="48"/>
              <w:szCs w:val="44"/>
              <w:lang w:val="en-GB"/>
            </w:rPr>
          </w:pPr>
          <w:r w:rsidRPr="006C28BE">
            <w:rPr>
              <w:rFonts w:cs="Arial"/>
              <w:b/>
              <w:bCs/>
              <w:sz w:val="160"/>
              <w:szCs w:val="144"/>
              <w:lang w:val="en-GB"/>
            </w:rPr>
            <w:br w:type="page"/>
          </w:r>
        </w:p>
      </w:sdtContent>
    </w:sdt>
    <w:p w:rsidR="000B0DDC" w:rsidRPr="00F84E65" w:rsidRDefault="000B0DDC" w:rsidP="000B0DDC">
      <w:pPr>
        <w:spacing w:line="360" w:lineRule="auto"/>
        <w:rPr>
          <w:rFonts w:eastAsia="Aptos" w:cs="Arial"/>
          <w:b/>
          <w:bCs/>
          <w:sz w:val="28"/>
          <w:szCs w:val="28"/>
          <w:lang w:val="en-GB"/>
        </w:rPr>
      </w:pPr>
      <w:r w:rsidRPr="00F84E65">
        <w:rPr>
          <w:rFonts w:eastAsia="Aptos" w:cs="Arial"/>
          <w:b/>
          <w:bCs/>
          <w:sz w:val="28"/>
          <w:szCs w:val="28"/>
          <w:lang w:val="en-GB"/>
        </w:rPr>
        <w:lastRenderedPageBreak/>
        <w:t xml:space="preserve">Declaration </w:t>
      </w:r>
    </w:p>
    <w:p w:rsidR="000B0DDC" w:rsidRPr="006C28BE" w:rsidRDefault="000B0DDC" w:rsidP="000B0DDC">
      <w:pPr>
        <w:spacing w:line="360" w:lineRule="auto"/>
        <w:jc w:val="both"/>
        <w:rPr>
          <w:rFonts w:cs="Arial"/>
          <w:lang w:val="en-GB"/>
        </w:rPr>
      </w:pPr>
      <w:r w:rsidRPr="006C28BE">
        <w:rPr>
          <w:rFonts w:cs="Arial"/>
          <w:lang w:val="en-GB"/>
        </w:rPr>
        <w:t>I, Viral declare that this dissertation has been</w:t>
      </w:r>
      <w:r>
        <w:rPr>
          <w:rFonts w:cs="Arial"/>
          <w:lang w:val="en-GB"/>
        </w:rPr>
        <w:t xml:space="preserve"> composed by myself, that the work contained herein is entirely my own except where explicitly stated otherwise in the text, and that this work has not been submitted for any other degree or qualification, in whole or in part, except as specified.</w:t>
      </w:r>
    </w:p>
    <w:p w:rsidR="000B0DDC" w:rsidRPr="006C28BE" w:rsidRDefault="000B0DDC" w:rsidP="000B0DDC">
      <w:pPr>
        <w:spacing w:line="360" w:lineRule="auto"/>
        <w:jc w:val="both"/>
        <w:rPr>
          <w:rFonts w:cs="Arial"/>
          <w:lang w:val="en-GB"/>
        </w:rPr>
      </w:pPr>
      <w:r>
        <w:rPr>
          <w:rFonts w:cs="Arial"/>
          <w:lang w:val="en-GB"/>
        </w:rPr>
        <w:t>Signature: VIRAL JIVANI</w:t>
      </w:r>
    </w:p>
    <w:p w:rsidR="000B0DDC" w:rsidRPr="006C28BE" w:rsidRDefault="000B0DDC" w:rsidP="000B0DDC">
      <w:pPr>
        <w:spacing w:line="360" w:lineRule="auto"/>
        <w:jc w:val="both"/>
        <w:rPr>
          <w:rFonts w:cs="Arial"/>
          <w:lang w:val="en-GB"/>
        </w:rPr>
      </w:pPr>
      <w:r w:rsidRPr="006C28BE">
        <w:rPr>
          <w:rFonts w:cs="Arial"/>
          <w:lang w:val="en-GB"/>
        </w:rPr>
        <w:t>Date:</w:t>
      </w:r>
      <w:r>
        <w:rPr>
          <w:rFonts w:cs="Arial"/>
          <w:lang w:val="en-GB"/>
        </w:rPr>
        <w:t xml:space="preserve"> 12/05/2024</w:t>
      </w:r>
    </w:p>
    <w:p w:rsidR="000B0DDC" w:rsidRPr="006C28BE" w:rsidRDefault="000B0DDC" w:rsidP="000B0DDC">
      <w:pPr>
        <w:spacing w:line="360" w:lineRule="auto"/>
        <w:rPr>
          <w:rFonts w:cs="Arial"/>
          <w:color w:val="000000" w:themeColor="text1"/>
          <w:lang w:val="en-GB"/>
        </w:rPr>
      </w:pPr>
      <w:r w:rsidRPr="006C28BE">
        <w:rPr>
          <w:rFonts w:cs="Arial"/>
          <w:color w:val="000000" w:themeColor="text1"/>
          <w:lang w:val="en-GB"/>
        </w:rPr>
        <w:br w:type="page"/>
      </w:r>
    </w:p>
    <w:p w:rsidR="000B0DDC" w:rsidRPr="0049265A" w:rsidRDefault="000B0DDC" w:rsidP="000B0DDC">
      <w:pPr>
        <w:spacing w:line="360" w:lineRule="auto"/>
        <w:jc w:val="both"/>
        <w:rPr>
          <w:rFonts w:cs="Arial"/>
          <w:b/>
          <w:bCs/>
          <w:sz w:val="28"/>
          <w:szCs w:val="28"/>
          <w:lang w:val="en-GB"/>
        </w:rPr>
      </w:pPr>
      <w:r w:rsidRPr="0049265A">
        <w:rPr>
          <w:rFonts w:cs="Arial"/>
          <w:b/>
          <w:bCs/>
          <w:sz w:val="28"/>
          <w:szCs w:val="28"/>
          <w:lang w:val="en-GB"/>
        </w:rPr>
        <w:lastRenderedPageBreak/>
        <w:t>Acknowledgement</w:t>
      </w:r>
    </w:p>
    <w:p w:rsidR="000B0DDC" w:rsidRPr="006C28BE" w:rsidRDefault="000B0DDC" w:rsidP="000B0DDC">
      <w:pPr>
        <w:spacing w:line="360" w:lineRule="auto"/>
        <w:jc w:val="both"/>
        <w:rPr>
          <w:rFonts w:cs="Arial"/>
          <w:lang w:val="en-GB"/>
        </w:rPr>
      </w:pPr>
      <w:r w:rsidRPr="006C28BE">
        <w:rPr>
          <w:rFonts w:cs="Arial"/>
          <w:lang w:val="en-GB"/>
        </w:rPr>
        <w:t>I would like to express my deepest gratitude to my supervisor for their expert guidance, invaluable support, and patience throughout the duration of this research project. Your insights and encouragement were crucial to the completion of this dissertation.</w:t>
      </w:r>
    </w:p>
    <w:p w:rsidR="000B0DDC" w:rsidRPr="006C28BE" w:rsidRDefault="000B0DDC" w:rsidP="000B0DDC">
      <w:pPr>
        <w:spacing w:line="360" w:lineRule="auto"/>
        <w:rPr>
          <w:rFonts w:cs="Arial"/>
          <w:lang w:val="en-IN" w:eastAsia="en-IN"/>
        </w:rPr>
      </w:pPr>
      <w:r w:rsidRPr="006C28BE">
        <w:rPr>
          <w:rFonts w:cs="Arial"/>
          <w:lang w:val="en-IN" w:eastAsia="en-IN"/>
        </w:rPr>
        <w:t>I am also deeply appreciative of the faculty, staff, and administration of the University who always had an open door for me. I would like to recognize those who have been with me through this process, and provided their feedback and encouragement.</w:t>
      </w:r>
    </w:p>
    <w:p w:rsidR="000B0DDC" w:rsidRPr="006C28BE" w:rsidRDefault="000B0DDC" w:rsidP="000B0DDC">
      <w:pPr>
        <w:spacing w:line="360" w:lineRule="auto"/>
        <w:rPr>
          <w:rFonts w:cs="Arial"/>
          <w:lang w:val="en-GB"/>
        </w:rPr>
      </w:pPr>
      <w:r w:rsidRPr="006C28BE">
        <w:rPr>
          <w:rFonts w:cs="Arial"/>
          <w:lang w:val="en-IN" w:eastAsia="en-IN"/>
        </w:rPr>
        <w:t>I have to give credit to my family who were my strength through this academic journey and who gave me encouragement and understanding in the face of academic challenges. You have been the one to believe in me all the way and this has been a very important reason of my strength.</w:t>
      </w:r>
      <w:r w:rsidRPr="006C28BE">
        <w:rPr>
          <w:rFonts w:cs="Arial"/>
          <w:lang w:val="en-GB"/>
        </w:rPr>
        <w:br w:type="page"/>
      </w:r>
    </w:p>
    <w:p w:rsidR="000B0DDC" w:rsidRPr="006C28BE" w:rsidRDefault="000B0DDC" w:rsidP="000B0DDC">
      <w:pPr>
        <w:spacing w:line="360" w:lineRule="auto"/>
        <w:jc w:val="both"/>
        <w:rPr>
          <w:rFonts w:cs="Arial"/>
          <w:lang w:val="en-GB"/>
        </w:rPr>
      </w:pPr>
      <w:r w:rsidRPr="006C28BE">
        <w:rPr>
          <w:rFonts w:cs="Arial"/>
          <w:b/>
          <w:bCs/>
          <w:sz w:val="32"/>
          <w:szCs w:val="28"/>
        </w:rPr>
        <w:lastRenderedPageBreak/>
        <w:t>Abstract</w:t>
      </w:r>
      <w:r w:rsidRPr="006C28BE">
        <w:rPr>
          <w:rFonts w:cs="Arial"/>
        </w:rPr>
        <w:br/>
        <w:t>The dissertation focuses on the socio-economic implications of dual-income households in the UK, known as the "Double Paycheck Revolution." It examines economic stability, family dynamics, and policy effectiveness through a literature review and thematic analysis. Statistics show the fact that although the two-earner family contributes to financial stability and consumerism, the problems of housing affordability, work-life balance, and mental health are still there. The research points out at the serious issues of the low adoption of the beneficial policies such as Tax-Free Childcare and Shared Parental Leave, explained by the complex application processes and low public awareness.</w:t>
      </w:r>
      <w:r>
        <w:rPr>
          <w:rFonts w:cs="Arial"/>
        </w:rPr>
        <w:t xml:space="preserve"> </w:t>
      </w:r>
      <w:r w:rsidRPr="006C28BE">
        <w:rPr>
          <w:rFonts w:cs="Arial"/>
          <w:color w:val="0D0D0D"/>
          <w:shd w:val="clear" w:color="auto" w:fill="FFFFFF"/>
        </w:rPr>
        <w:t>The study reveals significant gaps in the uptake of supportive policies such as Tax-Free Childcare and Shared Parental Leave, attributed to complex application processes and low public awareness. Recommendations include policy reforms to improve childcare support, financial incentives, and mental health services, aimed at boosting economic productivity and social equity. This research contributes to understanding the needs of dual-income families and suggests holistic policy adjustments to better support this growing demographic in the UK's socio-economic landscape.</w:t>
      </w:r>
    </w:p>
    <w:p w:rsidR="000B0DDC" w:rsidRPr="006C28BE" w:rsidRDefault="000B0DDC" w:rsidP="000B0DDC">
      <w:pPr>
        <w:spacing w:line="360" w:lineRule="auto"/>
        <w:rPr>
          <w:rFonts w:cs="Arial"/>
          <w:highlight w:val="red"/>
          <w:lang w:val="en-GB"/>
        </w:rPr>
      </w:pPr>
    </w:p>
    <w:p w:rsidR="000B0DDC" w:rsidRPr="006C28BE" w:rsidRDefault="000B0DDC" w:rsidP="000B0DDC">
      <w:pPr>
        <w:spacing w:line="360" w:lineRule="auto"/>
        <w:jc w:val="both"/>
        <w:rPr>
          <w:rFonts w:cs="Arial"/>
          <w:lang w:val="en-GB"/>
        </w:rPr>
      </w:pPr>
      <w:r w:rsidRPr="006C28BE">
        <w:rPr>
          <w:rFonts w:eastAsia="Aptos" w:cs="Arial"/>
          <w:lang w:val="en-GB"/>
        </w:rPr>
        <w:br w:type="page"/>
      </w:r>
    </w:p>
    <w:sdt>
      <w:sdtPr>
        <w:rPr>
          <w:rFonts w:eastAsia="Aptos" w:cs="Arial"/>
          <w:b w:val="0"/>
          <w:bCs w:val="0"/>
          <w:smallCaps w:val="0"/>
          <w:color w:val="auto"/>
          <w:kern w:val="2"/>
          <w:sz w:val="22"/>
          <w:szCs w:val="22"/>
          <w:lang w:val="en-GB"/>
        </w:rPr>
        <w:id w:val="-1475059335"/>
        <w:docPartObj>
          <w:docPartGallery w:val="Table of Contents"/>
          <w:docPartUnique/>
        </w:docPartObj>
      </w:sdtPr>
      <w:sdtEndPr>
        <w:rPr>
          <w:rFonts w:eastAsiaTheme="minorEastAsia"/>
          <w:noProof/>
          <w:kern w:val="0"/>
          <w:sz w:val="24"/>
        </w:rPr>
      </w:sdtEndPr>
      <w:sdtContent>
        <w:p w:rsidR="000B0DDC" w:rsidRPr="006C28BE" w:rsidRDefault="000B0DDC" w:rsidP="000B0DDC">
          <w:pPr>
            <w:pStyle w:val="TOCHeading"/>
            <w:numPr>
              <w:ilvl w:val="0"/>
              <w:numId w:val="0"/>
            </w:numPr>
            <w:spacing w:line="360" w:lineRule="auto"/>
            <w:ind w:left="432"/>
            <w:rPr>
              <w:rFonts w:cs="Arial"/>
              <w:lang w:val="en-GB"/>
            </w:rPr>
          </w:pPr>
          <w:r w:rsidRPr="006C28BE">
            <w:rPr>
              <w:rFonts w:cs="Arial"/>
              <w:lang w:val="en-GB"/>
            </w:rPr>
            <w:t>Table of contents</w:t>
          </w:r>
        </w:p>
        <w:p w:rsidR="000B0DDC" w:rsidRDefault="000B0DDC" w:rsidP="000B0DDC">
          <w:pPr>
            <w:pStyle w:val="TOC1"/>
            <w:tabs>
              <w:tab w:val="left" w:pos="440"/>
              <w:tab w:val="right" w:leader="dot" w:pos="9350"/>
            </w:tabs>
            <w:rPr>
              <w:rFonts w:asciiTheme="minorHAnsi" w:hAnsiTheme="minorHAnsi"/>
              <w:noProof/>
              <w:kern w:val="2"/>
              <w:szCs w:val="24"/>
              <w:lang w:val="en-IN" w:eastAsia="en-GB"/>
              <w14:ligatures w14:val="standardContextual"/>
            </w:rPr>
          </w:pPr>
          <w:r w:rsidRPr="006C28BE">
            <w:rPr>
              <w:rFonts w:cs="Arial"/>
              <w:lang w:val="en-GB"/>
            </w:rPr>
            <w:fldChar w:fldCharType="begin"/>
          </w:r>
          <w:r w:rsidRPr="006C28BE">
            <w:rPr>
              <w:rFonts w:cs="Arial"/>
              <w:lang w:val="en-GB"/>
            </w:rPr>
            <w:instrText xml:space="preserve"> TOC \o "1-3" \h \z \u </w:instrText>
          </w:r>
          <w:r w:rsidRPr="006C28BE">
            <w:rPr>
              <w:rFonts w:cs="Arial"/>
              <w:lang w:val="en-GB"/>
            </w:rPr>
            <w:fldChar w:fldCharType="separate"/>
          </w:r>
          <w:hyperlink w:anchor="_Toc166368599" w:history="1">
            <w:r w:rsidRPr="006E39CB">
              <w:rPr>
                <w:rStyle w:val="Hyperlink"/>
                <w:rFonts w:cs="Arial"/>
                <w:noProof/>
              </w:rPr>
              <w:t>1</w:t>
            </w:r>
            <w:r>
              <w:rPr>
                <w:rFonts w:asciiTheme="minorHAnsi" w:hAnsiTheme="minorHAnsi"/>
                <w:noProof/>
                <w:kern w:val="2"/>
                <w:szCs w:val="24"/>
                <w:lang w:val="en-IN" w:eastAsia="en-GB"/>
                <w14:ligatures w14:val="standardContextual"/>
              </w:rPr>
              <w:tab/>
            </w:r>
            <w:r w:rsidRPr="006E39CB">
              <w:rPr>
                <w:rStyle w:val="Hyperlink"/>
                <w:rFonts w:cs="Arial"/>
                <w:noProof/>
              </w:rPr>
              <w:t>Introduction</w:t>
            </w:r>
            <w:r>
              <w:rPr>
                <w:noProof/>
                <w:webHidden/>
              </w:rPr>
              <w:tab/>
            </w:r>
            <w:r>
              <w:rPr>
                <w:noProof/>
                <w:webHidden/>
              </w:rPr>
              <w:fldChar w:fldCharType="begin"/>
            </w:r>
            <w:r>
              <w:rPr>
                <w:noProof/>
                <w:webHidden/>
              </w:rPr>
              <w:instrText xml:space="preserve"> PAGEREF _Toc166368599 \h </w:instrText>
            </w:r>
            <w:r>
              <w:rPr>
                <w:noProof/>
                <w:webHidden/>
              </w:rPr>
            </w:r>
            <w:r>
              <w:rPr>
                <w:noProof/>
                <w:webHidden/>
              </w:rPr>
              <w:fldChar w:fldCharType="separate"/>
            </w:r>
            <w:r>
              <w:rPr>
                <w:noProof/>
                <w:webHidden/>
              </w:rPr>
              <w:t>9</w:t>
            </w:r>
            <w:r>
              <w:rPr>
                <w:noProof/>
                <w:webHidden/>
              </w:rPr>
              <w:fldChar w:fldCharType="end"/>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00" w:history="1">
            <w:r w:rsidR="000B0DDC" w:rsidRPr="006E39CB">
              <w:rPr>
                <w:rStyle w:val="Hyperlink"/>
                <w:rFonts w:cs="Arial"/>
                <w:noProof/>
                <w:lang w:val="en-GB"/>
              </w:rPr>
              <w:t>1.1</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Background &amp; Problem Statement</w:t>
            </w:r>
            <w:r w:rsidR="000B0DDC">
              <w:rPr>
                <w:noProof/>
                <w:webHidden/>
              </w:rPr>
              <w:tab/>
            </w:r>
            <w:r w:rsidR="000B0DDC">
              <w:rPr>
                <w:noProof/>
                <w:webHidden/>
              </w:rPr>
              <w:fldChar w:fldCharType="begin"/>
            </w:r>
            <w:r w:rsidR="000B0DDC">
              <w:rPr>
                <w:noProof/>
                <w:webHidden/>
              </w:rPr>
              <w:instrText xml:space="preserve"> PAGEREF _Toc166368600 \h </w:instrText>
            </w:r>
            <w:r w:rsidR="000B0DDC">
              <w:rPr>
                <w:noProof/>
                <w:webHidden/>
              </w:rPr>
            </w:r>
            <w:r w:rsidR="000B0DDC">
              <w:rPr>
                <w:noProof/>
                <w:webHidden/>
              </w:rPr>
              <w:fldChar w:fldCharType="separate"/>
            </w:r>
            <w:r w:rsidR="000B0DDC">
              <w:rPr>
                <w:noProof/>
                <w:webHidden/>
              </w:rPr>
              <w:t>9</w:t>
            </w:r>
            <w:r w:rsidR="000B0DDC">
              <w:rPr>
                <w:noProof/>
                <w:webHidden/>
              </w:rPr>
              <w:fldChar w:fldCharType="end"/>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01" w:history="1">
            <w:r w:rsidR="000B0DDC" w:rsidRPr="006E39CB">
              <w:rPr>
                <w:rStyle w:val="Hyperlink"/>
                <w:rFonts w:cs="Arial"/>
                <w:noProof/>
                <w:lang w:val="en-GB"/>
              </w:rPr>
              <w:t>1.2</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Evolution of Workforce Dynamics</w:t>
            </w:r>
            <w:r w:rsidR="000B0DDC">
              <w:rPr>
                <w:noProof/>
                <w:webHidden/>
              </w:rPr>
              <w:tab/>
            </w:r>
            <w:r w:rsidR="000B0DDC">
              <w:rPr>
                <w:noProof/>
                <w:webHidden/>
              </w:rPr>
              <w:fldChar w:fldCharType="begin"/>
            </w:r>
            <w:r w:rsidR="000B0DDC">
              <w:rPr>
                <w:noProof/>
                <w:webHidden/>
              </w:rPr>
              <w:instrText xml:space="preserve"> PAGEREF _Toc166368601 \h </w:instrText>
            </w:r>
            <w:r w:rsidR="000B0DDC">
              <w:rPr>
                <w:noProof/>
                <w:webHidden/>
              </w:rPr>
            </w:r>
            <w:r w:rsidR="000B0DDC">
              <w:rPr>
                <w:noProof/>
                <w:webHidden/>
              </w:rPr>
              <w:fldChar w:fldCharType="separate"/>
            </w:r>
            <w:r w:rsidR="000B0DDC">
              <w:rPr>
                <w:noProof/>
                <w:webHidden/>
              </w:rPr>
              <w:t>9</w:t>
            </w:r>
            <w:r w:rsidR="000B0DDC">
              <w:rPr>
                <w:noProof/>
                <w:webHidden/>
              </w:rPr>
              <w:fldChar w:fldCharType="end"/>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02" w:history="1">
            <w:r w:rsidR="000B0DDC" w:rsidRPr="006E39CB">
              <w:rPr>
                <w:rStyle w:val="Hyperlink"/>
                <w:rFonts w:cs="Arial"/>
                <w:noProof/>
                <w:lang w:val="en-GB"/>
              </w:rPr>
              <w:t>1.3</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The Double Paycheck Phenomenon</w:t>
            </w:r>
            <w:r w:rsidR="000B0DDC">
              <w:rPr>
                <w:noProof/>
                <w:webHidden/>
              </w:rPr>
              <w:tab/>
            </w:r>
            <w:r w:rsidR="000B0DDC">
              <w:rPr>
                <w:noProof/>
                <w:webHidden/>
              </w:rPr>
              <w:fldChar w:fldCharType="begin"/>
            </w:r>
            <w:r w:rsidR="000B0DDC">
              <w:rPr>
                <w:noProof/>
                <w:webHidden/>
              </w:rPr>
              <w:instrText xml:space="preserve"> PAGEREF _Toc166368602 \h </w:instrText>
            </w:r>
            <w:r w:rsidR="000B0DDC">
              <w:rPr>
                <w:noProof/>
                <w:webHidden/>
              </w:rPr>
            </w:r>
            <w:r w:rsidR="000B0DDC">
              <w:rPr>
                <w:noProof/>
                <w:webHidden/>
              </w:rPr>
              <w:fldChar w:fldCharType="separate"/>
            </w:r>
            <w:r w:rsidR="000B0DDC">
              <w:rPr>
                <w:noProof/>
                <w:webHidden/>
              </w:rPr>
              <w:t>9</w:t>
            </w:r>
            <w:r w:rsidR="000B0DDC">
              <w:rPr>
                <w:noProof/>
                <w:webHidden/>
              </w:rPr>
              <w:fldChar w:fldCharType="end"/>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03" w:history="1">
            <w:r w:rsidR="000B0DDC" w:rsidRPr="006E39CB">
              <w:rPr>
                <w:rStyle w:val="Hyperlink"/>
                <w:rFonts w:cs="Arial"/>
                <w:noProof/>
                <w:lang w:val="en-GB"/>
              </w:rPr>
              <w:t>1.4</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Research Objectives</w:t>
            </w:r>
            <w:r w:rsidR="000B0DDC">
              <w:rPr>
                <w:noProof/>
                <w:webHidden/>
              </w:rPr>
              <w:tab/>
            </w:r>
            <w:r w:rsidR="000B0DDC">
              <w:rPr>
                <w:noProof/>
                <w:webHidden/>
              </w:rPr>
              <w:fldChar w:fldCharType="begin"/>
            </w:r>
            <w:r w:rsidR="000B0DDC">
              <w:rPr>
                <w:noProof/>
                <w:webHidden/>
              </w:rPr>
              <w:instrText xml:space="preserve"> PAGEREF _Toc166368603 \h </w:instrText>
            </w:r>
            <w:r w:rsidR="000B0DDC">
              <w:rPr>
                <w:noProof/>
                <w:webHidden/>
              </w:rPr>
            </w:r>
            <w:r w:rsidR="000B0DDC">
              <w:rPr>
                <w:noProof/>
                <w:webHidden/>
              </w:rPr>
              <w:fldChar w:fldCharType="separate"/>
            </w:r>
            <w:r w:rsidR="000B0DDC">
              <w:rPr>
                <w:noProof/>
                <w:webHidden/>
              </w:rPr>
              <w:t>10</w:t>
            </w:r>
            <w:r w:rsidR="000B0DDC">
              <w:rPr>
                <w:noProof/>
                <w:webHidden/>
              </w:rPr>
              <w:fldChar w:fldCharType="end"/>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04" w:history="1">
            <w:r w:rsidR="000B0DDC" w:rsidRPr="006E39CB">
              <w:rPr>
                <w:rStyle w:val="Hyperlink"/>
                <w:rFonts w:cs="Arial"/>
                <w:noProof/>
                <w:lang w:val="en-GB"/>
              </w:rPr>
              <w:t>1.5</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Structure of the Rest of the Project</w:t>
            </w:r>
            <w:r w:rsidR="000B0DDC">
              <w:rPr>
                <w:noProof/>
                <w:webHidden/>
              </w:rPr>
              <w:tab/>
            </w:r>
            <w:r w:rsidR="000B0DDC">
              <w:rPr>
                <w:noProof/>
                <w:webHidden/>
              </w:rPr>
              <w:fldChar w:fldCharType="begin"/>
            </w:r>
            <w:r w:rsidR="000B0DDC">
              <w:rPr>
                <w:noProof/>
                <w:webHidden/>
              </w:rPr>
              <w:instrText xml:space="preserve"> PAGEREF _Toc166368604 \h </w:instrText>
            </w:r>
            <w:r w:rsidR="000B0DDC">
              <w:rPr>
                <w:noProof/>
                <w:webHidden/>
              </w:rPr>
            </w:r>
            <w:r w:rsidR="000B0DDC">
              <w:rPr>
                <w:noProof/>
                <w:webHidden/>
              </w:rPr>
              <w:fldChar w:fldCharType="separate"/>
            </w:r>
            <w:r w:rsidR="000B0DDC">
              <w:rPr>
                <w:noProof/>
                <w:webHidden/>
              </w:rPr>
              <w:t>11</w:t>
            </w:r>
            <w:r w:rsidR="000B0DDC">
              <w:rPr>
                <w:noProof/>
                <w:webHidden/>
              </w:rPr>
              <w:fldChar w:fldCharType="end"/>
            </w:r>
          </w:hyperlink>
        </w:p>
        <w:p w:rsidR="000B0DDC" w:rsidRDefault="00EB3B59" w:rsidP="000B0DDC">
          <w:pPr>
            <w:pStyle w:val="TOC1"/>
            <w:tabs>
              <w:tab w:val="left" w:pos="440"/>
              <w:tab w:val="right" w:leader="dot" w:pos="9350"/>
            </w:tabs>
            <w:rPr>
              <w:rFonts w:asciiTheme="minorHAnsi" w:hAnsiTheme="minorHAnsi"/>
              <w:noProof/>
              <w:kern w:val="2"/>
              <w:szCs w:val="24"/>
              <w:lang w:val="en-IN" w:eastAsia="en-GB"/>
              <w14:ligatures w14:val="standardContextual"/>
            </w:rPr>
          </w:pPr>
          <w:hyperlink w:anchor="_Toc166368605" w:history="1">
            <w:r w:rsidR="000B0DDC" w:rsidRPr="006E39CB">
              <w:rPr>
                <w:rStyle w:val="Hyperlink"/>
                <w:rFonts w:cs="Arial"/>
                <w:noProof/>
              </w:rPr>
              <w:t>2</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rPr>
              <w:t>Literature Review</w:t>
            </w:r>
            <w:r w:rsidR="000B0DDC">
              <w:rPr>
                <w:noProof/>
                <w:webHidden/>
              </w:rPr>
              <w:tab/>
            </w:r>
            <w:r w:rsidR="000B0DDC">
              <w:rPr>
                <w:noProof/>
                <w:webHidden/>
              </w:rPr>
              <w:fldChar w:fldCharType="begin"/>
            </w:r>
            <w:r w:rsidR="000B0DDC">
              <w:rPr>
                <w:noProof/>
                <w:webHidden/>
              </w:rPr>
              <w:instrText xml:space="preserve"> PAGEREF _Toc166368605 \h </w:instrText>
            </w:r>
            <w:r w:rsidR="000B0DDC">
              <w:rPr>
                <w:noProof/>
                <w:webHidden/>
              </w:rPr>
            </w:r>
            <w:r w:rsidR="000B0DDC">
              <w:rPr>
                <w:noProof/>
                <w:webHidden/>
              </w:rPr>
              <w:fldChar w:fldCharType="separate"/>
            </w:r>
            <w:r w:rsidR="000B0DDC">
              <w:rPr>
                <w:noProof/>
                <w:webHidden/>
              </w:rPr>
              <w:t>13</w:t>
            </w:r>
            <w:r w:rsidR="000B0DDC">
              <w:rPr>
                <w:noProof/>
                <w:webHidden/>
              </w:rPr>
              <w:fldChar w:fldCharType="end"/>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06" w:history="1">
            <w:r w:rsidR="000B0DDC" w:rsidRPr="006E39CB">
              <w:rPr>
                <w:rStyle w:val="Hyperlink"/>
                <w:rFonts w:cs="Arial"/>
                <w:noProof/>
                <w:lang w:val="en-GB"/>
              </w:rPr>
              <w:t>2.1</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Introduction</w:t>
            </w:r>
            <w:r w:rsidR="000B0DDC">
              <w:rPr>
                <w:noProof/>
                <w:webHidden/>
              </w:rPr>
              <w:tab/>
            </w:r>
            <w:r w:rsidR="000B0DDC">
              <w:rPr>
                <w:noProof/>
                <w:webHidden/>
              </w:rPr>
              <w:fldChar w:fldCharType="begin"/>
            </w:r>
            <w:r w:rsidR="000B0DDC">
              <w:rPr>
                <w:noProof/>
                <w:webHidden/>
              </w:rPr>
              <w:instrText xml:space="preserve"> PAGEREF _Toc166368606 \h </w:instrText>
            </w:r>
            <w:r w:rsidR="000B0DDC">
              <w:rPr>
                <w:noProof/>
                <w:webHidden/>
              </w:rPr>
            </w:r>
            <w:r w:rsidR="000B0DDC">
              <w:rPr>
                <w:noProof/>
                <w:webHidden/>
              </w:rPr>
              <w:fldChar w:fldCharType="separate"/>
            </w:r>
            <w:r w:rsidR="000B0DDC">
              <w:rPr>
                <w:noProof/>
                <w:webHidden/>
              </w:rPr>
              <w:t>13</w:t>
            </w:r>
            <w:r w:rsidR="000B0DDC">
              <w:rPr>
                <w:noProof/>
                <w:webHidden/>
              </w:rPr>
              <w:fldChar w:fldCharType="end"/>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07" w:history="1">
            <w:r w:rsidR="000B0DDC" w:rsidRPr="006E39CB">
              <w:rPr>
                <w:rStyle w:val="Hyperlink"/>
                <w:rFonts w:cs="Arial"/>
                <w:noProof/>
                <w:lang w:val="en-GB"/>
              </w:rPr>
              <w:t>2.2</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Economic Implications of Dual-Income Households</w:t>
            </w:r>
            <w:r w:rsidR="000B0DDC">
              <w:rPr>
                <w:noProof/>
                <w:webHidden/>
              </w:rPr>
              <w:tab/>
            </w:r>
            <w:r w:rsidR="000B0DDC">
              <w:rPr>
                <w:noProof/>
                <w:webHidden/>
              </w:rPr>
              <w:fldChar w:fldCharType="begin"/>
            </w:r>
            <w:r w:rsidR="000B0DDC">
              <w:rPr>
                <w:noProof/>
                <w:webHidden/>
              </w:rPr>
              <w:instrText xml:space="preserve"> PAGEREF _Toc166368607 \h </w:instrText>
            </w:r>
            <w:r w:rsidR="000B0DDC">
              <w:rPr>
                <w:noProof/>
                <w:webHidden/>
              </w:rPr>
            </w:r>
            <w:r w:rsidR="000B0DDC">
              <w:rPr>
                <w:noProof/>
                <w:webHidden/>
              </w:rPr>
              <w:fldChar w:fldCharType="separate"/>
            </w:r>
            <w:r w:rsidR="000B0DDC">
              <w:rPr>
                <w:noProof/>
                <w:webHidden/>
              </w:rPr>
              <w:t>13</w:t>
            </w:r>
            <w:r w:rsidR="000B0DDC">
              <w:rPr>
                <w:noProof/>
                <w:webHidden/>
              </w:rPr>
              <w:fldChar w:fldCharType="end"/>
            </w:r>
          </w:hyperlink>
        </w:p>
        <w:p w:rsidR="000B0DDC" w:rsidRDefault="00EB3B59" w:rsidP="000B0DDC">
          <w:pPr>
            <w:pStyle w:val="TOC3"/>
            <w:tabs>
              <w:tab w:val="left" w:pos="1440"/>
              <w:tab w:val="right" w:leader="dot" w:pos="9350"/>
            </w:tabs>
            <w:rPr>
              <w:rFonts w:asciiTheme="minorHAnsi" w:hAnsiTheme="minorHAnsi"/>
              <w:noProof/>
              <w:kern w:val="2"/>
              <w:szCs w:val="24"/>
              <w:lang w:val="en-IN" w:eastAsia="en-GB"/>
              <w14:ligatures w14:val="standardContextual"/>
            </w:rPr>
          </w:pPr>
          <w:hyperlink w:anchor="_Toc166368608" w:history="1">
            <w:r w:rsidR="000B0DDC" w:rsidRPr="006E39CB">
              <w:rPr>
                <w:rStyle w:val="Hyperlink"/>
                <w:rFonts w:cs="Arial"/>
                <w:noProof/>
              </w:rPr>
              <w:t>2.2.1</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rPr>
              <w:t>The Implications of Dual-Income Households on Economics</w:t>
            </w:r>
            <w:r w:rsidR="000B0DDC">
              <w:rPr>
                <w:noProof/>
                <w:webHidden/>
              </w:rPr>
              <w:tab/>
            </w:r>
            <w:r w:rsidR="000B0DDC">
              <w:rPr>
                <w:noProof/>
                <w:webHidden/>
              </w:rPr>
              <w:fldChar w:fldCharType="begin"/>
            </w:r>
            <w:r w:rsidR="000B0DDC">
              <w:rPr>
                <w:noProof/>
                <w:webHidden/>
              </w:rPr>
              <w:instrText xml:space="preserve"> PAGEREF _Toc166368608 \h </w:instrText>
            </w:r>
            <w:r w:rsidR="000B0DDC">
              <w:rPr>
                <w:noProof/>
                <w:webHidden/>
              </w:rPr>
            </w:r>
            <w:r w:rsidR="000B0DDC">
              <w:rPr>
                <w:noProof/>
                <w:webHidden/>
              </w:rPr>
              <w:fldChar w:fldCharType="separate"/>
            </w:r>
            <w:r w:rsidR="000B0DDC">
              <w:rPr>
                <w:noProof/>
                <w:webHidden/>
              </w:rPr>
              <w:t>14</w:t>
            </w:r>
            <w:r w:rsidR="000B0DDC">
              <w:rPr>
                <w:noProof/>
                <w:webHidden/>
              </w:rPr>
              <w:fldChar w:fldCharType="end"/>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09" w:history="1">
            <w:r w:rsidR="000B0DDC" w:rsidRPr="006E39CB">
              <w:rPr>
                <w:rStyle w:val="Hyperlink"/>
                <w:rFonts w:cs="Arial"/>
                <w:noProof/>
                <w:lang w:val="en-GB"/>
              </w:rPr>
              <w:t>2.3</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Policy Responses to Dual-Income Households</w:t>
            </w:r>
            <w:r w:rsidR="000B0DDC">
              <w:rPr>
                <w:noProof/>
                <w:webHidden/>
              </w:rPr>
              <w:tab/>
            </w:r>
            <w:r w:rsidR="000B0DDC">
              <w:rPr>
                <w:noProof/>
                <w:webHidden/>
              </w:rPr>
              <w:fldChar w:fldCharType="begin"/>
            </w:r>
            <w:r w:rsidR="000B0DDC">
              <w:rPr>
                <w:noProof/>
                <w:webHidden/>
              </w:rPr>
              <w:instrText xml:space="preserve"> PAGEREF _Toc166368609 \h </w:instrText>
            </w:r>
            <w:r w:rsidR="000B0DDC">
              <w:rPr>
                <w:noProof/>
                <w:webHidden/>
              </w:rPr>
            </w:r>
            <w:r w:rsidR="000B0DDC">
              <w:rPr>
                <w:noProof/>
                <w:webHidden/>
              </w:rPr>
              <w:fldChar w:fldCharType="separate"/>
            </w:r>
            <w:r w:rsidR="000B0DDC">
              <w:rPr>
                <w:noProof/>
                <w:webHidden/>
              </w:rPr>
              <w:t>15</w:t>
            </w:r>
            <w:r w:rsidR="000B0DDC">
              <w:rPr>
                <w:noProof/>
                <w:webHidden/>
              </w:rPr>
              <w:fldChar w:fldCharType="end"/>
            </w:r>
          </w:hyperlink>
        </w:p>
        <w:p w:rsidR="000B0DDC" w:rsidRDefault="000B0DDC" w:rsidP="000B0DDC">
          <w:pPr>
            <w:pStyle w:val="TOC3"/>
            <w:tabs>
              <w:tab w:val="right" w:leader="dot" w:pos="9350"/>
            </w:tabs>
            <w:rPr>
              <w:rFonts w:asciiTheme="minorHAnsi" w:hAnsiTheme="minorHAnsi"/>
              <w:noProof/>
              <w:kern w:val="2"/>
              <w:szCs w:val="24"/>
              <w:lang w:val="en-IN" w:eastAsia="en-GB"/>
              <w14:ligatures w14:val="standardContextual"/>
            </w:rPr>
          </w:pPr>
          <w:r>
            <w:t xml:space="preserve">2.3.1      </w:t>
          </w:r>
          <w:hyperlink w:anchor="_Toc166368610" w:history="1">
            <w:r w:rsidRPr="006E39CB">
              <w:rPr>
                <w:rStyle w:val="Hyperlink"/>
                <w:rFonts w:cs="Arial"/>
                <w:noProof/>
                <w:lang w:val="en-GB"/>
              </w:rPr>
              <w:t>Childcare and Parental Leave</w:t>
            </w:r>
            <w:r>
              <w:rPr>
                <w:noProof/>
                <w:webHidden/>
              </w:rPr>
              <w:tab/>
            </w:r>
            <w:r>
              <w:rPr>
                <w:noProof/>
                <w:webHidden/>
              </w:rPr>
              <w:fldChar w:fldCharType="begin"/>
            </w:r>
            <w:r>
              <w:rPr>
                <w:noProof/>
                <w:webHidden/>
              </w:rPr>
              <w:instrText xml:space="preserve"> PAGEREF _Toc166368610 \h </w:instrText>
            </w:r>
            <w:r>
              <w:rPr>
                <w:noProof/>
                <w:webHidden/>
              </w:rPr>
            </w:r>
            <w:r>
              <w:rPr>
                <w:noProof/>
                <w:webHidden/>
              </w:rPr>
              <w:fldChar w:fldCharType="separate"/>
            </w:r>
            <w:r>
              <w:rPr>
                <w:noProof/>
                <w:webHidden/>
              </w:rPr>
              <w:t>15</w:t>
            </w:r>
            <w:r>
              <w:rPr>
                <w:noProof/>
                <w:webHidden/>
              </w:rPr>
              <w:fldChar w:fldCharType="end"/>
            </w:r>
          </w:hyperlink>
        </w:p>
        <w:p w:rsidR="000B0DDC" w:rsidRDefault="00EB3B59" w:rsidP="000B0DDC">
          <w:pPr>
            <w:pStyle w:val="TOC3"/>
            <w:tabs>
              <w:tab w:val="left" w:pos="1440"/>
              <w:tab w:val="right" w:leader="dot" w:pos="9350"/>
            </w:tabs>
            <w:rPr>
              <w:rFonts w:asciiTheme="minorHAnsi" w:hAnsiTheme="minorHAnsi"/>
              <w:noProof/>
              <w:kern w:val="2"/>
              <w:szCs w:val="24"/>
              <w:lang w:val="en-IN" w:eastAsia="en-GB"/>
              <w14:ligatures w14:val="standardContextual"/>
            </w:rPr>
          </w:pPr>
          <w:hyperlink w:anchor="_Toc166368611" w:history="1">
            <w:r w:rsidR="000B0DDC">
              <w:rPr>
                <w:rStyle w:val="Hyperlink"/>
                <w:rFonts w:cs="Arial"/>
                <w:noProof/>
                <w:lang w:val="en-GB"/>
              </w:rPr>
              <w:t>2.3.2</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Economic Consequences and Policy Changes</w:t>
            </w:r>
            <w:r w:rsidR="000B0DDC">
              <w:rPr>
                <w:noProof/>
                <w:webHidden/>
              </w:rPr>
              <w:tab/>
              <w:t>15</w:t>
            </w:r>
          </w:hyperlink>
        </w:p>
        <w:p w:rsidR="000B0DDC" w:rsidRDefault="00EB3B59" w:rsidP="000B0DDC">
          <w:pPr>
            <w:pStyle w:val="TOC3"/>
            <w:tabs>
              <w:tab w:val="left" w:pos="1440"/>
              <w:tab w:val="right" w:leader="dot" w:pos="9350"/>
            </w:tabs>
            <w:rPr>
              <w:rFonts w:asciiTheme="minorHAnsi" w:hAnsiTheme="minorHAnsi"/>
              <w:noProof/>
              <w:kern w:val="2"/>
              <w:szCs w:val="24"/>
              <w:lang w:val="en-IN" w:eastAsia="en-GB"/>
              <w14:ligatures w14:val="standardContextual"/>
            </w:rPr>
          </w:pPr>
          <w:hyperlink w:anchor="_Toc166368612" w:history="1">
            <w:r w:rsidR="000B0DDC">
              <w:rPr>
                <w:rStyle w:val="Hyperlink"/>
                <w:rFonts w:cs="Arial"/>
                <w:noProof/>
              </w:rPr>
              <w:t>2.3.3</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rPr>
              <w:t>Advanced Policy Developments in Support of Dual-Income Families</w:t>
            </w:r>
            <w:r w:rsidR="000B0DDC">
              <w:rPr>
                <w:noProof/>
                <w:webHidden/>
              </w:rPr>
              <w:tab/>
            </w:r>
            <w:r w:rsidR="000B0DDC">
              <w:rPr>
                <w:noProof/>
                <w:webHidden/>
              </w:rPr>
              <w:fldChar w:fldCharType="begin"/>
            </w:r>
            <w:r w:rsidR="000B0DDC">
              <w:rPr>
                <w:noProof/>
                <w:webHidden/>
              </w:rPr>
              <w:instrText xml:space="preserve"> PAGEREF _Toc166368612 \h </w:instrText>
            </w:r>
            <w:r w:rsidR="000B0DDC">
              <w:rPr>
                <w:noProof/>
                <w:webHidden/>
              </w:rPr>
            </w:r>
            <w:r w:rsidR="000B0DDC">
              <w:rPr>
                <w:noProof/>
                <w:webHidden/>
              </w:rPr>
              <w:fldChar w:fldCharType="separate"/>
            </w:r>
            <w:r w:rsidR="000B0DDC">
              <w:rPr>
                <w:noProof/>
                <w:webHidden/>
              </w:rPr>
              <w:t>16</w:t>
            </w:r>
            <w:r w:rsidR="000B0DDC">
              <w:rPr>
                <w:noProof/>
                <w:webHidden/>
              </w:rPr>
              <w:fldChar w:fldCharType="end"/>
            </w:r>
          </w:hyperlink>
        </w:p>
        <w:p w:rsidR="000B0DDC" w:rsidRDefault="00EB3B59" w:rsidP="000B0DDC">
          <w:pPr>
            <w:pStyle w:val="TOC3"/>
            <w:tabs>
              <w:tab w:val="left" w:pos="1440"/>
              <w:tab w:val="right" w:leader="dot" w:pos="9350"/>
            </w:tabs>
            <w:rPr>
              <w:rFonts w:asciiTheme="minorHAnsi" w:hAnsiTheme="minorHAnsi"/>
              <w:noProof/>
              <w:kern w:val="2"/>
              <w:szCs w:val="24"/>
              <w:lang w:val="en-IN" w:eastAsia="en-GB"/>
              <w14:ligatures w14:val="standardContextual"/>
            </w:rPr>
          </w:pPr>
          <w:hyperlink w:anchor="_Toc166368613" w:history="1">
            <w:r w:rsidR="000B0DDC">
              <w:rPr>
                <w:rStyle w:val="Hyperlink"/>
                <w:rFonts w:cs="Arial"/>
                <w:noProof/>
                <w:lang w:val="en-GB"/>
              </w:rPr>
              <w:t>2.3.4</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Forward-Looking Policy Innovations</w:t>
            </w:r>
            <w:r w:rsidR="000B0DDC">
              <w:rPr>
                <w:noProof/>
                <w:webHidden/>
              </w:rPr>
              <w:tab/>
            </w:r>
            <w:r w:rsidR="000B0DDC">
              <w:rPr>
                <w:noProof/>
                <w:webHidden/>
              </w:rPr>
              <w:fldChar w:fldCharType="begin"/>
            </w:r>
            <w:r w:rsidR="000B0DDC">
              <w:rPr>
                <w:noProof/>
                <w:webHidden/>
              </w:rPr>
              <w:instrText xml:space="preserve"> PAGEREF _Toc166368613 \h </w:instrText>
            </w:r>
            <w:r w:rsidR="000B0DDC">
              <w:rPr>
                <w:noProof/>
                <w:webHidden/>
              </w:rPr>
            </w:r>
            <w:r w:rsidR="000B0DDC">
              <w:rPr>
                <w:noProof/>
                <w:webHidden/>
              </w:rPr>
              <w:fldChar w:fldCharType="separate"/>
            </w:r>
            <w:r w:rsidR="000B0DDC">
              <w:rPr>
                <w:noProof/>
                <w:webHidden/>
              </w:rPr>
              <w:t>16</w:t>
            </w:r>
            <w:r w:rsidR="000B0DDC">
              <w:rPr>
                <w:noProof/>
                <w:webHidden/>
              </w:rPr>
              <w:fldChar w:fldCharType="end"/>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14" w:history="1">
            <w:r w:rsidR="000B0DDC">
              <w:rPr>
                <w:rStyle w:val="Hyperlink"/>
                <w:rFonts w:cs="Arial"/>
                <w:noProof/>
                <w:lang w:val="en-GB"/>
              </w:rPr>
              <w:t>2.5</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The Social Expansion</w:t>
            </w:r>
            <w:r w:rsidR="000B0DDC">
              <w:rPr>
                <w:noProof/>
                <w:webHidden/>
              </w:rPr>
              <w:tab/>
            </w:r>
            <w:r w:rsidR="000B0DDC">
              <w:rPr>
                <w:noProof/>
                <w:webHidden/>
              </w:rPr>
              <w:fldChar w:fldCharType="begin"/>
            </w:r>
            <w:r w:rsidR="000B0DDC">
              <w:rPr>
                <w:noProof/>
                <w:webHidden/>
              </w:rPr>
              <w:instrText xml:space="preserve"> PAGEREF _Toc166368614 \h </w:instrText>
            </w:r>
            <w:r w:rsidR="000B0DDC">
              <w:rPr>
                <w:noProof/>
                <w:webHidden/>
              </w:rPr>
            </w:r>
            <w:r w:rsidR="000B0DDC">
              <w:rPr>
                <w:noProof/>
                <w:webHidden/>
              </w:rPr>
              <w:fldChar w:fldCharType="separate"/>
            </w:r>
            <w:r w:rsidR="000B0DDC">
              <w:rPr>
                <w:noProof/>
                <w:webHidden/>
              </w:rPr>
              <w:t>18</w:t>
            </w:r>
            <w:r w:rsidR="000B0DDC">
              <w:rPr>
                <w:noProof/>
                <w:webHidden/>
              </w:rPr>
              <w:fldChar w:fldCharType="end"/>
            </w:r>
          </w:hyperlink>
        </w:p>
        <w:p w:rsidR="000B0DDC" w:rsidRDefault="00EB3B59" w:rsidP="000B0DDC">
          <w:pPr>
            <w:pStyle w:val="TOC3"/>
            <w:tabs>
              <w:tab w:val="left" w:pos="1440"/>
              <w:tab w:val="right" w:leader="dot" w:pos="9350"/>
            </w:tabs>
            <w:rPr>
              <w:rFonts w:asciiTheme="minorHAnsi" w:hAnsiTheme="minorHAnsi"/>
              <w:noProof/>
              <w:kern w:val="2"/>
              <w:szCs w:val="24"/>
              <w:lang w:val="en-IN" w:eastAsia="en-GB"/>
              <w14:ligatures w14:val="standardContextual"/>
            </w:rPr>
          </w:pPr>
          <w:hyperlink w:anchor="_Toc166368615" w:history="1">
            <w:r w:rsidR="000B0DDC" w:rsidRPr="006E39CB">
              <w:rPr>
                <w:rStyle w:val="Hyperlink"/>
                <w:rFonts w:cs="Arial"/>
                <w:noProof/>
                <w:lang w:val="en-GB"/>
              </w:rPr>
              <w:t>2.4.1</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Gender Roles and Societal Expectations</w:t>
            </w:r>
            <w:r w:rsidR="000B0DDC">
              <w:rPr>
                <w:noProof/>
                <w:webHidden/>
              </w:rPr>
              <w:tab/>
            </w:r>
            <w:r w:rsidR="000B0DDC">
              <w:rPr>
                <w:noProof/>
                <w:webHidden/>
              </w:rPr>
              <w:fldChar w:fldCharType="begin"/>
            </w:r>
            <w:r w:rsidR="000B0DDC">
              <w:rPr>
                <w:noProof/>
                <w:webHidden/>
              </w:rPr>
              <w:instrText xml:space="preserve"> PAGEREF _Toc166368615 \h </w:instrText>
            </w:r>
            <w:r w:rsidR="000B0DDC">
              <w:rPr>
                <w:noProof/>
                <w:webHidden/>
              </w:rPr>
            </w:r>
            <w:r w:rsidR="000B0DDC">
              <w:rPr>
                <w:noProof/>
                <w:webHidden/>
              </w:rPr>
              <w:fldChar w:fldCharType="separate"/>
            </w:r>
            <w:r w:rsidR="000B0DDC">
              <w:rPr>
                <w:noProof/>
                <w:webHidden/>
              </w:rPr>
              <w:t>18</w:t>
            </w:r>
            <w:r w:rsidR="000B0DDC">
              <w:rPr>
                <w:noProof/>
                <w:webHidden/>
              </w:rPr>
              <w:fldChar w:fldCharType="end"/>
            </w:r>
          </w:hyperlink>
        </w:p>
        <w:p w:rsidR="000B0DDC" w:rsidRDefault="00EB3B59" w:rsidP="000B0DDC">
          <w:pPr>
            <w:pStyle w:val="TOC3"/>
            <w:tabs>
              <w:tab w:val="left" w:pos="1440"/>
              <w:tab w:val="right" w:leader="dot" w:pos="9350"/>
            </w:tabs>
            <w:rPr>
              <w:rFonts w:asciiTheme="minorHAnsi" w:hAnsiTheme="minorHAnsi"/>
              <w:noProof/>
              <w:kern w:val="2"/>
              <w:szCs w:val="24"/>
              <w:lang w:val="en-IN" w:eastAsia="en-GB"/>
              <w14:ligatures w14:val="standardContextual"/>
            </w:rPr>
          </w:pPr>
          <w:hyperlink w:anchor="_Toc166368616" w:history="1">
            <w:r w:rsidR="000B0DDC" w:rsidRPr="006E39CB">
              <w:rPr>
                <w:rStyle w:val="Hyperlink"/>
                <w:rFonts w:cs="Arial"/>
                <w:noProof/>
                <w:lang w:val="en-GB"/>
              </w:rPr>
              <w:t>2.4.2</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Digitalization and Remote Work Trends</w:t>
            </w:r>
            <w:r w:rsidR="000B0DDC">
              <w:rPr>
                <w:noProof/>
                <w:webHidden/>
              </w:rPr>
              <w:tab/>
            </w:r>
            <w:r w:rsidR="000B0DDC">
              <w:rPr>
                <w:noProof/>
                <w:webHidden/>
              </w:rPr>
              <w:fldChar w:fldCharType="begin"/>
            </w:r>
            <w:r w:rsidR="000B0DDC">
              <w:rPr>
                <w:noProof/>
                <w:webHidden/>
              </w:rPr>
              <w:instrText xml:space="preserve"> PAGEREF _Toc166368616 \h </w:instrText>
            </w:r>
            <w:r w:rsidR="000B0DDC">
              <w:rPr>
                <w:noProof/>
                <w:webHidden/>
              </w:rPr>
            </w:r>
            <w:r w:rsidR="000B0DDC">
              <w:rPr>
                <w:noProof/>
                <w:webHidden/>
              </w:rPr>
              <w:fldChar w:fldCharType="separate"/>
            </w:r>
            <w:r w:rsidR="000B0DDC">
              <w:rPr>
                <w:noProof/>
                <w:webHidden/>
              </w:rPr>
              <w:t>18</w:t>
            </w:r>
            <w:r w:rsidR="000B0DDC">
              <w:rPr>
                <w:noProof/>
                <w:webHidden/>
              </w:rPr>
              <w:fldChar w:fldCharType="end"/>
            </w:r>
          </w:hyperlink>
        </w:p>
        <w:p w:rsidR="000B0DDC" w:rsidRDefault="00EB3B59" w:rsidP="000B0DDC">
          <w:pPr>
            <w:pStyle w:val="TOC3"/>
            <w:tabs>
              <w:tab w:val="left" w:pos="1440"/>
              <w:tab w:val="right" w:leader="dot" w:pos="9350"/>
            </w:tabs>
            <w:rPr>
              <w:rFonts w:asciiTheme="minorHAnsi" w:hAnsiTheme="minorHAnsi"/>
              <w:noProof/>
              <w:kern w:val="2"/>
              <w:szCs w:val="24"/>
              <w:lang w:val="en-IN" w:eastAsia="en-GB"/>
              <w14:ligatures w14:val="standardContextual"/>
            </w:rPr>
          </w:pPr>
          <w:hyperlink w:anchor="_Toc166368617" w:history="1">
            <w:r w:rsidR="000B0DDC" w:rsidRPr="006E39CB">
              <w:rPr>
                <w:rStyle w:val="Hyperlink"/>
                <w:rFonts w:cs="Arial"/>
                <w:noProof/>
                <w:lang w:val="en-GB"/>
              </w:rPr>
              <w:t>2.4.3</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Health Implications of Dual Earning</w:t>
            </w:r>
            <w:r w:rsidR="000B0DDC">
              <w:rPr>
                <w:noProof/>
                <w:webHidden/>
              </w:rPr>
              <w:tab/>
            </w:r>
            <w:r w:rsidR="000B0DDC">
              <w:rPr>
                <w:noProof/>
                <w:webHidden/>
              </w:rPr>
              <w:fldChar w:fldCharType="begin"/>
            </w:r>
            <w:r w:rsidR="000B0DDC">
              <w:rPr>
                <w:noProof/>
                <w:webHidden/>
              </w:rPr>
              <w:instrText xml:space="preserve"> PAGEREF _Toc166368617 \h </w:instrText>
            </w:r>
            <w:r w:rsidR="000B0DDC">
              <w:rPr>
                <w:noProof/>
                <w:webHidden/>
              </w:rPr>
            </w:r>
            <w:r w:rsidR="000B0DDC">
              <w:rPr>
                <w:noProof/>
                <w:webHidden/>
              </w:rPr>
              <w:fldChar w:fldCharType="separate"/>
            </w:r>
            <w:r w:rsidR="000B0DDC">
              <w:rPr>
                <w:noProof/>
                <w:webHidden/>
              </w:rPr>
              <w:t>19</w:t>
            </w:r>
            <w:r w:rsidR="000B0DDC">
              <w:rPr>
                <w:noProof/>
                <w:webHidden/>
              </w:rPr>
              <w:fldChar w:fldCharType="end"/>
            </w:r>
          </w:hyperlink>
        </w:p>
        <w:p w:rsidR="000B0DDC" w:rsidRDefault="00EB3B59" w:rsidP="000B0DDC">
          <w:pPr>
            <w:pStyle w:val="TOC3"/>
            <w:tabs>
              <w:tab w:val="left" w:pos="1440"/>
              <w:tab w:val="right" w:leader="dot" w:pos="9350"/>
            </w:tabs>
            <w:rPr>
              <w:rFonts w:asciiTheme="minorHAnsi" w:hAnsiTheme="minorHAnsi"/>
              <w:noProof/>
              <w:kern w:val="2"/>
              <w:szCs w:val="24"/>
              <w:lang w:val="en-IN" w:eastAsia="en-GB"/>
              <w14:ligatures w14:val="standardContextual"/>
            </w:rPr>
          </w:pPr>
          <w:hyperlink w:anchor="_Toc166368618" w:history="1">
            <w:r w:rsidR="000B0DDC" w:rsidRPr="006E39CB">
              <w:rPr>
                <w:rStyle w:val="Hyperlink"/>
                <w:rFonts w:cs="Arial"/>
                <w:noProof/>
              </w:rPr>
              <w:t>2.4.4</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rPr>
              <w:t>Changing Culture and Social Adjustments for Dual-Income Norms</w:t>
            </w:r>
            <w:r w:rsidR="000B0DDC">
              <w:rPr>
                <w:noProof/>
                <w:webHidden/>
              </w:rPr>
              <w:tab/>
            </w:r>
            <w:r w:rsidR="000B0DDC">
              <w:rPr>
                <w:noProof/>
                <w:webHidden/>
              </w:rPr>
              <w:fldChar w:fldCharType="begin"/>
            </w:r>
            <w:r w:rsidR="000B0DDC">
              <w:rPr>
                <w:noProof/>
                <w:webHidden/>
              </w:rPr>
              <w:instrText xml:space="preserve"> PAGEREF _Toc166368618 \h </w:instrText>
            </w:r>
            <w:r w:rsidR="000B0DDC">
              <w:rPr>
                <w:noProof/>
                <w:webHidden/>
              </w:rPr>
            </w:r>
            <w:r w:rsidR="000B0DDC">
              <w:rPr>
                <w:noProof/>
                <w:webHidden/>
              </w:rPr>
              <w:fldChar w:fldCharType="separate"/>
            </w:r>
            <w:r w:rsidR="000B0DDC">
              <w:rPr>
                <w:noProof/>
                <w:webHidden/>
              </w:rPr>
              <w:t>19</w:t>
            </w:r>
            <w:r w:rsidR="000B0DDC">
              <w:rPr>
                <w:noProof/>
                <w:webHidden/>
              </w:rPr>
              <w:fldChar w:fldCharType="end"/>
            </w:r>
          </w:hyperlink>
        </w:p>
        <w:p w:rsidR="000B0DDC" w:rsidRDefault="00EB3B59" w:rsidP="000B0DDC">
          <w:pPr>
            <w:pStyle w:val="TOC3"/>
            <w:tabs>
              <w:tab w:val="left" w:pos="1440"/>
              <w:tab w:val="right" w:leader="dot" w:pos="9350"/>
            </w:tabs>
            <w:rPr>
              <w:rFonts w:asciiTheme="minorHAnsi" w:hAnsiTheme="minorHAnsi"/>
              <w:noProof/>
              <w:kern w:val="2"/>
              <w:szCs w:val="24"/>
              <w:lang w:val="en-IN" w:eastAsia="en-GB"/>
              <w14:ligatures w14:val="standardContextual"/>
            </w:rPr>
          </w:pPr>
          <w:hyperlink w:anchor="_Toc166368619" w:history="1">
            <w:r w:rsidR="000B0DDC" w:rsidRPr="006E39CB">
              <w:rPr>
                <w:rStyle w:val="Hyperlink"/>
                <w:rFonts w:cs="Arial"/>
                <w:noProof/>
                <w:lang w:val="en-GB"/>
              </w:rPr>
              <w:t>2.4.5</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The Green Aspect of Dual Incomes</w:t>
            </w:r>
            <w:r w:rsidR="000B0DDC">
              <w:rPr>
                <w:noProof/>
                <w:webHidden/>
              </w:rPr>
              <w:tab/>
            </w:r>
            <w:r w:rsidR="000B0DDC">
              <w:rPr>
                <w:noProof/>
                <w:webHidden/>
              </w:rPr>
              <w:fldChar w:fldCharType="begin"/>
            </w:r>
            <w:r w:rsidR="000B0DDC">
              <w:rPr>
                <w:noProof/>
                <w:webHidden/>
              </w:rPr>
              <w:instrText xml:space="preserve"> PAGEREF _Toc166368619 \h </w:instrText>
            </w:r>
            <w:r w:rsidR="000B0DDC">
              <w:rPr>
                <w:noProof/>
                <w:webHidden/>
              </w:rPr>
            </w:r>
            <w:r w:rsidR="000B0DDC">
              <w:rPr>
                <w:noProof/>
                <w:webHidden/>
              </w:rPr>
              <w:fldChar w:fldCharType="separate"/>
            </w:r>
            <w:r w:rsidR="000B0DDC">
              <w:rPr>
                <w:noProof/>
                <w:webHidden/>
              </w:rPr>
              <w:t>20</w:t>
            </w:r>
            <w:r w:rsidR="000B0DDC">
              <w:rPr>
                <w:noProof/>
                <w:webHidden/>
              </w:rPr>
              <w:fldChar w:fldCharType="end"/>
            </w:r>
          </w:hyperlink>
        </w:p>
        <w:p w:rsidR="000B0DDC" w:rsidRDefault="00EB3B59" w:rsidP="000B0DDC">
          <w:pPr>
            <w:pStyle w:val="TOC3"/>
            <w:tabs>
              <w:tab w:val="left" w:pos="1440"/>
              <w:tab w:val="right" w:leader="dot" w:pos="9350"/>
            </w:tabs>
            <w:rPr>
              <w:rFonts w:asciiTheme="minorHAnsi" w:hAnsiTheme="minorHAnsi"/>
              <w:noProof/>
              <w:kern w:val="2"/>
              <w:szCs w:val="24"/>
              <w:lang w:val="en-IN" w:eastAsia="en-GB"/>
              <w14:ligatures w14:val="standardContextual"/>
            </w:rPr>
          </w:pPr>
          <w:hyperlink w:anchor="_Toc166368620" w:history="1">
            <w:r w:rsidR="000B0DDC" w:rsidRPr="006E39CB">
              <w:rPr>
                <w:rStyle w:val="Hyperlink"/>
                <w:rFonts w:cs="Arial"/>
                <w:noProof/>
                <w:lang w:val="en-GB"/>
              </w:rPr>
              <w:t>2.4.6</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Enhanced Wellness Discourse</w:t>
            </w:r>
            <w:r w:rsidR="000B0DDC">
              <w:rPr>
                <w:noProof/>
                <w:webHidden/>
              </w:rPr>
              <w:tab/>
            </w:r>
            <w:r w:rsidR="000B0DDC">
              <w:rPr>
                <w:noProof/>
                <w:webHidden/>
              </w:rPr>
              <w:fldChar w:fldCharType="begin"/>
            </w:r>
            <w:r w:rsidR="000B0DDC">
              <w:rPr>
                <w:noProof/>
                <w:webHidden/>
              </w:rPr>
              <w:instrText xml:space="preserve"> PAGEREF _Toc166368620 \h </w:instrText>
            </w:r>
            <w:r w:rsidR="000B0DDC">
              <w:rPr>
                <w:noProof/>
                <w:webHidden/>
              </w:rPr>
            </w:r>
            <w:r w:rsidR="000B0DDC">
              <w:rPr>
                <w:noProof/>
                <w:webHidden/>
              </w:rPr>
              <w:fldChar w:fldCharType="separate"/>
            </w:r>
            <w:r w:rsidR="000B0DDC">
              <w:rPr>
                <w:noProof/>
                <w:webHidden/>
              </w:rPr>
              <w:t>20</w:t>
            </w:r>
            <w:r w:rsidR="000B0DDC">
              <w:rPr>
                <w:noProof/>
                <w:webHidden/>
              </w:rPr>
              <w:fldChar w:fldCharType="end"/>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21" w:history="1">
            <w:r w:rsidR="000B0DDC" w:rsidRPr="006E39CB">
              <w:rPr>
                <w:rStyle w:val="Hyperlink"/>
                <w:rFonts w:cs="Arial"/>
                <w:noProof/>
                <w:lang w:val="en-GB"/>
              </w:rPr>
              <w:t>2.5</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Conceptual framework</w:t>
            </w:r>
            <w:r w:rsidR="000B0DDC">
              <w:rPr>
                <w:noProof/>
                <w:webHidden/>
              </w:rPr>
              <w:tab/>
            </w:r>
            <w:r w:rsidR="000B0DDC">
              <w:rPr>
                <w:noProof/>
                <w:webHidden/>
              </w:rPr>
              <w:fldChar w:fldCharType="begin"/>
            </w:r>
            <w:r w:rsidR="000B0DDC">
              <w:rPr>
                <w:noProof/>
                <w:webHidden/>
              </w:rPr>
              <w:instrText xml:space="preserve"> PAGEREF _Toc166368621 \h </w:instrText>
            </w:r>
            <w:r w:rsidR="000B0DDC">
              <w:rPr>
                <w:noProof/>
                <w:webHidden/>
              </w:rPr>
            </w:r>
            <w:r w:rsidR="000B0DDC">
              <w:rPr>
                <w:noProof/>
                <w:webHidden/>
              </w:rPr>
              <w:fldChar w:fldCharType="separate"/>
            </w:r>
            <w:r w:rsidR="000B0DDC">
              <w:rPr>
                <w:noProof/>
                <w:webHidden/>
              </w:rPr>
              <w:t>21</w:t>
            </w:r>
            <w:r w:rsidR="000B0DDC">
              <w:rPr>
                <w:noProof/>
                <w:webHidden/>
              </w:rPr>
              <w:fldChar w:fldCharType="end"/>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22" w:history="1">
            <w:r w:rsidR="000B0DDC" w:rsidRPr="006E39CB">
              <w:rPr>
                <w:rStyle w:val="Hyperlink"/>
                <w:rFonts w:cs="Arial"/>
                <w:noProof/>
                <w:lang w:val="en-GB"/>
              </w:rPr>
              <w:t>2.6</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Conclusion</w:t>
            </w:r>
            <w:r w:rsidR="000B0DDC">
              <w:rPr>
                <w:noProof/>
                <w:webHidden/>
              </w:rPr>
              <w:tab/>
            </w:r>
            <w:r w:rsidR="000B0DDC">
              <w:rPr>
                <w:noProof/>
                <w:webHidden/>
              </w:rPr>
              <w:fldChar w:fldCharType="begin"/>
            </w:r>
            <w:r w:rsidR="000B0DDC">
              <w:rPr>
                <w:noProof/>
                <w:webHidden/>
              </w:rPr>
              <w:instrText xml:space="preserve"> PAGEREF _Toc166368622 \h </w:instrText>
            </w:r>
            <w:r w:rsidR="000B0DDC">
              <w:rPr>
                <w:noProof/>
                <w:webHidden/>
              </w:rPr>
            </w:r>
            <w:r w:rsidR="000B0DDC">
              <w:rPr>
                <w:noProof/>
                <w:webHidden/>
              </w:rPr>
              <w:fldChar w:fldCharType="separate"/>
            </w:r>
            <w:r w:rsidR="000B0DDC">
              <w:rPr>
                <w:noProof/>
                <w:webHidden/>
              </w:rPr>
              <w:t>21</w:t>
            </w:r>
            <w:r w:rsidR="000B0DDC">
              <w:rPr>
                <w:noProof/>
                <w:webHidden/>
              </w:rPr>
              <w:fldChar w:fldCharType="end"/>
            </w:r>
          </w:hyperlink>
        </w:p>
        <w:p w:rsidR="000B0DDC" w:rsidRDefault="00EB3B59" w:rsidP="000B0DDC">
          <w:pPr>
            <w:pStyle w:val="TOC3"/>
            <w:tabs>
              <w:tab w:val="left" w:pos="1440"/>
              <w:tab w:val="right" w:leader="dot" w:pos="9350"/>
            </w:tabs>
            <w:rPr>
              <w:rFonts w:asciiTheme="minorHAnsi" w:hAnsiTheme="minorHAnsi"/>
              <w:noProof/>
              <w:kern w:val="2"/>
              <w:szCs w:val="24"/>
              <w:lang w:val="en-IN" w:eastAsia="en-GB"/>
              <w14:ligatures w14:val="standardContextual"/>
            </w:rPr>
          </w:pPr>
          <w:hyperlink w:anchor="_Toc166368623" w:history="1">
            <w:r w:rsidR="000B0DDC" w:rsidRPr="006E39CB">
              <w:rPr>
                <w:rStyle w:val="Hyperlink"/>
                <w:rFonts w:cs="Arial"/>
                <w:noProof/>
                <w:lang w:val="en-GB"/>
              </w:rPr>
              <w:t>2.6.1</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Research Gap</w:t>
            </w:r>
            <w:r w:rsidR="000B0DDC">
              <w:rPr>
                <w:noProof/>
                <w:webHidden/>
              </w:rPr>
              <w:tab/>
            </w:r>
            <w:r w:rsidR="000B0DDC">
              <w:rPr>
                <w:noProof/>
                <w:webHidden/>
              </w:rPr>
              <w:fldChar w:fldCharType="begin"/>
            </w:r>
            <w:r w:rsidR="000B0DDC">
              <w:rPr>
                <w:noProof/>
                <w:webHidden/>
              </w:rPr>
              <w:instrText xml:space="preserve"> PAGEREF _Toc166368623 \h </w:instrText>
            </w:r>
            <w:r w:rsidR="000B0DDC">
              <w:rPr>
                <w:noProof/>
                <w:webHidden/>
              </w:rPr>
            </w:r>
            <w:r w:rsidR="000B0DDC">
              <w:rPr>
                <w:noProof/>
                <w:webHidden/>
              </w:rPr>
              <w:fldChar w:fldCharType="separate"/>
            </w:r>
            <w:r w:rsidR="000B0DDC">
              <w:rPr>
                <w:noProof/>
                <w:webHidden/>
              </w:rPr>
              <w:t>21</w:t>
            </w:r>
            <w:r w:rsidR="000B0DDC">
              <w:rPr>
                <w:noProof/>
                <w:webHidden/>
              </w:rPr>
              <w:fldChar w:fldCharType="end"/>
            </w:r>
          </w:hyperlink>
        </w:p>
        <w:p w:rsidR="000B0DDC" w:rsidRDefault="00EB3B59" w:rsidP="000B0DDC">
          <w:pPr>
            <w:pStyle w:val="TOC1"/>
            <w:tabs>
              <w:tab w:val="left" w:pos="440"/>
              <w:tab w:val="right" w:leader="dot" w:pos="9350"/>
            </w:tabs>
            <w:rPr>
              <w:rFonts w:asciiTheme="minorHAnsi" w:hAnsiTheme="minorHAnsi"/>
              <w:noProof/>
              <w:kern w:val="2"/>
              <w:szCs w:val="24"/>
              <w:lang w:val="en-IN" w:eastAsia="en-GB"/>
              <w14:ligatures w14:val="standardContextual"/>
            </w:rPr>
          </w:pPr>
          <w:hyperlink w:anchor="_Toc166368624" w:history="1">
            <w:r w:rsidR="000B0DDC" w:rsidRPr="006E39CB">
              <w:rPr>
                <w:rStyle w:val="Hyperlink"/>
                <w:rFonts w:cs="Arial"/>
                <w:noProof/>
              </w:rPr>
              <w:t>3</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rPr>
              <w:t>Methodology</w:t>
            </w:r>
            <w:r w:rsidR="000B0DDC">
              <w:rPr>
                <w:noProof/>
                <w:webHidden/>
              </w:rPr>
              <w:tab/>
            </w:r>
            <w:r w:rsidR="000B0DDC">
              <w:rPr>
                <w:noProof/>
                <w:webHidden/>
              </w:rPr>
              <w:fldChar w:fldCharType="begin"/>
            </w:r>
            <w:r w:rsidR="000B0DDC">
              <w:rPr>
                <w:noProof/>
                <w:webHidden/>
              </w:rPr>
              <w:instrText xml:space="preserve"> PAGEREF _Toc166368624 \h </w:instrText>
            </w:r>
            <w:r w:rsidR="000B0DDC">
              <w:rPr>
                <w:noProof/>
                <w:webHidden/>
              </w:rPr>
            </w:r>
            <w:r w:rsidR="000B0DDC">
              <w:rPr>
                <w:noProof/>
                <w:webHidden/>
              </w:rPr>
              <w:fldChar w:fldCharType="separate"/>
            </w:r>
            <w:r w:rsidR="000B0DDC">
              <w:rPr>
                <w:noProof/>
                <w:webHidden/>
              </w:rPr>
              <w:t>22</w:t>
            </w:r>
            <w:r w:rsidR="000B0DDC">
              <w:rPr>
                <w:noProof/>
                <w:webHidden/>
              </w:rPr>
              <w:fldChar w:fldCharType="end"/>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25" w:history="1">
            <w:r w:rsidR="000B0DDC" w:rsidRPr="006E39CB">
              <w:rPr>
                <w:rStyle w:val="Hyperlink"/>
                <w:rFonts w:cs="Arial"/>
                <w:noProof/>
                <w:lang w:val="en-GB"/>
              </w:rPr>
              <w:t>3.1</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Introduction</w:t>
            </w:r>
            <w:r w:rsidR="000B0DDC">
              <w:rPr>
                <w:noProof/>
                <w:webHidden/>
              </w:rPr>
              <w:tab/>
            </w:r>
            <w:r w:rsidR="000B0DDC">
              <w:rPr>
                <w:noProof/>
                <w:webHidden/>
              </w:rPr>
              <w:fldChar w:fldCharType="begin"/>
            </w:r>
            <w:r w:rsidR="000B0DDC">
              <w:rPr>
                <w:noProof/>
                <w:webHidden/>
              </w:rPr>
              <w:instrText xml:space="preserve"> PAGEREF _Toc166368625 \h </w:instrText>
            </w:r>
            <w:r w:rsidR="000B0DDC">
              <w:rPr>
                <w:noProof/>
                <w:webHidden/>
              </w:rPr>
            </w:r>
            <w:r w:rsidR="000B0DDC">
              <w:rPr>
                <w:noProof/>
                <w:webHidden/>
              </w:rPr>
              <w:fldChar w:fldCharType="separate"/>
            </w:r>
            <w:r w:rsidR="000B0DDC">
              <w:rPr>
                <w:noProof/>
                <w:webHidden/>
              </w:rPr>
              <w:t>22</w:t>
            </w:r>
            <w:r w:rsidR="000B0DDC">
              <w:rPr>
                <w:noProof/>
                <w:webHidden/>
              </w:rPr>
              <w:fldChar w:fldCharType="end"/>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26" w:history="1">
            <w:r w:rsidR="000B0DDC" w:rsidRPr="006E39CB">
              <w:rPr>
                <w:rStyle w:val="Hyperlink"/>
                <w:rFonts w:cs="Arial"/>
                <w:noProof/>
                <w:lang w:val="en-GB"/>
              </w:rPr>
              <w:t>3.2</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Research philosophy</w:t>
            </w:r>
            <w:r w:rsidR="000B0DDC">
              <w:rPr>
                <w:noProof/>
                <w:webHidden/>
              </w:rPr>
              <w:tab/>
            </w:r>
            <w:r w:rsidR="000B0DDC">
              <w:rPr>
                <w:noProof/>
                <w:webHidden/>
              </w:rPr>
              <w:fldChar w:fldCharType="begin"/>
            </w:r>
            <w:r w:rsidR="000B0DDC">
              <w:rPr>
                <w:noProof/>
                <w:webHidden/>
              </w:rPr>
              <w:instrText xml:space="preserve"> PAGEREF _Toc166368626 \h </w:instrText>
            </w:r>
            <w:r w:rsidR="000B0DDC">
              <w:rPr>
                <w:noProof/>
                <w:webHidden/>
              </w:rPr>
            </w:r>
            <w:r w:rsidR="000B0DDC">
              <w:rPr>
                <w:noProof/>
                <w:webHidden/>
              </w:rPr>
              <w:fldChar w:fldCharType="separate"/>
            </w:r>
            <w:r w:rsidR="000B0DDC">
              <w:rPr>
                <w:noProof/>
                <w:webHidden/>
              </w:rPr>
              <w:t>23</w:t>
            </w:r>
            <w:r w:rsidR="000B0DDC">
              <w:rPr>
                <w:noProof/>
                <w:webHidden/>
              </w:rPr>
              <w:fldChar w:fldCharType="end"/>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27" w:history="1">
            <w:r w:rsidR="000B0DDC" w:rsidRPr="006E39CB">
              <w:rPr>
                <w:rStyle w:val="Hyperlink"/>
                <w:rFonts w:cs="Arial"/>
                <w:noProof/>
                <w:lang w:val="en-GB"/>
              </w:rPr>
              <w:t>3.3</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Research Approach</w:t>
            </w:r>
            <w:r w:rsidR="000B0DDC">
              <w:rPr>
                <w:noProof/>
                <w:webHidden/>
              </w:rPr>
              <w:tab/>
            </w:r>
            <w:r w:rsidR="000B0DDC">
              <w:rPr>
                <w:noProof/>
                <w:webHidden/>
              </w:rPr>
              <w:fldChar w:fldCharType="begin"/>
            </w:r>
            <w:r w:rsidR="000B0DDC">
              <w:rPr>
                <w:noProof/>
                <w:webHidden/>
              </w:rPr>
              <w:instrText xml:space="preserve"> PAGEREF _Toc166368627 \h </w:instrText>
            </w:r>
            <w:r w:rsidR="000B0DDC">
              <w:rPr>
                <w:noProof/>
                <w:webHidden/>
              </w:rPr>
            </w:r>
            <w:r w:rsidR="000B0DDC">
              <w:rPr>
                <w:noProof/>
                <w:webHidden/>
              </w:rPr>
              <w:fldChar w:fldCharType="separate"/>
            </w:r>
            <w:r w:rsidR="000B0DDC">
              <w:rPr>
                <w:noProof/>
                <w:webHidden/>
              </w:rPr>
              <w:t>24</w:t>
            </w:r>
            <w:r w:rsidR="000B0DDC">
              <w:rPr>
                <w:noProof/>
                <w:webHidden/>
              </w:rPr>
              <w:fldChar w:fldCharType="end"/>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28" w:history="1">
            <w:r w:rsidR="000B0DDC" w:rsidRPr="006E39CB">
              <w:rPr>
                <w:rStyle w:val="Hyperlink"/>
                <w:rFonts w:cs="Arial"/>
                <w:noProof/>
                <w:lang w:val="en-GB"/>
              </w:rPr>
              <w:t>3.4</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Research Design</w:t>
            </w:r>
            <w:r w:rsidR="000B0DDC">
              <w:rPr>
                <w:noProof/>
                <w:webHidden/>
              </w:rPr>
              <w:tab/>
            </w:r>
            <w:r w:rsidR="000B0DDC">
              <w:rPr>
                <w:noProof/>
                <w:webHidden/>
              </w:rPr>
              <w:fldChar w:fldCharType="begin"/>
            </w:r>
            <w:r w:rsidR="000B0DDC">
              <w:rPr>
                <w:noProof/>
                <w:webHidden/>
              </w:rPr>
              <w:instrText xml:space="preserve"> PAGEREF _Toc166368628 \h </w:instrText>
            </w:r>
            <w:r w:rsidR="000B0DDC">
              <w:rPr>
                <w:noProof/>
                <w:webHidden/>
              </w:rPr>
            </w:r>
            <w:r w:rsidR="000B0DDC">
              <w:rPr>
                <w:noProof/>
                <w:webHidden/>
              </w:rPr>
              <w:fldChar w:fldCharType="separate"/>
            </w:r>
            <w:r w:rsidR="000B0DDC">
              <w:rPr>
                <w:noProof/>
                <w:webHidden/>
              </w:rPr>
              <w:t>25</w:t>
            </w:r>
            <w:r w:rsidR="000B0DDC">
              <w:rPr>
                <w:noProof/>
                <w:webHidden/>
              </w:rPr>
              <w:fldChar w:fldCharType="end"/>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29" w:history="1">
            <w:r w:rsidR="000B0DDC" w:rsidRPr="006E39CB">
              <w:rPr>
                <w:rStyle w:val="Hyperlink"/>
                <w:rFonts w:cs="Arial"/>
                <w:noProof/>
                <w:lang w:val="en-GB"/>
              </w:rPr>
              <w:t>3.5</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Research Strategy</w:t>
            </w:r>
            <w:r w:rsidR="000B0DDC">
              <w:rPr>
                <w:noProof/>
                <w:webHidden/>
              </w:rPr>
              <w:tab/>
            </w:r>
            <w:r w:rsidR="000B0DDC">
              <w:rPr>
                <w:noProof/>
                <w:webHidden/>
              </w:rPr>
              <w:fldChar w:fldCharType="begin"/>
            </w:r>
            <w:r w:rsidR="000B0DDC">
              <w:rPr>
                <w:noProof/>
                <w:webHidden/>
              </w:rPr>
              <w:instrText xml:space="preserve"> PAGEREF _Toc166368629 \h </w:instrText>
            </w:r>
            <w:r w:rsidR="000B0DDC">
              <w:rPr>
                <w:noProof/>
                <w:webHidden/>
              </w:rPr>
            </w:r>
            <w:r w:rsidR="000B0DDC">
              <w:rPr>
                <w:noProof/>
                <w:webHidden/>
              </w:rPr>
              <w:fldChar w:fldCharType="separate"/>
            </w:r>
            <w:r w:rsidR="000B0DDC">
              <w:rPr>
                <w:noProof/>
                <w:webHidden/>
              </w:rPr>
              <w:t>26</w:t>
            </w:r>
            <w:r w:rsidR="000B0DDC">
              <w:rPr>
                <w:noProof/>
                <w:webHidden/>
              </w:rPr>
              <w:fldChar w:fldCharType="end"/>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30" w:history="1">
            <w:r w:rsidR="000B0DDC" w:rsidRPr="006E39CB">
              <w:rPr>
                <w:rStyle w:val="Hyperlink"/>
                <w:rFonts w:cs="Arial"/>
                <w:noProof/>
                <w:lang w:val="en-GB"/>
              </w:rPr>
              <w:t>3.6</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Data Collection</w:t>
            </w:r>
            <w:r w:rsidR="000B0DDC">
              <w:rPr>
                <w:noProof/>
                <w:webHidden/>
              </w:rPr>
              <w:tab/>
            </w:r>
            <w:r w:rsidR="000B0DDC">
              <w:rPr>
                <w:noProof/>
                <w:webHidden/>
              </w:rPr>
              <w:fldChar w:fldCharType="begin"/>
            </w:r>
            <w:r w:rsidR="000B0DDC">
              <w:rPr>
                <w:noProof/>
                <w:webHidden/>
              </w:rPr>
              <w:instrText xml:space="preserve"> PAGEREF _Toc166368630 \h </w:instrText>
            </w:r>
            <w:r w:rsidR="000B0DDC">
              <w:rPr>
                <w:noProof/>
                <w:webHidden/>
              </w:rPr>
            </w:r>
            <w:r w:rsidR="000B0DDC">
              <w:rPr>
                <w:noProof/>
                <w:webHidden/>
              </w:rPr>
              <w:fldChar w:fldCharType="separate"/>
            </w:r>
            <w:r w:rsidR="000B0DDC">
              <w:rPr>
                <w:noProof/>
                <w:webHidden/>
              </w:rPr>
              <w:t>27</w:t>
            </w:r>
            <w:r w:rsidR="000B0DDC">
              <w:rPr>
                <w:noProof/>
                <w:webHidden/>
              </w:rPr>
              <w:fldChar w:fldCharType="end"/>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31" w:history="1">
            <w:r w:rsidR="000B0DDC" w:rsidRPr="006E39CB">
              <w:rPr>
                <w:rStyle w:val="Hyperlink"/>
                <w:rFonts w:cs="Arial"/>
                <w:noProof/>
                <w:lang w:val="en-GB"/>
              </w:rPr>
              <w:t>3.7</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Search Strategy</w:t>
            </w:r>
            <w:r w:rsidR="000B0DDC">
              <w:rPr>
                <w:noProof/>
                <w:webHidden/>
              </w:rPr>
              <w:tab/>
            </w:r>
            <w:r w:rsidR="000B0DDC">
              <w:rPr>
                <w:noProof/>
                <w:webHidden/>
              </w:rPr>
              <w:fldChar w:fldCharType="begin"/>
            </w:r>
            <w:r w:rsidR="000B0DDC">
              <w:rPr>
                <w:noProof/>
                <w:webHidden/>
              </w:rPr>
              <w:instrText xml:space="preserve"> PAGEREF _Toc166368631 \h </w:instrText>
            </w:r>
            <w:r w:rsidR="000B0DDC">
              <w:rPr>
                <w:noProof/>
                <w:webHidden/>
              </w:rPr>
            </w:r>
            <w:r w:rsidR="000B0DDC">
              <w:rPr>
                <w:noProof/>
                <w:webHidden/>
              </w:rPr>
              <w:fldChar w:fldCharType="separate"/>
            </w:r>
            <w:r w:rsidR="000B0DDC">
              <w:rPr>
                <w:noProof/>
                <w:webHidden/>
              </w:rPr>
              <w:t>29</w:t>
            </w:r>
            <w:r w:rsidR="000B0DDC">
              <w:rPr>
                <w:noProof/>
                <w:webHidden/>
              </w:rPr>
              <w:fldChar w:fldCharType="end"/>
            </w:r>
          </w:hyperlink>
        </w:p>
        <w:p w:rsidR="000B0DDC" w:rsidRDefault="00EB3B59" w:rsidP="000B0DDC">
          <w:pPr>
            <w:pStyle w:val="TOC3"/>
            <w:tabs>
              <w:tab w:val="left" w:pos="1440"/>
              <w:tab w:val="right" w:leader="dot" w:pos="9350"/>
            </w:tabs>
            <w:rPr>
              <w:rFonts w:asciiTheme="minorHAnsi" w:hAnsiTheme="minorHAnsi"/>
              <w:noProof/>
              <w:kern w:val="2"/>
              <w:szCs w:val="24"/>
              <w:lang w:val="en-IN" w:eastAsia="en-GB"/>
              <w14:ligatures w14:val="standardContextual"/>
            </w:rPr>
          </w:pPr>
          <w:hyperlink w:anchor="_Toc166368632" w:history="1">
            <w:r w:rsidR="000B0DDC" w:rsidRPr="006E39CB">
              <w:rPr>
                <w:rStyle w:val="Hyperlink"/>
                <w:rFonts w:cs="Arial"/>
                <w:noProof/>
                <w:lang w:val="en-GB"/>
              </w:rPr>
              <w:t>3.7.1</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Search Terms</w:t>
            </w:r>
            <w:r w:rsidR="000B0DDC">
              <w:rPr>
                <w:noProof/>
                <w:webHidden/>
              </w:rPr>
              <w:tab/>
            </w:r>
            <w:r w:rsidR="000B0DDC">
              <w:rPr>
                <w:noProof/>
                <w:webHidden/>
              </w:rPr>
              <w:fldChar w:fldCharType="begin"/>
            </w:r>
            <w:r w:rsidR="000B0DDC">
              <w:rPr>
                <w:noProof/>
                <w:webHidden/>
              </w:rPr>
              <w:instrText xml:space="preserve"> PAGEREF _Toc166368632 \h </w:instrText>
            </w:r>
            <w:r w:rsidR="000B0DDC">
              <w:rPr>
                <w:noProof/>
                <w:webHidden/>
              </w:rPr>
            </w:r>
            <w:r w:rsidR="000B0DDC">
              <w:rPr>
                <w:noProof/>
                <w:webHidden/>
              </w:rPr>
              <w:fldChar w:fldCharType="separate"/>
            </w:r>
            <w:r w:rsidR="000B0DDC">
              <w:rPr>
                <w:noProof/>
                <w:webHidden/>
              </w:rPr>
              <w:t>29</w:t>
            </w:r>
            <w:r w:rsidR="000B0DDC">
              <w:rPr>
                <w:noProof/>
                <w:webHidden/>
              </w:rPr>
              <w:fldChar w:fldCharType="end"/>
            </w:r>
          </w:hyperlink>
        </w:p>
        <w:p w:rsidR="000B0DDC" w:rsidRDefault="00EB3B59" w:rsidP="000B0DDC">
          <w:pPr>
            <w:pStyle w:val="TOC3"/>
            <w:tabs>
              <w:tab w:val="left" w:pos="1440"/>
              <w:tab w:val="right" w:leader="dot" w:pos="9350"/>
            </w:tabs>
            <w:rPr>
              <w:rFonts w:asciiTheme="minorHAnsi" w:hAnsiTheme="minorHAnsi"/>
              <w:noProof/>
              <w:kern w:val="2"/>
              <w:szCs w:val="24"/>
              <w:lang w:val="en-IN" w:eastAsia="en-GB"/>
              <w14:ligatures w14:val="standardContextual"/>
            </w:rPr>
          </w:pPr>
          <w:hyperlink w:anchor="_Toc166368633" w:history="1">
            <w:r w:rsidR="000B0DDC" w:rsidRPr="006E39CB">
              <w:rPr>
                <w:rStyle w:val="Hyperlink"/>
                <w:rFonts w:cs="Arial"/>
                <w:noProof/>
                <w:lang w:val="en-GB"/>
              </w:rPr>
              <w:t>3.7.2</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Application of Logical Operators</w:t>
            </w:r>
            <w:r w:rsidR="000B0DDC">
              <w:rPr>
                <w:noProof/>
                <w:webHidden/>
              </w:rPr>
              <w:tab/>
            </w:r>
            <w:r w:rsidR="000B0DDC">
              <w:rPr>
                <w:noProof/>
                <w:webHidden/>
              </w:rPr>
              <w:fldChar w:fldCharType="begin"/>
            </w:r>
            <w:r w:rsidR="000B0DDC">
              <w:rPr>
                <w:noProof/>
                <w:webHidden/>
              </w:rPr>
              <w:instrText xml:space="preserve"> PAGEREF _Toc166368633 \h </w:instrText>
            </w:r>
            <w:r w:rsidR="000B0DDC">
              <w:rPr>
                <w:noProof/>
                <w:webHidden/>
              </w:rPr>
            </w:r>
            <w:r w:rsidR="000B0DDC">
              <w:rPr>
                <w:noProof/>
                <w:webHidden/>
              </w:rPr>
              <w:fldChar w:fldCharType="separate"/>
            </w:r>
            <w:r w:rsidR="000B0DDC">
              <w:rPr>
                <w:noProof/>
                <w:webHidden/>
              </w:rPr>
              <w:t>30</w:t>
            </w:r>
            <w:r w:rsidR="000B0DDC">
              <w:rPr>
                <w:noProof/>
                <w:webHidden/>
              </w:rPr>
              <w:fldChar w:fldCharType="end"/>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34" w:history="1">
            <w:r w:rsidR="000B0DDC" w:rsidRPr="006E39CB">
              <w:rPr>
                <w:rStyle w:val="Hyperlink"/>
                <w:rFonts w:cs="Arial"/>
                <w:noProof/>
                <w:lang w:val="en-GB"/>
              </w:rPr>
              <w:t>3.8</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Inclusion and Exclusion Criteria</w:t>
            </w:r>
            <w:r w:rsidR="000B0DDC">
              <w:rPr>
                <w:noProof/>
                <w:webHidden/>
              </w:rPr>
              <w:tab/>
            </w:r>
            <w:r w:rsidR="000B0DDC">
              <w:rPr>
                <w:noProof/>
                <w:webHidden/>
              </w:rPr>
              <w:fldChar w:fldCharType="begin"/>
            </w:r>
            <w:r w:rsidR="000B0DDC">
              <w:rPr>
                <w:noProof/>
                <w:webHidden/>
              </w:rPr>
              <w:instrText xml:space="preserve"> PAGEREF _Toc166368634 \h </w:instrText>
            </w:r>
            <w:r w:rsidR="000B0DDC">
              <w:rPr>
                <w:noProof/>
                <w:webHidden/>
              </w:rPr>
            </w:r>
            <w:r w:rsidR="000B0DDC">
              <w:rPr>
                <w:noProof/>
                <w:webHidden/>
              </w:rPr>
              <w:fldChar w:fldCharType="separate"/>
            </w:r>
            <w:r w:rsidR="000B0DDC">
              <w:rPr>
                <w:noProof/>
                <w:webHidden/>
              </w:rPr>
              <w:t>30</w:t>
            </w:r>
            <w:r w:rsidR="000B0DDC">
              <w:rPr>
                <w:noProof/>
                <w:webHidden/>
              </w:rPr>
              <w:fldChar w:fldCharType="end"/>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35" w:history="1">
            <w:r w:rsidR="000B0DDC" w:rsidRPr="006E39CB">
              <w:rPr>
                <w:rStyle w:val="Hyperlink"/>
                <w:rFonts w:cs="Arial"/>
                <w:noProof/>
                <w:lang w:val="en-GB"/>
              </w:rPr>
              <w:t>3.9</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Data Analysis</w:t>
            </w:r>
            <w:r w:rsidR="000B0DDC">
              <w:rPr>
                <w:noProof/>
                <w:webHidden/>
              </w:rPr>
              <w:tab/>
            </w:r>
            <w:r w:rsidR="000B0DDC">
              <w:rPr>
                <w:noProof/>
                <w:webHidden/>
              </w:rPr>
              <w:fldChar w:fldCharType="begin"/>
            </w:r>
            <w:r w:rsidR="000B0DDC">
              <w:rPr>
                <w:noProof/>
                <w:webHidden/>
              </w:rPr>
              <w:instrText xml:space="preserve"> PAGEREF _Toc166368635 \h </w:instrText>
            </w:r>
            <w:r w:rsidR="000B0DDC">
              <w:rPr>
                <w:noProof/>
                <w:webHidden/>
              </w:rPr>
            </w:r>
            <w:r w:rsidR="000B0DDC">
              <w:rPr>
                <w:noProof/>
                <w:webHidden/>
              </w:rPr>
              <w:fldChar w:fldCharType="separate"/>
            </w:r>
            <w:r w:rsidR="000B0DDC">
              <w:rPr>
                <w:noProof/>
                <w:webHidden/>
              </w:rPr>
              <w:t>32</w:t>
            </w:r>
            <w:r w:rsidR="000B0DDC">
              <w:rPr>
                <w:noProof/>
                <w:webHidden/>
              </w:rPr>
              <w:fldChar w:fldCharType="end"/>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36" w:history="1">
            <w:r w:rsidR="000B0DDC" w:rsidRPr="006E39CB">
              <w:rPr>
                <w:rStyle w:val="Hyperlink"/>
                <w:rFonts w:cs="Arial"/>
                <w:noProof/>
                <w:lang w:val="en-GB"/>
              </w:rPr>
              <w:t>3.10</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Ethical Considerations</w:t>
            </w:r>
            <w:r w:rsidR="000B0DDC">
              <w:rPr>
                <w:noProof/>
                <w:webHidden/>
              </w:rPr>
              <w:tab/>
            </w:r>
            <w:r w:rsidR="000B0DDC">
              <w:rPr>
                <w:noProof/>
                <w:webHidden/>
              </w:rPr>
              <w:fldChar w:fldCharType="begin"/>
            </w:r>
            <w:r w:rsidR="000B0DDC">
              <w:rPr>
                <w:noProof/>
                <w:webHidden/>
              </w:rPr>
              <w:instrText xml:space="preserve"> PAGEREF _Toc166368636 \h </w:instrText>
            </w:r>
            <w:r w:rsidR="000B0DDC">
              <w:rPr>
                <w:noProof/>
                <w:webHidden/>
              </w:rPr>
            </w:r>
            <w:r w:rsidR="000B0DDC">
              <w:rPr>
                <w:noProof/>
                <w:webHidden/>
              </w:rPr>
              <w:fldChar w:fldCharType="separate"/>
            </w:r>
            <w:r w:rsidR="000B0DDC">
              <w:rPr>
                <w:noProof/>
                <w:webHidden/>
              </w:rPr>
              <w:t>32</w:t>
            </w:r>
            <w:r w:rsidR="000B0DDC">
              <w:rPr>
                <w:noProof/>
                <w:webHidden/>
              </w:rPr>
              <w:fldChar w:fldCharType="end"/>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37" w:history="1">
            <w:r w:rsidR="000B0DDC" w:rsidRPr="006E39CB">
              <w:rPr>
                <w:rStyle w:val="Hyperlink"/>
                <w:rFonts w:cs="Arial"/>
                <w:noProof/>
                <w:lang w:val="en-GB"/>
              </w:rPr>
              <w:t>3.11</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Research Limitations</w:t>
            </w:r>
            <w:r w:rsidR="000B0DDC">
              <w:rPr>
                <w:noProof/>
                <w:webHidden/>
              </w:rPr>
              <w:tab/>
            </w:r>
            <w:r w:rsidR="000B0DDC">
              <w:rPr>
                <w:noProof/>
                <w:webHidden/>
              </w:rPr>
              <w:fldChar w:fldCharType="begin"/>
            </w:r>
            <w:r w:rsidR="000B0DDC">
              <w:rPr>
                <w:noProof/>
                <w:webHidden/>
              </w:rPr>
              <w:instrText xml:space="preserve"> PAGEREF _Toc166368637 \h </w:instrText>
            </w:r>
            <w:r w:rsidR="000B0DDC">
              <w:rPr>
                <w:noProof/>
                <w:webHidden/>
              </w:rPr>
            </w:r>
            <w:r w:rsidR="000B0DDC">
              <w:rPr>
                <w:noProof/>
                <w:webHidden/>
              </w:rPr>
              <w:fldChar w:fldCharType="separate"/>
            </w:r>
            <w:r w:rsidR="000B0DDC">
              <w:rPr>
                <w:noProof/>
                <w:webHidden/>
              </w:rPr>
              <w:t>33</w:t>
            </w:r>
            <w:r w:rsidR="000B0DDC">
              <w:rPr>
                <w:noProof/>
                <w:webHidden/>
              </w:rPr>
              <w:fldChar w:fldCharType="end"/>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38" w:history="1">
            <w:r w:rsidR="000B0DDC" w:rsidRPr="006E39CB">
              <w:rPr>
                <w:rStyle w:val="Hyperlink"/>
                <w:rFonts w:cs="Arial"/>
                <w:noProof/>
                <w:lang w:val="en-GB"/>
              </w:rPr>
              <w:t>3.12</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Conclusion</w:t>
            </w:r>
            <w:r w:rsidR="000B0DDC">
              <w:rPr>
                <w:noProof/>
                <w:webHidden/>
              </w:rPr>
              <w:tab/>
            </w:r>
            <w:r w:rsidR="000B0DDC">
              <w:rPr>
                <w:noProof/>
                <w:webHidden/>
              </w:rPr>
              <w:fldChar w:fldCharType="begin"/>
            </w:r>
            <w:r w:rsidR="000B0DDC">
              <w:rPr>
                <w:noProof/>
                <w:webHidden/>
              </w:rPr>
              <w:instrText xml:space="preserve"> PAGEREF _Toc166368638 \h </w:instrText>
            </w:r>
            <w:r w:rsidR="000B0DDC">
              <w:rPr>
                <w:noProof/>
                <w:webHidden/>
              </w:rPr>
            </w:r>
            <w:r w:rsidR="000B0DDC">
              <w:rPr>
                <w:noProof/>
                <w:webHidden/>
              </w:rPr>
              <w:fldChar w:fldCharType="separate"/>
            </w:r>
            <w:r w:rsidR="000B0DDC">
              <w:rPr>
                <w:noProof/>
                <w:webHidden/>
              </w:rPr>
              <w:t>33</w:t>
            </w:r>
            <w:r w:rsidR="000B0DDC">
              <w:rPr>
                <w:noProof/>
                <w:webHidden/>
              </w:rPr>
              <w:fldChar w:fldCharType="end"/>
            </w:r>
          </w:hyperlink>
        </w:p>
        <w:p w:rsidR="000B0DDC" w:rsidRDefault="00EB3B59" w:rsidP="000B0DDC">
          <w:pPr>
            <w:pStyle w:val="TOC1"/>
            <w:tabs>
              <w:tab w:val="left" w:pos="440"/>
              <w:tab w:val="right" w:leader="dot" w:pos="9350"/>
            </w:tabs>
            <w:rPr>
              <w:rFonts w:asciiTheme="minorHAnsi" w:hAnsiTheme="minorHAnsi"/>
              <w:noProof/>
              <w:kern w:val="2"/>
              <w:szCs w:val="24"/>
              <w:lang w:val="en-IN" w:eastAsia="en-GB"/>
              <w14:ligatures w14:val="standardContextual"/>
            </w:rPr>
          </w:pPr>
          <w:hyperlink w:anchor="_Toc166368639" w:history="1">
            <w:r w:rsidR="000B0DDC" w:rsidRPr="006E39CB">
              <w:rPr>
                <w:rStyle w:val="Hyperlink"/>
                <w:rFonts w:cs="Arial"/>
                <w:noProof/>
              </w:rPr>
              <w:t>4</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rPr>
              <w:t>Analysis</w:t>
            </w:r>
            <w:r w:rsidR="000B0DDC">
              <w:rPr>
                <w:noProof/>
                <w:webHidden/>
              </w:rPr>
              <w:tab/>
            </w:r>
            <w:r w:rsidR="000B0DDC">
              <w:rPr>
                <w:noProof/>
                <w:webHidden/>
              </w:rPr>
              <w:fldChar w:fldCharType="begin"/>
            </w:r>
            <w:r w:rsidR="000B0DDC">
              <w:rPr>
                <w:noProof/>
                <w:webHidden/>
              </w:rPr>
              <w:instrText xml:space="preserve"> PAGEREF _Toc166368639 \h </w:instrText>
            </w:r>
            <w:r w:rsidR="000B0DDC">
              <w:rPr>
                <w:noProof/>
                <w:webHidden/>
              </w:rPr>
            </w:r>
            <w:r w:rsidR="000B0DDC">
              <w:rPr>
                <w:noProof/>
                <w:webHidden/>
              </w:rPr>
              <w:fldChar w:fldCharType="separate"/>
            </w:r>
            <w:r w:rsidR="000B0DDC">
              <w:rPr>
                <w:noProof/>
                <w:webHidden/>
              </w:rPr>
              <w:t>35</w:t>
            </w:r>
            <w:r w:rsidR="000B0DDC">
              <w:rPr>
                <w:noProof/>
                <w:webHidden/>
              </w:rPr>
              <w:fldChar w:fldCharType="end"/>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40" w:history="1">
            <w:r w:rsidR="000B0DDC" w:rsidRPr="006E39CB">
              <w:rPr>
                <w:rStyle w:val="Hyperlink"/>
                <w:rFonts w:cs="Arial"/>
                <w:noProof/>
                <w:lang w:val="en-GB"/>
              </w:rPr>
              <w:t>4.1</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Introduction</w:t>
            </w:r>
            <w:r w:rsidR="000B0DDC">
              <w:rPr>
                <w:noProof/>
                <w:webHidden/>
              </w:rPr>
              <w:tab/>
            </w:r>
            <w:r w:rsidR="000B0DDC">
              <w:rPr>
                <w:noProof/>
                <w:webHidden/>
              </w:rPr>
              <w:fldChar w:fldCharType="begin"/>
            </w:r>
            <w:r w:rsidR="000B0DDC">
              <w:rPr>
                <w:noProof/>
                <w:webHidden/>
              </w:rPr>
              <w:instrText xml:space="preserve"> PAGEREF _Toc166368640 \h </w:instrText>
            </w:r>
            <w:r w:rsidR="000B0DDC">
              <w:rPr>
                <w:noProof/>
                <w:webHidden/>
              </w:rPr>
            </w:r>
            <w:r w:rsidR="000B0DDC">
              <w:rPr>
                <w:noProof/>
                <w:webHidden/>
              </w:rPr>
              <w:fldChar w:fldCharType="separate"/>
            </w:r>
            <w:r w:rsidR="000B0DDC">
              <w:rPr>
                <w:noProof/>
                <w:webHidden/>
              </w:rPr>
              <w:t>35</w:t>
            </w:r>
            <w:r w:rsidR="000B0DDC">
              <w:rPr>
                <w:noProof/>
                <w:webHidden/>
              </w:rPr>
              <w:fldChar w:fldCharType="end"/>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41" w:history="1">
            <w:r w:rsidR="000B0DDC" w:rsidRPr="006E39CB">
              <w:rPr>
                <w:rStyle w:val="Hyperlink"/>
                <w:rFonts w:cs="Arial"/>
                <w:noProof/>
                <w:lang w:val="en-GB"/>
              </w:rPr>
              <w:t>4.2</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Theme 1: The Economic Consequence of Dual-Income Households.</w:t>
            </w:r>
            <w:r w:rsidR="000B0DDC">
              <w:rPr>
                <w:noProof/>
                <w:webHidden/>
              </w:rPr>
              <w:tab/>
            </w:r>
            <w:r w:rsidR="000B0DDC">
              <w:rPr>
                <w:noProof/>
                <w:webHidden/>
              </w:rPr>
              <w:fldChar w:fldCharType="begin"/>
            </w:r>
            <w:r w:rsidR="000B0DDC">
              <w:rPr>
                <w:noProof/>
                <w:webHidden/>
              </w:rPr>
              <w:instrText xml:space="preserve"> PAGEREF _Toc166368641 \h </w:instrText>
            </w:r>
            <w:r w:rsidR="000B0DDC">
              <w:rPr>
                <w:noProof/>
                <w:webHidden/>
              </w:rPr>
            </w:r>
            <w:r w:rsidR="000B0DDC">
              <w:rPr>
                <w:noProof/>
                <w:webHidden/>
              </w:rPr>
              <w:fldChar w:fldCharType="separate"/>
            </w:r>
            <w:r w:rsidR="000B0DDC">
              <w:rPr>
                <w:noProof/>
                <w:webHidden/>
              </w:rPr>
              <w:t>36</w:t>
            </w:r>
            <w:r w:rsidR="000B0DDC">
              <w:rPr>
                <w:noProof/>
                <w:webHidden/>
              </w:rPr>
              <w:fldChar w:fldCharType="end"/>
            </w:r>
          </w:hyperlink>
        </w:p>
        <w:p w:rsidR="000B0DDC" w:rsidRDefault="00EB3B59" w:rsidP="000B0DDC">
          <w:pPr>
            <w:pStyle w:val="TOC3"/>
            <w:tabs>
              <w:tab w:val="left" w:pos="1440"/>
              <w:tab w:val="right" w:leader="dot" w:pos="9350"/>
            </w:tabs>
            <w:rPr>
              <w:rFonts w:asciiTheme="minorHAnsi" w:hAnsiTheme="minorHAnsi"/>
              <w:noProof/>
              <w:kern w:val="2"/>
              <w:szCs w:val="24"/>
              <w:lang w:val="en-IN" w:eastAsia="en-GB"/>
              <w14:ligatures w14:val="standardContextual"/>
            </w:rPr>
          </w:pPr>
          <w:hyperlink w:anchor="_Toc166368642" w:history="1">
            <w:r w:rsidR="000B0DDC" w:rsidRPr="006E39CB">
              <w:rPr>
                <w:rStyle w:val="Hyperlink"/>
                <w:rFonts w:cs="Arial"/>
                <w:noProof/>
                <w:lang w:val="en-GB"/>
              </w:rPr>
              <w:t>4.2.1</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Economic Stability and Inequality Redistribution</w:t>
            </w:r>
            <w:r w:rsidR="000B0DDC">
              <w:rPr>
                <w:noProof/>
                <w:webHidden/>
              </w:rPr>
              <w:tab/>
            </w:r>
            <w:r w:rsidR="000B0DDC">
              <w:rPr>
                <w:noProof/>
                <w:webHidden/>
              </w:rPr>
              <w:fldChar w:fldCharType="begin"/>
            </w:r>
            <w:r w:rsidR="000B0DDC">
              <w:rPr>
                <w:noProof/>
                <w:webHidden/>
              </w:rPr>
              <w:instrText xml:space="preserve"> PAGEREF _Toc166368642 \h </w:instrText>
            </w:r>
            <w:r w:rsidR="000B0DDC">
              <w:rPr>
                <w:noProof/>
                <w:webHidden/>
              </w:rPr>
            </w:r>
            <w:r w:rsidR="000B0DDC">
              <w:rPr>
                <w:noProof/>
                <w:webHidden/>
              </w:rPr>
              <w:fldChar w:fldCharType="separate"/>
            </w:r>
            <w:r w:rsidR="000B0DDC">
              <w:rPr>
                <w:noProof/>
                <w:webHidden/>
              </w:rPr>
              <w:t>36</w:t>
            </w:r>
            <w:r w:rsidR="000B0DDC">
              <w:rPr>
                <w:noProof/>
                <w:webHidden/>
              </w:rPr>
              <w:fldChar w:fldCharType="end"/>
            </w:r>
          </w:hyperlink>
        </w:p>
        <w:p w:rsidR="000B0DDC" w:rsidRDefault="00EB3B59" w:rsidP="000B0DDC">
          <w:pPr>
            <w:pStyle w:val="TOC3"/>
            <w:tabs>
              <w:tab w:val="left" w:pos="1440"/>
              <w:tab w:val="right" w:leader="dot" w:pos="9350"/>
            </w:tabs>
            <w:rPr>
              <w:rFonts w:asciiTheme="minorHAnsi" w:hAnsiTheme="minorHAnsi"/>
              <w:noProof/>
              <w:kern w:val="2"/>
              <w:szCs w:val="24"/>
              <w:lang w:val="en-IN" w:eastAsia="en-GB"/>
              <w14:ligatures w14:val="standardContextual"/>
            </w:rPr>
          </w:pPr>
          <w:hyperlink w:anchor="_Toc166368643" w:history="1">
            <w:r w:rsidR="000B0DDC" w:rsidRPr="006E39CB">
              <w:rPr>
                <w:rStyle w:val="Hyperlink"/>
                <w:rFonts w:cs="Arial"/>
                <w:noProof/>
                <w:lang w:val="en-GB"/>
              </w:rPr>
              <w:t>4.2.2</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Housing Market Dynamics</w:t>
            </w:r>
            <w:r w:rsidR="000B0DDC">
              <w:rPr>
                <w:noProof/>
                <w:webHidden/>
              </w:rPr>
              <w:tab/>
            </w:r>
            <w:r w:rsidR="000B0DDC">
              <w:rPr>
                <w:noProof/>
                <w:webHidden/>
              </w:rPr>
              <w:fldChar w:fldCharType="begin"/>
            </w:r>
            <w:r w:rsidR="000B0DDC">
              <w:rPr>
                <w:noProof/>
                <w:webHidden/>
              </w:rPr>
              <w:instrText xml:space="preserve"> PAGEREF _Toc166368643 \h </w:instrText>
            </w:r>
            <w:r w:rsidR="000B0DDC">
              <w:rPr>
                <w:noProof/>
                <w:webHidden/>
              </w:rPr>
            </w:r>
            <w:r w:rsidR="000B0DDC">
              <w:rPr>
                <w:noProof/>
                <w:webHidden/>
              </w:rPr>
              <w:fldChar w:fldCharType="separate"/>
            </w:r>
            <w:r w:rsidR="000B0DDC">
              <w:rPr>
                <w:noProof/>
                <w:webHidden/>
              </w:rPr>
              <w:t>38</w:t>
            </w:r>
            <w:r w:rsidR="000B0DDC">
              <w:rPr>
                <w:noProof/>
                <w:webHidden/>
              </w:rPr>
              <w:fldChar w:fldCharType="end"/>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44" w:history="1">
            <w:r w:rsidR="000B0DDC" w:rsidRPr="006E39CB">
              <w:rPr>
                <w:rStyle w:val="Hyperlink"/>
                <w:rFonts w:cs="Arial"/>
                <w:noProof/>
                <w:lang w:val="en-GB"/>
              </w:rPr>
              <w:t>4.3</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Theme 2: Social and Family Dynamics</w:t>
            </w:r>
            <w:r w:rsidR="000B0DDC">
              <w:rPr>
                <w:noProof/>
                <w:webHidden/>
              </w:rPr>
              <w:tab/>
            </w:r>
            <w:r w:rsidR="000B0DDC">
              <w:rPr>
                <w:noProof/>
                <w:webHidden/>
              </w:rPr>
              <w:fldChar w:fldCharType="begin"/>
            </w:r>
            <w:r w:rsidR="000B0DDC">
              <w:rPr>
                <w:noProof/>
                <w:webHidden/>
              </w:rPr>
              <w:instrText xml:space="preserve"> PAGEREF _Toc166368644 \h </w:instrText>
            </w:r>
            <w:r w:rsidR="000B0DDC">
              <w:rPr>
                <w:noProof/>
                <w:webHidden/>
              </w:rPr>
            </w:r>
            <w:r w:rsidR="000B0DDC">
              <w:rPr>
                <w:noProof/>
                <w:webHidden/>
              </w:rPr>
              <w:fldChar w:fldCharType="separate"/>
            </w:r>
            <w:r w:rsidR="000B0DDC">
              <w:rPr>
                <w:noProof/>
                <w:webHidden/>
              </w:rPr>
              <w:t>40</w:t>
            </w:r>
            <w:r w:rsidR="000B0DDC">
              <w:rPr>
                <w:noProof/>
                <w:webHidden/>
              </w:rPr>
              <w:fldChar w:fldCharType="end"/>
            </w:r>
          </w:hyperlink>
        </w:p>
        <w:p w:rsidR="000B0DDC" w:rsidRDefault="00EB3B59" w:rsidP="000B0DDC">
          <w:pPr>
            <w:pStyle w:val="TOC3"/>
            <w:tabs>
              <w:tab w:val="left" w:pos="1440"/>
              <w:tab w:val="right" w:leader="dot" w:pos="9350"/>
            </w:tabs>
            <w:rPr>
              <w:rFonts w:asciiTheme="minorHAnsi" w:hAnsiTheme="minorHAnsi"/>
              <w:noProof/>
              <w:kern w:val="2"/>
              <w:szCs w:val="24"/>
              <w:lang w:val="en-IN" w:eastAsia="en-GB"/>
              <w14:ligatures w14:val="standardContextual"/>
            </w:rPr>
          </w:pPr>
          <w:hyperlink w:anchor="_Toc166368645" w:history="1">
            <w:r w:rsidR="000B0DDC" w:rsidRPr="006E39CB">
              <w:rPr>
                <w:rStyle w:val="Hyperlink"/>
                <w:rFonts w:cs="Arial"/>
                <w:noProof/>
                <w:lang w:val="en-GB"/>
              </w:rPr>
              <w:t>4.3.1</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Work-Life Balance</w:t>
            </w:r>
            <w:r w:rsidR="000B0DDC">
              <w:rPr>
                <w:noProof/>
                <w:webHidden/>
              </w:rPr>
              <w:tab/>
            </w:r>
            <w:r w:rsidR="000B0DDC">
              <w:rPr>
                <w:noProof/>
                <w:webHidden/>
              </w:rPr>
              <w:fldChar w:fldCharType="begin"/>
            </w:r>
            <w:r w:rsidR="000B0DDC">
              <w:rPr>
                <w:noProof/>
                <w:webHidden/>
              </w:rPr>
              <w:instrText xml:space="preserve"> PAGEREF _Toc166368645 \h </w:instrText>
            </w:r>
            <w:r w:rsidR="000B0DDC">
              <w:rPr>
                <w:noProof/>
                <w:webHidden/>
              </w:rPr>
            </w:r>
            <w:r w:rsidR="000B0DDC">
              <w:rPr>
                <w:noProof/>
                <w:webHidden/>
              </w:rPr>
              <w:fldChar w:fldCharType="separate"/>
            </w:r>
            <w:r w:rsidR="000B0DDC">
              <w:rPr>
                <w:noProof/>
                <w:webHidden/>
              </w:rPr>
              <w:t>40</w:t>
            </w:r>
            <w:r w:rsidR="000B0DDC">
              <w:rPr>
                <w:noProof/>
                <w:webHidden/>
              </w:rPr>
              <w:fldChar w:fldCharType="end"/>
            </w:r>
          </w:hyperlink>
        </w:p>
        <w:p w:rsidR="000B0DDC" w:rsidRDefault="00EB3B59" w:rsidP="000B0DDC">
          <w:pPr>
            <w:pStyle w:val="TOC3"/>
            <w:tabs>
              <w:tab w:val="left" w:pos="1440"/>
              <w:tab w:val="right" w:leader="dot" w:pos="9350"/>
            </w:tabs>
            <w:rPr>
              <w:rFonts w:asciiTheme="minorHAnsi" w:hAnsiTheme="minorHAnsi"/>
              <w:noProof/>
              <w:kern w:val="2"/>
              <w:szCs w:val="24"/>
              <w:lang w:val="en-IN" w:eastAsia="en-GB"/>
              <w14:ligatures w14:val="standardContextual"/>
            </w:rPr>
          </w:pPr>
          <w:hyperlink w:anchor="_Toc166368646" w:history="1">
            <w:r w:rsidR="000B0DDC" w:rsidRPr="006E39CB">
              <w:rPr>
                <w:rStyle w:val="Hyperlink"/>
                <w:rFonts w:cs="Arial"/>
                <w:noProof/>
                <w:lang w:val="en-GB"/>
              </w:rPr>
              <w:t>4.3.2</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Mental Health and Well-being</w:t>
            </w:r>
            <w:r w:rsidR="000B0DDC">
              <w:rPr>
                <w:noProof/>
                <w:webHidden/>
              </w:rPr>
              <w:tab/>
            </w:r>
            <w:r w:rsidR="000B0DDC">
              <w:rPr>
                <w:noProof/>
                <w:webHidden/>
              </w:rPr>
              <w:fldChar w:fldCharType="begin"/>
            </w:r>
            <w:r w:rsidR="000B0DDC">
              <w:rPr>
                <w:noProof/>
                <w:webHidden/>
              </w:rPr>
              <w:instrText xml:space="preserve"> PAGEREF _Toc166368646 \h </w:instrText>
            </w:r>
            <w:r w:rsidR="000B0DDC">
              <w:rPr>
                <w:noProof/>
                <w:webHidden/>
              </w:rPr>
            </w:r>
            <w:r w:rsidR="000B0DDC">
              <w:rPr>
                <w:noProof/>
                <w:webHidden/>
              </w:rPr>
              <w:fldChar w:fldCharType="separate"/>
            </w:r>
            <w:r w:rsidR="000B0DDC">
              <w:rPr>
                <w:noProof/>
                <w:webHidden/>
              </w:rPr>
              <w:t>42</w:t>
            </w:r>
            <w:r w:rsidR="000B0DDC">
              <w:rPr>
                <w:noProof/>
                <w:webHidden/>
              </w:rPr>
              <w:fldChar w:fldCharType="end"/>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47" w:history="1">
            <w:r w:rsidR="000B0DDC" w:rsidRPr="006E39CB">
              <w:rPr>
                <w:rStyle w:val="Hyperlink"/>
                <w:rFonts w:cs="Arial"/>
                <w:noProof/>
                <w:lang w:val="en-GB"/>
              </w:rPr>
              <w:t>4.4</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Theme 3: Policy Efficiency and Further Plans</w:t>
            </w:r>
            <w:r w:rsidR="000B0DDC">
              <w:rPr>
                <w:noProof/>
                <w:webHidden/>
              </w:rPr>
              <w:tab/>
            </w:r>
            <w:r w:rsidR="000B0DDC">
              <w:rPr>
                <w:noProof/>
                <w:webHidden/>
              </w:rPr>
              <w:fldChar w:fldCharType="begin"/>
            </w:r>
            <w:r w:rsidR="000B0DDC">
              <w:rPr>
                <w:noProof/>
                <w:webHidden/>
              </w:rPr>
              <w:instrText xml:space="preserve"> PAGEREF _Toc166368647 \h </w:instrText>
            </w:r>
            <w:r w:rsidR="000B0DDC">
              <w:rPr>
                <w:noProof/>
                <w:webHidden/>
              </w:rPr>
            </w:r>
            <w:r w:rsidR="000B0DDC">
              <w:rPr>
                <w:noProof/>
                <w:webHidden/>
              </w:rPr>
              <w:fldChar w:fldCharType="separate"/>
            </w:r>
            <w:r w:rsidR="000B0DDC">
              <w:rPr>
                <w:noProof/>
                <w:webHidden/>
              </w:rPr>
              <w:t>43</w:t>
            </w:r>
            <w:r w:rsidR="000B0DDC">
              <w:rPr>
                <w:noProof/>
                <w:webHidden/>
              </w:rPr>
              <w:fldChar w:fldCharType="end"/>
            </w:r>
          </w:hyperlink>
        </w:p>
        <w:p w:rsidR="000B0DDC" w:rsidRDefault="00EB3B59" w:rsidP="000B0DDC">
          <w:pPr>
            <w:pStyle w:val="TOC3"/>
            <w:tabs>
              <w:tab w:val="left" w:pos="1440"/>
              <w:tab w:val="right" w:leader="dot" w:pos="9350"/>
            </w:tabs>
            <w:rPr>
              <w:rFonts w:asciiTheme="minorHAnsi" w:hAnsiTheme="minorHAnsi"/>
              <w:noProof/>
              <w:kern w:val="2"/>
              <w:szCs w:val="24"/>
              <w:lang w:val="en-IN" w:eastAsia="en-GB"/>
              <w14:ligatures w14:val="standardContextual"/>
            </w:rPr>
          </w:pPr>
          <w:hyperlink w:anchor="_Toc166368648" w:history="1">
            <w:r w:rsidR="000B0DDC" w:rsidRPr="006E39CB">
              <w:rPr>
                <w:rStyle w:val="Hyperlink"/>
                <w:rFonts w:cs="Arial"/>
                <w:noProof/>
                <w:lang w:val="en-GB"/>
              </w:rPr>
              <w:t>4.4.1</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The current policy context</w:t>
            </w:r>
            <w:r w:rsidR="000B0DDC">
              <w:rPr>
                <w:noProof/>
                <w:webHidden/>
              </w:rPr>
              <w:tab/>
            </w:r>
            <w:r w:rsidR="000B0DDC">
              <w:rPr>
                <w:noProof/>
                <w:webHidden/>
              </w:rPr>
              <w:fldChar w:fldCharType="begin"/>
            </w:r>
            <w:r w:rsidR="000B0DDC">
              <w:rPr>
                <w:noProof/>
                <w:webHidden/>
              </w:rPr>
              <w:instrText xml:space="preserve"> PAGEREF _Toc166368648 \h </w:instrText>
            </w:r>
            <w:r w:rsidR="000B0DDC">
              <w:rPr>
                <w:noProof/>
                <w:webHidden/>
              </w:rPr>
            </w:r>
            <w:r w:rsidR="000B0DDC">
              <w:rPr>
                <w:noProof/>
                <w:webHidden/>
              </w:rPr>
              <w:fldChar w:fldCharType="separate"/>
            </w:r>
            <w:r w:rsidR="000B0DDC">
              <w:rPr>
                <w:noProof/>
                <w:webHidden/>
              </w:rPr>
              <w:t>43</w:t>
            </w:r>
            <w:r w:rsidR="000B0DDC">
              <w:rPr>
                <w:noProof/>
                <w:webHidden/>
              </w:rPr>
              <w:fldChar w:fldCharType="end"/>
            </w:r>
          </w:hyperlink>
        </w:p>
        <w:p w:rsidR="000B0DDC" w:rsidRDefault="00EB3B59" w:rsidP="000B0DDC">
          <w:pPr>
            <w:pStyle w:val="TOC3"/>
            <w:tabs>
              <w:tab w:val="left" w:pos="1440"/>
              <w:tab w:val="right" w:leader="dot" w:pos="9350"/>
            </w:tabs>
            <w:rPr>
              <w:rFonts w:asciiTheme="minorHAnsi" w:hAnsiTheme="minorHAnsi"/>
              <w:noProof/>
              <w:kern w:val="2"/>
              <w:szCs w:val="24"/>
              <w:lang w:val="en-IN" w:eastAsia="en-GB"/>
              <w14:ligatures w14:val="standardContextual"/>
            </w:rPr>
          </w:pPr>
          <w:hyperlink w:anchor="_Toc166368649" w:history="1">
            <w:r w:rsidR="000B0DDC" w:rsidRPr="006E39CB">
              <w:rPr>
                <w:rStyle w:val="Hyperlink"/>
                <w:rFonts w:cs="Arial"/>
                <w:noProof/>
                <w:lang w:val="en-GB"/>
              </w:rPr>
              <w:t>4.4.2</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Suggested Policy Innovations</w:t>
            </w:r>
            <w:r w:rsidR="000B0DDC">
              <w:rPr>
                <w:noProof/>
                <w:webHidden/>
              </w:rPr>
              <w:tab/>
            </w:r>
            <w:r w:rsidR="000B0DDC">
              <w:rPr>
                <w:noProof/>
                <w:webHidden/>
              </w:rPr>
              <w:fldChar w:fldCharType="begin"/>
            </w:r>
            <w:r w:rsidR="000B0DDC">
              <w:rPr>
                <w:noProof/>
                <w:webHidden/>
              </w:rPr>
              <w:instrText xml:space="preserve"> PAGEREF _Toc166368649 \h </w:instrText>
            </w:r>
            <w:r w:rsidR="000B0DDC">
              <w:rPr>
                <w:noProof/>
                <w:webHidden/>
              </w:rPr>
            </w:r>
            <w:r w:rsidR="000B0DDC">
              <w:rPr>
                <w:noProof/>
                <w:webHidden/>
              </w:rPr>
              <w:fldChar w:fldCharType="separate"/>
            </w:r>
            <w:r w:rsidR="000B0DDC">
              <w:rPr>
                <w:noProof/>
                <w:webHidden/>
              </w:rPr>
              <w:t>45</w:t>
            </w:r>
            <w:r w:rsidR="000B0DDC">
              <w:rPr>
                <w:noProof/>
                <w:webHidden/>
              </w:rPr>
              <w:fldChar w:fldCharType="end"/>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50" w:history="1">
            <w:r w:rsidR="000B0DDC" w:rsidRPr="006E39CB">
              <w:rPr>
                <w:rStyle w:val="Hyperlink"/>
                <w:rFonts w:cs="Arial"/>
                <w:noProof/>
                <w:lang w:val="en-GB"/>
              </w:rPr>
              <w:t>4.5</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Thematic Insights and Discussions</w:t>
            </w:r>
            <w:r w:rsidR="000B0DDC">
              <w:rPr>
                <w:noProof/>
                <w:webHidden/>
              </w:rPr>
              <w:tab/>
              <w:t>46</w:t>
            </w:r>
          </w:hyperlink>
        </w:p>
        <w:p w:rsidR="000B0DDC" w:rsidRDefault="00EB3B59" w:rsidP="000B0DDC">
          <w:pPr>
            <w:pStyle w:val="TOC3"/>
            <w:tabs>
              <w:tab w:val="left" w:pos="1440"/>
              <w:tab w:val="right" w:leader="dot" w:pos="9350"/>
            </w:tabs>
            <w:rPr>
              <w:rFonts w:asciiTheme="minorHAnsi" w:hAnsiTheme="minorHAnsi"/>
              <w:noProof/>
              <w:kern w:val="2"/>
              <w:szCs w:val="24"/>
              <w:lang w:val="en-IN" w:eastAsia="en-GB"/>
              <w14:ligatures w14:val="standardContextual"/>
            </w:rPr>
          </w:pPr>
          <w:hyperlink w:anchor="_Toc166368651" w:history="1">
            <w:r w:rsidR="000B0DDC" w:rsidRPr="006E39CB">
              <w:rPr>
                <w:rStyle w:val="Hyperlink"/>
                <w:rFonts w:cs="Arial"/>
                <w:noProof/>
                <w:lang w:val="en-GB"/>
              </w:rPr>
              <w:t>4.5.1</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Integrated View of Themes</w:t>
            </w:r>
            <w:r w:rsidR="000B0DDC">
              <w:rPr>
                <w:noProof/>
                <w:webHidden/>
              </w:rPr>
              <w:tab/>
              <w:t>46</w:t>
            </w:r>
          </w:hyperlink>
        </w:p>
        <w:p w:rsidR="000B0DDC" w:rsidRDefault="00EB3B59" w:rsidP="000B0DDC">
          <w:pPr>
            <w:pStyle w:val="TOC3"/>
            <w:tabs>
              <w:tab w:val="left" w:pos="1440"/>
              <w:tab w:val="right" w:leader="dot" w:pos="9350"/>
            </w:tabs>
            <w:rPr>
              <w:rFonts w:asciiTheme="minorHAnsi" w:hAnsiTheme="minorHAnsi"/>
              <w:noProof/>
              <w:kern w:val="2"/>
              <w:szCs w:val="24"/>
              <w:lang w:val="en-IN" w:eastAsia="en-GB"/>
              <w14:ligatures w14:val="standardContextual"/>
            </w:rPr>
          </w:pPr>
          <w:hyperlink w:anchor="_Toc166368652" w:history="1">
            <w:r w:rsidR="000B0DDC" w:rsidRPr="006E39CB">
              <w:rPr>
                <w:rStyle w:val="Hyperlink"/>
                <w:rFonts w:cs="Arial"/>
                <w:noProof/>
                <w:lang w:val="en-GB"/>
              </w:rPr>
              <w:t>4.5.2</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Implications for Policy and Society</w:t>
            </w:r>
            <w:r w:rsidR="000B0DDC">
              <w:rPr>
                <w:noProof/>
                <w:webHidden/>
              </w:rPr>
              <w:tab/>
              <w:t>47</w:t>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53" w:history="1">
            <w:r w:rsidR="000B0DDC" w:rsidRPr="006E39CB">
              <w:rPr>
                <w:rStyle w:val="Hyperlink"/>
                <w:rFonts w:cs="Arial"/>
                <w:noProof/>
                <w:lang w:val="en-GB"/>
              </w:rPr>
              <w:t>4.6</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Linking Back to Research Objectives</w:t>
            </w:r>
            <w:r w:rsidR="000B0DDC">
              <w:rPr>
                <w:noProof/>
                <w:webHidden/>
              </w:rPr>
              <w:tab/>
              <w:t>48</w:t>
            </w:r>
          </w:hyperlink>
        </w:p>
        <w:p w:rsidR="000B0DDC" w:rsidRDefault="00EB3B59" w:rsidP="000B0DDC">
          <w:pPr>
            <w:pStyle w:val="TOC2"/>
            <w:tabs>
              <w:tab w:val="left" w:pos="960"/>
              <w:tab w:val="right" w:leader="dot" w:pos="9350"/>
            </w:tabs>
            <w:rPr>
              <w:noProof/>
            </w:rPr>
          </w:pPr>
          <w:hyperlink w:anchor="_Toc166368654" w:history="1">
            <w:r w:rsidR="000B0DDC" w:rsidRPr="006E39CB">
              <w:rPr>
                <w:rStyle w:val="Hyperlink"/>
                <w:rFonts w:cs="Arial"/>
                <w:noProof/>
                <w:lang w:val="en-GB"/>
              </w:rPr>
              <w:t>4.7</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Conclusion</w:t>
            </w:r>
            <w:r w:rsidR="000B0DDC">
              <w:rPr>
                <w:noProof/>
                <w:webHidden/>
              </w:rPr>
              <w:tab/>
              <w:t>49</w:t>
            </w:r>
          </w:hyperlink>
        </w:p>
        <w:p w:rsidR="000B0DDC" w:rsidRPr="00C33ADD" w:rsidRDefault="000B0DDC" w:rsidP="000B0DDC">
          <w:pPr>
            <w:rPr>
              <w:noProof/>
            </w:rPr>
          </w:pPr>
          <w:r>
            <w:rPr>
              <w:noProof/>
            </w:rPr>
            <w:t xml:space="preserve">   4.8      Finding Table………………………………………………………………………...50</w:t>
          </w:r>
        </w:p>
        <w:p w:rsidR="000B0DDC" w:rsidRDefault="00EB3B59" w:rsidP="000B0DDC">
          <w:pPr>
            <w:pStyle w:val="TOC1"/>
            <w:tabs>
              <w:tab w:val="left" w:pos="440"/>
              <w:tab w:val="right" w:leader="dot" w:pos="9350"/>
            </w:tabs>
            <w:rPr>
              <w:rFonts w:asciiTheme="minorHAnsi" w:hAnsiTheme="minorHAnsi"/>
              <w:noProof/>
              <w:kern w:val="2"/>
              <w:szCs w:val="24"/>
              <w:lang w:val="en-IN" w:eastAsia="en-GB"/>
              <w14:ligatures w14:val="standardContextual"/>
            </w:rPr>
          </w:pPr>
          <w:hyperlink w:anchor="_Toc166368655" w:history="1">
            <w:r w:rsidR="000B0DDC" w:rsidRPr="006E39CB">
              <w:rPr>
                <w:rStyle w:val="Hyperlink"/>
                <w:rFonts w:cs="Arial"/>
                <w:noProof/>
              </w:rPr>
              <w:t>5</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rPr>
              <w:t>Conclusion</w:t>
            </w:r>
            <w:r w:rsidR="000B0DDC">
              <w:rPr>
                <w:noProof/>
                <w:webHidden/>
              </w:rPr>
              <w:tab/>
              <w:t>82</w:t>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56" w:history="1">
            <w:r w:rsidR="000B0DDC" w:rsidRPr="006E39CB">
              <w:rPr>
                <w:rStyle w:val="Hyperlink"/>
                <w:rFonts w:cs="Arial"/>
                <w:noProof/>
                <w:lang w:val="en-GB"/>
              </w:rPr>
              <w:t>5.1</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Summary of Main Findings</w:t>
            </w:r>
            <w:r w:rsidR="000B0DDC">
              <w:rPr>
                <w:noProof/>
                <w:webHidden/>
              </w:rPr>
              <w:tab/>
              <w:t>82</w:t>
            </w:r>
          </w:hyperlink>
        </w:p>
        <w:p w:rsidR="000B0DDC" w:rsidRDefault="00EB3B59" w:rsidP="000B0DDC">
          <w:pPr>
            <w:pStyle w:val="TOC2"/>
            <w:tabs>
              <w:tab w:val="right" w:leader="dot" w:pos="9350"/>
            </w:tabs>
            <w:rPr>
              <w:rFonts w:asciiTheme="minorHAnsi" w:hAnsiTheme="minorHAnsi"/>
              <w:noProof/>
              <w:kern w:val="2"/>
              <w:szCs w:val="24"/>
              <w:lang w:val="en-IN" w:eastAsia="en-GB"/>
              <w14:ligatures w14:val="standardContextual"/>
            </w:rPr>
          </w:pPr>
          <w:hyperlink w:anchor="_Toc166368657" w:history="1">
            <w:r w:rsidR="000B0DDC" w:rsidRPr="006E39CB">
              <w:rPr>
                <w:rStyle w:val="Hyperlink"/>
                <w:rFonts w:cs="Arial"/>
                <w:noProof/>
                <w:lang w:val="en-GB"/>
              </w:rPr>
              <w:t xml:space="preserve">5.2 </w:t>
            </w:r>
            <w:r w:rsidR="000B0DDC">
              <w:rPr>
                <w:rStyle w:val="Hyperlink"/>
                <w:rFonts w:cs="Arial"/>
                <w:noProof/>
                <w:lang w:val="en-GB"/>
              </w:rPr>
              <w:t xml:space="preserve">     </w:t>
            </w:r>
            <w:r w:rsidR="000B0DDC" w:rsidRPr="006E39CB">
              <w:rPr>
                <w:rStyle w:val="Hyperlink"/>
                <w:rFonts w:cs="Arial"/>
                <w:noProof/>
                <w:lang w:val="en-GB"/>
              </w:rPr>
              <w:t>Conclusion Based on the Research Questions</w:t>
            </w:r>
            <w:r w:rsidR="000B0DDC">
              <w:rPr>
                <w:noProof/>
                <w:webHidden/>
              </w:rPr>
              <w:tab/>
              <w:t>83</w:t>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58" w:history="1">
            <w:r w:rsidR="000B0DDC">
              <w:rPr>
                <w:rStyle w:val="Hyperlink"/>
                <w:rFonts w:cs="Arial"/>
                <w:noProof/>
                <w:lang w:val="en-GB"/>
              </w:rPr>
              <w:t>5.3</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Practical Recommendations:</w:t>
            </w:r>
            <w:r w:rsidR="000B0DDC">
              <w:rPr>
                <w:noProof/>
                <w:webHidden/>
              </w:rPr>
              <w:tab/>
              <w:t>85</w:t>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59" w:history="1">
            <w:r w:rsidR="000B0DDC">
              <w:rPr>
                <w:rStyle w:val="Hyperlink"/>
                <w:rFonts w:cs="Arial"/>
                <w:noProof/>
                <w:lang w:val="en-GB"/>
              </w:rPr>
              <w:t>5.4</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Theoretical Recommendations:</w:t>
            </w:r>
            <w:r w:rsidR="000B0DDC">
              <w:rPr>
                <w:noProof/>
                <w:webHidden/>
              </w:rPr>
              <w:tab/>
              <w:t>85</w:t>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60" w:history="1">
            <w:r w:rsidR="000B0DDC">
              <w:rPr>
                <w:rStyle w:val="Hyperlink"/>
                <w:rFonts w:cs="Arial"/>
                <w:noProof/>
                <w:lang w:val="en-GB"/>
              </w:rPr>
              <w:t>5.5</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Limitation of Research</w:t>
            </w:r>
            <w:r w:rsidR="000B0DDC">
              <w:rPr>
                <w:noProof/>
                <w:webHidden/>
              </w:rPr>
              <w:tab/>
              <w:t>86</w:t>
            </w:r>
          </w:hyperlink>
        </w:p>
        <w:p w:rsidR="000B0DDC" w:rsidRDefault="00EB3B59" w:rsidP="000B0DDC">
          <w:pPr>
            <w:pStyle w:val="TOC2"/>
            <w:tabs>
              <w:tab w:val="left" w:pos="960"/>
              <w:tab w:val="right" w:leader="dot" w:pos="9350"/>
            </w:tabs>
            <w:rPr>
              <w:rFonts w:asciiTheme="minorHAnsi" w:hAnsiTheme="minorHAnsi"/>
              <w:noProof/>
              <w:kern w:val="2"/>
              <w:szCs w:val="24"/>
              <w:lang w:val="en-IN" w:eastAsia="en-GB"/>
              <w14:ligatures w14:val="standardContextual"/>
            </w:rPr>
          </w:pPr>
          <w:hyperlink w:anchor="_Toc166368661" w:history="1">
            <w:r w:rsidR="000B0DDC">
              <w:rPr>
                <w:rStyle w:val="Hyperlink"/>
                <w:rFonts w:cs="Arial"/>
                <w:noProof/>
                <w:lang w:val="en-GB"/>
              </w:rPr>
              <w:t>5.6</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lang w:val="en-GB"/>
              </w:rPr>
              <w:t>Recommendation for Future Work</w:t>
            </w:r>
            <w:r w:rsidR="000B0DDC">
              <w:rPr>
                <w:noProof/>
                <w:webHidden/>
              </w:rPr>
              <w:tab/>
              <w:t>87</w:t>
            </w:r>
          </w:hyperlink>
        </w:p>
        <w:p w:rsidR="000B0DDC" w:rsidRDefault="00EB3B59" w:rsidP="000B0DDC">
          <w:pPr>
            <w:pStyle w:val="TOC1"/>
            <w:tabs>
              <w:tab w:val="left" w:pos="440"/>
              <w:tab w:val="right" w:leader="dot" w:pos="9350"/>
            </w:tabs>
            <w:rPr>
              <w:rFonts w:asciiTheme="minorHAnsi" w:hAnsiTheme="minorHAnsi"/>
              <w:noProof/>
              <w:kern w:val="2"/>
              <w:szCs w:val="24"/>
              <w:lang w:val="en-IN" w:eastAsia="en-GB"/>
              <w14:ligatures w14:val="standardContextual"/>
            </w:rPr>
          </w:pPr>
          <w:hyperlink w:anchor="_Toc166368662" w:history="1">
            <w:r w:rsidR="000B0DDC" w:rsidRPr="006E39CB">
              <w:rPr>
                <w:rStyle w:val="Hyperlink"/>
                <w:rFonts w:cs="Arial"/>
                <w:noProof/>
              </w:rPr>
              <w:t>6</w:t>
            </w:r>
            <w:r w:rsidR="000B0DDC">
              <w:rPr>
                <w:rFonts w:asciiTheme="minorHAnsi" w:hAnsiTheme="minorHAnsi"/>
                <w:noProof/>
                <w:kern w:val="2"/>
                <w:szCs w:val="24"/>
                <w:lang w:val="en-IN" w:eastAsia="en-GB"/>
                <w14:ligatures w14:val="standardContextual"/>
              </w:rPr>
              <w:tab/>
            </w:r>
            <w:r w:rsidR="000B0DDC" w:rsidRPr="006E39CB">
              <w:rPr>
                <w:rStyle w:val="Hyperlink"/>
                <w:rFonts w:cs="Arial"/>
                <w:noProof/>
              </w:rPr>
              <w:t>References</w:t>
            </w:r>
            <w:r w:rsidR="000B0DDC">
              <w:rPr>
                <w:noProof/>
                <w:webHidden/>
              </w:rPr>
              <w:tab/>
              <w:t>89</w:t>
            </w:r>
          </w:hyperlink>
        </w:p>
        <w:p w:rsidR="000B0DDC" w:rsidRDefault="00EB3B59" w:rsidP="000B0DDC">
          <w:pPr>
            <w:pStyle w:val="TOC1"/>
            <w:tabs>
              <w:tab w:val="left" w:pos="440"/>
              <w:tab w:val="right" w:leader="dot" w:pos="9350"/>
            </w:tabs>
            <w:rPr>
              <w:rFonts w:asciiTheme="minorHAnsi" w:hAnsiTheme="minorHAnsi"/>
              <w:noProof/>
              <w:kern w:val="2"/>
              <w:szCs w:val="24"/>
              <w:lang w:val="en-IN" w:eastAsia="en-GB"/>
              <w14:ligatures w14:val="standardContextual"/>
            </w:rPr>
          </w:pPr>
          <w:hyperlink w:anchor="_Toc166368663" w:history="1">
            <w:r w:rsidR="000B0DDC" w:rsidRPr="006E39CB">
              <w:rPr>
                <w:rStyle w:val="Hyperlink"/>
                <w:noProof/>
              </w:rPr>
              <w:t>7</w:t>
            </w:r>
            <w:r w:rsidR="000B0DDC">
              <w:rPr>
                <w:rFonts w:asciiTheme="minorHAnsi" w:hAnsiTheme="minorHAnsi"/>
                <w:noProof/>
                <w:kern w:val="2"/>
                <w:szCs w:val="24"/>
                <w:lang w:val="en-IN" w:eastAsia="en-GB"/>
                <w14:ligatures w14:val="standardContextual"/>
              </w:rPr>
              <w:tab/>
            </w:r>
            <w:r w:rsidR="000B0DDC" w:rsidRPr="006E39CB">
              <w:rPr>
                <w:rStyle w:val="Hyperlink"/>
                <w:noProof/>
                <w:shd w:val="clear" w:color="auto" w:fill="FFFFFF"/>
              </w:rPr>
              <w:t>Appendix</w:t>
            </w:r>
            <w:r w:rsidR="000B0DDC">
              <w:rPr>
                <w:noProof/>
                <w:webHidden/>
              </w:rPr>
              <w:tab/>
              <w:t>97</w:t>
            </w:r>
          </w:hyperlink>
        </w:p>
        <w:p w:rsidR="000B0DDC" w:rsidRPr="006C28BE" w:rsidRDefault="000B0DDC" w:rsidP="000B0DDC">
          <w:pPr>
            <w:spacing w:line="360" w:lineRule="auto"/>
            <w:rPr>
              <w:rFonts w:cs="Arial"/>
              <w:lang w:val="en-GB"/>
            </w:rPr>
          </w:pPr>
          <w:r w:rsidRPr="006C28BE">
            <w:rPr>
              <w:rFonts w:cs="Arial"/>
              <w:b/>
              <w:bCs/>
              <w:noProof/>
              <w:lang w:val="en-GB"/>
            </w:rPr>
            <w:fldChar w:fldCharType="end"/>
          </w:r>
        </w:p>
      </w:sdtContent>
    </w:sdt>
    <w:p w:rsidR="000B0DDC" w:rsidRPr="006C28BE" w:rsidRDefault="000B0DDC" w:rsidP="000B0DDC">
      <w:pPr>
        <w:spacing w:line="360" w:lineRule="auto"/>
        <w:rPr>
          <w:rFonts w:cs="Arial"/>
          <w:b/>
          <w:sz w:val="32"/>
          <w:szCs w:val="40"/>
          <w:lang w:val="en-GB"/>
        </w:rPr>
      </w:pPr>
    </w:p>
    <w:p w:rsidR="000B0DDC" w:rsidRPr="006C28BE" w:rsidRDefault="000B0DDC" w:rsidP="000B0DDC">
      <w:pPr>
        <w:spacing w:line="360" w:lineRule="auto"/>
        <w:rPr>
          <w:rFonts w:cs="Arial"/>
          <w:b/>
          <w:bCs/>
          <w:sz w:val="36"/>
          <w:szCs w:val="32"/>
          <w:lang w:val="en-GB"/>
        </w:rPr>
      </w:pPr>
      <w:r w:rsidRPr="006C28BE">
        <w:rPr>
          <w:rFonts w:cs="Arial"/>
          <w:b/>
          <w:bCs/>
          <w:sz w:val="36"/>
          <w:szCs w:val="32"/>
          <w:lang w:val="en-GB"/>
        </w:rPr>
        <w:t>List of Figures</w:t>
      </w:r>
    </w:p>
    <w:p w:rsidR="000B0DDC" w:rsidRDefault="000B0DDC" w:rsidP="000B0DDC">
      <w:pPr>
        <w:pStyle w:val="TableofFigures"/>
        <w:tabs>
          <w:tab w:val="right" w:leader="dot" w:pos="9350"/>
        </w:tabs>
        <w:rPr>
          <w:rFonts w:asciiTheme="minorHAnsi" w:hAnsiTheme="minorHAnsi"/>
          <w:noProof/>
          <w:kern w:val="2"/>
          <w:szCs w:val="24"/>
          <w:lang w:val="en-IN" w:eastAsia="en-GB"/>
          <w14:ligatures w14:val="standardContextual"/>
        </w:rPr>
      </w:pPr>
      <w:r>
        <w:rPr>
          <w:rFonts w:cs="Arial"/>
          <w:lang w:val="en-GB"/>
        </w:rPr>
        <w:fldChar w:fldCharType="begin"/>
      </w:r>
      <w:r>
        <w:rPr>
          <w:rFonts w:cs="Arial"/>
          <w:lang w:val="en-GB"/>
        </w:rPr>
        <w:instrText xml:space="preserve"> TOC \h \z \t "Heading 7" \c </w:instrText>
      </w:r>
      <w:r>
        <w:rPr>
          <w:rFonts w:cs="Arial"/>
          <w:lang w:val="en-GB"/>
        </w:rPr>
        <w:fldChar w:fldCharType="separate"/>
      </w:r>
      <w:hyperlink w:anchor="_Toc166368664" w:history="1">
        <w:r w:rsidRPr="000667A3">
          <w:rPr>
            <w:rStyle w:val="Hyperlink"/>
            <w:noProof/>
          </w:rPr>
          <w:t>Figure 1: Conceptual Framework</w:t>
        </w:r>
        <w:r>
          <w:rPr>
            <w:noProof/>
            <w:webHidden/>
          </w:rPr>
          <w:tab/>
        </w:r>
        <w:r>
          <w:rPr>
            <w:noProof/>
            <w:webHidden/>
          </w:rPr>
          <w:fldChar w:fldCharType="begin"/>
        </w:r>
        <w:r>
          <w:rPr>
            <w:noProof/>
            <w:webHidden/>
          </w:rPr>
          <w:instrText xml:space="preserve"> PAGEREF _Toc166368664 \h </w:instrText>
        </w:r>
        <w:r>
          <w:rPr>
            <w:noProof/>
            <w:webHidden/>
          </w:rPr>
        </w:r>
        <w:r>
          <w:rPr>
            <w:noProof/>
            <w:webHidden/>
          </w:rPr>
          <w:fldChar w:fldCharType="separate"/>
        </w:r>
        <w:r>
          <w:rPr>
            <w:noProof/>
            <w:webHidden/>
          </w:rPr>
          <w:t>21</w:t>
        </w:r>
        <w:r>
          <w:rPr>
            <w:noProof/>
            <w:webHidden/>
          </w:rPr>
          <w:fldChar w:fldCharType="end"/>
        </w:r>
      </w:hyperlink>
    </w:p>
    <w:p w:rsidR="000B0DDC" w:rsidRDefault="00EB3B59" w:rsidP="000B0DDC">
      <w:pPr>
        <w:pStyle w:val="TableofFigures"/>
        <w:tabs>
          <w:tab w:val="right" w:leader="dot" w:pos="9350"/>
        </w:tabs>
        <w:rPr>
          <w:rFonts w:asciiTheme="minorHAnsi" w:hAnsiTheme="minorHAnsi"/>
          <w:noProof/>
          <w:kern w:val="2"/>
          <w:szCs w:val="24"/>
          <w:lang w:val="en-IN" w:eastAsia="en-GB"/>
          <w14:ligatures w14:val="standardContextual"/>
        </w:rPr>
      </w:pPr>
      <w:hyperlink w:anchor="_Toc166368665" w:history="1">
        <w:r w:rsidR="000B0DDC" w:rsidRPr="000667A3">
          <w:rPr>
            <w:rStyle w:val="Hyperlink"/>
            <w:noProof/>
            <w:lang w:val="en-GB"/>
          </w:rPr>
          <w:t>Figure 2: Onion Framework</w:t>
        </w:r>
        <w:r w:rsidR="000B0DDC">
          <w:rPr>
            <w:noProof/>
            <w:webHidden/>
          </w:rPr>
          <w:tab/>
        </w:r>
        <w:r w:rsidR="000B0DDC">
          <w:rPr>
            <w:noProof/>
            <w:webHidden/>
          </w:rPr>
          <w:fldChar w:fldCharType="begin"/>
        </w:r>
        <w:r w:rsidR="000B0DDC">
          <w:rPr>
            <w:noProof/>
            <w:webHidden/>
          </w:rPr>
          <w:instrText xml:space="preserve"> PAGEREF _Toc166368665 \h </w:instrText>
        </w:r>
        <w:r w:rsidR="000B0DDC">
          <w:rPr>
            <w:noProof/>
            <w:webHidden/>
          </w:rPr>
        </w:r>
        <w:r w:rsidR="000B0DDC">
          <w:rPr>
            <w:noProof/>
            <w:webHidden/>
          </w:rPr>
          <w:fldChar w:fldCharType="separate"/>
        </w:r>
        <w:r w:rsidR="000B0DDC">
          <w:rPr>
            <w:noProof/>
            <w:webHidden/>
          </w:rPr>
          <w:t>23</w:t>
        </w:r>
        <w:r w:rsidR="000B0DDC">
          <w:rPr>
            <w:noProof/>
            <w:webHidden/>
          </w:rPr>
          <w:fldChar w:fldCharType="end"/>
        </w:r>
      </w:hyperlink>
    </w:p>
    <w:p w:rsidR="000B0DDC" w:rsidRDefault="00EB3B59" w:rsidP="000B0DDC">
      <w:pPr>
        <w:pStyle w:val="TableofFigures"/>
        <w:tabs>
          <w:tab w:val="right" w:leader="dot" w:pos="9350"/>
        </w:tabs>
        <w:rPr>
          <w:rFonts w:asciiTheme="minorHAnsi" w:hAnsiTheme="minorHAnsi"/>
          <w:noProof/>
          <w:kern w:val="2"/>
          <w:szCs w:val="24"/>
          <w:lang w:val="en-IN" w:eastAsia="en-GB"/>
          <w14:ligatures w14:val="standardContextual"/>
        </w:rPr>
      </w:pPr>
      <w:hyperlink w:anchor="_Toc166368666" w:history="1">
        <w:r w:rsidR="000B0DDC" w:rsidRPr="000667A3">
          <w:rPr>
            <w:rStyle w:val="Hyperlink"/>
            <w:noProof/>
            <w:lang w:val="en-GB"/>
          </w:rPr>
          <w:t>Figure 3: Applied Methodology</w:t>
        </w:r>
        <w:r w:rsidR="000B0DDC">
          <w:rPr>
            <w:noProof/>
            <w:webHidden/>
          </w:rPr>
          <w:tab/>
        </w:r>
        <w:r w:rsidR="000B0DDC">
          <w:rPr>
            <w:noProof/>
            <w:webHidden/>
          </w:rPr>
          <w:fldChar w:fldCharType="begin"/>
        </w:r>
        <w:r w:rsidR="000B0DDC">
          <w:rPr>
            <w:noProof/>
            <w:webHidden/>
          </w:rPr>
          <w:instrText xml:space="preserve"> PAGEREF _Toc166368666 \h </w:instrText>
        </w:r>
        <w:r w:rsidR="000B0DDC">
          <w:rPr>
            <w:noProof/>
            <w:webHidden/>
          </w:rPr>
        </w:r>
        <w:r w:rsidR="000B0DDC">
          <w:rPr>
            <w:noProof/>
            <w:webHidden/>
          </w:rPr>
          <w:fldChar w:fldCharType="separate"/>
        </w:r>
        <w:r w:rsidR="000B0DDC">
          <w:rPr>
            <w:noProof/>
            <w:webHidden/>
          </w:rPr>
          <w:t>31</w:t>
        </w:r>
        <w:r w:rsidR="000B0DDC">
          <w:rPr>
            <w:noProof/>
            <w:webHidden/>
          </w:rPr>
          <w:fldChar w:fldCharType="end"/>
        </w:r>
      </w:hyperlink>
    </w:p>
    <w:p w:rsidR="000B0DDC" w:rsidRDefault="00EB3B59" w:rsidP="000B0DDC">
      <w:pPr>
        <w:pStyle w:val="TableofFigures"/>
        <w:tabs>
          <w:tab w:val="right" w:leader="dot" w:pos="9350"/>
        </w:tabs>
        <w:rPr>
          <w:rFonts w:asciiTheme="minorHAnsi" w:hAnsiTheme="minorHAnsi"/>
          <w:noProof/>
          <w:kern w:val="2"/>
          <w:szCs w:val="24"/>
          <w:lang w:val="en-IN" w:eastAsia="en-GB"/>
          <w14:ligatures w14:val="standardContextual"/>
        </w:rPr>
      </w:pPr>
      <w:hyperlink w:anchor="_Toc166368667" w:history="1">
        <w:r w:rsidR="000B0DDC" w:rsidRPr="000667A3">
          <w:rPr>
            <w:rStyle w:val="Hyperlink"/>
            <w:noProof/>
          </w:rPr>
          <w:t>Figure 4: Growth of Median Income Suggests Double Income growth</w:t>
        </w:r>
        <w:r w:rsidR="000B0DDC">
          <w:rPr>
            <w:noProof/>
            <w:webHidden/>
          </w:rPr>
          <w:tab/>
        </w:r>
        <w:r w:rsidR="000B0DDC">
          <w:rPr>
            <w:noProof/>
            <w:webHidden/>
          </w:rPr>
          <w:fldChar w:fldCharType="begin"/>
        </w:r>
        <w:r w:rsidR="000B0DDC">
          <w:rPr>
            <w:noProof/>
            <w:webHidden/>
          </w:rPr>
          <w:instrText xml:space="preserve"> PAGEREF _Toc166368667 \h </w:instrText>
        </w:r>
        <w:r w:rsidR="000B0DDC">
          <w:rPr>
            <w:noProof/>
            <w:webHidden/>
          </w:rPr>
        </w:r>
        <w:r w:rsidR="000B0DDC">
          <w:rPr>
            <w:noProof/>
            <w:webHidden/>
          </w:rPr>
          <w:fldChar w:fldCharType="separate"/>
        </w:r>
        <w:r w:rsidR="000B0DDC">
          <w:rPr>
            <w:noProof/>
            <w:webHidden/>
          </w:rPr>
          <w:t>37</w:t>
        </w:r>
        <w:r w:rsidR="000B0DDC">
          <w:rPr>
            <w:noProof/>
            <w:webHidden/>
          </w:rPr>
          <w:fldChar w:fldCharType="end"/>
        </w:r>
      </w:hyperlink>
    </w:p>
    <w:p w:rsidR="000B0DDC" w:rsidRDefault="00EB3B59" w:rsidP="000B0DDC">
      <w:pPr>
        <w:pStyle w:val="TableofFigures"/>
        <w:tabs>
          <w:tab w:val="right" w:leader="dot" w:pos="9350"/>
        </w:tabs>
        <w:rPr>
          <w:rFonts w:asciiTheme="minorHAnsi" w:hAnsiTheme="minorHAnsi"/>
          <w:noProof/>
          <w:kern w:val="2"/>
          <w:szCs w:val="24"/>
          <w:lang w:val="en-IN" w:eastAsia="en-GB"/>
          <w14:ligatures w14:val="standardContextual"/>
        </w:rPr>
      </w:pPr>
      <w:hyperlink w:anchor="_Toc166368668" w:history="1">
        <w:r w:rsidR="000B0DDC" w:rsidRPr="000667A3">
          <w:rPr>
            <w:rStyle w:val="Hyperlink"/>
            <w:noProof/>
            <w:lang w:val="en-GB"/>
          </w:rPr>
          <w:t>Figure 5: Dual Income Household in UK</w:t>
        </w:r>
        <w:r w:rsidR="000B0DDC">
          <w:rPr>
            <w:noProof/>
            <w:webHidden/>
          </w:rPr>
          <w:tab/>
        </w:r>
        <w:r w:rsidR="000B0DDC">
          <w:rPr>
            <w:noProof/>
            <w:webHidden/>
          </w:rPr>
          <w:fldChar w:fldCharType="begin"/>
        </w:r>
        <w:r w:rsidR="000B0DDC">
          <w:rPr>
            <w:noProof/>
            <w:webHidden/>
          </w:rPr>
          <w:instrText xml:space="preserve"> PAGEREF _Toc166368668 \h </w:instrText>
        </w:r>
        <w:r w:rsidR="000B0DDC">
          <w:rPr>
            <w:noProof/>
            <w:webHidden/>
          </w:rPr>
        </w:r>
        <w:r w:rsidR="000B0DDC">
          <w:rPr>
            <w:noProof/>
            <w:webHidden/>
          </w:rPr>
          <w:fldChar w:fldCharType="separate"/>
        </w:r>
        <w:r w:rsidR="000B0DDC">
          <w:rPr>
            <w:noProof/>
            <w:webHidden/>
          </w:rPr>
          <w:t>39</w:t>
        </w:r>
        <w:r w:rsidR="000B0DDC">
          <w:rPr>
            <w:noProof/>
            <w:webHidden/>
          </w:rPr>
          <w:fldChar w:fldCharType="end"/>
        </w:r>
      </w:hyperlink>
    </w:p>
    <w:p w:rsidR="000B0DDC" w:rsidRPr="006C28BE" w:rsidRDefault="000B0DDC" w:rsidP="000B0DDC">
      <w:pPr>
        <w:spacing w:line="360" w:lineRule="auto"/>
        <w:ind w:right="-334"/>
        <w:rPr>
          <w:rFonts w:cs="Arial"/>
          <w:b/>
          <w:bCs/>
          <w:lang w:val="en-GB"/>
        </w:rPr>
      </w:pPr>
      <w:r>
        <w:rPr>
          <w:rFonts w:cs="Arial"/>
          <w:lang w:val="en-GB"/>
        </w:rPr>
        <w:fldChar w:fldCharType="end"/>
      </w:r>
      <w:r w:rsidRPr="006C28BE">
        <w:rPr>
          <w:rFonts w:cs="Arial"/>
          <w:b/>
          <w:bCs/>
          <w:lang w:val="en-GB"/>
        </w:rPr>
        <w:br w:type="page"/>
      </w:r>
      <w:r w:rsidRPr="006C28BE">
        <w:rPr>
          <w:rFonts w:cs="Arial"/>
          <w:b/>
          <w:bCs/>
          <w:lang w:val="en-GB"/>
        </w:rPr>
        <w:lastRenderedPageBreak/>
        <w:t>List of Tables</w:t>
      </w:r>
      <w:r>
        <w:rPr>
          <w:rFonts w:cs="Arial"/>
          <w:b/>
          <w:bCs/>
          <w:lang w:val="en-GB"/>
        </w:rPr>
        <w:t xml:space="preserve">   </w:t>
      </w:r>
      <w:r>
        <w:rPr>
          <w:rFonts w:cs="Arial"/>
          <w:b/>
          <w:bCs/>
          <w:lang w:val="en-GB"/>
        </w:rPr>
        <w:tab/>
      </w:r>
      <w:r>
        <w:rPr>
          <w:rFonts w:cs="Arial"/>
          <w:b/>
          <w:bCs/>
          <w:lang w:val="en-GB"/>
        </w:rPr>
        <w:tab/>
      </w:r>
      <w:r>
        <w:rPr>
          <w:rFonts w:cs="Arial"/>
          <w:b/>
          <w:bCs/>
          <w:lang w:val="en-GB"/>
        </w:rPr>
        <w:tab/>
      </w:r>
      <w:r>
        <w:rPr>
          <w:rFonts w:cs="Arial"/>
          <w:b/>
          <w:bCs/>
          <w:lang w:val="en-GB"/>
        </w:rPr>
        <w:tab/>
      </w:r>
    </w:p>
    <w:p w:rsidR="000B0DDC" w:rsidRPr="006C28BE" w:rsidRDefault="000B0DDC" w:rsidP="000B0DDC">
      <w:pPr>
        <w:pStyle w:val="ListParagraph"/>
        <w:numPr>
          <w:ilvl w:val="0"/>
          <w:numId w:val="13"/>
        </w:numPr>
        <w:tabs>
          <w:tab w:val="left" w:pos="9270"/>
        </w:tabs>
        <w:spacing w:line="360" w:lineRule="auto"/>
        <w:rPr>
          <w:rFonts w:cs="Arial"/>
        </w:rPr>
      </w:pPr>
      <w:r>
        <w:rPr>
          <w:rFonts w:cs="Arial"/>
        </w:rPr>
        <w:t>Table 3.7.1:</w:t>
      </w:r>
      <w:r w:rsidRPr="006C28BE">
        <w:rPr>
          <w:rFonts w:cs="Arial"/>
        </w:rPr>
        <w:t xml:space="preserve"> </w:t>
      </w:r>
      <w:r>
        <w:rPr>
          <w:rFonts w:cs="Arial"/>
        </w:rPr>
        <w:t>Search Terms…………………………………………………………. 29</w:t>
      </w:r>
    </w:p>
    <w:p w:rsidR="000B0DDC" w:rsidRPr="006C28BE" w:rsidRDefault="000B0DDC" w:rsidP="000B0DDC">
      <w:pPr>
        <w:pStyle w:val="ListParagraph"/>
        <w:numPr>
          <w:ilvl w:val="0"/>
          <w:numId w:val="13"/>
        </w:numPr>
        <w:spacing w:line="360" w:lineRule="auto"/>
        <w:rPr>
          <w:rFonts w:cs="Arial"/>
        </w:rPr>
      </w:pPr>
      <w:r>
        <w:rPr>
          <w:rFonts w:cs="Arial"/>
        </w:rPr>
        <w:t>Table 3.7.2: Application of Logical Operators……………………………………. 30</w:t>
      </w:r>
    </w:p>
    <w:p w:rsidR="000B0DDC" w:rsidRPr="009C4A72" w:rsidRDefault="000B0DDC" w:rsidP="000B0DDC">
      <w:pPr>
        <w:pStyle w:val="ListParagraph"/>
        <w:numPr>
          <w:ilvl w:val="0"/>
          <w:numId w:val="13"/>
        </w:numPr>
        <w:spacing w:line="360" w:lineRule="auto"/>
        <w:rPr>
          <w:rFonts w:cs="Arial"/>
          <w:lang w:val="en-GB"/>
        </w:rPr>
      </w:pPr>
      <w:r w:rsidRPr="006C28BE">
        <w:rPr>
          <w:rFonts w:cs="Arial"/>
        </w:rPr>
        <w:t>Table 3</w:t>
      </w:r>
      <w:r>
        <w:rPr>
          <w:rFonts w:cs="Arial"/>
        </w:rPr>
        <w:t>.7.3</w:t>
      </w:r>
      <w:r w:rsidRPr="006C28BE">
        <w:rPr>
          <w:rFonts w:cs="Arial"/>
        </w:rPr>
        <w:t xml:space="preserve">: </w:t>
      </w:r>
      <w:r>
        <w:rPr>
          <w:rFonts w:cs="Arial"/>
        </w:rPr>
        <w:t>Inclusion and Exclusion Criteria…………………………………….  30</w:t>
      </w:r>
    </w:p>
    <w:p w:rsidR="000B0DDC" w:rsidRPr="00DB0DB0" w:rsidRDefault="000B0DDC" w:rsidP="000B0DDC">
      <w:pPr>
        <w:pStyle w:val="ListParagraph"/>
        <w:numPr>
          <w:ilvl w:val="0"/>
          <w:numId w:val="13"/>
        </w:numPr>
        <w:tabs>
          <w:tab w:val="left" w:pos="9360"/>
        </w:tabs>
        <w:spacing w:line="360" w:lineRule="auto"/>
        <w:rPr>
          <w:rFonts w:cs="Arial"/>
          <w:lang w:val="en-GB"/>
        </w:rPr>
      </w:pPr>
      <w:r>
        <w:rPr>
          <w:rFonts w:cs="Arial"/>
        </w:rPr>
        <w:t>Table 4.8: Table of Academ</w:t>
      </w:r>
      <w:r w:rsidR="004421FC">
        <w:rPr>
          <w:rFonts w:cs="Arial"/>
        </w:rPr>
        <w:t xml:space="preserve">ic article used……………………………………….  </w:t>
      </w:r>
      <w:r>
        <w:rPr>
          <w:rFonts w:cs="Arial"/>
        </w:rPr>
        <w:t>51</w:t>
      </w:r>
    </w:p>
    <w:p w:rsidR="000B0DDC" w:rsidRPr="006C28BE" w:rsidRDefault="000B0DDC" w:rsidP="000B0DDC">
      <w:pPr>
        <w:spacing w:line="360" w:lineRule="auto"/>
        <w:rPr>
          <w:rFonts w:cs="Arial"/>
          <w:lang w:val="en-GB"/>
        </w:rPr>
      </w:pPr>
    </w:p>
    <w:p w:rsidR="000B0DDC" w:rsidRPr="006C28BE" w:rsidRDefault="000B0DDC" w:rsidP="000B0DDC">
      <w:pPr>
        <w:spacing w:line="360" w:lineRule="auto"/>
        <w:rPr>
          <w:rFonts w:cs="Arial"/>
          <w:lang w:val="en-GB"/>
        </w:rPr>
      </w:pPr>
    </w:p>
    <w:p w:rsidR="000B0DDC" w:rsidRPr="006C28BE" w:rsidRDefault="000B0DDC" w:rsidP="000B0DDC">
      <w:pPr>
        <w:spacing w:line="360" w:lineRule="auto"/>
        <w:rPr>
          <w:rFonts w:cs="Arial"/>
          <w:b/>
          <w:bCs/>
          <w:sz w:val="28"/>
          <w:szCs w:val="26"/>
          <w:lang w:val="en-GB"/>
        </w:rPr>
      </w:pPr>
      <w:r w:rsidRPr="006C28BE">
        <w:rPr>
          <w:rFonts w:cs="Arial"/>
          <w:b/>
          <w:bCs/>
          <w:sz w:val="28"/>
          <w:szCs w:val="26"/>
          <w:lang w:val="en-GB"/>
        </w:rPr>
        <w:t>List of Abbreviations</w:t>
      </w:r>
    </w:p>
    <w:p w:rsidR="000B0DDC" w:rsidRPr="006C28BE" w:rsidRDefault="000B0DDC" w:rsidP="000B0DDC">
      <w:pPr>
        <w:pStyle w:val="ListParagraph"/>
        <w:numPr>
          <w:ilvl w:val="0"/>
          <w:numId w:val="11"/>
        </w:numPr>
        <w:spacing w:line="360" w:lineRule="auto"/>
        <w:rPr>
          <w:rFonts w:cs="Arial"/>
          <w:lang w:val="en-GB"/>
        </w:rPr>
      </w:pPr>
      <w:r w:rsidRPr="006C28BE">
        <w:rPr>
          <w:rFonts w:cs="Arial"/>
          <w:lang w:val="en-GB"/>
        </w:rPr>
        <w:t>UK - United Kingdom</w:t>
      </w:r>
    </w:p>
    <w:p w:rsidR="000B0DDC" w:rsidRPr="006C28BE" w:rsidRDefault="000B0DDC" w:rsidP="000B0DDC">
      <w:pPr>
        <w:pStyle w:val="ListParagraph"/>
        <w:numPr>
          <w:ilvl w:val="0"/>
          <w:numId w:val="11"/>
        </w:numPr>
        <w:spacing w:line="360" w:lineRule="auto"/>
        <w:rPr>
          <w:rFonts w:cs="Arial"/>
          <w:lang w:val="en-GB"/>
        </w:rPr>
      </w:pPr>
      <w:r w:rsidRPr="006C28BE">
        <w:rPr>
          <w:rFonts w:cs="Arial"/>
          <w:lang w:val="en-GB"/>
        </w:rPr>
        <w:t>ONS - Office for National Statistics</w:t>
      </w:r>
    </w:p>
    <w:p w:rsidR="000B0DDC" w:rsidRPr="006C28BE" w:rsidRDefault="000B0DDC" w:rsidP="000B0DDC">
      <w:pPr>
        <w:pStyle w:val="ListParagraph"/>
        <w:numPr>
          <w:ilvl w:val="0"/>
          <w:numId w:val="11"/>
        </w:numPr>
        <w:spacing w:line="360" w:lineRule="auto"/>
        <w:rPr>
          <w:rFonts w:cs="Arial"/>
          <w:lang w:val="en-GB"/>
        </w:rPr>
      </w:pPr>
      <w:r w:rsidRPr="006C28BE">
        <w:rPr>
          <w:rFonts w:cs="Arial"/>
          <w:lang w:val="en-GB"/>
        </w:rPr>
        <w:t>EPI - Economic Policy Institute</w:t>
      </w:r>
    </w:p>
    <w:p w:rsidR="000B0DDC" w:rsidRPr="006C28BE" w:rsidRDefault="000B0DDC" w:rsidP="000B0DDC">
      <w:pPr>
        <w:pStyle w:val="ListParagraph"/>
        <w:numPr>
          <w:ilvl w:val="0"/>
          <w:numId w:val="11"/>
        </w:numPr>
        <w:spacing w:line="360" w:lineRule="auto"/>
        <w:rPr>
          <w:rFonts w:cs="Arial"/>
          <w:lang w:val="en-GB"/>
        </w:rPr>
      </w:pPr>
      <w:r w:rsidRPr="006C28BE">
        <w:rPr>
          <w:rFonts w:cs="Arial"/>
          <w:lang w:val="en-GB"/>
        </w:rPr>
        <w:t>GDP - Gross Domestic Product</w:t>
      </w:r>
    </w:p>
    <w:p w:rsidR="000B0DDC" w:rsidRPr="006C28BE" w:rsidRDefault="000B0DDC" w:rsidP="000B0DDC">
      <w:pPr>
        <w:pStyle w:val="ListParagraph"/>
        <w:numPr>
          <w:ilvl w:val="0"/>
          <w:numId w:val="11"/>
        </w:numPr>
        <w:spacing w:line="360" w:lineRule="auto"/>
        <w:rPr>
          <w:rFonts w:cs="Arial"/>
          <w:lang w:val="en-GB"/>
        </w:rPr>
      </w:pPr>
      <w:r w:rsidRPr="006C28BE">
        <w:rPr>
          <w:rFonts w:cs="Arial"/>
          <w:lang w:val="en-GB"/>
        </w:rPr>
        <w:t>EPA - Environmental Protection Agency (if applicable)</w:t>
      </w:r>
    </w:p>
    <w:p w:rsidR="000B0DDC" w:rsidRPr="006C28BE" w:rsidRDefault="000B0DDC" w:rsidP="000B0DDC">
      <w:pPr>
        <w:pStyle w:val="ListParagraph"/>
        <w:numPr>
          <w:ilvl w:val="0"/>
          <w:numId w:val="11"/>
        </w:numPr>
        <w:spacing w:line="360" w:lineRule="auto"/>
        <w:rPr>
          <w:rFonts w:cs="Arial"/>
          <w:lang w:val="en-GB"/>
        </w:rPr>
      </w:pPr>
      <w:r w:rsidRPr="006C28BE">
        <w:rPr>
          <w:rFonts w:cs="Arial"/>
          <w:lang w:val="en-GB"/>
        </w:rPr>
        <w:t>HR - Human Resources</w:t>
      </w:r>
    </w:p>
    <w:p w:rsidR="000B0DDC" w:rsidRPr="006C28BE" w:rsidRDefault="000B0DDC" w:rsidP="000B0DDC">
      <w:pPr>
        <w:pStyle w:val="ListParagraph"/>
        <w:numPr>
          <w:ilvl w:val="0"/>
          <w:numId w:val="11"/>
        </w:numPr>
        <w:spacing w:line="360" w:lineRule="auto"/>
        <w:rPr>
          <w:rFonts w:cs="Arial"/>
          <w:lang w:val="en-GB"/>
        </w:rPr>
      </w:pPr>
      <w:r w:rsidRPr="006C28BE">
        <w:rPr>
          <w:rFonts w:cs="Arial"/>
          <w:lang w:val="en-GB"/>
        </w:rPr>
        <w:t>IT - Information Technology</w:t>
      </w:r>
    </w:p>
    <w:p w:rsidR="000B0DDC" w:rsidRPr="006C28BE" w:rsidRDefault="000B0DDC" w:rsidP="000B0DDC">
      <w:pPr>
        <w:pStyle w:val="ListParagraph"/>
        <w:numPr>
          <w:ilvl w:val="0"/>
          <w:numId w:val="11"/>
        </w:numPr>
        <w:spacing w:line="360" w:lineRule="auto"/>
        <w:rPr>
          <w:rFonts w:cs="Arial"/>
          <w:lang w:val="en-GB"/>
        </w:rPr>
      </w:pPr>
      <w:r w:rsidRPr="006C28BE">
        <w:rPr>
          <w:rFonts w:cs="Arial"/>
          <w:lang w:val="en-GB"/>
        </w:rPr>
        <w:t>PE - Private Equity</w:t>
      </w:r>
    </w:p>
    <w:p w:rsidR="000B0DDC" w:rsidRPr="006C28BE" w:rsidRDefault="000B0DDC" w:rsidP="000B0DDC">
      <w:pPr>
        <w:pStyle w:val="ListParagraph"/>
        <w:numPr>
          <w:ilvl w:val="0"/>
          <w:numId w:val="11"/>
        </w:numPr>
        <w:spacing w:line="360" w:lineRule="auto"/>
        <w:rPr>
          <w:rFonts w:cs="Arial"/>
          <w:lang w:val="en-GB"/>
        </w:rPr>
      </w:pPr>
      <w:r w:rsidRPr="006C28BE">
        <w:rPr>
          <w:rFonts w:cs="Arial"/>
          <w:lang w:val="en-GB"/>
        </w:rPr>
        <w:t>CAGR - Compound Annual Growth Rate</w:t>
      </w:r>
    </w:p>
    <w:p w:rsidR="000B0DDC" w:rsidRPr="006C28BE" w:rsidRDefault="000B0DDC" w:rsidP="000B0DDC">
      <w:pPr>
        <w:pStyle w:val="ListParagraph"/>
        <w:numPr>
          <w:ilvl w:val="0"/>
          <w:numId w:val="11"/>
        </w:numPr>
        <w:spacing w:line="360" w:lineRule="auto"/>
        <w:rPr>
          <w:rFonts w:cs="Arial"/>
          <w:lang w:val="en-GB"/>
        </w:rPr>
      </w:pPr>
      <w:r w:rsidRPr="006C28BE">
        <w:rPr>
          <w:rFonts w:cs="Arial"/>
          <w:lang w:val="en-GB"/>
        </w:rPr>
        <w:t>M&amp;A - Mergers and Acquisitions</w:t>
      </w:r>
    </w:p>
    <w:p w:rsidR="000B0DDC" w:rsidRPr="006C28BE" w:rsidRDefault="000B0DDC" w:rsidP="000B0DDC">
      <w:pPr>
        <w:pStyle w:val="ListParagraph"/>
        <w:numPr>
          <w:ilvl w:val="0"/>
          <w:numId w:val="11"/>
        </w:numPr>
        <w:spacing w:line="360" w:lineRule="auto"/>
        <w:rPr>
          <w:rFonts w:cs="Arial"/>
          <w:lang w:val="en-GB"/>
        </w:rPr>
      </w:pPr>
      <w:r w:rsidRPr="006C28BE">
        <w:rPr>
          <w:rFonts w:cs="Arial"/>
          <w:lang w:val="en-GB"/>
        </w:rPr>
        <w:t>HRM - Human Resource Management</w:t>
      </w:r>
    </w:p>
    <w:p w:rsidR="000B0DDC" w:rsidRPr="006C28BE" w:rsidRDefault="000B0DDC" w:rsidP="000B0DDC">
      <w:pPr>
        <w:pStyle w:val="ListParagraph"/>
        <w:numPr>
          <w:ilvl w:val="0"/>
          <w:numId w:val="11"/>
        </w:numPr>
        <w:spacing w:line="360" w:lineRule="auto"/>
        <w:rPr>
          <w:rFonts w:cs="Arial"/>
          <w:lang w:val="en-GB"/>
        </w:rPr>
      </w:pPr>
      <w:r w:rsidRPr="006C28BE">
        <w:rPr>
          <w:rFonts w:cs="Arial"/>
          <w:lang w:val="en-GB"/>
        </w:rPr>
        <w:t>NHS - National Health Service</w:t>
      </w:r>
    </w:p>
    <w:p w:rsidR="000B0DDC" w:rsidRPr="006C28BE" w:rsidRDefault="000B0DDC" w:rsidP="000B0DDC">
      <w:pPr>
        <w:pStyle w:val="ListParagraph"/>
        <w:numPr>
          <w:ilvl w:val="0"/>
          <w:numId w:val="11"/>
        </w:numPr>
        <w:spacing w:line="360" w:lineRule="auto"/>
        <w:rPr>
          <w:rFonts w:cs="Arial"/>
          <w:lang w:val="en-GB"/>
        </w:rPr>
      </w:pPr>
      <w:r w:rsidRPr="006C28BE">
        <w:rPr>
          <w:rFonts w:cs="Arial"/>
          <w:lang w:val="en-GB"/>
        </w:rPr>
        <w:t>COVID-19 - Coronavirus Disease 2019</w:t>
      </w:r>
    </w:p>
    <w:p w:rsidR="000B0DDC" w:rsidRPr="006C28BE" w:rsidRDefault="000B0DDC" w:rsidP="000B0DDC">
      <w:pPr>
        <w:pStyle w:val="ListParagraph"/>
        <w:numPr>
          <w:ilvl w:val="0"/>
          <w:numId w:val="11"/>
        </w:numPr>
        <w:spacing w:line="360" w:lineRule="auto"/>
        <w:rPr>
          <w:rFonts w:cs="Arial"/>
          <w:lang w:val="en-GB"/>
        </w:rPr>
      </w:pPr>
      <w:r w:rsidRPr="006C28BE">
        <w:rPr>
          <w:rFonts w:cs="Arial"/>
          <w:lang w:val="en-GB"/>
        </w:rPr>
        <w:t>WFH - Work from Home</w:t>
      </w:r>
    </w:p>
    <w:p w:rsidR="000B0DDC" w:rsidRPr="006C28BE" w:rsidRDefault="000B0DDC" w:rsidP="000B0DDC">
      <w:pPr>
        <w:pStyle w:val="ListParagraph"/>
        <w:numPr>
          <w:ilvl w:val="0"/>
          <w:numId w:val="11"/>
        </w:numPr>
        <w:spacing w:line="360" w:lineRule="auto"/>
        <w:rPr>
          <w:rFonts w:cs="Arial"/>
          <w:lang w:val="en-GB"/>
        </w:rPr>
      </w:pPr>
      <w:r w:rsidRPr="006C28BE">
        <w:rPr>
          <w:rFonts w:cs="Arial"/>
          <w:lang w:val="en-GB"/>
        </w:rPr>
        <w:t>ICT - Information and Communication Technology</w:t>
      </w:r>
    </w:p>
    <w:p w:rsidR="000B0DDC" w:rsidRPr="006C28BE" w:rsidRDefault="000B0DDC" w:rsidP="000B0DDC">
      <w:pPr>
        <w:pStyle w:val="ListParagraph"/>
        <w:numPr>
          <w:ilvl w:val="0"/>
          <w:numId w:val="11"/>
        </w:numPr>
        <w:spacing w:line="360" w:lineRule="auto"/>
        <w:rPr>
          <w:rFonts w:cs="Arial"/>
          <w:lang w:val="en-GB"/>
        </w:rPr>
      </w:pPr>
      <w:r w:rsidRPr="006C28BE">
        <w:rPr>
          <w:rFonts w:cs="Arial"/>
          <w:lang w:val="en-GB"/>
        </w:rPr>
        <w:t>CSR - Corporate Social Responsibility</w:t>
      </w:r>
    </w:p>
    <w:p w:rsidR="000B0DDC" w:rsidRPr="006C28BE" w:rsidRDefault="000B0DDC" w:rsidP="000B0DDC">
      <w:pPr>
        <w:pStyle w:val="ListParagraph"/>
        <w:numPr>
          <w:ilvl w:val="0"/>
          <w:numId w:val="11"/>
        </w:numPr>
        <w:spacing w:line="360" w:lineRule="auto"/>
        <w:rPr>
          <w:rFonts w:cs="Arial"/>
          <w:lang w:val="en-GB"/>
        </w:rPr>
      </w:pPr>
      <w:r w:rsidRPr="006C28BE">
        <w:rPr>
          <w:rFonts w:cs="Arial"/>
          <w:lang w:val="en-GB"/>
        </w:rPr>
        <w:t>SME - Small and Medium-sized Enterprise</w:t>
      </w:r>
    </w:p>
    <w:p w:rsidR="000B0DDC" w:rsidRPr="006C28BE" w:rsidRDefault="000B0DDC" w:rsidP="000B0DDC">
      <w:pPr>
        <w:pStyle w:val="ListParagraph"/>
        <w:numPr>
          <w:ilvl w:val="0"/>
          <w:numId w:val="11"/>
        </w:numPr>
        <w:spacing w:line="360" w:lineRule="auto"/>
        <w:rPr>
          <w:rFonts w:cs="Arial"/>
          <w:lang w:val="en-GB"/>
        </w:rPr>
      </w:pPr>
      <w:r w:rsidRPr="006C28BE">
        <w:rPr>
          <w:rFonts w:cs="Arial"/>
          <w:lang w:val="en-GB"/>
        </w:rPr>
        <w:t>ROI - Return on Investment</w:t>
      </w:r>
    </w:p>
    <w:p w:rsidR="000B0DDC" w:rsidRPr="006C28BE" w:rsidRDefault="000B0DDC" w:rsidP="000B0DDC">
      <w:pPr>
        <w:pStyle w:val="ListParagraph"/>
        <w:numPr>
          <w:ilvl w:val="0"/>
          <w:numId w:val="11"/>
        </w:numPr>
        <w:spacing w:line="360" w:lineRule="auto"/>
        <w:rPr>
          <w:rFonts w:cs="Arial"/>
          <w:lang w:val="en-GB"/>
        </w:rPr>
      </w:pPr>
      <w:r w:rsidRPr="006C28BE">
        <w:rPr>
          <w:rFonts w:cs="Arial"/>
          <w:lang w:val="en-GB"/>
        </w:rPr>
        <w:t>EAP - Employee Assistance Program</w:t>
      </w:r>
    </w:p>
    <w:p w:rsidR="000B0DDC" w:rsidRPr="006C28BE" w:rsidRDefault="000B0DDC" w:rsidP="000B0DDC">
      <w:pPr>
        <w:pStyle w:val="ListParagraph"/>
        <w:numPr>
          <w:ilvl w:val="0"/>
          <w:numId w:val="11"/>
        </w:numPr>
        <w:spacing w:line="360" w:lineRule="auto"/>
        <w:rPr>
          <w:rFonts w:cs="Arial"/>
          <w:lang w:val="en-GB"/>
        </w:rPr>
      </w:pPr>
      <w:r w:rsidRPr="006C28BE">
        <w:rPr>
          <w:rFonts w:cs="Arial"/>
          <w:lang w:val="en-GB"/>
        </w:rPr>
        <w:t>DEI - Diversity, Equity, and Inclusion</w:t>
      </w:r>
    </w:p>
    <w:p w:rsidR="000B0DDC" w:rsidRDefault="000B0DDC" w:rsidP="000B0DDC">
      <w:bookmarkStart w:id="0" w:name="_Toc166368599"/>
    </w:p>
    <w:p w:rsidR="000B0DDC" w:rsidRDefault="000B0DDC" w:rsidP="000B0DDC">
      <w:pPr>
        <w:spacing w:line="360" w:lineRule="auto"/>
        <w:rPr>
          <w:b/>
          <w:sz w:val="28"/>
          <w:szCs w:val="28"/>
        </w:rPr>
      </w:pPr>
    </w:p>
    <w:p w:rsidR="000B0DDC" w:rsidRPr="00D25DD9" w:rsidRDefault="000B0DDC" w:rsidP="000B0DDC">
      <w:pPr>
        <w:spacing w:line="360" w:lineRule="auto"/>
        <w:rPr>
          <w:b/>
          <w:sz w:val="36"/>
          <w:szCs w:val="36"/>
        </w:rPr>
      </w:pPr>
      <w:r w:rsidRPr="000258F8">
        <w:rPr>
          <w:b/>
          <w:sz w:val="28"/>
          <w:szCs w:val="28"/>
        </w:rPr>
        <w:lastRenderedPageBreak/>
        <w:t>1</w:t>
      </w:r>
      <w:r>
        <w:rPr>
          <w:b/>
          <w:sz w:val="36"/>
          <w:szCs w:val="36"/>
        </w:rPr>
        <w:t xml:space="preserve">   </w:t>
      </w:r>
      <w:r w:rsidRPr="000258F8">
        <w:rPr>
          <w:b/>
          <w:sz w:val="28"/>
          <w:szCs w:val="28"/>
        </w:rPr>
        <w:t>Introduction</w:t>
      </w:r>
      <w:bookmarkEnd w:id="0"/>
      <w:r>
        <w:rPr>
          <w:b/>
          <w:sz w:val="36"/>
          <w:szCs w:val="36"/>
        </w:rPr>
        <w:t xml:space="preserve"> </w:t>
      </w:r>
    </w:p>
    <w:p w:rsidR="000B0DDC" w:rsidRPr="00C429F8" w:rsidRDefault="000B0DDC" w:rsidP="000B0DDC">
      <w:pPr>
        <w:spacing w:line="360" w:lineRule="auto"/>
        <w:rPr>
          <w:b/>
          <w:sz w:val="28"/>
          <w:szCs w:val="28"/>
          <w:lang w:val="en-GB"/>
        </w:rPr>
      </w:pPr>
      <w:r>
        <w:rPr>
          <w:b/>
          <w:sz w:val="28"/>
          <w:szCs w:val="28"/>
          <w:lang w:val="en-GB"/>
        </w:rPr>
        <w:t>1.1 Background &amp; Problem Statement</w:t>
      </w:r>
    </w:p>
    <w:p w:rsidR="000B0DDC" w:rsidRPr="006C28BE" w:rsidRDefault="000B0DDC" w:rsidP="000B0DDC">
      <w:pPr>
        <w:spacing w:line="360" w:lineRule="auto"/>
        <w:jc w:val="both"/>
        <w:rPr>
          <w:rFonts w:cs="Arial"/>
          <w:color w:val="000000"/>
          <w:lang w:val="en-GB"/>
        </w:rPr>
      </w:pPr>
      <w:r w:rsidRPr="006C28BE">
        <w:rPr>
          <w:rFonts w:cs="Arial"/>
          <w:color w:val="000000"/>
          <w:lang w:val="en-GB"/>
        </w:rPr>
        <w:t xml:space="preserve">In the UK, the transition from the old single-earner families to the new dual-income household system means a true change in the socio-economic structure of the country. Termed the "Double Paycheck Revolution," the change is not merely an economic change, but it is a social transformation which brings the progress in gender equality, redefines the definition of family, and technologically driven mergers of work and home lives. </w:t>
      </w:r>
    </w:p>
    <w:p w:rsidR="000B0DDC" w:rsidRPr="00B85BB9" w:rsidRDefault="000B0DDC" w:rsidP="000B0DDC">
      <w:pPr>
        <w:pStyle w:val="ListParagraph"/>
        <w:numPr>
          <w:ilvl w:val="1"/>
          <w:numId w:val="15"/>
        </w:numPr>
        <w:tabs>
          <w:tab w:val="left" w:pos="450"/>
        </w:tabs>
        <w:spacing w:line="360" w:lineRule="auto"/>
        <w:rPr>
          <w:b/>
          <w:sz w:val="28"/>
          <w:szCs w:val="28"/>
          <w:lang w:val="en-GB"/>
        </w:rPr>
      </w:pPr>
      <w:bookmarkStart w:id="1" w:name="_Toc166368601"/>
      <w:r w:rsidRPr="00B85BB9">
        <w:rPr>
          <w:b/>
          <w:sz w:val="28"/>
          <w:szCs w:val="28"/>
          <w:lang w:val="en-GB"/>
        </w:rPr>
        <w:t>Evolution of Workforce Dynamics</w:t>
      </w:r>
      <w:bookmarkEnd w:id="1"/>
    </w:p>
    <w:p w:rsidR="000B0DDC" w:rsidRPr="006C28BE" w:rsidRDefault="000B0DDC" w:rsidP="000B0DDC">
      <w:pPr>
        <w:spacing w:line="360" w:lineRule="auto"/>
        <w:jc w:val="both"/>
        <w:rPr>
          <w:rFonts w:cs="Arial"/>
          <w:color w:val="000000"/>
          <w:lang w:val="en-GB"/>
        </w:rPr>
      </w:pPr>
      <w:r w:rsidRPr="006C28BE">
        <w:rPr>
          <w:rFonts w:cs="Arial"/>
          <w:color w:val="000000"/>
          <w:lang w:val="en-GB"/>
        </w:rPr>
        <w:t>By the end of the second half of the 20th century, post-war Britain had experienced profound shifts in gender roles, which had been built by single-earner households, where men occupied the position of the primary breadwinners. The feminist movements of the 1960s and 70s which were aimed at promoting women's rights and equality in the workplace, and pivotal legislative reforms like the Equal Pay Act 1970 and the Sex Discrimination Act 1975 which brought about fundamental changes in the structure of the UK job market, were all important in reshaping the dynamics of UK labour markets Such shifts in the economic and social spheres created the ground for dual-income families to become the norm of many societies and, as a result, the traditional household structure of one income provider was replaced by two. (Walby, 2011)</w:t>
      </w:r>
    </w:p>
    <w:p w:rsidR="000B0DDC" w:rsidRPr="00377DF7" w:rsidRDefault="000B0DDC" w:rsidP="000B0DDC">
      <w:pPr>
        <w:rPr>
          <w:b/>
          <w:sz w:val="28"/>
          <w:szCs w:val="28"/>
          <w:lang w:val="en-GB"/>
        </w:rPr>
      </w:pPr>
      <w:bookmarkStart w:id="2" w:name="_Toc166368602"/>
      <w:r>
        <w:rPr>
          <w:b/>
          <w:sz w:val="28"/>
          <w:szCs w:val="28"/>
          <w:lang w:val="en-GB"/>
        </w:rPr>
        <w:t xml:space="preserve">1.3 </w:t>
      </w:r>
      <w:r w:rsidRPr="00377DF7">
        <w:rPr>
          <w:b/>
          <w:sz w:val="28"/>
          <w:szCs w:val="28"/>
          <w:lang w:val="en-GB"/>
        </w:rPr>
        <w:t>The Double Pay Check Phenomenon</w:t>
      </w:r>
      <w:bookmarkEnd w:id="2"/>
    </w:p>
    <w:p w:rsidR="000B0DDC" w:rsidRPr="006C28BE" w:rsidRDefault="000B0DDC" w:rsidP="000B0DDC">
      <w:pPr>
        <w:spacing w:line="360" w:lineRule="auto"/>
        <w:jc w:val="both"/>
        <w:rPr>
          <w:rFonts w:cs="Arial"/>
          <w:color w:val="000000"/>
          <w:lang w:val="en-IN"/>
        </w:rPr>
      </w:pPr>
      <w:r w:rsidRPr="006C28BE">
        <w:rPr>
          <w:rFonts w:cs="Arial"/>
          <w:color w:val="000000"/>
          <w:lang w:val="en-GB"/>
        </w:rPr>
        <w:t>The Double Earning Revolution, which is characterized by the growing number of couples wherein both partners are employed, is one of the most interesting empirical findings of this study. This transformation is the result of globalization, the development of technology, and the evolving norms of society regarding the relation of work and family. The impacts of all this are too vast and reach deep into human life. It is not only a factor that affects the economic stability of families, but it also changes people's way of life and brings about a new perspective to individual lives. </w:t>
      </w:r>
      <w:r w:rsidRPr="006C28BE">
        <w:rPr>
          <w:rFonts w:cs="Arial"/>
          <w:color w:val="000000"/>
          <w:lang w:val="en-IN"/>
        </w:rPr>
        <w:t xml:space="preserve">As well as one-earning households, two-income families have become the main economic structure. While the debate on the benefits of this change will always be present, it is necessary to discuss the broader </w:t>
      </w:r>
      <w:r w:rsidRPr="006C28BE">
        <w:rPr>
          <w:rFonts w:cs="Arial"/>
          <w:color w:val="000000"/>
          <w:lang w:val="en-IN"/>
        </w:rPr>
        <w:lastRenderedPageBreak/>
        <w:t>implications of this shift, namely, the income distribution, the work-life balance, and the effectiveness of these policies (Perrons, 2006).</w:t>
      </w:r>
    </w:p>
    <w:p w:rsidR="000B0DDC" w:rsidRPr="006C28BE" w:rsidRDefault="000B0DDC" w:rsidP="000B0DDC">
      <w:pPr>
        <w:spacing w:line="360" w:lineRule="auto"/>
        <w:jc w:val="both"/>
        <w:rPr>
          <w:rFonts w:cs="Arial"/>
          <w:color w:val="000000"/>
          <w:lang w:val="en-IN"/>
        </w:rPr>
      </w:pPr>
    </w:p>
    <w:p w:rsidR="000B0DDC" w:rsidRPr="006C28BE" w:rsidRDefault="000B0DDC" w:rsidP="000B0DDC">
      <w:pPr>
        <w:spacing w:line="360" w:lineRule="auto"/>
        <w:jc w:val="both"/>
        <w:rPr>
          <w:rFonts w:cs="Arial"/>
          <w:color w:val="000000"/>
          <w:lang w:val="en-IN"/>
        </w:rPr>
      </w:pPr>
      <w:r w:rsidRPr="006C28BE">
        <w:rPr>
          <w:rFonts w:cs="Arial"/>
          <w:color w:val="000000"/>
          <w:lang w:val="en-IN"/>
        </w:rPr>
        <w:t>The theory behind the new economic and social revolution is examined, and an in-depth investigation of its economic and social characteristics is undertaken in order to address a complex issue.</w:t>
      </w:r>
    </w:p>
    <w:p w:rsidR="000B0DDC" w:rsidRPr="006C28BE" w:rsidRDefault="000B0DDC" w:rsidP="000B0DDC">
      <w:pPr>
        <w:spacing w:line="360" w:lineRule="auto"/>
        <w:jc w:val="both"/>
        <w:rPr>
          <w:rFonts w:cs="Arial"/>
          <w:color w:val="000000"/>
          <w:lang w:val="en-IN"/>
        </w:rPr>
      </w:pPr>
    </w:p>
    <w:p w:rsidR="000B0DDC" w:rsidRPr="006C28BE" w:rsidRDefault="000B0DDC" w:rsidP="000B0DDC">
      <w:pPr>
        <w:spacing w:line="360" w:lineRule="auto"/>
        <w:jc w:val="both"/>
        <w:rPr>
          <w:rFonts w:cs="Arial"/>
          <w:color w:val="000000"/>
          <w:lang w:val="en-GB"/>
        </w:rPr>
      </w:pPr>
      <w:r w:rsidRPr="0068458F">
        <w:rPr>
          <w:rFonts w:cs="Arial"/>
          <w:b/>
          <w:color w:val="000000"/>
          <w:lang w:val="en-IN"/>
        </w:rPr>
        <w:t>Research Aim</w:t>
      </w:r>
      <w:r w:rsidRPr="006C28BE">
        <w:rPr>
          <w:rFonts w:cs="Arial"/>
          <w:color w:val="000000"/>
          <w:lang w:val="en-IN"/>
        </w:rPr>
        <w:t>: - This paper is an essay that is aimed at reviewing the British Double Paycheck revolution in detail and it proves that the families with both parents working have changed the economy and the society dramatically. The study would be guided by the purpose of examining how the societal factors such as job market, family outcomes and socio-economic policies are related that would contribute towards the understanding of the current household structure in the UK.</w:t>
      </w:r>
    </w:p>
    <w:p w:rsidR="000B0DDC" w:rsidRPr="00C52C0B" w:rsidRDefault="000B0DDC" w:rsidP="000B0DDC">
      <w:pPr>
        <w:rPr>
          <w:b/>
          <w:sz w:val="28"/>
          <w:szCs w:val="28"/>
          <w:lang w:val="en-GB"/>
        </w:rPr>
      </w:pPr>
      <w:bookmarkStart w:id="3" w:name="_Toc166368603"/>
      <w:r>
        <w:rPr>
          <w:b/>
          <w:sz w:val="28"/>
          <w:szCs w:val="28"/>
          <w:lang w:val="en-GB"/>
        </w:rPr>
        <w:t xml:space="preserve">1.4 </w:t>
      </w:r>
      <w:r w:rsidRPr="00C52C0B">
        <w:rPr>
          <w:b/>
          <w:sz w:val="28"/>
          <w:szCs w:val="28"/>
          <w:lang w:val="en-GB"/>
        </w:rPr>
        <w:t>Research Objectives</w:t>
      </w:r>
      <w:bookmarkEnd w:id="3"/>
    </w:p>
    <w:p w:rsidR="000B0DDC" w:rsidRPr="006C28BE" w:rsidRDefault="000B0DDC" w:rsidP="000B0DDC">
      <w:pPr>
        <w:pStyle w:val="ListParagraph1"/>
        <w:numPr>
          <w:ilvl w:val="0"/>
          <w:numId w:val="1"/>
        </w:numPr>
        <w:spacing w:line="360" w:lineRule="auto"/>
        <w:jc w:val="both"/>
        <w:rPr>
          <w:rFonts w:cs="Arial"/>
          <w:color w:val="000000"/>
          <w:lang w:val="en-GB"/>
        </w:rPr>
      </w:pPr>
      <w:r w:rsidRPr="006C28BE">
        <w:rPr>
          <w:rFonts w:cs="Arial"/>
          <w:color w:val="000000"/>
          <w:lang w:val="en-GB"/>
        </w:rPr>
        <w:t>To investigate whether dual-income households in the UK contribute to the unequal income distribution by using analysis of the household structures and their impact on the economic disparities among the population and its regional territories. This analysis will study a dual income function in determining social stratification, and it will be looking at how they may intensify or mitigate the inequality.</w:t>
      </w:r>
      <w:r w:rsidRPr="006C28BE">
        <w:rPr>
          <w:rFonts w:cs="Arial"/>
          <w:b/>
          <w:bCs/>
          <w:color w:val="000000"/>
          <w:lang w:val="en-GB"/>
        </w:rPr>
        <w:t xml:space="preserve"> </w:t>
      </w:r>
    </w:p>
    <w:p w:rsidR="000B0DDC" w:rsidRPr="006C28BE" w:rsidRDefault="000B0DDC" w:rsidP="000B0DDC">
      <w:pPr>
        <w:pStyle w:val="ListParagraph1"/>
        <w:numPr>
          <w:ilvl w:val="0"/>
          <w:numId w:val="1"/>
        </w:numPr>
        <w:spacing w:line="360" w:lineRule="auto"/>
        <w:jc w:val="both"/>
        <w:rPr>
          <w:rFonts w:cs="Arial"/>
          <w:color w:val="000000"/>
          <w:lang w:val="en-GB"/>
        </w:rPr>
      </w:pPr>
      <w:r w:rsidRPr="006C28BE">
        <w:rPr>
          <w:rFonts w:cs="Arial"/>
          <w:color w:val="000000"/>
          <w:lang w:val="en-GB"/>
        </w:rPr>
        <w:t>To analyse how dual income families, affect family welfare. It covers mental health issues and family cohesion and discusses how one can achieve work-life balance. It mainly researches the advantages and difficulties of dual-career lifestyles. However, the study topics are possible sources of stress, but also may be the opportunities for better financial stability and personal satisfaction.</w:t>
      </w:r>
    </w:p>
    <w:p w:rsidR="000B0DDC" w:rsidRDefault="000B0DDC" w:rsidP="000B0DDC">
      <w:pPr>
        <w:pStyle w:val="ListParagraph1"/>
        <w:numPr>
          <w:ilvl w:val="0"/>
          <w:numId w:val="1"/>
        </w:numPr>
        <w:spacing w:line="360" w:lineRule="auto"/>
        <w:jc w:val="both"/>
        <w:rPr>
          <w:rFonts w:cs="Arial"/>
          <w:color w:val="000000"/>
          <w:lang w:val="en-GB"/>
        </w:rPr>
      </w:pPr>
      <w:r w:rsidRPr="006C28BE">
        <w:rPr>
          <w:rFonts w:cs="Arial"/>
          <w:color w:val="000000"/>
          <w:lang w:val="en-GB"/>
        </w:rPr>
        <w:t>To assure the degree of coherence between existing policy norms and the actual life in dual-income families. It will surface the areas where current policies are not as effective, exposing the need for policy innovation to build a better support program for these families.</w:t>
      </w:r>
    </w:p>
    <w:p w:rsidR="000B0DDC" w:rsidRPr="006C28BE" w:rsidRDefault="000B0DDC" w:rsidP="000B0DDC">
      <w:pPr>
        <w:pStyle w:val="ListParagraph1"/>
        <w:spacing w:line="360" w:lineRule="auto"/>
        <w:jc w:val="both"/>
        <w:rPr>
          <w:rFonts w:cs="Arial"/>
          <w:color w:val="000000"/>
          <w:lang w:val="en-GB"/>
        </w:rPr>
      </w:pPr>
    </w:p>
    <w:p w:rsidR="000B0DDC" w:rsidRPr="006C28BE" w:rsidRDefault="000B0DDC" w:rsidP="000B0DDC">
      <w:pPr>
        <w:spacing w:line="360" w:lineRule="auto"/>
        <w:jc w:val="both"/>
        <w:rPr>
          <w:rFonts w:cs="Arial"/>
          <w:color w:val="000000"/>
          <w:lang w:val="en-GB"/>
        </w:rPr>
      </w:pPr>
      <w:r w:rsidRPr="006C28BE">
        <w:rPr>
          <w:rFonts w:cs="Arial"/>
          <w:b/>
          <w:bCs/>
          <w:color w:val="000000"/>
          <w:lang w:val="en-GB"/>
        </w:rPr>
        <w:lastRenderedPageBreak/>
        <w:t>Research Questions</w:t>
      </w:r>
    </w:p>
    <w:p w:rsidR="000B0DDC" w:rsidRPr="006C28BE" w:rsidRDefault="000B0DDC" w:rsidP="000B0DDC">
      <w:pPr>
        <w:pStyle w:val="ListParagraph1"/>
        <w:numPr>
          <w:ilvl w:val="0"/>
          <w:numId w:val="2"/>
        </w:numPr>
        <w:spacing w:line="360" w:lineRule="auto"/>
        <w:jc w:val="both"/>
        <w:rPr>
          <w:rFonts w:cs="Arial"/>
          <w:lang w:val="en-GB"/>
        </w:rPr>
      </w:pPr>
      <w:r w:rsidRPr="006C28BE">
        <w:rPr>
          <w:rFonts w:cs="Arial"/>
          <w:color w:val="000000"/>
          <w:lang w:val="en-GB"/>
        </w:rPr>
        <w:t>How do dual-income households affect income distribution and economic inequality across the UK's diverse regions and socio-demographic groups?</w:t>
      </w:r>
    </w:p>
    <w:p w:rsidR="000B0DDC" w:rsidRPr="006C28BE" w:rsidRDefault="000B0DDC" w:rsidP="000B0DDC">
      <w:pPr>
        <w:pStyle w:val="ListParagraph1"/>
        <w:numPr>
          <w:ilvl w:val="0"/>
          <w:numId w:val="2"/>
        </w:numPr>
        <w:spacing w:line="360" w:lineRule="auto"/>
        <w:jc w:val="both"/>
        <w:rPr>
          <w:rFonts w:cs="Arial"/>
          <w:lang w:val="en-GB"/>
        </w:rPr>
      </w:pPr>
      <w:r w:rsidRPr="006C28BE">
        <w:rPr>
          <w:rFonts w:cs="Arial"/>
          <w:color w:val="000000"/>
          <w:lang w:val="en-GB"/>
        </w:rPr>
        <w:t>What are the implications of dual-income households on family dynamics, mental health, and work-life balance within UK families?</w:t>
      </w:r>
    </w:p>
    <w:p w:rsidR="000B0DDC" w:rsidRPr="006C28BE" w:rsidRDefault="000B0DDC" w:rsidP="000B0DDC">
      <w:pPr>
        <w:pStyle w:val="ListParagraph1"/>
        <w:numPr>
          <w:ilvl w:val="0"/>
          <w:numId w:val="2"/>
        </w:numPr>
        <w:spacing w:line="360" w:lineRule="auto"/>
        <w:jc w:val="both"/>
        <w:rPr>
          <w:rFonts w:cs="Arial"/>
          <w:lang w:val="en-GB"/>
        </w:rPr>
      </w:pPr>
      <w:r w:rsidRPr="006C28BE">
        <w:rPr>
          <w:rFonts w:cs="Arial"/>
          <w:color w:val="000000"/>
          <w:lang w:val="en-GB"/>
        </w:rPr>
        <w:t>How effectively do current UK policies and legal frameworks address the needs and challenges of dual-income households?</w:t>
      </w:r>
    </w:p>
    <w:p w:rsidR="000B0DDC" w:rsidRPr="006C28BE" w:rsidRDefault="000B0DDC" w:rsidP="000B0DDC">
      <w:pPr>
        <w:spacing w:line="360" w:lineRule="auto"/>
        <w:jc w:val="both"/>
        <w:rPr>
          <w:rFonts w:cs="Arial"/>
          <w:b/>
          <w:bCs/>
          <w:lang w:val="en-GB"/>
        </w:rPr>
      </w:pPr>
      <w:r w:rsidRPr="006C28BE">
        <w:rPr>
          <w:rFonts w:cs="Arial"/>
          <w:b/>
          <w:bCs/>
          <w:color w:val="000000"/>
          <w:lang w:val="en-GB"/>
        </w:rPr>
        <w:t>Significance of Study</w:t>
      </w:r>
    </w:p>
    <w:p w:rsidR="000B0DDC" w:rsidRPr="006C28BE" w:rsidRDefault="000B0DDC" w:rsidP="000B0DDC">
      <w:pPr>
        <w:spacing w:line="360" w:lineRule="auto"/>
        <w:jc w:val="both"/>
        <w:rPr>
          <w:rFonts w:cs="Arial"/>
          <w:lang w:val="en-GB"/>
        </w:rPr>
      </w:pPr>
      <w:r w:rsidRPr="006C28BE">
        <w:rPr>
          <w:rFonts w:cs="Arial"/>
          <w:color w:val="000000"/>
          <w:lang w:val="en-GB"/>
        </w:rPr>
        <w:t xml:space="preserve">This research aims to navigate the relatively unexplored implications of dual-income households, particularly in underrepresented areas. </w:t>
      </w:r>
    </w:p>
    <w:p w:rsidR="000B0DDC" w:rsidRPr="00C52C0B" w:rsidRDefault="000B0DDC" w:rsidP="000B0DDC">
      <w:pPr>
        <w:rPr>
          <w:b/>
          <w:sz w:val="28"/>
          <w:szCs w:val="28"/>
          <w:lang w:val="en-GB"/>
        </w:rPr>
      </w:pPr>
      <w:bookmarkStart w:id="4" w:name="_Toc166368604"/>
      <w:r>
        <w:rPr>
          <w:b/>
          <w:sz w:val="28"/>
          <w:szCs w:val="28"/>
          <w:lang w:val="en-GB"/>
        </w:rPr>
        <w:t>1.5 Structure</w:t>
      </w:r>
      <w:r w:rsidRPr="00C52C0B">
        <w:rPr>
          <w:b/>
          <w:sz w:val="28"/>
          <w:szCs w:val="28"/>
          <w:lang w:val="en-GB"/>
        </w:rPr>
        <w:t xml:space="preserve"> of the Rest of the Project</w:t>
      </w:r>
      <w:bookmarkEnd w:id="4"/>
    </w:p>
    <w:p w:rsidR="000B0DDC" w:rsidRPr="006C28BE" w:rsidRDefault="000B0DDC" w:rsidP="000B0DDC">
      <w:pPr>
        <w:pStyle w:val="ListParagraph1"/>
        <w:numPr>
          <w:ilvl w:val="0"/>
          <w:numId w:val="3"/>
        </w:numPr>
        <w:spacing w:line="360" w:lineRule="auto"/>
        <w:jc w:val="both"/>
        <w:rPr>
          <w:rFonts w:cs="Arial"/>
          <w:lang w:val="en-GB"/>
        </w:rPr>
      </w:pPr>
      <w:r w:rsidRPr="006C28BE">
        <w:rPr>
          <w:rFonts w:cs="Arial"/>
          <w:b/>
          <w:bCs/>
          <w:color w:val="000000"/>
          <w:lang w:val="en-GB"/>
        </w:rPr>
        <w:t>Chapter 2: Literature Review</w:t>
      </w:r>
      <w:r w:rsidRPr="006C28BE">
        <w:rPr>
          <w:rFonts w:cs="Arial"/>
          <w:color w:val="000000"/>
          <w:lang w:val="en-GB"/>
        </w:rPr>
        <w:t>: A comprehensive exploration of existing literature, analysing the economic, social, and policy dimensions of dual-income households, and identifying key themes and gaps.</w:t>
      </w:r>
    </w:p>
    <w:p w:rsidR="000B0DDC" w:rsidRPr="006C28BE" w:rsidRDefault="000B0DDC" w:rsidP="000B0DDC">
      <w:pPr>
        <w:pStyle w:val="ListParagraph1"/>
        <w:numPr>
          <w:ilvl w:val="0"/>
          <w:numId w:val="3"/>
        </w:numPr>
        <w:spacing w:line="360" w:lineRule="auto"/>
        <w:jc w:val="both"/>
        <w:rPr>
          <w:rFonts w:cs="Arial"/>
          <w:lang w:val="en-GB"/>
        </w:rPr>
      </w:pPr>
      <w:r w:rsidRPr="006C28BE">
        <w:rPr>
          <w:rFonts w:cs="Arial"/>
          <w:b/>
          <w:bCs/>
          <w:color w:val="000000"/>
          <w:lang w:val="en-GB"/>
        </w:rPr>
        <w:t>Chapter 3: Research Methodology:</w:t>
      </w:r>
      <w:r w:rsidRPr="006C28BE">
        <w:rPr>
          <w:rFonts w:cs="Arial"/>
          <w:color w:val="000000"/>
          <w:lang w:val="en-GB"/>
        </w:rPr>
        <w:t xml:space="preserve"> Details the systematic literature review methodology, including selection criteria, sources, and analytical techniques used to synthesize and interpret data.</w:t>
      </w:r>
      <w:bookmarkStart w:id="5" w:name="_Toc162808993"/>
    </w:p>
    <w:p w:rsidR="000B0DDC" w:rsidRPr="00E83620" w:rsidRDefault="000B0DDC" w:rsidP="000B0DDC">
      <w:pPr>
        <w:pStyle w:val="ListParagraph1"/>
        <w:numPr>
          <w:ilvl w:val="0"/>
          <w:numId w:val="3"/>
        </w:numPr>
        <w:spacing w:line="360" w:lineRule="auto"/>
        <w:jc w:val="both"/>
        <w:rPr>
          <w:rFonts w:cs="Arial"/>
          <w:lang w:val="en-GB"/>
        </w:rPr>
      </w:pPr>
      <w:r w:rsidRPr="006C28BE">
        <w:rPr>
          <w:rFonts w:cs="Arial"/>
          <w:b/>
          <w:bCs/>
          <w:color w:val="000000"/>
        </w:rPr>
        <w:t xml:space="preserve">Chapter 4: Findings, Analysis and Discussion: </w:t>
      </w:r>
      <w:r w:rsidRPr="00E83620">
        <w:rPr>
          <w:rFonts w:cs="Arial"/>
          <w:bCs/>
          <w:color w:val="000000"/>
        </w:rPr>
        <w:t>The findings are presented in a detailed way while giving the background of the research objectives and considering their implications in UK society.</w:t>
      </w:r>
    </w:p>
    <w:p w:rsidR="000B0DDC" w:rsidRPr="00E83620" w:rsidRDefault="000B0DDC" w:rsidP="000B0DDC">
      <w:pPr>
        <w:pStyle w:val="ListParagraph"/>
        <w:numPr>
          <w:ilvl w:val="0"/>
          <w:numId w:val="3"/>
        </w:numPr>
        <w:spacing w:line="360" w:lineRule="auto"/>
        <w:rPr>
          <w:rFonts w:cs="Arial"/>
          <w:bCs/>
        </w:rPr>
      </w:pPr>
      <w:r w:rsidRPr="006C28BE">
        <w:rPr>
          <w:rFonts w:cs="Arial"/>
          <w:b/>
          <w:bCs/>
        </w:rPr>
        <w:t xml:space="preserve">Chapter 5: Summary and Conclusion: </w:t>
      </w:r>
      <w:r w:rsidRPr="00E83620">
        <w:rPr>
          <w:rFonts w:cs="Arial"/>
          <w:bCs/>
        </w:rPr>
        <w:t>Summarize the main points, relate               them to the research questions, give the policy recommendations and suggestions for further research.</w:t>
      </w:r>
    </w:p>
    <w:p w:rsidR="000B0DDC" w:rsidRDefault="000B0DDC" w:rsidP="000B0DDC">
      <w:pPr>
        <w:spacing w:line="360" w:lineRule="auto"/>
        <w:rPr>
          <w:rFonts w:cs="Arial"/>
        </w:rPr>
      </w:pPr>
      <w:r w:rsidRPr="006C28BE">
        <w:rPr>
          <w:rFonts w:cs="Arial"/>
        </w:rPr>
        <w:br/>
      </w:r>
    </w:p>
    <w:p w:rsidR="000B0DDC" w:rsidRDefault="000B0DDC" w:rsidP="000B0DDC">
      <w:pPr>
        <w:spacing w:line="360" w:lineRule="auto"/>
        <w:rPr>
          <w:rFonts w:cs="Arial"/>
        </w:rPr>
      </w:pPr>
    </w:p>
    <w:p w:rsidR="000B0DDC" w:rsidRDefault="000B0DDC" w:rsidP="000B0DDC">
      <w:pPr>
        <w:spacing w:line="360" w:lineRule="auto"/>
        <w:rPr>
          <w:rFonts w:cs="Arial"/>
        </w:rPr>
      </w:pPr>
    </w:p>
    <w:p w:rsidR="000B0DDC" w:rsidRDefault="000B0DDC" w:rsidP="000B0DDC">
      <w:pPr>
        <w:spacing w:line="360" w:lineRule="auto"/>
        <w:rPr>
          <w:rFonts w:cs="Arial"/>
        </w:rPr>
      </w:pPr>
    </w:p>
    <w:p w:rsidR="000B0DDC" w:rsidRPr="006C28BE" w:rsidRDefault="000B0DDC" w:rsidP="000B0DDC">
      <w:pPr>
        <w:spacing w:line="360" w:lineRule="auto"/>
        <w:rPr>
          <w:rFonts w:cs="Arial"/>
        </w:rPr>
      </w:pPr>
      <w:r w:rsidRPr="006C28BE">
        <w:rPr>
          <w:rFonts w:cs="Arial"/>
        </w:rPr>
        <w:lastRenderedPageBreak/>
        <w:t>This article will expose the Double Paycheck Revolution, which is well in the background of the debate as well as reveal how this change impacted the UK's social and economic environment. It will allow us to grasp the latest developments in the area of families and work better.</w:t>
      </w:r>
      <w:r w:rsidRPr="006C28BE">
        <w:rPr>
          <w:rFonts w:cs="Arial"/>
        </w:rPr>
        <w:br w:type="page"/>
      </w:r>
    </w:p>
    <w:p w:rsidR="000B0DDC" w:rsidRPr="001A47A9" w:rsidRDefault="000B0DDC" w:rsidP="000B0DDC">
      <w:pPr>
        <w:rPr>
          <w:b/>
          <w:sz w:val="36"/>
          <w:szCs w:val="36"/>
        </w:rPr>
      </w:pPr>
      <w:bookmarkStart w:id="6" w:name="_Toc166368605"/>
      <w:r w:rsidRPr="00F24B99">
        <w:rPr>
          <w:b/>
          <w:sz w:val="28"/>
          <w:szCs w:val="28"/>
        </w:rPr>
        <w:lastRenderedPageBreak/>
        <w:t>2</w:t>
      </w:r>
      <w:r>
        <w:rPr>
          <w:b/>
          <w:sz w:val="36"/>
          <w:szCs w:val="36"/>
        </w:rPr>
        <w:t xml:space="preserve">     </w:t>
      </w:r>
      <w:r w:rsidRPr="00F24B99">
        <w:rPr>
          <w:b/>
          <w:sz w:val="28"/>
          <w:szCs w:val="28"/>
        </w:rPr>
        <w:t>Literature Review</w:t>
      </w:r>
      <w:bookmarkEnd w:id="5"/>
      <w:bookmarkEnd w:id="6"/>
    </w:p>
    <w:p w:rsidR="000B0DDC" w:rsidRPr="009B651A" w:rsidRDefault="000B0DDC" w:rsidP="000B0DDC">
      <w:pPr>
        <w:rPr>
          <w:b/>
          <w:sz w:val="28"/>
          <w:szCs w:val="28"/>
          <w:lang w:val="en-GB"/>
        </w:rPr>
      </w:pPr>
      <w:r>
        <w:rPr>
          <w:b/>
          <w:sz w:val="28"/>
          <w:szCs w:val="28"/>
          <w:lang w:val="en-GB"/>
        </w:rPr>
        <w:t xml:space="preserve">2.1    </w:t>
      </w:r>
      <w:r w:rsidRPr="009B651A">
        <w:rPr>
          <w:b/>
          <w:sz w:val="28"/>
          <w:szCs w:val="28"/>
          <w:lang w:val="en-GB"/>
        </w:rPr>
        <w:t>Introduction</w:t>
      </w:r>
    </w:p>
    <w:p w:rsidR="000B0DDC" w:rsidRPr="006C28BE" w:rsidRDefault="000B0DDC" w:rsidP="000B0DDC">
      <w:pPr>
        <w:spacing w:line="360" w:lineRule="auto"/>
        <w:rPr>
          <w:rFonts w:cs="Arial"/>
          <w:lang w:val="en-GB"/>
        </w:rPr>
      </w:pPr>
      <w:r w:rsidRPr="006C28BE">
        <w:rPr>
          <w:rFonts w:cs="Arial"/>
          <w:lang w:val="en-GB"/>
        </w:rPr>
        <w:t>The literature review that is addressed in this paper is quite extensive and it covers all the complex economic, policy, social and health aspects that the families are facing in the UK. The review will include the comparison, and empirical data and real-world examples will be used to reveal the effects of dual-earner families on the labor market and the global picture.</w:t>
      </w:r>
    </w:p>
    <w:p w:rsidR="000B0DDC" w:rsidRPr="006C28BE" w:rsidRDefault="000B0DDC" w:rsidP="000B0DDC">
      <w:pPr>
        <w:spacing w:line="360" w:lineRule="auto"/>
        <w:rPr>
          <w:rFonts w:cs="Arial"/>
          <w:lang w:val="en-GB"/>
        </w:rPr>
      </w:pPr>
      <w:r w:rsidRPr="006C28BE">
        <w:rPr>
          <w:rFonts w:cs="Arial"/>
          <w:lang w:val="en-GB"/>
        </w:rPr>
        <w:t>Besides dual-earner household finance macroeconomic and microeconomic perspectives could be added to the discussion for more content and examples.</w:t>
      </w:r>
    </w:p>
    <w:p w:rsidR="000B0DDC" w:rsidRPr="009B651A" w:rsidRDefault="000B0DDC" w:rsidP="000B0DDC">
      <w:pPr>
        <w:rPr>
          <w:b/>
          <w:sz w:val="28"/>
          <w:szCs w:val="28"/>
          <w:lang w:val="en-GB"/>
        </w:rPr>
      </w:pPr>
      <w:bookmarkStart w:id="7" w:name="_Toc162808995"/>
      <w:bookmarkStart w:id="8" w:name="_Toc166368607"/>
      <w:r>
        <w:rPr>
          <w:b/>
          <w:sz w:val="28"/>
          <w:szCs w:val="28"/>
          <w:lang w:val="en-GB"/>
        </w:rPr>
        <w:t xml:space="preserve">2.2    </w:t>
      </w:r>
      <w:r w:rsidRPr="00CC160B">
        <w:rPr>
          <w:b/>
          <w:sz w:val="28"/>
          <w:szCs w:val="28"/>
        </w:rPr>
        <w:t>Economic Implications of Dual-Income Households</w:t>
      </w:r>
      <w:bookmarkEnd w:id="7"/>
      <w:bookmarkEnd w:id="8"/>
    </w:p>
    <w:p w:rsidR="000B0DDC" w:rsidRPr="006C28BE" w:rsidRDefault="000B0DDC" w:rsidP="000B0DDC">
      <w:pPr>
        <w:spacing w:line="360" w:lineRule="auto"/>
        <w:rPr>
          <w:rFonts w:cs="Arial"/>
          <w:lang w:val="en-IN" w:eastAsia="en-IN"/>
        </w:rPr>
      </w:pPr>
      <w:r w:rsidRPr="006C28BE">
        <w:rPr>
          <w:rFonts w:cs="Arial"/>
          <w:lang w:val="en-IN" w:eastAsia="en-IN"/>
        </w:rPr>
        <w:t>The UK society is now switching to families with two incomes as the leading trend in society. Therefore, the impact of such development should be paid the attention to as the socio- economic changes in the country cannot be underestimated. And, thus, it requires a comprehensive study on the consequences of this change. The pay impact of the dual-earning models is presented with the households. Furthermore, Becker (2021) illustrates the ways in which the shifting income patterns are intertwined with the economic systems of stratification which in turn crafts the larger economic stories of consumption and market dynamics.</w:t>
      </w:r>
    </w:p>
    <w:p w:rsidR="000B0DDC" w:rsidRPr="006C28BE" w:rsidRDefault="000B0DDC" w:rsidP="000B0DDC">
      <w:pPr>
        <w:spacing w:line="360" w:lineRule="auto"/>
        <w:rPr>
          <w:rFonts w:cs="Arial"/>
          <w:lang w:val="en-IN" w:eastAsia="en-IN"/>
        </w:rPr>
      </w:pPr>
      <w:r w:rsidRPr="006C28BE">
        <w:rPr>
          <w:rFonts w:cs="Arial"/>
          <w:lang w:val="en-IN" w:eastAsia="en-IN"/>
        </w:rPr>
        <w:t>The other side of this conflict is the research line which reveals how the current lifestyle, which is more hectic and pressurized, is a family life and work life complex interplay. The research illustrates that the working families with two feeder incomes are key to the economy, however, the structural support is required to deal with the issues of housing insecurity and high living costs. The double-edged nature of economic empowerment in that it comes along with challenges that these households face (Claar and Forster, 2019) is a clear indication of the complex situation faced by these households.</w:t>
      </w:r>
    </w:p>
    <w:p w:rsidR="000B0DDC" w:rsidRPr="006C28BE" w:rsidRDefault="000B0DDC" w:rsidP="000B0DDC">
      <w:pPr>
        <w:spacing w:line="360" w:lineRule="auto"/>
        <w:rPr>
          <w:rFonts w:cs="Arial"/>
          <w:lang w:val="en-GB"/>
        </w:rPr>
      </w:pPr>
      <w:r w:rsidRPr="006C28BE">
        <w:rPr>
          <w:rFonts w:cs="Arial"/>
          <w:lang w:val="en-IN" w:eastAsia="en-IN"/>
        </w:rPr>
        <w:t xml:space="preserve">The research paper by Friedline et al., 2021, illustrates the double-edged sword of dual income households in the housing market. The study, like previous work by (Clark and Coughlin, 2018), showed that couples (who have dual income) are one of the leading demand drivers, with their extra income being the most significant factor. This becomes a fact because the demand is almost always based on the places that people want to </w:t>
      </w:r>
      <w:r w:rsidRPr="006C28BE">
        <w:rPr>
          <w:rFonts w:cs="Arial"/>
          <w:lang w:val="en-IN" w:eastAsia="en-IN"/>
        </w:rPr>
        <w:lastRenderedPageBreak/>
        <w:t>live. It follows that the policy measures have to take into account the affordability and accessibility problems that are prevalent in the housing sector (Kieffer, 2023).</w:t>
      </w:r>
    </w:p>
    <w:p w:rsidR="000B0DDC" w:rsidRPr="00FC3811" w:rsidRDefault="000B0DDC" w:rsidP="000B0DDC">
      <w:pPr>
        <w:rPr>
          <w:b/>
          <w:szCs w:val="24"/>
        </w:rPr>
      </w:pPr>
      <w:bookmarkStart w:id="9" w:name="_Toc166368608"/>
      <w:r w:rsidRPr="00FC3811">
        <w:rPr>
          <w:b/>
          <w:szCs w:val="24"/>
        </w:rPr>
        <w:t>2.2.1   The Implications of Dual-Income Households on Economics</w:t>
      </w:r>
      <w:bookmarkEnd w:id="9"/>
    </w:p>
    <w:p w:rsidR="000B0DDC" w:rsidRPr="006C28BE" w:rsidRDefault="000B0DDC" w:rsidP="000B0DDC">
      <w:pPr>
        <w:spacing w:line="360" w:lineRule="auto"/>
        <w:jc w:val="both"/>
        <w:rPr>
          <w:rFonts w:cs="Arial"/>
          <w:color w:val="000000"/>
        </w:rPr>
      </w:pPr>
      <w:r w:rsidRPr="006C28BE">
        <w:rPr>
          <w:rFonts w:cs="Arial"/>
          <w:color w:val="000000"/>
        </w:rPr>
        <w:t>The economic picture of dual-income households is not just a matter of income increase for the household but also a factor that results in macroeconomic stability as well as sector specific growth. These residential units, in turn, create a homogeneous consumer base that is likely to increase the demand for products and services. This may lead to economic growth but if not properly controlled, price escalation becomes inevitable. Apart from that, dual income households are known to bring changes to housing market dynamics by increasing the demand for better quality housing which in turn forces the property values upward. These economic advantages must be properly utilized while simultaneously combating inflationary pressures. This can be done by diversifying economic opportunities and improving housing affordability. Regulatory systems must nurture a sustainable dual income contributor mentality by investing in the sectors that are vital for the long-term economic stability, such as technology and green energy.</w:t>
      </w:r>
    </w:p>
    <w:p w:rsidR="000B0DDC" w:rsidRPr="006C28BE" w:rsidRDefault="000B0DDC" w:rsidP="000B0DDC">
      <w:pPr>
        <w:spacing w:line="360" w:lineRule="auto"/>
        <w:jc w:val="both"/>
        <w:rPr>
          <w:rFonts w:cs="Arial"/>
          <w:color w:val="000000"/>
          <w:lang w:val="en-IN"/>
        </w:rPr>
      </w:pPr>
      <w:r w:rsidRPr="006C28BE">
        <w:rPr>
          <w:rFonts w:cs="Arial"/>
          <w:color w:val="000000"/>
        </w:rPr>
        <w:t>The comparative study by (Harding and Jenkins,2024) involving the UK and Canadian dual-income households is also noteworthy in that it paints a picture of a similar economic landscape with both sets of families facing similar challenges and opportunities</w:t>
      </w:r>
      <w:r>
        <w:rPr>
          <w:rFonts w:cs="Arial"/>
          <w:color w:val="000000"/>
        </w:rPr>
        <w:t xml:space="preserve">. </w:t>
      </w:r>
      <w:r w:rsidRPr="006C28BE">
        <w:rPr>
          <w:rFonts w:cs="Arial"/>
          <w:color w:val="000000"/>
          <w:lang w:val="en-IN"/>
        </w:rPr>
        <w:t>The research does not only focus on the global issue of housing being affordable as the issue is also featured, but it also takes a look at the specific regulatory and policy problems of the UK context. Such comparative observations are very beneficial for the policy makers and urban planners because they help them to have a bird-eye view of the economic forces that are at work. They also help to create the cross-pollination of ideas and strategies that will lead to an equitable and stable economy for dual-income households (Kuhn, 2020).</w:t>
      </w:r>
    </w:p>
    <w:p w:rsidR="000B0DDC" w:rsidRPr="006C28BE" w:rsidRDefault="000B0DDC" w:rsidP="000B0DDC">
      <w:pPr>
        <w:spacing w:line="360" w:lineRule="auto"/>
        <w:jc w:val="both"/>
        <w:rPr>
          <w:rFonts w:cs="Arial"/>
          <w:color w:val="000000"/>
        </w:rPr>
      </w:pPr>
      <w:r w:rsidRPr="006C28BE">
        <w:rPr>
          <w:rFonts w:cs="Arial"/>
          <w:color w:val="000000"/>
          <w:lang w:val="en-IN"/>
        </w:rPr>
        <w:t xml:space="preserve">In total, these academic activities is targeting or are on the economic results of two income families in the UK. They give a picture of the finely tuned connection between the benefits and the hardships of the double-earning model. This interdisciplinary approach also implies the invitation of comparative international views, which will help to enlarge the dialogue and provide the comprehensive view of global economic trends and maybe the possibility of introducing some new policy ideas. Therefore, what can be seen from the following research is the necessity for more detailed policy making and tactics oriented </w:t>
      </w:r>
      <w:r w:rsidRPr="006C28BE">
        <w:rPr>
          <w:rFonts w:cs="Arial"/>
          <w:color w:val="000000"/>
          <w:lang w:val="en-IN"/>
        </w:rPr>
        <w:lastRenderedPageBreak/>
        <w:t>programs that will help to balance the dual objectives of strong economic growth and social equity as the population demographics of the dual-income family are changing very fast (Nandi et al, 2014).</w:t>
      </w:r>
      <w:r w:rsidRPr="006C28BE">
        <w:rPr>
          <w:rFonts w:cs="Arial"/>
          <w:color w:val="000000"/>
        </w:rPr>
        <w:t xml:space="preserve"> </w:t>
      </w:r>
    </w:p>
    <w:p w:rsidR="000B0DDC" w:rsidRPr="008427F1" w:rsidRDefault="000B0DDC" w:rsidP="000B0DDC">
      <w:pPr>
        <w:rPr>
          <w:b/>
          <w:sz w:val="28"/>
          <w:szCs w:val="28"/>
          <w:lang w:val="en-GB"/>
        </w:rPr>
      </w:pPr>
      <w:bookmarkStart w:id="10" w:name="_Toc162808996"/>
      <w:bookmarkStart w:id="11" w:name="_Toc166368609"/>
      <w:r>
        <w:rPr>
          <w:b/>
          <w:sz w:val="28"/>
          <w:szCs w:val="28"/>
          <w:lang w:val="en-GB"/>
        </w:rPr>
        <w:t xml:space="preserve">2.3 </w:t>
      </w:r>
      <w:r w:rsidRPr="008427F1">
        <w:rPr>
          <w:b/>
          <w:sz w:val="28"/>
          <w:szCs w:val="28"/>
          <w:lang w:val="en-GB"/>
        </w:rPr>
        <w:t>Policy Responses to Dual-Income Households</w:t>
      </w:r>
      <w:bookmarkEnd w:id="10"/>
      <w:bookmarkEnd w:id="11"/>
    </w:p>
    <w:p w:rsidR="000B0DDC" w:rsidRPr="006C28BE" w:rsidRDefault="000B0DDC" w:rsidP="000B0DDC">
      <w:pPr>
        <w:spacing w:line="360" w:lineRule="auto"/>
        <w:jc w:val="both"/>
        <w:rPr>
          <w:rFonts w:cs="Arial"/>
          <w:color w:val="000000"/>
          <w:lang w:val="en-GB"/>
        </w:rPr>
      </w:pPr>
      <w:r w:rsidRPr="006C28BE">
        <w:rPr>
          <w:rFonts w:cs="Arial"/>
          <w:color w:val="000000"/>
        </w:rPr>
        <w:t>The British policy field of the dual-income families is a complex system of environments that is in tune with the changing dynamics of employment and childcare. As a result of both parents being more involved with the job market today, the issue is that public policy should be formulated, as it should address both the challenges and opportunities that stretch from childcare provisions, parental leave, tax benefits, and flexible working arrangements. Researchers in academia present a plethora of theses focusing on these policy interventions, their effects, and the ways their effectiveness can be increased.</w:t>
      </w:r>
      <w:r w:rsidRPr="006C28BE">
        <w:rPr>
          <w:rFonts w:cs="Arial"/>
          <w:color w:val="000000"/>
          <w:lang w:val="en-GB"/>
        </w:rPr>
        <w:t xml:space="preserve"> </w:t>
      </w:r>
      <w:r w:rsidRPr="006C28BE">
        <w:rPr>
          <w:rFonts w:cs="Arial"/>
          <w:color w:val="000000"/>
        </w:rPr>
        <w:t>(Leonce, 2020)</w:t>
      </w:r>
      <w:r w:rsidRPr="006C28BE">
        <w:rPr>
          <w:rFonts w:cs="Arial"/>
          <w:color w:val="000000"/>
          <w:lang w:val="en-GB"/>
        </w:rPr>
        <w:t>.</w:t>
      </w:r>
    </w:p>
    <w:p w:rsidR="000B0DDC" w:rsidRPr="000D673A" w:rsidRDefault="000B0DDC" w:rsidP="000B0DDC">
      <w:pPr>
        <w:spacing w:line="360" w:lineRule="auto"/>
        <w:jc w:val="both"/>
        <w:rPr>
          <w:rFonts w:cs="Arial"/>
          <w:color w:val="000000"/>
          <w:szCs w:val="28"/>
          <w:lang w:val="en-GB"/>
        </w:rPr>
      </w:pPr>
      <w:bookmarkStart w:id="12" w:name="_Toc166368610"/>
      <w:r w:rsidRPr="000D673A">
        <w:rPr>
          <w:rStyle w:val="Heading3Char"/>
          <w:rFonts w:ascii="Arial" w:hAnsi="Arial" w:cs="Arial"/>
          <w:szCs w:val="28"/>
          <w:lang w:val="en-GB"/>
        </w:rPr>
        <w:t>2.3.1 Childcare and Parental Leave</w:t>
      </w:r>
      <w:bookmarkEnd w:id="12"/>
    </w:p>
    <w:p w:rsidR="000B0DDC" w:rsidRPr="006C28BE" w:rsidRDefault="000B0DDC" w:rsidP="000B0DDC">
      <w:pPr>
        <w:spacing w:line="360" w:lineRule="auto"/>
        <w:jc w:val="both"/>
        <w:rPr>
          <w:rFonts w:cs="Arial"/>
          <w:color w:val="000000"/>
          <w:lang w:val="en-GB"/>
        </w:rPr>
      </w:pPr>
      <w:r w:rsidRPr="006C28BE">
        <w:rPr>
          <w:rFonts w:cs="Arial"/>
          <w:color w:val="000000"/>
        </w:rPr>
        <w:t>The Tax-Free Childcare and the Shared Parental Leave along with other strategies of the UK show the country's awareness of the modern nature of the household organization (Kaufman et al,2021). These programs aim to put an end to the monetary load of childcare and ensure that sharing parental responsibilities is as easy as it can be, which allows men and women to have a good balance between work and family. Comparative studies are designed to bring to the forefront international best practices, for example, Sweden is a good illustration that the parental leave is unlimited, and the cost of childcare is subsidized. The above policies in addition to paving the way for the parents to join the labor market, also contribute to the fight for gender equality and children’s rights (Boll, 2014).</w:t>
      </w:r>
      <w:r w:rsidRPr="006C28BE">
        <w:rPr>
          <w:rFonts w:cs="Arial"/>
          <w:color w:val="000000"/>
          <w:lang w:val="en-GB"/>
        </w:rPr>
        <w:t xml:space="preserve"> </w:t>
      </w:r>
    </w:p>
    <w:p w:rsidR="000B0DDC" w:rsidRPr="001C0D31" w:rsidRDefault="000B0DDC" w:rsidP="000B0DDC">
      <w:pPr>
        <w:pStyle w:val="Heading3"/>
        <w:numPr>
          <w:ilvl w:val="2"/>
          <w:numId w:val="25"/>
        </w:numPr>
        <w:spacing w:after="160" w:line="360" w:lineRule="auto"/>
        <w:rPr>
          <w:rFonts w:ascii="Arial" w:hAnsi="Arial" w:cs="Arial"/>
          <w:szCs w:val="24"/>
          <w:lang w:val="en-GB"/>
        </w:rPr>
      </w:pPr>
      <w:bookmarkStart w:id="13" w:name="_Toc162808997"/>
      <w:bookmarkStart w:id="14" w:name="_Toc166368611"/>
      <w:r w:rsidRPr="001C0D31">
        <w:rPr>
          <w:rFonts w:ascii="Arial" w:hAnsi="Arial" w:cs="Arial"/>
          <w:szCs w:val="24"/>
          <w:lang w:val="en-GB"/>
        </w:rPr>
        <w:t>Economic Consequences and Policy Changes</w:t>
      </w:r>
      <w:bookmarkEnd w:id="13"/>
      <w:bookmarkEnd w:id="14"/>
    </w:p>
    <w:p w:rsidR="000B0DDC" w:rsidRPr="006C28BE" w:rsidRDefault="000B0DDC" w:rsidP="000B0DDC">
      <w:pPr>
        <w:spacing w:line="360" w:lineRule="auto"/>
        <w:jc w:val="both"/>
        <w:rPr>
          <w:rFonts w:cs="Arial"/>
          <w:color w:val="000000"/>
          <w:lang w:val="en-GB"/>
        </w:rPr>
      </w:pPr>
      <w:r w:rsidRPr="006C28BE">
        <w:rPr>
          <w:rFonts w:cs="Arial"/>
          <w:color w:val="000000"/>
          <w:lang w:val="en-GB"/>
        </w:rPr>
        <w:t xml:space="preserve">The economic consequences of dual-career families, which include income distribution and taxation and housing is highly dependent on the policy. Literature about dual-earner structures and economic consequences recommends policies that seek to reduce income inequality and guarantee financial security for working families. The housing market, that is majorly impacted by the purchasing capacity provided to dual-income households, expresses a need for policies that ensure housing accessibility, especially in areas where the demand is high </w:t>
      </w:r>
      <w:bookmarkStart w:id="15" w:name="_Hlk161786334"/>
      <w:r w:rsidRPr="006C28BE">
        <w:rPr>
          <w:rFonts w:cs="Arial"/>
          <w:color w:val="000000"/>
          <w:lang w:val="en-GB"/>
        </w:rPr>
        <w:t>(</w:t>
      </w:r>
      <w:r w:rsidRPr="006C28BE">
        <w:rPr>
          <w:rFonts w:cs="Arial"/>
          <w:lang w:val="en-GB"/>
        </w:rPr>
        <w:t xml:space="preserve">Martin </w:t>
      </w:r>
      <w:r w:rsidRPr="006C28BE">
        <w:rPr>
          <w:rFonts w:cs="Arial"/>
          <w:i/>
          <w:iCs/>
          <w:lang w:val="en-GB"/>
        </w:rPr>
        <w:t>et al</w:t>
      </w:r>
      <w:r w:rsidRPr="006C28BE">
        <w:rPr>
          <w:rFonts w:cs="Arial"/>
          <w:lang w:val="en-GB"/>
        </w:rPr>
        <w:t>.,2020)</w:t>
      </w:r>
      <w:bookmarkEnd w:id="15"/>
      <w:r w:rsidRPr="006C28BE">
        <w:rPr>
          <w:rFonts w:cs="Arial"/>
          <w:color w:val="000000"/>
          <w:lang w:val="en-GB"/>
        </w:rPr>
        <w:t>.</w:t>
      </w:r>
    </w:p>
    <w:p w:rsidR="000B0DDC" w:rsidRPr="006C28BE" w:rsidRDefault="000B0DDC" w:rsidP="000B0DDC">
      <w:pPr>
        <w:pStyle w:val="Heading3"/>
        <w:numPr>
          <w:ilvl w:val="2"/>
          <w:numId w:val="25"/>
        </w:numPr>
        <w:spacing w:after="240" w:line="360" w:lineRule="auto"/>
        <w:rPr>
          <w:rFonts w:ascii="Arial" w:hAnsi="Arial" w:cs="Arial"/>
        </w:rPr>
      </w:pPr>
      <w:bookmarkStart w:id="16" w:name="_Toc166368612"/>
      <w:r w:rsidRPr="006C28BE">
        <w:rPr>
          <w:rFonts w:ascii="Arial" w:hAnsi="Arial" w:cs="Arial"/>
        </w:rPr>
        <w:lastRenderedPageBreak/>
        <w:t>Advanced Policy Developments in Support of Dual-Income Families</w:t>
      </w:r>
      <w:bookmarkEnd w:id="16"/>
    </w:p>
    <w:p w:rsidR="000B0DDC" w:rsidRPr="00490210" w:rsidRDefault="000B0DDC" w:rsidP="000B0DDC">
      <w:pPr>
        <w:spacing w:line="360" w:lineRule="auto"/>
        <w:jc w:val="both"/>
        <w:rPr>
          <w:rFonts w:cs="Arial"/>
          <w:color w:val="000000"/>
        </w:rPr>
      </w:pPr>
      <w:r w:rsidRPr="006C28BE">
        <w:rPr>
          <w:rFonts w:cs="Arial"/>
          <w:color w:val="000000"/>
        </w:rPr>
        <w:t xml:space="preserve">While the present policies need further enrichment and change to fit the new paradigm of dual-income families, whose needs have outgrown the old models. To encourage provision of affordable housing for dual-income families, the government could introduce a flexible housing credit scheme that would adjust based on the local cost of living and housing market conditions </w:t>
      </w:r>
      <w:r w:rsidRPr="006C28BE">
        <w:rPr>
          <w:rFonts w:cs="Arial"/>
          <w:color w:val="000000"/>
          <w:lang w:val="en-GB"/>
        </w:rPr>
        <w:t>(Wilkinson et al ,2024)</w:t>
      </w:r>
      <w:r w:rsidRPr="006C28BE">
        <w:rPr>
          <w:rFonts w:cs="Arial"/>
          <w:color w:val="000000"/>
        </w:rPr>
        <w:t xml:space="preserve">. Also, making remote work policies and telecommuting more popular can be a way for dual-income households to achieve the balance they need in their work-life. </w:t>
      </w:r>
      <w:r w:rsidRPr="006C28BE">
        <w:rPr>
          <w:rFonts w:cs="Arial"/>
        </w:rPr>
        <w:t xml:space="preserve">Policy sets ought to be centered on getting rid of the lack of support for part-time employees in dual-income families and arranging the same level of advantages and security for different types of employment. Any policy that has a multidisciplinary approach and </w:t>
      </w:r>
      <w:r>
        <w:rPr>
          <w:rFonts w:cs="Arial"/>
        </w:rPr>
        <w:t xml:space="preserve">addresses the economic factors, </w:t>
      </w:r>
      <w:r w:rsidRPr="006C28BE">
        <w:rPr>
          <w:rFonts w:cs="Arial"/>
        </w:rPr>
        <w:t>social concerns and technological aspects that shape labor markets, is very likely to be effective</w:t>
      </w:r>
      <w:r w:rsidRPr="006C28BE">
        <w:rPr>
          <w:rStyle w:val="cursor-pointer"/>
          <w:rFonts w:cs="Arial"/>
          <w:sz w:val="27"/>
          <w:szCs w:val="27"/>
          <w:bdr w:val="single" w:sz="2" w:space="0" w:color="auto" w:frame="1"/>
          <w:shd w:val="clear" w:color="auto" w:fill="FFFFFF"/>
        </w:rPr>
        <w:t>.</w:t>
      </w:r>
      <w:r w:rsidRPr="006C28BE">
        <w:rPr>
          <w:rFonts w:cs="Arial"/>
          <w:color w:val="000000"/>
        </w:rPr>
        <w:t xml:space="preserve"> </w:t>
      </w:r>
      <w:r w:rsidRPr="006C28BE">
        <w:rPr>
          <w:rFonts w:cs="Arial"/>
          <w:color w:val="000000"/>
          <w:lang w:val="en-GB"/>
        </w:rPr>
        <w:t>(</w:t>
      </w:r>
      <w:r w:rsidRPr="006C28BE">
        <w:rPr>
          <w:rFonts w:cs="Arial"/>
          <w:color w:val="37393C"/>
          <w:shd w:val="clear" w:color="auto" w:fill="FFFFFF"/>
          <w:lang w:val="en-GB"/>
        </w:rPr>
        <w:t xml:space="preserve">Kaufman </w:t>
      </w:r>
      <w:r w:rsidRPr="006C28BE">
        <w:rPr>
          <w:rFonts w:cs="Arial"/>
          <w:i/>
          <w:iCs/>
          <w:color w:val="37393C"/>
          <w:shd w:val="clear" w:color="auto" w:fill="FFFFFF"/>
          <w:lang w:val="en-GB"/>
        </w:rPr>
        <w:t>et al.</w:t>
      </w:r>
      <w:r w:rsidRPr="006C28BE">
        <w:rPr>
          <w:rFonts w:cs="Arial"/>
          <w:color w:val="37393C"/>
          <w:shd w:val="clear" w:color="auto" w:fill="FFFFFF"/>
          <w:lang w:val="en-GB"/>
        </w:rPr>
        <w:t xml:space="preserve"> ,2021)</w:t>
      </w:r>
      <w:r w:rsidRPr="006C28BE">
        <w:rPr>
          <w:rFonts w:cs="Arial"/>
          <w:color w:val="000000"/>
        </w:rPr>
        <w:t>.</w:t>
      </w:r>
    </w:p>
    <w:p w:rsidR="000B0DDC" w:rsidRPr="006C28BE" w:rsidRDefault="000B0DDC" w:rsidP="000B0DDC">
      <w:pPr>
        <w:pStyle w:val="Heading3"/>
        <w:numPr>
          <w:ilvl w:val="2"/>
          <w:numId w:val="25"/>
        </w:numPr>
        <w:spacing w:after="160" w:line="360" w:lineRule="auto"/>
        <w:rPr>
          <w:rFonts w:ascii="Arial" w:hAnsi="Arial" w:cs="Arial"/>
          <w:lang w:val="en-GB"/>
        </w:rPr>
      </w:pPr>
      <w:bookmarkStart w:id="17" w:name="_Toc162808998"/>
      <w:bookmarkStart w:id="18" w:name="_Toc166368613"/>
      <w:r w:rsidRPr="006C28BE">
        <w:rPr>
          <w:rFonts w:ascii="Arial" w:hAnsi="Arial" w:cs="Arial"/>
          <w:lang w:val="en-GB"/>
        </w:rPr>
        <w:t>Forward-Looking Policy Innovations</w:t>
      </w:r>
      <w:bookmarkEnd w:id="17"/>
      <w:bookmarkEnd w:id="18"/>
    </w:p>
    <w:p w:rsidR="000B0DDC" w:rsidRPr="006C28BE" w:rsidRDefault="000B0DDC" w:rsidP="000B0DDC">
      <w:pPr>
        <w:spacing w:line="360" w:lineRule="auto"/>
        <w:jc w:val="both"/>
        <w:rPr>
          <w:rFonts w:cs="Arial"/>
          <w:color w:val="000000"/>
          <w:lang w:val="en-GB"/>
        </w:rPr>
      </w:pPr>
      <w:r w:rsidRPr="006C28BE">
        <w:rPr>
          <w:rFonts w:cs="Arial"/>
          <w:color w:val="000000"/>
          <w:lang w:val="en-GB"/>
        </w:rPr>
        <w:t xml:space="preserve"> </w:t>
      </w:r>
      <w:r w:rsidRPr="006C28BE">
        <w:rPr>
          <w:rFonts w:cs="Arial"/>
          <w:color w:val="000000"/>
        </w:rPr>
        <w:t>The development of UK families into dual income households in the UK brings along the need for policy options that not only solve the current issues but also prepare for the future challenges that may come with the ever-changing social economic environment. (Leonce, 2020)</w:t>
      </w:r>
      <w:r w:rsidRPr="006C28BE">
        <w:rPr>
          <w:rFonts w:cs="Arial"/>
          <w:color w:val="000000"/>
          <w:lang w:val="en-GB"/>
        </w:rPr>
        <w:t>. In this part, the writer discusses the progress of policies that seek to empower dual-income households, drawing on research results from transnational studies and drilling down into specific areas of legislative measures, including shared parental leave (</w:t>
      </w:r>
      <w:r w:rsidRPr="006C28BE">
        <w:rPr>
          <w:rFonts w:cs="Arial"/>
          <w:color w:val="37393C"/>
          <w:shd w:val="clear" w:color="auto" w:fill="FFFFFF"/>
          <w:lang w:val="en-GB"/>
        </w:rPr>
        <w:t>Atkinson ,2017)</w:t>
      </w:r>
      <w:r w:rsidRPr="006C28BE">
        <w:rPr>
          <w:rFonts w:cs="Arial"/>
          <w:color w:val="000000"/>
          <w:lang w:val="en-GB"/>
        </w:rPr>
        <w:t>.</w:t>
      </w:r>
    </w:p>
    <w:p w:rsidR="000B0DDC" w:rsidRPr="006C28BE" w:rsidRDefault="000B0DDC" w:rsidP="000B0DDC">
      <w:pPr>
        <w:spacing w:line="360" w:lineRule="auto"/>
        <w:jc w:val="both"/>
        <w:rPr>
          <w:rFonts w:cs="Arial"/>
          <w:color w:val="000000"/>
          <w:lang w:val="en-GB"/>
        </w:rPr>
      </w:pPr>
      <w:r w:rsidRPr="006C28BE">
        <w:rPr>
          <w:rFonts w:cs="Arial"/>
          <w:color w:val="000000"/>
          <w:lang w:val="en-GB"/>
        </w:rPr>
        <w:t>Taking a cue from comparative analysis such as (Rusconi and Solga ,2008) which focuses on dual-career couples representing different nations, it is apparent that UK’s policy settings fall within the broader international discussion relating to family support systems. Thus, the research shows not only the wealth of policies to suit the dual-earner families but also the necessity of local customization. Moreover, the case of the UK's Tax-Free Childcare Scheme, introduced in 2017 and greatly resembling the global trend of removing financial hardship on working families, represents another national dimension of the assistance (</w:t>
      </w:r>
      <w:r w:rsidRPr="006C28BE">
        <w:rPr>
          <w:rFonts w:cs="Arial"/>
          <w:color w:val="37393C"/>
          <w:shd w:val="clear" w:color="auto" w:fill="FFFFFF"/>
          <w:lang w:val="en-GB"/>
        </w:rPr>
        <w:t>Atkinson ,2017)</w:t>
      </w:r>
      <w:r w:rsidRPr="006C28BE">
        <w:rPr>
          <w:rFonts w:cs="Arial"/>
          <w:color w:val="000000"/>
          <w:lang w:val="en-GB"/>
        </w:rPr>
        <w:t>.</w:t>
      </w:r>
    </w:p>
    <w:p w:rsidR="000B0DDC" w:rsidRPr="006C28BE" w:rsidRDefault="000B0DDC" w:rsidP="000B0DDC">
      <w:pPr>
        <w:spacing w:line="360" w:lineRule="auto"/>
        <w:jc w:val="both"/>
        <w:rPr>
          <w:rFonts w:cs="Arial"/>
          <w:color w:val="000000"/>
          <w:lang w:val="en-GB"/>
        </w:rPr>
      </w:pPr>
      <w:r w:rsidRPr="006C28BE">
        <w:rPr>
          <w:rFonts w:cs="Arial"/>
          <w:color w:val="000000"/>
          <w:lang w:val="en-GB"/>
        </w:rPr>
        <w:t xml:space="preserve">The Shared Parental Leave policy, which was introduced in the UK in 2015, marked a policy milestone of the authorities aimed at achieving gender equality and the work-life </w:t>
      </w:r>
      <w:r w:rsidRPr="006C28BE">
        <w:rPr>
          <w:rFonts w:cs="Arial"/>
          <w:color w:val="000000"/>
          <w:lang w:val="en-GB"/>
        </w:rPr>
        <w:lastRenderedPageBreak/>
        <w:t>balance issue among dual-earning parents. The identical research on the effect of this policy would be like the studies conducted by (Harding and Jenkins ,2024) and would give us more precise information on the changes brought by the policy to the family dynamics. This kind of research highlights the possibility that shared parental leave can redistribute care responsibilities among parents more evenly, which will help to undermine traditional gender roles and transform the culture of modern workplaces into a more inclusive one (</w:t>
      </w:r>
      <w:r w:rsidRPr="006C28BE">
        <w:rPr>
          <w:rFonts w:cs="Arial"/>
          <w:color w:val="37393C"/>
          <w:shd w:val="clear" w:color="auto" w:fill="FFFFFF"/>
          <w:lang w:val="en-GB"/>
        </w:rPr>
        <w:t xml:space="preserve">Kaufman </w:t>
      </w:r>
      <w:r w:rsidRPr="006C28BE">
        <w:rPr>
          <w:rFonts w:cs="Arial"/>
          <w:i/>
          <w:iCs/>
          <w:color w:val="37393C"/>
          <w:shd w:val="clear" w:color="auto" w:fill="FFFFFF"/>
          <w:lang w:val="en-GB"/>
        </w:rPr>
        <w:t>et al.</w:t>
      </w:r>
      <w:r w:rsidRPr="006C28BE">
        <w:rPr>
          <w:rFonts w:cs="Arial"/>
          <w:color w:val="37393C"/>
          <w:shd w:val="clear" w:color="auto" w:fill="FFFFFF"/>
          <w:lang w:val="en-GB"/>
        </w:rPr>
        <w:t>,2021)</w:t>
      </w:r>
      <w:r w:rsidRPr="006C28BE">
        <w:rPr>
          <w:rFonts w:cs="Arial"/>
          <w:color w:val="000000"/>
          <w:lang w:val="en-GB"/>
        </w:rPr>
        <w:t>.</w:t>
      </w:r>
    </w:p>
    <w:p w:rsidR="000B0DDC" w:rsidRPr="006C28BE" w:rsidRDefault="000B0DDC" w:rsidP="000B0DDC">
      <w:pPr>
        <w:spacing w:line="360" w:lineRule="auto"/>
        <w:rPr>
          <w:rFonts w:cs="Arial"/>
        </w:rPr>
      </w:pPr>
      <w:r w:rsidRPr="006C28BE">
        <w:rPr>
          <w:rFonts w:cs="Arial"/>
        </w:rPr>
        <w:t>Sweden’s exceptional family policies, also known as the parental leave system where parents are granted up to 480 days per child, is a model to be considered by UK and other countries. This system’s gender equity and work-life balance are crucial, and it is high time for UK to adopt these best practices not only in policy but also in day-to-day operations. One of the models that have been proven to work and there are academic documents to support it is the Swedish model. This model serves as an example of a policy that protects dual-income households and at the same time promotes social welfare (Wilkinson et al.,2024).</w:t>
      </w:r>
    </w:p>
    <w:p w:rsidR="000B0DDC" w:rsidRDefault="000B0DDC" w:rsidP="000B0DDC">
      <w:pPr>
        <w:spacing w:line="360" w:lineRule="auto"/>
        <w:rPr>
          <w:rFonts w:cs="Arial"/>
          <w:color w:val="000000"/>
          <w:lang w:val="en-GB"/>
        </w:rPr>
      </w:pPr>
      <w:r w:rsidRPr="006C28BE">
        <w:rPr>
          <w:rFonts w:cs="Arial"/>
        </w:rPr>
        <w:t>In-depth research of policy effectiveness, which is based on the empirical data, ensures that policy changes in the UK are not just a once-off process. The duality of the workplace and family life, which is further exacer</w:t>
      </w:r>
      <w:r>
        <w:rPr>
          <w:rFonts w:cs="Arial"/>
        </w:rPr>
        <w:t>bated by the labo</w:t>
      </w:r>
      <w:r w:rsidRPr="006C28BE">
        <w:rPr>
          <w:rFonts w:cs="Arial"/>
        </w:rPr>
        <w:t>r market that has already shifted to the remote work trend, requires policy that is not only inclusive and flexible but also evolving to adapt to the dynamic changes of dual income households. Not only future policy making but also the inner relations between flexible work conditions, childcare support and gender equality must be thought as a whole, to create a system with integrated support for families where both parents work.</w:t>
      </w:r>
      <w:r w:rsidRPr="006C28BE">
        <w:rPr>
          <w:rFonts w:cs="Arial"/>
          <w:color w:val="000000"/>
        </w:rPr>
        <w:t xml:space="preserve"> (Leonce, 2020)</w:t>
      </w:r>
      <w:r w:rsidRPr="006C28BE">
        <w:rPr>
          <w:rFonts w:cs="Arial"/>
          <w:color w:val="000000"/>
          <w:lang w:val="en-GB"/>
        </w:rPr>
        <w:t>.</w:t>
      </w:r>
    </w:p>
    <w:p w:rsidR="000B0DDC" w:rsidRDefault="000B0DDC" w:rsidP="000B0DDC">
      <w:pPr>
        <w:spacing w:line="360" w:lineRule="auto"/>
        <w:rPr>
          <w:rFonts w:cs="Arial"/>
          <w:color w:val="000000"/>
          <w:lang w:val="en-GB"/>
        </w:rPr>
      </w:pPr>
    </w:p>
    <w:p w:rsidR="000B0DDC" w:rsidRDefault="000B0DDC" w:rsidP="000B0DDC">
      <w:pPr>
        <w:spacing w:line="360" w:lineRule="auto"/>
        <w:rPr>
          <w:rFonts w:cs="Arial"/>
          <w:color w:val="000000"/>
          <w:lang w:val="en-GB"/>
        </w:rPr>
      </w:pPr>
    </w:p>
    <w:p w:rsidR="000B0DDC" w:rsidRDefault="000B0DDC" w:rsidP="000B0DDC">
      <w:pPr>
        <w:spacing w:line="360" w:lineRule="auto"/>
        <w:rPr>
          <w:rFonts w:cs="Arial"/>
          <w:color w:val="000000"/>
          <w:lang w:val="en-GB"/>
        </w:rPr>
      </w:pPr>
    </w:p>
    <w:p w:rsidR="000B0DDC" w:rsidRDefault="000B0DDC" w:rsidP="000B0DDC">
      <w:pPr>
        <w:spacing w:line="360" w:lineRule="auto"/>
        <w:rPr>
          <w:rFonts w:cs="Arial"/>
          <w:color w:val="000000"/>
          <w:lang w:val="en-GB"/>
        </w:rPr>
      </w:pPr>
    </w:p>
    <w:p w:rsidR="000B0DDC" w:rsidRDefault="000B0DDC" w:rsidP="000B0DDC">
      <w:pPr>
        <w:spacing w:line="360" w:lineRule="auto"/>
        <w:rPr>
          <w:rFonts w:cs="Arial"/>
          <w:color w:val="000000"/>
          <w:lang w:val="en-GB"/>
        </w:rPr>
      </w:pPr>
    </w:p>
    <w:p w:rsidR="000B0DDC" w:rsidRDefault="000B0DDC" w:rsidP="000B0DDC">
      <w:pPr>
        <w:spacing w:line="360" w:lineRule="auto"/>
        <w:rPr>
          <w:rFonts w:cs="Arial"/>
          <w:color w:val="000000"/>
          <w:lang w:val="en-GB"/>
        </w:rPr>
      </w:pPr>
    </w:p>
    <w:p w:rsidR="000B0DDC" w:rsidRPr="006C28BE" w:rsidRDefault="000B0DDC" w:rsidP="000B0DDC">
      <w:pPr>
        <w:spacing w:line="360" w:lineRule="auto"/>
        <w:rPr>
          <w:rFonts w:cs="Arial"/>
          <w:color w:val="000000"/>
          <w:lang w:val="en-GB"/>
        </w:rPr>
      </w:pPr>
    </w:p>
    <w:p w:rsidR="000B0DDC" w:rsidRPr="00771A70" w:rsidRDefault="000B0DDC" w:rsidP="000B0DDC">
      <w:pPr>
        <w:pStyle w:val="ListParagraph"/>
        <w:numPr>
          <w:ilvl w:val="1"/>
          <w:numId w:val="25"/>
        </w:numPr>
        <w:spacing w:line="360" w:lineRule="auto"/>
        <w:rPr>
          <w:b/>
          <w:sz w:val="28"/>
          <w:szCs w:val="28"/>
          <w:lang w:val="en-GB"/>
        </w:rPr>
      </w:pPr>
      <w:bookmarkStart w:id="19" w:name="_Toc162808999"/>
      <w:bookmarkStart w:id="20" w:name="_Toc166368614"/>
      <w:r w:rsidRPr="00771A70">
        <w:rPr>
          <w:b/>
          <w:sz w:val="28"/>
          <w:szCs w:val="28"/>
          <w:lang w:val="en-GB"/>
        </w:rPr>
        <w:lastRenderedPageBreak/>
        <w:t xml:space="preserve">   The Social Expansion</w:t>
      </w:r>
      <w:bookmarkEnd w:id="19"/>
      <w:bookmarkEnd w:id="20"/>
    </w:p>
    <w:p w:rsidR="000B0DDC" w:rsidRPr="006C28BE" w:rsidRDefault="000B0DDC" w:rsidP="000B0DDC">
      <w:pPr>
        <w:pStyle w:val="Heading3"/>
        <w:numPr>
          <w:ilvl w:val="0"/>
          <w:numId w:val="0"/>
        </w:numPr>
        <w:spacing w:after="160" w:line="360" w:lineRule="auto"/>
        <w:rPr>
          <w:rFonts w:ascii="Arial" w:hAnsi="Arial" w:cs="Arial"/>
          <w:lang w:val="en-GB"/>
        </w:rPr>
      </w:pPr>
      <w:bookmarkStart w:id="21" w:name="_Toc162809000"/>
      <w:bookmarkStart w:id="22" w:name="_Toc166368615"/>
      <w:r>
        <w:rPr>
          <w:rFonts w:ascii="Arial" w:hAnsi="Arial" w:cs="Arial"/>
          <w:lang w:val="en-GB"/>
        </w:rPr>
        <w:t xml:space="preserve">2.4.1    </w:t>
      </w:r>
      <w:r w:rsidRPr="006C28BE">
        <w:rPr>
          <w:rFonts w:ascii="Arial" w:hAnsi="Arial" w:cs="Arial"/>
          <w:lang w:val="en-GB"/>
        </w:rPr>
        <w:t>Gender Roles and Societal Expectations</w:t>
      </w:r>
      <w:bookmarkEnd w:id="21"/>
      <w:bookmarkEnd w:id="22"/>
    </w:p>
    <w:p w:rsidR="000B0DDC" w:rsidRPr="006C28BE" w:rsidRDefault="000B0DDC" w:rsidP="000B0DDC">
      <w:pPr>
        <w:spacing w:line="360" w:lineRule="auto"/>
        <w:jc w:val="both"/>
        <w:rPr>
          <w:rFonts w:cs="Arial"/>
          <w:lang w:val="en-GB"/>
        </w:rPr>
      </w:pPr>
      <w:r w:rsidRPr="006C28BE">
        <w:rPr>
          <w:rFonts w:cs="Arial"/>
          <w:color w:val="000000"/>
          <w:lang w:val="en-GB"/>
        </w:rPr>
        <w:t>The progression towards dual-income households in the UK has catalysed significant changes in gender dynamics and societal norms. The British Social Attitudes survey, conducted by (Scott and Clery ,2013), unveils a transformative shift in perceptions, with an increasing acceptance of shared domestic duties among dual-income partners. Yet, this progress is uneven, with certain demographics and societal segments exhibiting more entrenched traditional norms.</w:t>
      </w:r>
    </w:p>
    <w:p w:rsidR="000B0DDC" w:rsidRPr="006C28BE" w:rsidRDefault="000B0DDC" w:rsidP="000B0DDC">
      <w:pPr>
        <w:spacing w:line="360" w:lineRule="auto"/>
        <w:jc w:val="both"/>
        <w:rPr>
          <w:rFonts w:cs="Arial"/>
          <w:lang w:val="en-GB"/>
        </w:rPr>
      </w:pPr>
      <w:r w:rsidRPr="006C28BE">
        <w:rPr>
          <w:rFonts w:cs="Arial"/>
        </w:rPr>
        <w:t>The study of Gershuny and Sullivan (2019) shows that gender inequality persists in unpaid domestic work, with women in dual-income households having to bear a bigger part of it. This situation highlights the fact that these initiatives are just the beginning of the journey to a society that is really equal.</w:t>
      </w:r>
      <w:r w:rsidRPr="006C28BE">
        <w:rPr>
          <w:rFonts w:cs="Arial"/>
          <w:color w:val="000000"/>
          <w:lang w:val="en-GB"/>
        </w:rPr>
        <w:t xml:space="preserve"> (</w:t>
      </w:r>
      <w:r w:rsidRPr="006C28BE">
        <w:rPr>
          <w:rFonts w:cs="Arial"/>
          <w:lang w:val="en-GB"/>
        </w:rPr>
        <w:t xml:space="preserve">Mazzocco </w:t>
      </w:r>
      <w:r w:rsidRPr="006C28BE">
        <w:rPr>
          <w:rFonts w:cs="Arial"/>
          <w:i/>
          <w:iCs/>
          <w:lang w:val="en-GB"/>
        </w:rPr>
        <w:t>et al.</w:t>
      </w:r>
      <w:r w:rsidRPr="006C28BE">
        <w:rPr>
          <w:rFonts w:cs="Arial"/>
          <w:lang w:val="en-GB"/>
        </w:rPr>
        <w:t xml:space="preserve"> ,2007)</w:t>
      </w:r>
      <w:r w:rsidRPr="006C28BE">
        <w:rPr>
          <w:rFonts w:cs="Arial"/>
          <w:color w:val="000000"/>
          <w:lang w:val="en-GB"/>
        </w:rPr>
        <w:t>.</w:t>
      </w:r>
    </w:p>
    <w:p w:rsidR="000B0DDC" w:rsidRPr="006C28BE" w:rsidRDefault="000B0DDC" w:rsidP="000B0DDC">
      <w:pPr>
        <w:pStyle w:val="Heading3"/>
        <w:numPr>
          <w:ilvl w:val="0"/>
          <w:numId w:val="0"/>
        </w:numPr>
        <w:spacing w:after="160" w:line="360" w:lineRule="auto"/>
        <w:rPr>
          <w:rFonts w:ascii="Arial" w:hAnsi="Arial" w:cs="Arial"/>
          <w:lang w:val="en-GB"/>
        </w:rPr>
      </w:pPr>
      <w:bookmarkStart w:id="23" w:name="_Toc162809001"/>
      <w:bookmarkStart w:id="24" w:name="_Toc166368616"/>
      <w:r>
        <w:rPr>
          <w:rFonts w:ascii="Arial" w:hAnsi="Arial" w:cs="Arial"/>
          <w:lang w:val="en-GB"/>
        </w:rPr>
        <w:t xml:space="preserve">2.4.2    </w:t>
      </w:r>
      <w:r w:rsidRPr="006C28BE">
        <w:rPr>
          <w:rFonts w:ascii="Arial" w:hAnsi="Arial" w:cs="Arial"/>
          <w:lang w:val="en-GB"/>
        </w:rPr>
        <w:t>Digitalization and Remote Work Trends</w:t>
      </w:r>
      <w:bookmarkEnd w:id="23"/>
      <w:bookmarkEnd w:id="24"/>
    </w:p>
    <w:p w:rsidR="000B0DDC" w:rsidRPr="006C28BE" w:rsidRDefault="000B0DDC" w:rsidP="000B0DDC">
      <w:pPr>
        <w:spacing w:line="360" w:lineRule="auto"/>
        <w:rPr>
          <w:rFonts w:cs="Arial"/>
          <w:lang w:val="en-IN" w:eastAsia="en-IN"/>
        </w:rPr>
      </w:pPr>
      <w:r w:rsidRPr="006C28BE">
        <w:rPr>
          <w:rFonts w:cs="Arial"/>
          <w:lang w:val="en-IN" w:eastAsia="en-IN"/>
        </w:rPr>
        <w:t>The pandemic is speeding up the move to a remote work that will subsequently transform the current dual-income households’ work-life model. On the one hand, employees who work remotely have more freedom while in the same time they have a better chance of keeping a balance in their lives. However, the positives are not without the disadvantages, too. (Felstead and Reuschke, 2020) indicate that in some situations working hours and stress at home are not clearly delineated, as a result of which some families are likely to work more hours and be under stress. Therefore, the complex situation requires the development of flexible remote work models that will maximize the benefits and will solve the disadvantages.</w:t>
      </w:r>
    </w:p>
    <w:p w:rsidR="000B0DDC" w:rsidRPr="00730117" w:rsidRDefault="000B0DDC" w:rsidP="000B0DDC">
      <w:pPr>
        <w:spacing w:line="360" w:lineRule="auto"/>
        <w:rPr>
          <w:rFonts w:cs="Arial"/>
        </w:rPr>
      </w:pPr>
      <w:r w:rsidRPr="006C28BE">
        <w:rPr>
          <w:rFonts w:cs="Arial"/>
          <w:lang w:val="en-IN" w:eastAsia="en-IN"/>
        </w:rPr>
        <w:t>A comparative analysis of satisfaction with work-life balance among dual-income households prior to and after the general adoption of remote working arrangements, with survey data to showcase the transformations in opinions and experiences in this respect.</w:t>
      </w:r>
      <w:r>
        <w:rPr>
          <w:rFonts w:cs="Arial"/>
          <w:lang w:val="en-IN" w:eastAsia="en-IN"/>
        </w:rPr>
        <w:t xml:space="preserve"> </w:t>
      </w:r>
      <w:r w:rsidRPr="006C28BE">
        <w:rPr>
          <w:rFonts w:cs="Arial"/>
          <w:color w:val="000000"/>
          <w:lang w:val="en-GB"/>
        </w:rPr>
        <w:t>(Foster et a</w:t>
      </w:r>
      <w:r>
        <w:rPr>
          <w:rFonts w:cs="Arial"/>
          <w:color w:val="000000"/>
          <w:lang w:val="en-GB"/>
        </w:rPr>
        <w:t xml:space="preserve"> </w:t>
      </w:r>
      <w:r w:rsidRPr="006C28BE">
        <w:rPr>
          <w:rFonts w:cs="Arial"/>
          <w:color w:val="000000"/>
          <w:lang w:val="en-GB"/>
        </w:rPr>
        <w:t>l., 2024).</w:t>
      </w:r>
    </w:p>
    <w:p w:rsidR="000B0DDC" w:rsidRPr="006C28BE" w:rsidRDefault="000B0DDC" w:rsidP="000B0DDC">
      <w:pPr>
        <w:spacing w:line="360" w:lineRule="auto"/>
        <w:jc w:val="both"/>
        <w:rPr>
          <w:rFonts w:cs="Arial"/>
          <w:color w:val="000000"/>
          <w:lang w:val="en-GB"/>
        </w:rPr>
      </w:pPr>
      <w:r w:rsidRPr="006C28BE">
        <w:rPr>
          <w:rFonts w:cs="Arial"/>
          <w:color w:val="000000"/>
          <w:lang w:val="en-GB"/>
        </w:rPr>
        <w:t xml:space="preserve">The underlying study of the social fabric that is composed of the dual-income households in UK, unravels the multi-dimensional implications of the gender roles change and the ever-increasing adoption of remote work. The detailed analysis also emphasizes the need for continuous social and policy interventions in order to address the existing structural </w:t>
      </w:r>
      <w:r w:rsidRPr="006C28BE">
        <w:rPr>
          <w:rFonts w:cs="Arial"/>
          <w:color w:val="000000"/>
          <w:lang w:val="en-GB"/>
        </w:rPr>
        <w:lastRenderedPageBreak/>
        <w:t>inequalities and make sure that the development of digital and dual income households add to the general good of the society and eliminate inequality. (Thomson et al. 2024).</w:t>
      </w:r>
    </w:p>
    <w:p w:rsidR="000B0DDC" w:rsidRPr="006C28BE" w:rsidRDefault="000B0DDC" w:rsidP="000B0DDC">
      <w:pPr>
        <w:pStyle w:val="Heading3"/>
        <w:numPr>
          <w:ilvl w:val="2"/>
          <w:numId w:val="17"/>
        </w:numPr>
        <w:spacing w:after="160" w:line="360" w:lineRule="auto"/>
        <w:rPr>
          <w:rFonts w:ascii="Arial" w:hAnsi="Arial" w:cs="Arial"/>
          <w:lang w:val="en-GB"/>
        </w:rPr>
      </w:pPr>
      <w:bookmarkStart w:id="25" w:name="_Toc162809002"/>
      <w:bookmarkStart w:id="26" w:name="_Toc166368617"/>
      <w:r w:rsidRPr="006C28BE">
        <w:rPr>
          <w:rFonts w:ascii="Arial" w:hAnsi="Arial" w:cs="Arial"/>
          <w:lang w:val="en-GB"/>
        </w:rPr>
        <w:t>Health Implications of Dual Earning</w:t>
      </w:r>
      <w:bookmarkEnd w:id="25"/>
      <w:bookmarkEnd w:id="26"/>
    </w:p>
    <w:p w:rsidR="000B0DDC" w:rsidRPr="006C28BE" w:rsidRDefault="000B0DDC" w:rsidP="000B0DDC">
      <w:pPr>
        <w:spacing w:line="360" w:lineRule="auto"/>
        <w:jc w:val="both"/>
        <w:rPr>
          <w:rFonts w:cs="Arial"/>
          <w:color w:val="000000"/>
          <w:lang w:val="en-GB"/>
        </w:rPr>
      </w:pPr>
      <w:r w:rsidRPr="006C28BE">
        <w:rPr>
          <w:rFonts w:cs="Arial"/>
          <w:color w:val="000000"/>
        </w:rPr>
        <w:t>The intricacies of running two careers are often a source of significant stressors with impact to one’s mental and physical health. (British Journal of Psychiatry ,2021) delve deeper into this issue and take apart the complex mechanisms that make dual earning add to the mental health problems. They also show the compounded stress that is created by the fact that the two roles of a professional and a domestic are happening at the same time. The intricate interplay of these factors necessitates a joint effort to ensure mental health at workplaces, as it encompasses policies that offer flexibility, strong support systems, and an environment that recognizes work-life balance.</w:t>
      </w:r>
      <w:r w:rsidRPr="006C28BE">
        <w:rPr>
          <w:rFonts w:cs="Arial"/>
          <w:color w:val="000000"/>
          <w:lang w:val="en-GB"/>
        </w:rPr>
        <w:t xml:space="preserve"> (</w:t>
      </w:r>
      <w:r w:rsidRPr="006C28BE">
        <w:rPr>
          <w:rFonts w:cs="Arial"/>
          <w:color w:val="37393C"/>
          <w:shd w:val="clear" w:color="auto" w:fill="FFFFFF"/>
          <w:lang w:val="en-GB"/>
        </w:rPr>
        <w:t>Chung </w:t>
      </w:r>
      <w:r w:rsidRPr="006C28BE">
        <w:rPr>
          <w:rFonts w:cs="Arial"/>
          <w:i/>
          <w:iCs/>
          <w:color w:val="37393C"/>
          <w:shd w:val="clear" w:color="auto" w:fill="FFFFFF"/>
          <w:lang w:val="en-GB"/>
        </w:rPr>
        <w:t>et al.</w:t>
      </w:r>
      <w:r w:rsidRPr="006C28BE">
        <w:rPr>
          <w:rFonts w:cs="Arial"/>
          <w:color w:val="37393C"/>
          <w:shd w:val="clear" w:color="auto" w:fill="FFFFFF"/>
          <w:lang w:val="en-GB"/>
        </w:rPr>
        <w:t> ,2021)</w:t>
      </w:r>
      <w:r w:rsidRPr="006C28BE">
        <w:rPr>
          <w:rFonts w:cs="Arial"/>
          <w:color w:val="000000"/>
          <w:lang w:val="en-GB"/>
        </w:rPr>
        <w:t>.</w:t>
      </w:r>
    </w:p>
    <w:p w:rsidR="000B0DDC" w:rsidRPr="006C28BE" w:rsidRDefault="000B0DDC" w:rsidP="000B0DDC">
      <w:pPr>
        <w:pStyle w:val="Heading3"/>
        <w:numPr>
          <w:ilvl w:val="2"/>
          <w:numId w:val="17"/>
        </w:numPr>
        <w:spacing w:after="240" w:line="360" w:lineRule="auto"/>
        <w:rPr>
          <w:rFonts w:ascii="Arial" w:hAnsi="Arial" w:cs="Arial"/>
        </w:rPr>
      </w:pPr>
      <w:bookmarkStart w:id="27" w:name="_Toc166368618"/>
      <w:r w:rsidRPr="006C28BE">
        <w:rPr>
          <w:rFonts w:ascii="Arial" w:hAnsi="Arial" w:cs="Arial"/>
        </w:rPr>
        <w:t>Changing Culture and Social Adjustments for Dual-Income Norms</w:t>
      </w:r>
      <w:bookmarkEnd w:id="27"/>
    </w:p>
    <w:p w:rsidR="000B0DDC" w:rsidRDefault="000B0DDC" w:rsidP="000B0DDC">
      <w:pPr>
        <w:spacing w:line="360" w:lineRule="auto"/>
        <w:jc w:val="both"/>
        <w:rPr>
          <w:rFonts w:cs="Arial"/>
        </w:rPr>
      </w:pPr>
      <w:r w:rsidRPr="006C28BE">
        <w:rPr>
          <w:rFonts w:cs="Arial"/>
        </w:rPr>
        <w:t xml:space="preserve">The rise of dual-income families not only brings about the transformation of social and cultural views but also shapes people's habit. This transformation gives rise to changes in the way the society is structured and, in the way, traditionally female and male tasks are performed. The transition should include educational programs that aim to educate people on gender equality and create a fair distribution of domestic works (Wiltshire, 2013). The media campaigns may demonstrate how couples with dual income can manage their lives and be happy with their choices by providing examples of successful people. Due to the fact that the multi-income families are coming to the fore, the social policies must be reassessed and reformed to meet the great diversity in family structure and employment patterns that are the normal features of modern society. This is the cultural and societal adaptation that is very instrumental in eliminating family commitments-based discrimination in the workplace and in the fostering of a more inclusive and diverse work culture. </w:t>
      </w:r>
      <w:r w:rsidRPr="006C28BE">
        <w:rPr>
          <w:rFonts w:cs="Arial"/>
          <w:color w:val="000000"/>
        </w:rPr>
        <w:t>(Wiltshire, 2013)</w:t>
      </w:r>
      <w:r w:rsidRPr="006C28BE">
        <w:rPr>
          <w:rFonts w:cs="Arial"/>
        </w:rPr>
        <w:t>.</w:t>
      </w:r>
    </w:p>
    <w:p w:rsidR="000B0DDC" w:rsidRDefault="000B0DDC" w:rsidP="000B0DDC">
      <w:pPr>
        <w:spacing w:line="360" w:lineRule="auto"/>
        <w:jc w:val="both"/>
        <w:rPr>
          <w:rFonts w:cs="Arial"/>
        </w:rPr>
      </w:pPr>
    </w:p>
    <w:p w:rsidR="000B0DDC" w:rsidRDefault="000B0DDC" w:rsidP="000B0DDC">
      <w:pPr>
        <w:spacing w:line="360" w:lineRule="auto"/>
        <w:jc w:val="both"/>
        <w:rPr>
          <w:rFonts w:cs="Arial"/>
        </w:rPr>
      </w:pPr>
    </w:p>
    <w:p w:rsidR="000B0DDC" w:rsidRPr="006C28BE" w:rsidRDefault="000B0DDC" w:rsidP="000B0DDC">
      <w:pPr>
        <w:spacing w:line="360" w:lineRule="auto"/>
        <w:jc w:val="both"/>
        <w:rPr>
          <w:rFonts w:cs="Arial"/>
          <w:lang w:val="en-GB"/>
        </w:rPr>
      </w:pPr>
    </w:p>
    <w:p w:rsidR="000B0DDC" w:rsidRPr="006C28BE" w:rsidRDefault="000B0DDC" w:rsidP="000B0DDC">
      <w:pPr>
        <w:pStyle w:val="Heading3"/>
        <w:numPr>
          <w:ilvl w:val="2"/>
          <w:numId w:val="17"/>
        </w:numPr>
        <w:spacing w:after="160" w:line="360" w:lineRule="auto"/>
        <w:rPr>
          <w:rFonts w:ascii="Arial" w:hAnsi="Arial" w:cs="Arial"/>
          <w:lang w:val="en-GB"/>
        </w:rPr>
      </w:pPr>
      <w:bookmarkStart w:id="28" w:name="_Toc162809003"/>
      <w:bookmarkStart w:id="29" w:name="_Toc166368619"/>
      <w:r w:rsidRPr="006C28BE">
        <w:rPr>
          <w:rFonts w:ascii="Arial" w:hAnsi="Arial" w:cs="Arial"/>
          <w:lang w:val="en-GB"/>
        </w:rPr>
        <w:lastRenderedPageBreak/>
        <w:t>The Green Aspect of Dual Incomes</w:t>
      </w:r>
      <w:bookmarkEnd w:id="28"/>
      <w:bookmarkEnd w:id="29"/>
    </w:p>
    <w:p w:rsidR="000B0DDC" w:rsidRPr="006C28BE" w:rsidRDefault="000B0DDC" w:rsidP="000B0DDC">
      <w:pPr>
        <w:spacing w:line="360" w:lineRule="auto"/>
        <w:rPr>
          <w:rFonts w:cs="Arial"/>
          <w:lang w:val="en-GB"/>
        </w:rPr>
      </w:pPr>
      <w:r w:rsidRPr="006C28BE">
        <w:rPr>
          <w:rFonts w:cs="Arial"/>
        </w:rPr>
        <w:t>The recent emergence of dual-income families is a perfect cross-section for the campaigning of environmental sustainability through conscious lifestyle decisions. Two researchers (Gronhoj and Thogersen ,2017) argue that there is a positive correlation between dual-income families and the tendency to make sustainable practices, such as energy-efficient home modifications or giving priority to eco-friendly modes of transport. This synergy of dual-income trend and environmental awareness would significantly provide an opportunity for dual-income households to contribute a lot toward the wide recognition of sustainability objectives.</w:t>
      </w:r>
    </w:p>
    <w:p w:rsidR="000B0DDC" w:rsidRPr="006C28BE" w:rsidRDefault="000B0DDC" w:rsidP="000B0DDC">
      <w:pPr>
        <w:pStyle w:val="Heading3"/>
        <w:numPr>
          <w:ilvl w:val="2"/>
          <w:numId w:val="17"/>
        </w:numPr>
        <w:spacing w:after="160" w:line="360" w:lineRule="auto"/>
        <w:rPr>
          <w:rFonts w:ascii="Arial" w:hAnsi="Arial" w:cs="Arial"/>
          <w:lang w:val="en-GB"/>
        </w:rPr>
      </w:pPr>
      <w:bookmarkStart w:id="30" w:name="_Toc162809004"/>
      <w:bookmarkStart w:id="31" w:name="_Toc166368620"/>
      <w:r w:rsidRPr="006C28BE">
        <w:rPr>
          <w:rFonts w:ascii="Arial" w:hAnsi="Arial" w:cs="Arial"/>
          <w:lang w:val="en-GB"/>
        </w:rPr>
        <w:t>Enhanced Wellness Discourse</w:t>
      </w:r>
      <w:bookmarkEnd w:id="30"/>
      <w:bookmarkEnd w:id="31"/>
    </w:p>
    <w:p w:rsidR="000B0DDC" w:rsidRDefault="000B0DDC" w:rsidP="000B0DDC">
      <w:pPr>
        <w:spacing w:line="360" w:lineRule="auto"/>
        <w:jc w:val="both"/>
        <w:rPr>
          <w:rFonts w:cs="Arial"/>
          <w:color w:val="000000"/>
          <w:lang w:val="en-GB"/>
        </w:rPr>
      </w:pPr>
      <w:r w:rsidRPr="006C28BE">
        <w:rPr>
          <w:rFonts w:cs="Arial"/>
          <w:color w:val="000000"/>
        </w:rPr>
        <w:t>A comprehensive study on the health consequences for dual-income families brings to light the complex problems and solutions that exist at the nexus of work stress, individual behaviors, and ecological awareness. The paper will not only show the importance of these supportive and flexible workplace policies but will also underline the fact that the dual-income households are the ones who will bring about this transition to the sustainable future</w:t>
      </w:r>
      <w:r w:rsidRPr="006C28BE">
        <w:rPr>
          <w:rFonts w:cs="Arial"/>
          <w:color w:val="000000"/>
          <w:lang w:val="en-GB"/>
        </w:rPr>
        <w:t>. The critical examination reveals a path forward where dual-income households can balance the demands of modern life while contributing positively to global environmental goals, showcasing the potential for a harmonious integration of work, well-being, and ecological stewardship (</w:t>
      </w:r>
      <w:r w:rsidRPr="006C28BE">
        <w:rPr>
          <w:rFonts w:cs="Arial"/>
          <w:color w:val="37393C"/>
          <w:shd w:val="clear" w:color="auto" w:fill="FFFFFF"/>
          <w:lang w:val="en-GB"/>
        </w:rPr>
        <w:t xml:space="preserve">Leonce </w:t>
      </w:r>
      <w:r w:rsidRPr="006C28BE">
        <w:rPr>
          <w:rFonts w:cs="Arial"/>
          <w:i/>
          <w:iCs/>
          <w:color w:val="37393C"/>
          <w:shd w:val="clear" w:color="auto" w:fill="FFFFFF"/>
          <w:lang w:val="en-GB"/>
        </w:rPr>
        <w:t>et al.</w:t>
      </w:r>
      <w:r w:rsidRPr="006C28BE">
        <w:rPr>
          <w:rFonts w:cs="Arial"/>
          <w:color w:val="37393C"/>
          <w:shd w:val="clear" w:color="auto" w:fill="FFFFFF"/>
          <w:lang w:val="en-GB"/>
        </w:rPr>
        <w:t xml:space="preserve"> ,2020)</w:t>
      </w:r>
      <w:r w:rsidRPr="006C28BE">
        <w:rPr>
          <w:rFonts w:cs="Arial"/>
          <w:color w:val="000000"/>
          <w:lang w:val="en-GB"/>
        </w:rPr>
        <w:t>.</w:t>
      </w:r>
    </w:p>
    <w:p w:rsidR="000B0DDC" w:rsidRDefault="000B0DDC" w:rsidP="000B0DDC">
      <w:pPr>
        <w:rPr>
          <w:b/>
          <w:sz w:val="28"/>
          <w:szCs w:val="28"/>
          <w:lang w:val="en-GB"/>
        </w:rPr>
      </w:pPr>
      <w:bookmarkStart w:id="32" w:name="_Toc166368621"/>
    </w:p>
    <w:p w:rsidR="000B0DDC" w:rsidRDefault="000B0DDC" w:rsidP="000B0DDC">
      <w:pPr>
        <w:rPr>
          <w:b/>
          <w:sz w:val="28"/>
          <w:szCs w:val="28"/>
          <w:lang w:val="en-GB"/>
        </w:rPr>
      </w:pPr>
    </w:p>
    <w:p w:rsidR="000B0DDC" w:rsidRDefault="000B0DDC" w:rsidP="000B0DDC">
      <w:pPr>
        <w:rPr>
          <w:b/>
          <w:sz w:val="28"/>
          <w:szCs w:val="28"/>
          <w:lang w:val="en-GB"/>
        </w:rPr>
      </w:pPr>
    </w:p>
    <w:p w:rsidR="000B0DDC" w:rsidRDefault="000B0DDC" w:rsidP="000B0DDC">
      <w:pPr>
        <w:rPr>
          <w:b/>
          <w:sz w:val="28"/>
          <w:szCs w:val="28"/>
          <w:lang w:val="en-GB"/>
        </w:rPr>
      </w:pPr>
    </w:p>
    <w:p w:rsidR="000B0DDC" w:rsidRDefault="000B0DDC" w:rsidP="000B0DDC">
      <w:pPr>
        <w:rPr>
          <w:b/>
          <w:sz w:val="28"/>
          <w:szCs w:val="28"/>
          <w:lang w:val="en-GB"/>
        </w:rPr>
      </w:pPr>
    </w:p>
    <w:p w:rsidR="000B0DDC" w:rsidRDefault="000B0DDC" w:rsidP="000B0DDC">
      <w:pPr>
        <w:rPr>
          <w:b/>
          <w:sz w:val="28"/>
          <w:szCs w:val="28"/>
          <w:lang w:val="en-GB"/>
        </w:rPr>
      </w:pPr>
    </w:p>
    <w:p w:rsidR="000B0DDC" w:rsidRDefault="000B0DDC" w:rsidP="000B0DDC">
      <w:pPr>
        <w:rPr>
          <w:b/>
          <w:sz w:val="28"/>
          <w:szCs w:val="28"/>
          <w:lang w:val="en-GB"/>
        </w:rPr>
      </w:pPr>
    </w:p>
    <w:p w:rsidR="000B0DDC" w:rsidRDefault="000B0DDC" w:rsidP="000B0DDC">
      <w:pPr>
        <w:rPr>
          <w:b/>
          <w:sz w:val="28"/>
          <w:szCs w:val="28"/>
          <w:lang w:val="en-GB"/>
        </w:rPr>
      </w:pPr>
    </w:p>
    <w:p w:rsidR="000B0DDC" w:rsidRDefault="000B0DDC" w:rsidP="000B0DDC">
      <w:pPr>
        <w:rPr>
          <w:b/>
          <w:sz w:val="28"/>
          <w:szCs w:val="28"/>
          <w:lang w:val="en-GB"/>
        </w:rPr>
      </w:pPr>
    </w:p>
    <w:p w:rsidR="000B0DDC" w:rsidRDefault="000B0DDC" w:rsidP="000B0DDC">
      <w:pPr>
        <w:rPr>
          <w:b/>
          <w:sz w:val="28"/>
          <w:szCs w:val="28"/>
          <w:lang w:val="en-GB"/>
        </w:rPr>
      </w:pPr>
    </w:p>
    <w:p w:rsidR="000B0DDC" w:rsidRPr="00B43FC9" w:rsidRDefault="000B0DDC" w:rsidP="000B0DDC">
      <w:pPr>
        <w:pStyle w:val="ListParagraph"/>
        <w:numPr>
          <w:ilvl w:val="1"/>
          <w:numId w:val="17"/>
        </w:numPr>
        <w:rPr>
          <w:b/>
          <w:sz w:val="28"/>
          <w:szCs w:val="28"/>
          <w:lang w:val="en-GB"/>
        </w:rPr>
      </w:pPr>
      <w:r w:rsidRPr="00B43FC9">
        <w:rPr>
          <w:b/>
          <w:sz w:val="28"/>
          <w:szCs w:val="28"/>
          <w:lang w:val="en-GB"/>
        </w:rPr>
        <w:lastRenderedPageBreak/>
        <w:t>Conceptual framework</w:t>
      </w:r>
      <w:bookmarkEnd w:id="32"/>
    </w:p>
    <w:p w:rsidR="000B0DDC" w:rsidRPr="006C28BE" w:rsidRDefault="000B0DDC" w:rsidP="000B0DDC">
      <w:pPr>
        <w:spacing w:line="360" w:lineRule="auto"/>
        <w:rPr>
          <w:rFonts w:cs="Arial"/>
          <w:lang w:val="en-GB"/>
        </w:rPr>
      </w:pPr>
    </w:p>
    <w:p w:rsidR="000B0DDC" w:rsidRPr="006C28BE" w:rsidRDefault="000B0DDC" w:rsidP="000B0DDC">
      <w:pPr>
        <w:keepNext/>
        <w:spacing w:line="360" w:lineRule="auto"/>
        <w:jc w:val="center"/>
        <w:rPr>
          <w:rFonts w:cs="Arial"/>
        </w:rPr>
      </w:pPr>
      <w:r w:rsidRPr="006C28BE">
        <w:rPr>
          <w:rFonts w:cs="Arial"/>
        </w:rPr>
        <w:fldChar w:fldCharType="begin"/>
      </w:r>
      <w:r w:rsidRPr="006C28BE">
        <w:rPr>
          <w:rFonts w:cs="Arial"/>
        </w:rPr>
        <w:instrText xml:space="preserve"> INCLUDEPICTURE "https://mlai.lucid.app/plugin/images/aiplugin_c0e08d55-2bf3-42a5-8c20-8bc3e890d189" \* MERGEFORMATINET </w:instrText>
      </w:r>
      <w:r w:rsidRPr="006C28BE">
        <w:rPr>
          <w:rFonts w:cs="Arial"/>
        </w:rPr>
        <w:fldChar w:fldCharType="separate"/>
      </w:r>
      <w:r w:rsidRPr="006C28BE">
        <w:rPr>
          <w:rFonts w:cs="Arial"/>
          <w:noProof/>
          <w:lang w:val="en-IN" w:eastAsia="en-IN"/>
        </w:rPr>
        <w:drawing>
          <wp:inline distT="0" distB="0" distL="0" distR="0" wp14:anchorId="6937D27D" wp14:editId="1D92F4FB">
            <wp:extent cx="3649370" cy="3160059"/>
            <wp:effectExtent l="0" t="0" r="0" b="2540"/>
            <wp:docPr id="4" name="Picture 4" descr="Conceptual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onceptual Framewor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89421" cy="3194740"/>
                    </a:xfrm>
                    <a:prstGeom prst="rect">
                      <a:avLst/>
                    </a:prstGeom>
                    <a:noFill/>
                    <a:ln>
                      <a:noFill/>
                    </a:ln>
                  </pic:spPr>
                </pic:pic>
              </a:graphicData>
            </a:graphic>
          </wp:inline>
        </w:drawing>
      </w:r>
      <w:r w:rsidRPr="006C28BE">
        <w:rPr>
          <w:rFonts w:cs="Arial"/>
        </w:rPr>
        <w:fldChar w:fldCharType="end"/>
      </w:r>
    </w:p>
    <w:p w:rsidR="000B0DDC" w:rsidRDefault="000B0DDC" w:rsidP="000B0DDC">
      <w:pPr>
        <w:pStyle w:val="Heading7"/>
      </w:pPr>
      <w:bookmarkStart w:id="33" w:name="_Toc166368664"/>
      <w:r w:rsidRPr="006C28BE">
        <w:t xml:space="preserve">Figure </w:t>
      </w:r>
      <w:r>
        <w:fldChar w:fldCharType="begin"/>
      </w:r>
      <w:r>
        <w:instrText xml:space="preserve"> SEQ Figure \* ARABIC </w:instrText>
      </w:r>
      <w:r>
        <w:fldChar w:fldCharType="separate"/>
      </w:r>
      <w:r w:rsidRPr="006C28BE">
        <w:rPr>
          <w:noProof/>
        </w:rPr>
        <w:t>1</w:t>
      </w:r>
      <w:r>
        <w:rPr>
          <w:noProof/>
        </w:rPr>
        <w:fldChar w:fldCharType="end"/>
      </w:r>
      <w:r w:rsidRPr="006C28BE">
        <w:t>: Conceptual Framework</w:t>
      </w:r>
      <w:bookmarkEnd w:id="33"/>
    </w:p>
    <w:p w:rsidR="000B0DDC" w:rsidRDefault="000B0DDC" w:rsidP="000B0DDC">
      <w:pPr>
        <w:jc w:val="center"/>
      </w:pPr>
      <w:r>
        <w:t>(Source: Self-Created)</w:t>
      </w:r>
    </w:p>
    <w:p w:rsidR="000B0DDC" w:rsidRDefault="000B0DDC" w:rsidP="000B0DDC">
      <w:pPr>
        <w:jc w:val="center"/>
      </w:pPr>
    </w:p>
    <w:p w:rsidR="000B0DDC" w:rsidRDefault="000B0DDC" w:rsidP="000B0DDC">
      <w:pPr>
        <w:jc w:val="center"/>
      </w:pPr>
    </w:p>
    <w:p w:rsidR="000B0DDC" w:rsidRDefault="000B0DDC" w:rsidP="000B0DDC">
      <w:pPr>
        <w:jc w:val="center"/>
      </w:pPr>
    </w:p>
    <w:p w:rsidR="000B0DDC" w:rsidRPr="00C82D5C" w:rsidRDefault="000B0DDC" w:rsidP="000B0DDC">
      <w:pPr>
        <w:jc w:val="center"/>
      </w:pPr>
    </w:p>
    <w:p w:rsidR="000B0DDC" w:rsidRPr="00B43FC9" w:rsidRDefault="000B0DDC" w:rsidP="000B0DDC">
      <w:pPr>
        <w:pStyle w:val="ListParagraph"/>
        <w:numPr>
          <w:ilvl w:val="1"/>
          <w:numId w:val="17"/>
        </w:numPr>
        <w:rPr>
          <w:b/>
          <w:sz w:val="28"/>
          <w:szCs w:val="28"/>
          <w:lang w:val="en-GB"/>
        </w:rPr>
      </w:pPr>
      <w:bookmarkStart w:id="34" w:name="_Toc166368622"/>
      <w:r w:rsidRPr="00B43FC9">
        <w:rPr>
          <w:b/>
          <w:sz w:val="28"/>
          <w:szCs w:val="28"/>
          <w:lang w:val="en-GB"/>
        </w:rPr>
        <w:t>Conclusion</w:t>
      </w:r>
      <w:bookmarkEnd w:id="34"/>
    </w:p>
    <w:p w:rsidR="000B0DDC" w:rsidRPr="006C28BE" w:rsidRDefault="000B0DDC" w:rsidP="000B0DDC">
      <w:pPr>
        <w:pStyle w:val="Heading3"/>
        <w:numPr>
          <w:ilvl w:val="0"/>
          <w:numId w:val="0"/>
        </w:numPr>
        <w:spacing w:line="360" w:lineRule="auto"/>
        <w:rPr>
          <w:rFonts w:ascii="Arial" w:hAnsi="Arial" w:cs="Arial"/>
          <w:lang w:val="en-GB"/>
        </w:rPr>
      </w:pPr>
      <w:bookmarkStart w:id="35" w:name="_Toc166368623"/>
      <w:r>
        <w:rPr>
          <w:rFonts w:ascii="Arial" w:hAnsi="Arial" w:cs="Arial"/>
          <w:lang w:val="en-GB"/>
        </w:rPr>
        <w:t xml:space="preserve">2.6.1 </w:t>
      </w:r>
      <w:r w:rsidRPr="006C28BE">
        <w:rPr>
          <w:rFonts w:ascii="Arial" w:hAnsi="Arial" w:cs="Arial"/>
          <w:lang w:val="en-GB"/>
        </w:rPr>
        <w:t>Research Gap</w:t>
      </w:r>
      <w:bookmarkEnd w:id="35"/>
    </w:p>
    <w:p w:rsidR="000B0DDC" w:rsidRPr="008070CB" w:rsidRDefault="000B0DDC" w:rsidP="000B0DDC">
      <w:pPr>
        <w:spacing w:line="360" w:lineRule="auto"/>
        <w:jc w:val="both"/>
        <w:rPr>
          <w:rFonts w:cs="Arial"/>
          <w:color w:val="000000"/>
        </w:rPr>
      </w:pPr>
      <w:r w:rsidRPr="00B11E50">
        <w:rPr>
          <w:rFonts w:cs="Arial"/>
          <w:color w:val="000000"/>
          <w:lang w:val="en-GB"/>
        </w:rPr>
        <w:t>A large gap in the research implies that the long-term economic consequences of dual-income households for the UK economy are not fully understood, and this becomes even more apparent in the context of the digital economy and the labor market changes. Whereas the short-term studies help to uncover immediate economic benefits and challenges, the long-term research that investigates the sustained effects on income distribution, consumer behaviour, and economic growth is hardly performed. Besides, more research is required to be able to understand whether these households support or subordinate economic cycles, scientific discoveries, and evolving work norms. This way, we will have a clearer picture of their place in th</w:t>
      </w:r>
      <w:bookmarkStart w:id="36" w:name="_Toc162809006"/>
      <w:bookmarkStart w:id="37" w:name="_Toc166368624"/>
      <w:r>
        <w:rPr>
          <w:rFonts w:cs="Arial"/>
          <w:color w:val="000000"/>
          <w:lang w:val="en-GB"/>
        </w:rPr>
        <w:t>e economy’s future development.</w:t>
      </w:r>
    </w:p>
    <w:p w:rsidR="000B0DDC" w:rsidRDefault="000B0DDC" w:rsidP="000B0DDC">
      <w:pPr>
        <w:rPr>
          <w:b/>
          <w:sz w:val="28"/>
          <w:szCs w:val="28"/>
        </w:rPr>
      </w:pPr>
    </w:p>
    <w:p w:rsidR="000B0DDC" w:rsidRDefault="000B0DDC" w:rsidP="000B0DDC">
      <w:pPr>
        <w:pStyle w:val="ListParagraph"/>
        <w:numPr>
          <w:ilvl w:val="0"/>
          <w:numId w:val="17"/>
        </w:numPr>
        <w:rPr>
          <w:b/>
          <w:sz w:val="28"/>
          <w:szCs w:val="28"/>
        </w:rPr>
      </w:pPr>
      <w:r w:rsidRPr="008648D8">
        <w:rPr>
          <w:b/>
          <w:sz w:val="28"/>
          <w:szCs w:val="28"/>
        </w:rPr>
        <w:t>Methodology</w:t>
      </w:r>
      <w:bookmarkEnd w:id="36"/>
      <w:bookmarkEnd w:id="37"/>
    </w:p>
    <w:p w:rsidR="000B0DDC" w:rsidRPr="008648D8" w:rsidRDefault="000B0DDC" w:rsidP="000B0DDC">
      <w:pPr>
        <w:pStyle w:val="ListParagraph"/>
        <w:ind w:left="540"/>
        <w:rPr>
          <w:b/>
          <w:sz w:val="28"/>
          <w:szCs w:val="28"/>
        </w:rPr>
      </w:pPr>
    </w:p>
    <w:p w:rsidR="000B0DDC" w:rsidRPr="008648D8" w:rsidRDefault="000B0DDC" w:rsidP="000B0DDC">
      <w:pPr>
        <w:rPr>
          <w:b/>
          <w:sz w:val="28"/>
          <w:szCs w:val="28"/>
          <w:lang w:val="en-GB"/>
        </w:rPr>
      </w:pPr>
      <w:bookmarkStart w:id="38" w:name="_Toc166368625"/>
      <w:r>
        <w:rPr>
          <w:b/>
          <w:sz w:val="28"/>
          <w:szCs w:val="28"/>
          <w:lang w:val="en-GB"/>
        </w:rPr>
        <w:t>3.1</w:t>
      </w:r>
      <w:r w:rsidRPr="008648D8">
        <w:rPr>
          <w:b/>
          <w:sz w:val="28"/>
          <w:szCs w:val="28"/>
          <w:lang w:val="en-GB"/>
        </w:rPr>
        <w:t xml:space="preserve">   Introduction</w:t>
      </w:r>
      <w:bookmarkEnd w:id="38"/>
    </w:p>
    <w:p w:rsidR="000B0DDC" w:rsidRPr="006C28BE" w:rsidRDefault="000B0DDC" w:rsidP="000B0DDC">
      <w:pPr>
        <w:spacing w:line="360" w:lineRule="auto"/>
        <w:jc w:val="both"/>
        <w:rPr>
          <w:rFonts w:cs="Arial"/>
          <w:color w:val="000000"/>
          <w:lang w:val="en-GB"/>
        </w:rPr>
      </w:pPr>
      <w:r w:rsidRPr="006C28BE">
        <w:rPr>
          <w:rFonts w:cs="Arial"/>
          <w:color w:val="000000"/>
          <w:lang w:val="en-GB"/>
        </w:rPr>
        <w:t>The following chapter explains the research approach to study the Double Paycheck Revolution in the UK, i.e. the profound change in the socio-economic sphere, where income from two jobs has become more common. The methodological approach presented here is aimed to reveal all economic and social aspects of this revolution in the lives of families having both employees and employers, taking into consideration the complexity and diversity of this issue.</w:t>
      </w:r>
    </w:p>
    <w:p w:rsidR="000B0DDC" w:rsidRPr="006C28BE" w:rsidRDefault="000B0DDC" w:rsidP="000B0DDC">
      <w:pPr>
        <w:spacing w:line="360" w:lineRule="auto"/>
        <w:jc w:val="both"/>
        <w:rPr>
          <w:rFonts w:cs="Arial"/>
          <w:color w:val="000000"/>
          <w:lang w:val="en-GB"/>
        </w:rPr>
      </w:pPr>
      <w:r w:rsidRPr="006C28BE">
        <w:rPr>
          <w:rFonts w:cs="Arial"/>
          <w:color w:val="000000"/>
          <w:lang w:val="en-GB"/>
        </w:rPr>
        <w:t>The choice of the right research methods is going to be a decisive factor in the quality of this study. It forms a foundation for the discovery of sound, valid, and reliable facts that not only enrich the academic conversations concerning dual-income households but also provide policy recommendations and guiding principles to policymakers and society at large. Considering the multidimensional or three-tier character of the Double Paycheck Revolution that covers economics, society, and policy areas, the selected methodology aims to catch the breadth and depth of this phenomenon. Such a procedure guarantees a well-balanced study that respects the complexity of the chosen topic, yet it strives to achieve an analytical approach that provides excellent reliability in the findings.</w:t>
      </w:r>
    </w:p>
    <w:p w:rsidR="000B0DDC" w:rsidRPr="006C28BE" w:rsidRDefault="000B0DDC" w:rsidP="000B0DDC">
      <w:pPr>
        <w:keepNext/>
        <w:spacing w:line="360" w:lineRule="auto"/>
        <w:jc w:val="center"/>
        <w:rPr>
          <w:rFonts w:cs="Arial"/>
          <w:lang w:val="en-GB"/>
        </w:rPr>
      </w:pPr>
      <w:r w:rsidRPr="006C28BE">
        <w:rPr>
          <w:rFonts w:cs="Arial"/>
          <w:noProof/>
          <w:lang w:val="en-IN" w:eastAsia="en-IN"/>
        </w:rPr>
        <w:lastRenderedPageBreak/>
        <w:drawing>
          <wp:inline distT="0" distB="0" distL="0" distR="0" wp14:anchorId="29CD066B" wp14:editId="397C0A6B">
            <wp:extent cx="4974956" cy="3518004"/>
            <wp:effectExtent l="0" t="0" r="0" b="0"/>
            <wp:docPr id="1" name="图片 1" descr="The Research Onion of Mark Saunders (Saunders et al., 2019); further...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9"/>
                    <a:stretch>
                      <a:fillRect/>
                    </a:stretch>
                  </pic:blipFill>
                  <pic:spPr>
                    <a:xfrm>
                      <a:off x="0" y="0"/>
                      <a:ext cx="4974956" cy="3518004"/>
                    </a:xfrm>
                    <a:prstGeom prst="rect">
                      <a:avLst/>
                    </a:prstGeom>
                    <a:noFill/>
                    <a:ln w="12700" cap="flat" cmpd="sng">
                      <a:noFill/>
                      <a:prstDash val="solid"/>
                      <a:round/>
                    </a:ln>
                  </pic:spPr>
                </pic:pic>
              </a:graphicData>
            </a:graphic>
          </wp:inline>
        </w:drawing>
      </w:r>
    </w:p>
    <w:p w:rsidR="000B0DDC" w:rsidRDefault="000B0DDC" w:rsidP="000B0DDC">
      <w:pPr>
        <w:pStyle w:val="Heading7"/>
        <w:rPr>
          <w:lang w:val="en-GB"/>
        </w:rPr>
      </w:pPr>
      <w:bookmarkStart w:id="39" w:name="_Toc165651591"/>
      <w:bookmarkStart w:id="40" w:name="_Toc166368665"/>
      <w:bookmarkStart w:id="41" w:name="_Toc165640833"/>
      <w:r w:rsidRPr="006C28BE">
        <w:rPr>
          <w:lang w:val="en-GB"/>
        </w:rPr>
        <w:t xml:space="preserve">Figure </w:t>
      </w:r>
      <w:r w:rsidRPr="006C28BE">
        <w:rPr>
          <w:lang w:val="en-GB"/>
        </w:rPr>
        <w:fldChar w:fldCharType="begin"/>
      </w:r>
      <w:r w:rsidRPr="006C28BE">
        <w:rPr>
          <w:lang w:val="en-GB"/>
        </w:rPr>
        <w:instrText xml:space="preserve"> SEQ Figure \* ARABIC </w:instrText>
      </w:r>
      <w:r w:rsidRPr="006C28BE">
        <w:rPr>
          <w:lang w:val="en-GB"/>
        </w:rPr>
        <w:fldChar w:fldCharType="separate"/>
      </w:r>
      <w:r w:rsidRPr="006C28BE">
        <w:rPr>
          <w:noProof/>
          <w:lang w:val="en-GB"/>
        </w:rPr>
        <w:t>2</w:t>
      </w:r>
      <w:r w:rsidRPr="006C28BE">
        <w:rPr>
          <w:lang w:val="en-GB"/>
        </w:rPr>
        <w:fldChar w:fldCharType="end"/>
      </w:r>
      <w:r>
        <w:rPr>
          <w:lang w:val="en-GB"/>
        </w:rPr>
        <w:t>:</w:t>
      </w:r>
      <w:r w:rsidRPr="006C28BE">
        <w:rPr>
          <w:lang w:val="en-GB"/>
        </w:rPr>
        <w:t xml:space="preserve"> Onion Framework</w:t>
      </w:r>
      <w:bookmarkEnd w:id="39"/>
      <w:bookmarkEnd w:id="40"/>
    </w:p>
    <w:p w:rsidR="000B0DDC" w:rsidRDefault="000B0DDC" w:rsidP="000B0DDC">
      <w:pPr>
        <w:jc w:val="center"/>
        <w:rPr>
          <w:lang w:val="en-GB"/>
        </w:rPr>
      </w:pPr>
      <w:r>
        <w:rPr>
          <w:lang w:val="en-GB"/>
        </w:rPr>
        <w:t>(Source: A</w:t>
      </w:r>
      <w:r w:rsidRPr="00963468">
        <w:rPr>
          <w:lang w:val="en-GB"/>
        </w:rPr>
        <w:t>esanetwork.org</w:t>
      </w:r>
      <w:r>
        <w:rPr>
          <w:lang w:val="en-GB"/>
        </w:rPr>
        <w:t>, 2020)</w:t>
      </w:r>
    </w:p>
    <w:bookmarkEnd w:id="41"/>
    <w:p w:rsidR="000B0DDC" w:rsidRPr="006C28BE" w:rsidRDefault="000B0DDC" w:rsidP="000B0DDC">
      <w:pPr>
        <w:spacing w:line="360" w:lineRule="auto"/>
        <w:jc w:val="both"/>
        <w:rPr>
          <w:rFonts w:cs="Arial"/>
          <w:color w:val="000000"/>
          <w:lang w:val="en-GB"/>
        </w:rPr>
      </w:pPr>
      <w:r w:rsidRPr="006C28BE">
        <w:rPr>
          <w:rFonts w:cs="Arial"/>
          <w:color w:val="000000"/>
          <w:lang w:val="en-GB"/>
        </w:rPr>
        <w:t>The methodology is constructed based on the objectives and questions set in the previous chapters with a fine-tuned sensing. It is specialized to analyse the complex consequences of two-income households on income distribution, family relations, psychological health, work and life balance, and the effectiveness of the present UK policies. Through a careful structuring of the methods in line with the research goals and objectives, the chapter becomes an important link between the theoretical rationale of the Double Paycheck Revolution and the empirical evidence used to analyse the major societal and economic change.</w:t>
      </w:r>
    </w:p>
    <w:p w:rsidR="000B0DDC" w:rsidRPr="00BD27E2" w:rsidRDefault="000B0DDC" w:rsidP="000B0DDC">
      <w:pPr>
        <w:pStyle w:val="ListParagraph"/>
        <w:numPr>
          <w:ilvl w:val="1"/>
          <w:numId w:val="20"/>
        </w:numPr>
        <w:rPr>
          <w:b/>
          <w:sz w:val="28"/>
          <w:szCs w:val="28"/>
          <w:lang w:val="en-GB"/>
        </w:rPr>
      </w:pPr>
      <w:bookmarkStart w:id="42" w:name="_Toc162809007"/>
      <w:bookmarkStart w:id="43" w:name="_Toc166368626"/>
      <w:r w:rsidRPr="00BD27E2">
        <w:rPr>
          <w:b/>
          <w:sz w:val="28"/>
          <w:szCs w:val="28"/>
          <w:lang w:val="en-GB"/>
        </w:rPr>
        <w:t>Research philosophy</w:t>
      </w:r>
      <w:bookmarkEnd w:id="42"/>
      <w:bookmarkEnd w:id="43"/>
    </w:p>
    <w:p w:rsidR="000B0DDC" w:rsidRPr="006C28BE" w:rsidRDefault="000B0DDC" w:rsidP="000B0DDC">
      <w:pPr>
        <w:spacing w:line="360" w:lineRule="auto"/>
        <w:jc w:val="both"/>
        <w:rPr>
          <w:rFonts w:cs="Arial"/>
          <w:color w:val="000000"/>
          <w:lang w:val="en-GB"/>
        </w:rPr>
      </w:pPr>
      <w:r w:rsidRPr="006C28BE">
        <w:rPr>
          <w:rFonts w:cs="Arial"/>
          <w:color w:val="000000"/>
          <w:lang w:val="en-GB"/>
        </w:rPr>
        <w:t xml:space="preserve">The research philosophy is </w:t>
      </w:r>
      <w:r w:rsidRPr="006C28BE">
        <w:rPr>
          <w:rFonts w:cs="Arial"/>
          <w:b/>
          <w:bCs/>
          <w:color w:val="000000"/>
          <w:lang w:val="en-GB"/>
        </w:rPr>
        <w:t>Interpretivism</w:t>
      </w:r>
      <w:r w:rsidRPr="006C28BE">
        <w:rPr>
          <w:rFonts w:cs="Arial"/>
          <w:color w:val="000000"/>
          <w:lang w:val="en-GB"/>
        </w:rPr>
        <w:t xml:space="preserve"> which is modified to the secondary data analysis in this dissertation on the UK on the Double Paycheck revolution. This decision comes from the understanding that socio-economic consequences of dual-income households are very intriguing and can be critically studied through the wealth of existing qualitative data. Interpretivism is applied in this context to interpret and understand the intricacies of the dual-income households in the UK against their peculiar social basis, using the data that had already been collected. This method, without any doubt, is crucial </w:t>
      </w:r>
      <w:r w:rsidRPr="006C28BE">
        <w:rPr>
          <w:rFonts w:cs="Arial"/>
          <w:color w:val="000000"/>
          <w:lang w:val="en-GB"/>
        </w:rPr>
        <w:lastRenderedPageBreak/>
        <w:t>for this project as it aims to discover the hidden social-economic repercussions of a double-income family, which have been mentioned in the present literature, for example, the balance of work-life, gender relations, and public policy (Gupta et al, 1990).</w:t>
      </w:r>
    </w:p>
    <w:p w:rsidR="000B0DDC" w:rsidRPr="006C28BE" w:rsidRDefault="000B0DDC" w:rsidP="000B0DDC">
      <w:pPr>
        <w:spacing w:line="360" w:lineRule="auto"/>
        <w:jc w:val="both"/>
        <w:rPr>
          <w:rFonts w:cs="Arial"/>
          <w:color w:val="000000"/>
          <w:lang w:val="en-GB"/>
        </w:rPr>
      </w:pPr>
      <w:r w:rsidRPr="006C28BE">
        <w:rPr>
          <w:rFonts w:cs="Arial"/>
          <w:color w:val="000000"/>
          <w:lang w:val="en-GB"/>
        </w:rPr>
        <w:t>This research is a secondary analysis based on an Interpretivist approach, which involves a thorough qualitative analysis of previous research papers, reports and datasets, to gain a broader understanding of the 'Double Paycheck Revolution' ending. This way of investigation enables us to explore the subject in every possible aspect and provide a more concrete and complete picture of historical data that was available previously. It helps us, firstly, to have the study based on the real problems of dual-income families and, secondly, to consider the relevance of the topic to the existing society and, finally, to get deeper into the ways of dual-income families’ managing the different economic environments and social changes in the UK.</w:t>
      </w:r>
      <w:r>
        <w:rPr>
          <w:rFonts w:cs="Arial"/>
          <w:color w:val="000000"/>
          <w:lang w:val="en-GB"/>
        </w:rPr>
        <w:t xml:space="preserve"> </w:t>
      </w:r>
      <w:r w:rsidRPr="006C28BE">
        <w:rPr>
          <w:rFonts w:cs="Arial"/>
          <w:color w:val="000000"/>
          <w:lang w:val="en-GB"/>
        </w:rPr>
        <w:t>(Gupta et al, 1990).</w:t>
      </w:r>
    </w:p>
    <w:p w:rsidR="000B0DDC" w:rsidRPr="00A82B29" w:rsidRDefault="000B0DDC" w:rsidP="000B0DDC">
      <w:pPr>
        <w:pStyle w:val="ListParagraph"/>
        <w:numPr>
          <w:ilvl w:val="1"/>
          <w:numId w:val="20"/>
        </w:numPr>
        <w:rPr>
          <w:b/>
          <w:sz w:val="28"/>
          <w:szCs w:val="28"/>
          <w:lang w:val="en-GB"/>
        </w:rPr>
      </w:pPr>
      <w:bookmarkStart w:id="44" w:name="_Toc162809008"/>
      <w:bookmarkStart w:id="45" w:name="_Toc166368627"/>
      <w:r w:rsidRPr="00A82B29">
        <w:rPr>
          <w:b/>
          <w:sz w:val="28"/>
          <w:szCs w:val="28"/>
          <w:lang w:val="en-GB"/>
        </w:rPr>
        <w:t>Research Approach</w:t>
      </w:r>
      <w:bookmarkEnd w:id="44"/>
      <w:bookmarkEnd w:id="45"/>
    </w:p>
    <w:p w:rsidR="000B0DDC" w:rsidRPr="006C28BE" w:rsidRDefault="000B0DDC" w:rsidP="000B0DDC">
      <w:pPr>
        <w:spacing w:line="360" w:lineRule="auto"/>
        <w:jc w:val="both"/>
        <w:rPr>
          <w:rFonts w:cs="Arial"/>
          <w:color w:val="000000"/>
          <w:lang w:val="en-GB"/>
        </w:rPr>
      </w:pPr>
      <w:r w:rsidRPr="006C28BE">
        <w:rPr>
          <w:rFonts w:cs="Arial"/>
          <w:color w:val="000000"/>
          <w:lang w:val="en-GB"/>
        </w:rPr>
        <w:t>This study (of the Double Pay Check Revolution in the UK) is deductive in nature and is in line with interpretivist philosophy, which is also quite appropriate for the method of research (secondary data analysis) that is being implemented. What is unique about the inductive methodology is that it replaces old theories with new ones, reshapes existing theories, and introduces new ideas through empirical observation. In this way, the method is perfect for the research which is aimed to investigate the socio-economic consequences of the families of our time according to existing research and data (Ryan, 2018).</w:t>
      </w:r>
    </w:p>
    <w:p w:rsidR="000B0DDC" w:rsidRPr="006C28BE" w:rsidRDefault="000B0DDC" w:rsidP="000B0DDC">
      <w:pPr>
        <w:spacing w:line="360" w:lineRule="auto"/>
        <w:jc w:val="both"/>
        <w:rPr>
          <w:rFonts w:cs="Arial"/>
          <w:color w:val="000000"/>
          <w:lang w:val="en-GB"/>
        </w:rPr>
      </w:pPr>
      <w:r w:rsidRPr="006C28BE">
        <w:rPr>
          <w:rFonts w:cs="Arial"/>
          <w:color w:val="000000"/>
          <w:lang w:val="en-GB"/>
        </w:rPr>
        <w:t>This methodology, which is a derivative of the exploratory nature of the research questions around the dual-income f</w:t>
      </w:r>
      <w:r>
        <w:rPr>
          <w:rFonts w:cs="Arial"/>
          <w:color w:val="000000"/>
          <w:lang w:val="en-GB"/>
        </w:rPr>
        <w:t>a</w:t>
      </w:r>
      <w:r w:rsidRPr="006C28BE">
        <w:rPr>
          <w:rFonts w:cs="Arial"/>
          <w:color w:val="000000"/>
          <w:lang w:val="en-GB"/>
        </w:rPr>
        <w:t>mily's impact on poverty, household instability and policy instruments' effectiveness, is aimed at unravelling the complex dynamics that underlie these family structures. This method is indeed appropriate for those research projects that start from the very bottom – that is, careful investigation of patterns and themes that are present in the data – and then proceed with inductive analysis, which involves flexible and open-ended exploration of qualitative data that is pertinent to the issue under study, and in the end, new meanings and insights emerge that were not originally foreseen.</w:t>
      </w:r>
    </w:p>
    <w:p w:rsidR="000B0DDC" w:rsidRPr="006C28BE" w:rsidRDefault="000B0DDC" w:rsidP="000B0DDC">
      <w:pPr>
        <w:spacing w:line="360" w:lineRule="auto"/>
        <w:jc w:val="both"/>
        <w:rPr>
          <w:rFonts w:cs="Arial"/>
          <w:color w:val="000000"/>
          <w:lang w:val="en-GB"/>
        </w:rPr>
      </w:pPr>
      <w:r w:rsidRPr="006C28BE">
        <w:rPr>
          <w:rFonts w:cs="Arial"/>
          <w:color w:val="000000"/>
          <w:lang w:val="en-GB"/>
        </w:rPr>
        <w:lastRenderedPageBreak/>
        <w:t>The research approach will be open-ended and will be inductive in nature. This will enable it to be adaptive and responsive to the data that will be emanating from the subsidiary analyses. What sets this strategy apart from the others is that it does not just test prior assumptions, but rather, carries out a thorough literature review to identify the common themes, stories, and patterns that define the lives of the working families. This is an approach which is mainly aimed at presenting a more comprehensive nature of interacting with the data and is meant to help carry out a more detailed interpretation of the social and economic pictures that have already been captured by the previous surveys. It helps the text be rooted in the actualities of the literature that stands on the basis of empirical knowledge. Furthermore, it also enables people to identify other hitherto unknown areas of the Double Pay Check Revolution in the UK. (Ryan,2018).</w:t>
      </w:r>
    </w:p>
    <w:p w:rsidR="000B0DDC" w:rsidRPr="00112024" w:rsidRDefault="000B0DDC" w:rsidP="000B0DDC">
      <w:pPr>
        <w:pStyle w:val="ListParagraph"/>
        <w:numPr>
          <w:ilvl w:val="1"/>
          <w:numId w:val="20"/>
        </w:numPr>
        <w:rPr>
          <w:b/>
          <w:bCs/>
          <w:sz w:val="28"/>
          <w:szCs w:val="28"/>
          <w:lang w:val="en-GB"/>
        </w:rPr>
      </w:pPr>
      <w:bookmarkStart w:id="46" w:name="_Toc162809009"/>
      <w:bookmarkStart w:id="47" w:name="_Toc166368628"/>
      <w:r w:rsidRPr="00112024">
        <w:rPr>
          <w:b/>
          <w:sz w:val="28"/>
          <w:szCs w:val="28"/>
          <w:lang w:val="en-GB"/>
        </w:rPr>
        <w:t>Research Design</w:t>
      </w:r>
      <w:bookmarkEnd w:id="46"/>
      <w:bookmarkEnd w:id="47"/>
    </w:p>
    <w:p w:rsidR="000B0DDC" w:rsidRPr="006C28BE" w:rsidRDefault="000B0DDC" w:rsidP="000B0DDC">
      <w:pPr>
        <w:spacing w:line="360" w:lineRule="auto"/>
        <w:jc w:val="both"/>
        <w:rPr>
          <w:rFonts w:cs="Arial"/>
          <w:color w:val="000000"/>
          <w:lang w:val="en-GB"/>
        </w:rPr>
      </w:pPr>
      <w:r w:rsidRPr="006C28BE">
        <w:rPr>
          <w:rFonts w:cs="Arial"/>
          <w:color w:val="000000"/>
          <w:lang w:val="en-GB"/>
        </w:rPr>
        <w:t xml:space="preserve"> The focus of this research is to study the Doubling Pay Check Revolution. Therefore, an exploratory research design is the method for this study. This type of structure of binary nature is just the best for us because we can look at the economic and social issues that are typical for the dual income family that has a big influence on the society. The main feature of the research that is known as the exploring one is the flexibility and the ability to adapt to the changes, while it has a property that is unusual and the purpose of it is the opening of the areas where the outcomes are not predefined, but the knowledge and the understanding are created.</w:t>
      </w:r>
    </w:p>
    <w:p w:rsidR="000B0DDC" w:rsidRPr="006C28BE" w:rsidRDefault="000B0DDC" w:rsidP="000B0DDC">
      <w:pPr>
        <w:spacing w:line="360" w:lineRule="auto"/>
        <w:jc w:val="both"/>
        <w:rPr>
          <w:rFonts w:cs="Arial"/>
          <w:color w:val="000000"/>
          <w:lang w:val="en-GB"/>
        </w:rPr>
      </w:pPr>
      <w:r w:rsidRPr="006C28BE">
        <w:rPr>
          <w:rFonts w:cs="Arial"/>
          <w:color w:val="000000"/>
          <w:lang w:val="en-GB"/>
        </w:rPr>
        <w:t>Thus, the present research project in its inductive nature and interpretivist orientation, allows us to study the available literature and secondary data in a non-confrontational manner. It provides a stage to deal with dual-income family issues, i.e., income distribution, work-life balance, mental health and success of policies. A new perspective is provided by the structure of the approach, which allows one to examine the chosen subject through a different lens, and consequently leads to the discovery of new themes, patterns, and ties that otherwise could be missed or ignored (Carter et al., 2023).</w:t>
      </w:r>
    </w:p>
    <w:p w:rsidR="000B0DDC" w:rsidRPr="006C28BE" w:rsidRDefault="000B0DDC" w:rsidP="000B0DDC">
      <w:pPr>
        <w:spacing w:line="360" w:lineRule="auto"/>
        <w:jc w:val="both"/>
        <w:rPr>
          <w:rFonts w:cs="Arial"/>
          <w:color w:val="000000"/>
          <w:lang w:val="en-GB"/>
        </w:rPr>
      </w:pPr>
      <w:r w:rsidRPr="006C28BE">
        <w:rPr>
          <w:rFonts w:cs="Arial"/>
          <w:color w:val="000000"/>
          <w:lang w:val="en-GB"/>
        </w:rPr>
        <w:t>Here the structure of the research is organized in accordance with the goals through the application of an explorative design.</w:t>
      </w:r>
    </w:p>
    <w:p w:rsidR="000B0DDC" w:rsidRPr="006C28BE" w:rsidRDefault="000B0DDC" w:rsidP="000B0DDC">
      <w:pPr>
        <w:spacing w:line="360" w:lineRule="auto"/>
        <w:jc w:val="both"/>
        <w:rPr>
          <w:rFonts w:cs="Arial"/>
          <w:color w:val="000000"/>
          <w:lang w:val="en-GB"/>
        </w:rPr>
      </w:pPr>
      <w:r w:rsidRPr="006C28BE">
        <w:rPr>
          <w:rFonts w:cs="Arial"/>
          <w:color w:val="000000"/>
          <w:lang w:val="en-GB"/>
        </w:rPr>
        <w:t xml:space="preserve">It is through this means that we can carry out a comprehensive literature review that will showcase the gaps that must be explored further in the research. A key advantage of this </w:t>
      </w:r>
      <w:r w:rsidRPr="006C28BE">
        <w:rPr>
          <w:rFonts w:cs="Arial"/>
          <w:color w:val="000000"/>
          <w:lang w:val="en-GB"/>
        </w:rPr>
        <w:lastRenderedPageBreak/>
        <w:t>method is that it can be closely related to the research topics and therefore, you can produce a rich and deep knowledge about the interrelationship between the economic forces and social policies in the life of the dual-income families. The flexibility in studying exploratory research allows the study to be amended, if needed, based on what is being discovered during the literature review. This fine-tunes the study’s direction and focus as data is being obtained. This is a vital feature of dual-earner households in the UK, which is to highlight their overall impacts on the individual, family and society levels. (Carter et al. ,2023).</w:t>
      </w:r>
    </w:p>
    <w:p w:rsidR="000B0DDC" w:rsidRPr="005F4352" w:rsidRDefault="000B0DDC" w:rsidP="000B0DDC">
      <w:pPr>
        <w:pStyle w:val="ListParagraph"/>
        <w:numPr>
          <w:ilvl w:val="1"/>
          <w:numId w:val="20"/>
        </w:numPr>
        <w:rPr>
          <w:b/>
          <w:sz w:val="28"/>
          <w:szCs w:val="28"/>
          <w:lang w:val="en-GB"/>
        </w:rPr>
      </w:pPr>
      <w:bookmarkStart w:id="48" w:name="_Toc162809010"/>
      <w:bookmarkStart w:id="49" w:name="_Toc166368629"/>
      <w:r w:rsidRPr="005F4352">
        <w:rPr>
          <w:b/>
          <w:sz w:val="28"/>
          <w:szCs w:val="28"/>
          <w:lang w:val="en-GB"/>
        </w:rPr>
        <w:t>Research Strategy</w:t>
      </w:r>
      <w:bookmarkEnd w:id="48"/>
      <w:bookmarkEnd w:id="49"/>
    </w:p>
    <w:p w:rsidR="000B0DDC" w:rsidRPr="006C28BE" w:rsidRDefault="000B0DDC" w:rsidP="000B0DDC">
      <w:pPr>
        <w:spacing w:line="360" w:lineRule="auto"/>
        <w:jc w:val="both"/>
        <w:rPr>
          <w:rFonts w:cs="Arial"/>
          <w:color w:val="000000"/>
          <w:lang w:val="en-GB"/>
        </w:rPr>
      </w:pPr>
      <w:r w:rsidRPr="006C28BE">
        <w:rPr>
          <w:rFonts w:cs="Arial"/>
          <w:color w:val="000000"/>
          <w:lang w:val="en-GB"/>
        </w:rPr>
        <w:t>Based on the research model of investigative and inductive research for the Double Pay Check Revolution in the UK, a systematized literature review is the best research method. It is an effective approach for the current study because the study is based on the secondary data and the resources available from the literature review. The systematic literature review method allows for a comprehensive and systematic approach to the literature, that is, the investigation of published research, government documents, policy papers, and statistical data to assess the economic and social implications of dual-earning households.</w:t>
      </w:r>
    </w:p>
    <w:p w:rsidR="000B0DDC" w:rsidRPr="006C28BE" w:rsidRDefault="000B0DDC" w:rsidP="000B0DDC">
      <w:pPr>
        <w:spacing w:line="360" w:lineRule="auto"/>
        <w:jc w:val="both"/>
        <w:rPr>
          <w:rFonts w:cs="Arial"/>
          <w:color w:val="000000"/>
          <w:lang w:val="en-GB"/>
        </w:rPr>
      </w:pPr>
      <w:r w:rsidRPr="006C28BE">
        <w:rPr>
          <w:rFonts w:cs="Arial"/>
          <w:color w:val="000000"/>
          <w:lang w:val="en-GB"/>
        </w:rPr>
        <w:t>These research methods are applied to fill the gaps in the selected literature, especially the deficit in more explicit explanation of how dual income, socio-economic factors and policy frameworks of the UK context interplay together. Systematic discussion of the literature review enables information acquisition, assessment, and integration of the already known study, the picture of the whole article. Beyond this, it serves as an instrument of pinpointing the competing, contradicting, and inadequately researched ideas in the corpus (Azungah, 2018).</w:t>
      </w:r>
    </w:p>
    <w:p w:rsidR="000B0DDC" w:rsidRPr="006C28BE" w:rsidRDefault="000B0DDC" w:rsidP="000B0DDC">
      <w:pPr>
        <w:spacing w:line="360" w:lineRule="auto"/>
        <w:jc w:val="both"/>
        <w:rPr>
          <w:rFonts w:cs="Arial"/>
          <w:color w:val="000000"/>
          <w:lang w:val="en-GB"/>
        </w:rPr>
      </w:pPr>
    </w:p>
    <w:p w:rsidR="000B0DDC" w:rsidRPr="006C28BE" w:rsidRDefault="000B0DDC" w:rsidP="000B0DDC">
      <w:pPr>
        <w:spacing w:line="360" w:lineRule="auto"/>
        <w:jc w:val="both"/>
        <w:rPr>
          <w:rFonts w:cs="Arial"/>
          <w:color w:val="000000"/>
          <w:lang w:val="en-GB"/>
        </w:rPr>
      </w:pPr>
      <w:r w:rsidRPr="006C28BE">
        <w:rPr>
          <w:rFonts w:cs="Arial"/>
          <w:color w:val="000000"/>
          <w:lang w:val="en-GB"/>
        </w:rPr>
        <w:t>The criteria of studies selected for the review are going to be defined by using specific inclusion and exclusion criteria, which will ensure that the studies are relevant and of high quality. We will do this by having an overview of metrics such as the period, geographical area, and the key concern of the working class in the UK. The process will be done with the specific search terms that will require the search of various databases and sources that will give a balanced picture of the different views (Azungah, T., 2018).</w:t>
      </w:r>
    </w:p>
    <w:p w:rsidR="000B0DDC" w:rsidRPr="006C28BE" w:rsidRDefault="000B0DDC" w:rsidP="000B0DDC">
      <w:pPr>
        <w:spacing w:line="360" w:lineRule="auto"/>
        <w:jc w:val="both"/>
        <w:rPr>
          <w:rFonts w:cs="Arial"/>
          <w:color w:val="000000"/>
          <w:lang w:val="en-GB"/>
        </w:rPr>
      </w:pPr>
      <w:r w:rsidRPr="006C28BE">
        <w:rPr>
          <w:rFonts w:cs="Arial"/>
          <w:color w:val="000000"/>
          <w:lang w:val="en-GB"/>
        </w:rPr>
        <w:lastRenderedPageBreak/>
        <w:t>Through a process of sifting, analysing and evaluating literature that relates to the research objectives, this approach will be directly pointing at the problems that the study is tackling, and will reveal the economic contributions, challenges, and policy responses of dual-earner families. It will be helpful in the construction of a complete analysis on dual-income effects on family wellbeing, social ranking, work-life balance and so on. Additionally, the systematic literature review would identify the areas in which the policies were successful and the areas which need policy improvements so that it will provide the strong foundation for the research questions and will be adding new knowledge to the field. (Azungah, 2018).</w:t>
      </w:r>
    </w:p>
    <w:p w:rsidR="000B0DDC" w:rsidRPr="0038154B" w:rsidRDefault="000B0DDC" w:rsidP="000B0DDC">
      <w:pPr>
        <w:pStyle w:val="ListParagraph"/>
        <w:numPr>
          <w:ilvl w:val="1"/>
          <w:numId w:val="20"/>
        </w:numPr>
        <w:rPr>
          <w:b/>
          <w:sz w:val="28"/>
          <w:szCs w:val="28"/>
          <w:lang w:val="en-GB"/>
        </w:rPr>
      </w:pPr>
      <w:bookmarkStart w:id="50" w:name="_Toc162809011"/>
      <w:bookmarkStart w:id="51" w:name="_Toc166368630"/>
      <w:r w:rsidRPr="0038154B">
        <w:rPr>
          <w:b/>
          <w:sz w:val="28"/>
          <w:szCs w:val="28"/>
          <w:lang w:val="en-GB"/>
        </w:rPr>
        <w:t>Data Collection</w:t>
      </w:r>
      <w:bookmarkEnd w:id="50"/>
      <w:bookmarkEnd w:id="51"/>
    </w:p>
    <w:p w:rsidR="000B0DDC" w:rsidRPr="006C28BE" w:rsidRDefault="000B0DDC" w:rsidP="000B0DDC">
      <w:pPr>
        <w:spacing w:line="360" w:lineRule="auto"/>
        <w:jc w:val="both"/>
        <w:rPr>
          <w:rFonts w:cs="Arial"/>
          <w:color w:val="000000"/>
          <w:lang w:val="en-GB"/>
        </w:rPr>
      </w:pPr>
      <w:r w:rsidRPr="006C28BE">
        <w:rPr>
          <w:rFonts w:cs="Arial"/>
          <w:color w:val="000000"/>
          <w:lang w:val="en-GB"/>
        </w:rPr>
        <w:t>This method is consistent with an inductive and interpretivist framework and makes it possible to cover an extensive range of current information on two-income families. The data collection will incorporate a wide variety of secondary sources so that the evaluation can consider the economic and social implications of dual-earner families from different angles undefined (Mohamed et al.,2013).</w:t>
      </w:r>
    </w:p>
    <w:p w:rsidR="000B0DDC" w:rsidRPr="006C28BE" w:rsidRDefault="000B0DDC" w:rsidP="000B0DDC">
      <w:pPr>
        <w:numPr>
          <w:ilvl w:val="0"/>
          <w:numId w:val="4"/>
        </w:numPr>
        <w:spacing w:line="360" w:lineRule="auto"/>
        <w:jc w:val="both"/>
        <w:rPr>
          <w:rFonts w:cs="Arial"/>
          <w:color w:val="000000"/>
          <w:lang w:val="en-GB"/>
        </w:rPr>
      </w:pPr>
      <w:r w:rsidRPr="006C28BE">
        <w:rPr>
          <w:rFonts w:cs="Arial"/>
          <w:b/>
          <w:bCs/>
          <w:color w:val="000000"/>
          <w:lang w:val="en-GB"/>
        </w:rPr>
        <w:t>Academic Journals:</w:t>
      </w:r>
      <w:r w:rsidRPr="006C28BE">
        <w:rPr>
          <w:rFonts w:cs="Arial"/>
          <w:color w:val="000000"/>
          <w:lang w:val="en-GB"/>
        </w:rPr>
        <w:t xml:space="preserve"> The primary data sources will be peer-reviewed articles from academic journals as they will provide the most up-to-date, rigorous research findings and scholarly discourses on dual-income households, the economic impact, societal implications, and policy responses. Databases like Google scholar and elicit will be searched, especially in the UK context, or on the studies that bring in useful comparisons.</w:t>
      </w:r>
    </w:p>
    <w:p w:rsidR="000B0DDC" w:rsidRPr="006C28BE" w:rsidRDefault="000B0DDC" w:rsidP="000B0DDC">
      <w:pPr>
        <w:numPr>
          <w:ilvl w:val="0"/>
          <w:numId w:val="4"/>
        </w:numPr>
        <w:spacing w:line="360" w:lineRule="auto"/>
        <w:jc w:val="both"/>
        <w:rPr>
          <w:rFonts w:cs="Arial"/>
          <w:color w:val="000000"/>
          <w:lang w:val="en-GB"/>
        </w:rPr>
      </w:pPr>
      <w:r w:rsidRPr="006C28BE">
        <w:rPr>
          <w:rFonts w:cs="Arial"/>
          <w:b/>
          <w:bCs/>
          <w:color w:val="000000"/>
          <w:lang w:val="en-GB"/>
        </w:rPr>
        <w:t>Government Reports:</w:t>
      </w:r>
      <w:r w:rsidRPr="006C28BE">
        <w:rPr>
          <w:rFonts w:cs="Arial"/>
          <w:color w:val="000000"/>
          <w:lang w:val="en-GB"/>
        </w:rPr>
        <w:t xml:space="preserve"> The UK government institutions will be the main source of data since some of the information needed will be sourced from the official publications of the UK government departments such as the Office for National Statistics (ONS), Department for Work and Pensions (DWP) and HM Treasury on employment, income distribution, childcare and housing for dual-income families. These reports will provide definitive perspectives on population trends, economic impact, and the efficacy of governmental actions.</w:t>
      </w:r>
    </w:p>
    <w:p w:rsidR="000B0DDC" w:rsidRPr="006C28BE" w:rsidRDefault="000B0DDC" w:rsidP="000B0DDC">
      <w:pPr>
        <w:numPr>
          <w:ilvl w:val="0"/>
          <w:numId w:val="4"/>
        </w:numPr>
        <w:spacing w:line="360" w:lineRule="auto"/>
        <w:jc w:val="both"/>
        <w:rPr>
          <w:rFonts w:cs="Arial"/>
          <w:color w:val="000000"/>
          <w:lang w:val="en-GB"/>
        </w:rPr>
      </w:pPr>
      <w:r w:rsidRPr="006C28BE">
        <w:rPr>
          <w:rFonts w:cs="Arial"/>
          <w:b/>
          <w:bCs/>
          <w:color w:val="000000"/>
          <w:lang w:val="en-GB"/>
        </w:rPr>
        <w:t xml:space="preserve">Policy Documents: </w:t>
      </w:r>
      <w:r w:rsidRPr="006C28BE">
        <w:rPr>
          <w:rFonts w:cs="Arial"/>
          <w:color w:val="000000"/>
          <w:lang w:val="en-GB"/>
        </w:rPr>
        <w:t xml:space="preserve">The various forms of documents including white papers, policy briefs, and legislative texts will be reviewed to have an insight into the history of the policies that govern dual income households. The Family welfare programs </w:t>
      </w:r>
      <w:r w:rsidRPr="006C28BE">
        <w:rPr>
          <w:rFonts w:cs="Arial"/>
          <w:color w:val="000000"/>
          <w:lang w:val="en-GB"/>
        </w:rPr>
        <w:lastRenderedPageBreak/>
        <w:t>tax rebates, parental leaves, and childcare support; government websites and policy think tanks will help us with this research.</w:t>
      </w:r>
    </w:p>
    <w:p w:rsidR="000B0DDC" w:rsidRPr="006C28BE" w:rsidRDefault="000B0DDC" w:rsidP="000B0DDC">
      <w:pPr>
        <w:numPr>
          <w:ilvl w:val="0"/>
          <w:numId w:val="4"/>
        </w:numPr>
        <w:spacing w:line="360" w:lineRule="auto"/>
        <w:jc w:val="both"/>
        <w:rPr>
          <w:rFonts w:cs="Arial"/>
          <w:color w:val="000000"/>
          <w:lang w:val="en-GB"/>
        </w:rPr>
      </w:pPr>
      <w:r w:rsidRPr="006C28BE">
        <w:rPr>
          <w:rFonts w:cs="Arial"/>
          <w:b/>
          <w:bCs/>
          <w:color w:val="000000"/>
          <w:lang w:val="en-GB"/>
        </w:rPr>
        <w:t>News Articles and Media Reports</w:t>
      </w:r>
      <w:r w:rsidRPr="006C28BE">
        <w:rPr>
          <w:rFonts w:cs="Arial"/>
          <w:color w:val="000000"/>
          <w:lang w:val="en-GB"/>
        </w:rPr>
        <w:t>: The Double Paycheck Revolution would resort to credible newspapers and media outlets for contemporary views, public opinions, and expert commentary. To do that, this would include original sources such as The Guardian, BBC News, and The Financial Times which will help to provide the needed context on the societal attitudes and the lived experiences of dual-income families.</w:t>
      </w:r>
    </w:p>
    <w:p w:rsidR="000B0DDC" w:rsidRDefault="000B0DDC" w:rsidP="000B0DDC">
      <w:pPr>
        <w:numPr>
          <w:ilvl w:val="0"/>
          <w:numId w:val="4"/>
        </w:numPr>
        <w:spacing w:line="360" w:lineRule="auto"/>
        <w:jc w:val="both"/>
        <w:rPr>
          <w:rFonts w:cs="Arial"/>
          <w:color w:val="000000"/>
          <w:lang w:val="en-GB"/>
        </w:rPr>
      </w:pPr>
      <w:r w:rsidRPr="006C28BE">
        <w:rPr>
          <w:rFonts w:cs="Arial"/>
          <w:b/>
          <w:bCs/>
          <w:color w:val="000000"/>
          <w:lang w:val="en-GB"/>
        </w:rPr>
        <w:t>Academic Books and Chapters:</w:t>
      </w:r>
      <w:r w:rsidRPr="006C28BE">
        <w:rPr>
          <w:rFonts w:cs="Arial"/>
          <w:color w:val="000000"/>
          <w:lang w:val="en-GB"/>
        </w:rPr>
        <w:t xml:space="preserve"> The sources from the latest scholarly books and edited volumes will be included to have a theoretical perspective and historical background on the study's themes. These sources will be of tremendous help in positioning the campaign within a larger context of socio-economic and cultural events (Mohamed et al.,2013).</w:t>
      </w:r>
    </w:p>
    <w:p w:rsidR="000B0DDC" w:rsidRDefault="000B0DDC" w:rsidP="000B0DDC">
      <w:pPr>
        <w:spacing w:line="360" w:lineRule="auto"/>
        <w:jc w:val="both"/>
        <w:rPr>
          <w:rFonts w:cs="Arial"/>
          <w:color w:val="000000"/>
          <w:lang w:val="en-GB"/>
        </w:rPr>
      </w:pPr>
    </w:p>
    <w:p w:rsidR="000B0DDC" w:rsidRDefault="000B0DDC" w:rsidP="000B0DDC">
      <w:pPr>
        <w:spacing w:line="360" w:lineRule="auto"/>
        <w:jc w:val="both"/>
        <w:rPr>
          <w:rFonts w:cs="Arial"/>
          <w:color w:val="000000"/>
          <w:lang w:val="en-GB"/>
        </w:rPr>
      </w:pPr>
    </w:p>
    <w:p w:rsidR="000B0DDC" w:rsidRDefault="000B0DDC" w:rsidP="000B0DDC">
      <w:pPr>
        <w:spacing w:line="360" w:lineRule="auto"/>
        <w:jc w:val="both"/>
        <w:rPr>
          <w:rFonts w:cs="Arial"/>
          <w:color w:val="000000"/>
          <w:lang w:val="en-GB"/>
        </w:rPr>
      </w:pPr>
    </w:p>
    <w:p w:rsidR="000B0DDC" w:rsidRDefault="000B0DDC" w:rsidP="000B0DDC">
      <w:pPr>
        <w:spacing w:line="360" w:lineRule="auto"/>
        <w:jc w:val="both"/>
        <w:rPr>
          <w:rFonts w:cs="Arial"/>
          <w:color w:val="000000"/>
          <w:lang w:val="en-GB"/>
        </w:rPr>
      </w:pPr>
    </w:p>
    <w:p w:rsidR="000B0DDC" w:rsidRDefault="000B0DDC" w:rsidP="000B0DDC">
      <w:pPr>
        <w:spacing w:line="360" w:lineRule="auto"/>
        <w:jc w:val="both"/>
        <w:rPr>
          <w:rFonts w:cs="Arial"/>
          <w:color w:val="000000"/>
          <w:lang w:val="en-GB"/>
        </w:rPr>
      </w:pPr>
    </w:p>
    <w:p w:rsidR="000B0DDC" w:rsidRDefault="000B0DDC" w:rsidP="000B0DDC">
      <w:pPr>
        <w:spacing w:line="360" w:lineRule="auto"/>
        <w:jc w:val="both"/>
        <w:rPr>
          <w:rFonts w:cs="Arial"/>
          <w:color w:val="000000"/>
          <w:lang w:val="en-GB"/>
        </w:rPr>
      </w:pPr>
    </w:p>
    <w:p w:rsidR="000B0DDC" w:rsidRDefault="000B0DDC" w:rsidP="000B0DDC">
      <w:pPr>
        <w:spacing w:line="360" w:lineRule="auto"/>
        <w:jc w:val="both"/>
        <w:rPr>
          <w:rFonts w:cs="Arial"/>
          <w:color w:val="000000"/>
          <w:lang w:val="en-GB"/>
        </w:rPr>
      </w:pPr>
    </w:p>
    <w:p w:rsidR="000B0DDC" w:rsidRDefault="000B0DDC" w:rsidP="000B0DDC">
      <w:pPr>
        <w:spacing w:line="360" w:lineRule="auto"/>
        <w:jc w:val="both"/>
        <w:rPr>
          <w:rFonts w:cs="Arial"/>
          <w:color w:val="000000"/>
          <w:lang w:val="en-GB"/>
        </w:rPr>
      </w:pPr>
    </w:p>
    <w:p w:rsidR="000B0DDC" w:rsidRDefault="000B0DDC" w:rsidP="000B0DDC">
      <w:pPr>
        <w:spacing w:line="360" w:lineRule="auto"/>
        <w:jc w:val="both"/>
        <w:rPr>
          <w:rFonts w:cs="Arial"/>
          <w:color w:val="000000"/>
          <w:lang w:val="en-GB"/>
        </w:rPr>
      </w:pPr>
    </w:p>
    <w:p w:rsidR="000B0DDC" w:rsidRDefault="000B0DDC" w:rsidP="000B0DDC">
      <w:pPr>
        <w:spacing w:line="360" w:lineRule="auto"/>
        <w:jc w:val="both"/>
        <w:rPr>
          <w:rFonts w:cs="Arial"/>
          <w:color w:val="000000"/>
          <w:lang w:val="en-GB"/>
        </w:rPr>
      </w:pPr>
    </w:p>
    <w:p w:rsidR="000B0DDC" w:rsidRDefault="000B0DDC" w:rsidP="000B0DDC">
      <w:pPr>
        <w:spacing w:line="360" w:lineRule="auto"/>
        <w:jc w:val="both"/>
        <w:rPr>
          <w:rFonts w:cs="Arial"/>
          <w:color w:val="000000"/>
          <w:lang w:val="en-GB"/>
        </w:rPr>
      </w:pPr>
    </w:p>
    <w:p w:rsidR="000B0DDC" w:rsidRDefault="000B0DDC" w:rsidP="000B0DDC">
      <w:pPr>
        <w:spacing w:line="360" w:lineRule="auto"/>
        <w:jc w:val="both"/>
        <w:rPr>
          <w:rFonts w:cs="Arial"/>
          <w:color w:val="000000"/>
          <w:lang w:val="en-GB"/>
        </w:rPr>
      </w:pPr>
    </w:p>
    <w:p w:rsidR="000B0DDC" w:rsidRDefault="000B0DDC" w:rsidP="000B0DDC">
      <w:pPr>
        <w:spacing w:line="360" w:lineRule="auto"/>
        <w:jc w:val="both"/>
        <w:rPr>
          <w:rFonts w:cs="Arial"/>
          <w:color w:val="000000"/>
          <w:lang w:val="en-GB"/>
        </w:rPr>
      </w:pPr>
    </w:p>
    <w:p w:rsidR="000B0DDC" w:rsidRPr="006C28BE" w:rsidRDefault="000B0DDC" w:rsidP="000B0DDC">
      <w:pPr>
        <w:spacing w:line="360" w:lineRule="auto"/>
        <w:jc w:val="both"/>
        <w:rPr>
          <w:rFonts w:cs="Arial"/>
          <w:color w:val="000000"/>
          <w:lang w:val="en-GB"/>
        </w:rPr>
      </w:pPr>
    </w:p>
    <w:p w:rsidR="000B0DDC" w:rsidRPr="00EE5B6A" w:rsidRDefault="000B0DDC" w:rsidP="000B0DDC">
      <w:pPr>
        <w:pStyle w:val="ListParagraph"/>
        <w:numPr>
          <w:ilvl w:val="1"/>
          <w:numId w:val="20"/>
        </w:numPr>
        <w:rPr>
          <w:b/>
          <w:sz w:val="28"/>
          <w:szCs w:val="28"/>
          <w:lang w:val="en-GB"/>
        </w:rPr>
      </w:pPr>
      <w:bookmarkStart w:id="52" w:name="_Toc166368631"/>
      <w:r w:rsidRPr="00EE5B6A">
        <w:rPr>
          <w:b/>
          <w:sz w:val="28"/>
          <w:szCs w:val="28"/>
          <w:lang w:val="en-GB"/>
        </w:rPr>
        <w:lastRenderedPageBreak/>
        <w:t xml:space="preserve">   Search Strategy</w:t>
      </w:r>
      <w:bookmarkEnd w:id="52"/>
    </w:p>
    <w:p w:rsidR="000B0DDC" w:rsidRPr="006C28BE" w:rsidRDefault="000B0DDC" w:rsidP="000B0DDC">
      <w:pPr>
        <w:pStyle w:val="Heading3"/>
        <w:numPr>
          <w:ilvl w:val="0"/>
          <w:numId w:val="0"/>
        </w:numPr>
        <w:spacing w:after="160" w:line="360" w:lineRule="auto"/>
        <w:rPr>
          <w:rFonts w:ascii="Arial" w:hAnsi="Arial" w:cs="Arial"/>
          <w:lang w:val="en-GB"/>
        </w:rPr>
      </w:pPr>
      <w:bookmarkStart w:id="53" w:name="_Toc166368632"/>
      <w:r>
        <w:rPr>
          <w:rFonts w:ascii="Arial" w:hAnsi="Arial" w:cs="Arial"/>
          <w:lang w:val="en-GB"/>
        </w:rPr>
        <w:t xml:space="preserve">3.7.1      </w:t>
      </w:r>
      <w:r w:rsidRPr="006C28BE">
        <w:rPr>
          <w:rFonts w:ascii="Arial" w:hAnsi="Arial" w:cs="Arial"/>
          <w:lang w:val="en-GB"/>
        </w:rPr>
        <w:t>Search Terms</w:t>
      </w:r>
      <w:bookmarkEnd w:id="53"/>
    </w:p>
    <w:tbl>
      <w:tblPr>
        <w:tblW w:w="0" w:type="auto"/>
        <w:tblBorders>
          <w:top w:val="single" w:sz="4" w:space="0" w:color="F1A983"/>
          <w:left w:val="single" w:sz="4" w:space="0" w:color="F1A983"/>
          <w:bottom w:val="single" w:sz="4" w:space="0" w:color="F1A983"/>
          <w:right w:val="single" w:sz="4" w:space="0" w:color="F1A983"/>
          <w:insideH w:val="single" w:sz="4" w:space="0" w:color="F1A983"/>
        </w:tblBorders>
        <w:tblCellMar>
          <w:left w:w="0" w:type="dxa"/>
          <w:right w:w="0" w:type="dxa"/>
        </w:tblCellMar>
        <w:tblLook w:val="04A0" w:firstRow="1" w:lastRow="0" w:firstColumn="1" w:lastColumn="0" w:noHBand="0" w:noVBand="1"/>
      </w:tblPr>
      <w:tblGrid>
        <w:gridCol w:w="1250"/>
        <w:gridCol w:w="1590"/>
        <w:gridCol w:w="6510"/>
      </w:tblGrid>
      <w:tr w:rsidR="000B0DDC" w:rsidRPr="006C28BE" w:rsidTr="003D2275">
        <w:tc>
          <w:tcPr>
            <w:tcW w:w="0" w:type="auto"/>
            <w:tcBorders>
              <w:top w:val="single" w:sz="4" w:space="0" w:color="E97132"/>
              <w:left w:val="single" w:sz="4" w:space="0" w:color="E97132"/>
              <w:bottom w:val="single" w:sz="4" w:space="0" w:color="E97132"/>
              <w:right w:val="single" w:sz="4" w:space="0" w:color="E97132"/>
            </w:tcBorders>
            <w:shd w:val="clear" w:color="auto" w:fill="E97132"/>
          </w:tcPr>
          <w:p w:rsidR="000B0DDC" w:rsidRPr="006C28BE" w:rsidRDefault="000B0DDC" w:rsidP="003D2275">
            <w:pPr>
              <w:spacing w:line="360" w:lineRule="auto"/>
              <w:rPr>
                <w:rFonts w:cs="Arial"/>
                <w:lang w:val="en-GB"/>
              </w:rPr>
            </w:pPr>
            <w:r w:rsidRPr="006C28BE">
              <w:rPr>
                <w:rFonts w:cs="Arial"/>
                <w:lang w:val="en-GB"/>
              </w:rPr>
              <w:t>Term Category</w:t>
            </w:r>
          </w:p>
        </w:tc>
        <w:tc>
          <w:tcPr>
            <w:tcW w:w="0" w:type="auto"/>
            <w:tcBorders>
              <w:top w:val="single" w:sz="4" w:space="0" w:color="E97132"/>
              <w:left w:val="single" w:sz="4" w:space="0" w:color="E97132"/>
              <w:bottom w:val="single" w:sz="4" w:space="0" w:color="E97132"/>
              <w:right w:val="single" w:sz="4" w:space="0" w:color="E97132"/>
            </w:tcBorders>
            <w:shd w:val="clear" w:color="auto" w:fill="E97132"/>
          </w:tcPr>
          <w:p w:rsidR="000B0DDC" w:rsidRPr="006C28BE" w:rsidRDefault="000B0DDC" w:rsidP="003D2275">
            <w:pPr>
              <w:spacing w:line="360" w:lineRule="auto"/>
              <w:jc w:val="center"/>
              <w:rPr>
                <w:rFonts w:cs="Arial"/>
                <w:lang w:val="en-GB"/>
              </w:rPr>
            </w:pPr>
            <w:r w:rsidRPr="006C28BE">
              <w:rPr>
                <w:rFonts w:cs="Arial"/>
                <w:lang w:val="en-GB"/>
              </w:rPr>
              <w:t>Search Term</w:t>
            </w:r>
          </w:p>
        </w:tc>
        <w:tc>
          <w:tcPr>
            <w:tcW w:w="0" w:type="auto"/>
            <w:tcBorders>
              <w:top w:val="single" w:sz="4" w:space="0" w:color="E97132"/>
              <w:left w:val="single" w:sz="4" w:space="0" w:color="E97132"/>
              <w:bottom w:val="single" w:sz="4" w:space="0" w:color="E97132"/>
              <w:right w:val="single" w:sz="4" w:space="0" w:color="E97132"/>
            </w:tcBorders>
            <w:shd w:val="clear" w:color="auto" w:fill="E97132"/>
          </w:tcPr>
          <w:p w:rsidR="000B0DDC" w:rsidRPr="006C28BE" w:rsidRDefault="000B0DDC" w:rsidP="003D2275">
            <w:pPr>
              <w:spacing w:line="360" w:lineRule="auto"/>
              <w:jc w:val="center"/>
              <w:rPr>
                <w:rFonts w:cs="Arial"/>
                <w:lang w:val="en-GB"/>
              </w:rPr>
            </w:pPr>
            <w:r w:rsidRPr="006C28BE">
              <w:rPr>
                <w:rFonts w:cs="Arial"/>
                <w:lang w:val="en-GB"/>
              </w:rPr>
              <w:t>Description and Variations</w:t>
            </w:r>
          </w:p>
        </w:tc>
      </w:tr>
      <w:tr w:rsidR="000B0DDC" w:rsidRPr="006C28BE" w:rsidTr="003D2275">
        <w:tc>
          <w:tcPr>
            <w:tcW w:w="0" w:type="auto"/>
            <w:shd w:val="clear" w:color="auto" w:fill="FAE2D5"/>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Primary Terms</w:t>
            </w:r>
          </w:p>
        </w:tc>
        <w:tc>
          <w:tcPr>
            <w:tcW w:w="0" w:type="auto"/>
            <w:shd w:val="clear" w:color="auto" w:fill="FAE2D5"/>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Dual-income households</w:t>
            </w:r>
          </w:p>
        </w:tc>
        <w:tc>
          <w:tcPr>
            <w:tcW w:w="0" w:type="auto"/>
            <w:shd w:val="clear" w:color="auto" w:fill="FAE2D5"/>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Focuses on households with both partners contributing financially. Variations include "two-income families," "dual-wage households."</w:t>
            </w:r>
          </w:p>
        </w:tc>
      </w:tr>
      <w:tr w:rsidR="000B0DDC" w:rsidRPr="006C28BE" w:rsidTr="003D2275">
        <w:tc>
          <w:tcPr>
            <w:tcW w:w="0" w:type="auto"/>
          </w:tcPr>
          <w:p w:rsidR="000B0DDC" w:rsidRPr="006C28BE" w:rsidRDefault="000B0DDC" w:rsidP="003D2275">
            <w:pPr>
              <w:spacing w:line="360" w:lineRule="auto"/>
              <w:rPr>
                <w:rFonts w:cs="Arial"/>
                <w:color w:val="0D0D0D"/>
                <w:sz w:val="21"/>
                <w:szCs w:val="21"/>
                <w:lang w:val="en-GB"/>
              </w:rPr>
            </w:pPr>
          </w:p>
        </w:tc>
        <w:tc>
          <w:tcPr>
            <w:tcW w:w="0" w:type="auto"/>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Economic implications</w:t>
            </w:r>
          </w:p>
        </w:tc>
        <w:tc>
          <w:tcPr>
            <w:tcW w:w="0" w:type="auto"/>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Covers financial aspects and consequences such as household income levels, economic stability, and savings. Variations: "financial impacts," "economic outcomes."</w:t>
            </w:r>
          </w:p>
        </w:tc>
      </w:tr>
      <w:tr w:rsidR="000B0DDC" w:rsidRPr="006C28BE" w:rsidTr="003D2275">
        <w:tc>
          <w:tcPr>
            <w:tcW w:w="0" w:type="auto"/>
            <w:shd w:val="clear" w:color="auto" w:fill="FAE2D5"/>
          </w:tcPr>
          <w:p w:rsidR="000B0DDC" w:rsidRPr="006C28BE" w:rsidRDefault="000B0DDC" w:rsidP="003D2275">
            <w:pPr>
              <w:spacing w:line="360" w:lineRule="auto"/>
              <w:rPr>
                <w:rFonts w:cs="Arial"/>
                <w:color w:val="0D0D0D"/>
                <w:sz w:val="21"/>
                <w:szCs w:val="21"/>
                <w:lang w:val="en-GB"/>
              </w:rPr>
            </w:pPr>
          </w:p>
        </w:tc>
        <w:tc>
          <w:tcPr>
            <w:tcW w:w="0" w:type="auto"/>
            <w:shd w:val="clear" w:color="auto" w:fill="FAE2D5"/>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Social implications</w:t>
            </w:r>
          </w:p>
        </w:tc>
        <w:tc>
          <w:tcPr>
            <w:tcW w:w="0" w:type="auto"/>
            <w:shd w:val="clear" w:color="auto" w:fill="FAE2D5"/>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Encompasses societal and familial effects like changes in family dynamics, gender roles, and child-rearing. Variations: "societal effects," "family structure dynamics."</w:t>
            </w:r>
          </w:p>
        </w:tc>
      </w:tr>
      <w:tr w:rsidR="000B0DDC" w:rsidRPr="006C28BE" w:rsidTr="003D2275">
        <w:tc>
          <w:tcPr>
            <w:tcW w:w="0" w:type="auto"/>
          </w:tcPr>
          <w:p w:rsidR="000B0DDC" w:rsidRPr="006C28BE" w:rsidRDefault="000B0DDC" w:rsidP="003D2275">
            <w:pPr>
              <w:spacing w:line="360" w:lineRule="auto"/>
              <w:rPr>
                <w:rFonts w:cs="Arial"/>
                <w:color w:val="0D0D0D"/>
                <w:sz w:val="21"/>
                <w:szCs w:val="21"/>
                <w:lang w:val="en-GB"/>
              </w:rPr>
            </w:pPr>
          </w:p>
        </w:tc>
        <w:tc>
          <w:tcPr>
            <w:tcW w:w="0" w:type="auto"/>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 xml:space="preserve">UK </w:t>
            </w:r>
            <w:r>
              <w:rPr>
                <w:rFonts w:cs="Arial"/>
                <w:color w:val="0D0D0D"/>
                <w:sz w:val="21"/>
                <w:szCs w:val="21"/>
                <w:lang w:val="en-GB"/>
              </w:rPr>
              <w:t>labo</w:t>
            </w:r>
            <w:r w:rsidRPr="006C28BE">
              <w:rPr>
                <w:rFonts w:cs="Arial"/>
                <w:color w:val="0D0D0D"/>
                <w:sz w:val="21"/>
                <w:szCs w:val="21"/>
                <w:lang w:val="en-GB"/>
              </w:rPr>
              <w:t>r market</w:t>
            </w:r>
          </w:p>
        </w:tc>
        <w:tc>
          <w:tcPr>
            <w:tcW w:w="0" w:type="auto"/>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Targets studies specific to the UK, discussing employment trends, job availability, and work conditions. Variations: "employment policies," "workforce participation."</w:t>
            </w:r>
          </w:p>
        </w:tc>
      </w:tr>
      <w:tr w:rsidR="000B0DDC" w:rsidRPr="006C28BE" w:rsidTr="003D2275">
        <w:tc>
          <w:tcPr>
            <w:tcW w:w="0" w:type="auto"/>
            <w:shd w:val="clear" w:color="auto" w:fill="FAE2D5"/>
          </w:tcPr>
          <w:p w:rsidR="000B0DDC" w:rsidRPr="006C28BE" w:rsidRDefault="000B0DDC" w:rsidP="003D2275">
            <w:pPr>
              <w:spacing w:line="360" w:lineRule="auto"/>
              <w:rPr>
                <w:rFonts w:cs="Arial"/>
                <w:color w:val="0D0D0D"/>
                <w:sz w:val="21"/>
                <w:szCs w:val="21"/>
                <w:lang w:val="en-GB"/>
              </w:rPr>
            </w:pPr>
          </w:p>
        </w:tc>
        <w:tc>
          <w:tcPr>
            <w:tcW w:w="0" w:type="auto"/>
            <w:shd w:val="clear" w:color="auto" w:fill="FAE2D5"/>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Family policy</w:t>
            </w:r>
          </w:p>
        </w:tc>
        <w:tc>
          <w:tcPr>
            <w:tcW w:w="0" w:type="auto"/>
            <w:shd w:val="clear" w:color="auto" w:fill="FAE2D5"/>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Focuses on policies affecting dual-income families such as childcare support and parental leave. Variations: "social policy," "family support programs."</w:t>
            </w:r>
          </w:p>
        </w:tc>
      </w:tr>
      <w:tr w:rsidR="000B0DDC" w:rsidRPr="006C28BE" w:rsidTr="003D2275">
        <w:tc>
          <w:tcPr>
            <w:tcW w:w="0" w:type="auto"/>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Secondary Terms</w:t>
            </w:r>
          </w:p>
        </w:tc>
        <w:tc>
          <w:tcPr>
            <w:tcW w:w="0" w:type="auto"/>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Double-income families</w:t>
            </w:r>
          </w:p>
        </w:tc>
        <w:tc>
          <w:tcPr>
            <w:tcW w:w="0" w:type="auto"/>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Used to broaden the search to include studies with different terminology but related concepts.</w:t>
            </w:r>
          </w:p>
        </w:tc>
      </w:tr>
      <w:tr w:rsidR="000B0DDC" w:rsidRPr="006C28BE" w:rsidTr="003D2275">
        <w:tc>
          <w:tcPr>
            <w:tcW w:w="0" w:type="auto"/>
            <w:shd w:val="clear" w:color="auto" w:fill="FAE2D5"/>
          </w:tcPr>
          <w:p w:rsidR="000B0DDC" w:rsidRPr="006C28BE" w:rsidRDefault="000B0DDC" w:rsidP="003D2275">
            <w:pPr>
              <w:spacing w:line="360" w:lineRule="auto"/>
              <w:rPr>
                <w:rFonts w:cs="Arial"/>
                <w:color w:val="0D0D0D"/>
                <w:sz w:val="21"/>
                <w:szCs w:val="21"/>
                <w:lang w:val="en-GB"/>
              </w:rPr>
            </w:pPr>
          </w:p>
        </w:tc>
        <w:tc>
          <w:tcPr>
            <w:tcW w:w="0" w:type="auto"/>
            <w:shd w:val="clear" w:color="auto" w:fill="FAE2D5"/>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Dual-earner households</w:t>
            </w:r>
          </w:p>
        </w:tc>
        <w:tc>
          <w:tcPr>
            <w:tcW w:w="0" w:type="auto"/>
            <w:shd w:val="clear" w:color="auto" w:fill="FAE2D5"/>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Similar to above, captures studies discussing households with both earners but might use this specific term.</w:t>
            </w:r>
          </w:p>
        </w:tc>
      </w:tr>
      <w:tr w:rsidR="000B0DDC" w:rsidRPr="006C28BE" w:rsidTr="003D2275">
        <w:tc>
          <w:tcPr>
            <w:tcW w:w="0" w:type="auto"/>
          </w:tcPr>
          <w:p w:rsidR="000B0DDC" w:rsidRPr="006C28BE" w:rsidRDefault="000B0DDC" w:rsidP="003D2275">
            <w:pPr>
              <w:spacing w:line="360" w:lineRule="auto"/>
              <w:rPr>
                <w:rFonts w:cs="Arial"/>
                <w:color w:val="0D0D0D"/>
                <w:sz w:val="21"/>
                <w:szCs w:val="21"/>
                <w:lang w:val="en-GB"/>
              </w:rPr>
            </w:pPr>
          </w:p>
        </w:tc>
        <w:tc>
          <w:tcPr>
            <w:tcW w:w="0" w:type="auto"/>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Work-family balance</w:t>
            </w:r>
          </w:p>
        </w:tc>
        <w:tc>
          <w:tcPr>
            <w:tcW w:w="0" w:type="auto"/>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Looks into the interplay between work commitments and family life, important for understanding implications of dual-income households.</w:t>
            </w:r>
          </w:p>
        </w:tc>
      </w:tr>
      <w:tr w:rsidR="000B0DDC" w:rsidRPr="006C28BE" w:rsidTr="003D2275">
        <w:tc>
          <w:tcPr>
            <w:tcW w:w="0" w:type="auto"/>
            <w:shd w:val="clear" w:color="auto" w:fill="FAE2D5"/>
          </w:tcPr>
          <w:p w:rsidR="000B0DDC" w:rsidRPr="006C28BE" w:rsidRDefault="000B0DDC" w:rsidP="003D2275">
            <w:pPr>
              <w:spacing w:line="360" w:lineRule="auto"/>
              <w:rPr>
                <w:rFonts w:cs="Arial"/>
                <w:color w:val="0D0D0D"/>
                <w:sz w:val="21"/>
                <w:szCs w:val="21"/>
                <w:lang w:val="en-GB"/>
              </w:rPr>
            </w:pPr>
          </w:p>
        </w:tc>
        <w:tc>
          <w:tcPr>
            <w:tcW w:w="0" w:type="auto"/>
            <w:shd w:val="clear" w:color="auto" w:fill="FAE2D5"/>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Employment policies</w:t>
            </w:r>
          </w:p>
        </w:tc>
        <w:tc>
          <w:tcPr>
            <w:tcW w:w="0" w:type="auto"/>
            <w:shd w:val="clear" w:color="auto" w:fill="FAE2D5"/>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Encompasses governmental and organizational policies that affect working conditions and opportunities for dual-income households.</w:t>
            </w:r>
          </w:p>
        </w:tc>
      </w:tr>
      <w:tr w:rsidR="000B0DDC" w:rsidRPr="006C28BE" w:rsidTr="003D2275">
        <w:tc>
          <w:tcPr>
            <w:tcW w:w="0" w:type="auto"/>
          </w:tcPr>
          <w:p w:rsidR="000B0DDC" w:rsidRPr="006C28BE" w:rsidRDefault="000B0DDC" w:rsidP="003D2275">
            <w:pPr>
              <w:spacing w:line="360" w:lineRule="auto"/>
              <w:rPr>
                <w:rFonts w:cs="Arial"/>
                <w:color w:val="0D0D0D"/>
                <w:sz w:val="21"/>
                <w:szCs w:val="21"/>
                <w:lang w:val="en-GB"/>
              </w:rPr>
            </w:pPr>
          </w:p>
        </w:tc>
        <w:tc>
          <w:tcPr>
            <w:tcW w:w="0" w:type="auto"/>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Household economics</w:t>
            </w:r>
          </w:p>
        </w:tc>
        <w:tc>
          <w:tcPr>
            <w:tcW w:w="0" w:type="auto"/>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Examines financial decision-making and economic behaviors within dual-income families.</w:t>
            </w:r>
          </w:p>
        </w:tc>
      </w:tr>
    </w:tbl>
    <w:p w:rsidR="000B0DDC" w:rsidRPr="006C28BE" w:rsidRDefault="000B0DDC" w:rsidP="000B0DDC">
      <w:pPr>
        <w:spacing w:line="360" w:lineRule="auto"/>
        <w:jc w:val="both"/>
        <w:rPr>
          <w:rFonts w:cs="Arial"/>
          <w:color w:val="000000"/>
          <w:lang w:val="en-GB"/>
        </w:rPr>
      </w:pPr>
    </w:p>
    <w:p w:rsidR="000B0DDC" w:rsidRPr="006C28BE" w:rsidRDefault="000B0DDC" w:rsidP="000B0DDC">
      <w:pPr>
        <w:pStyle w:val="Heading3"/>
        <w:numPr>
          <w:ilvl w:val="2"/>
          <w:numId w:val="21"/>
        </w:numPr>
        <w:spacing w:after="160" w:line="360" w:lineRule="auto"/>
        <w:rPr>
          <w:rFonts w:ascii="Arial" w:hAnsi="Arial" w:cs="Arial"/>
          <w:lang w:val="en-GB"/>
        </w:rPr>
      </w:pPr>
      <w:bookmarkStart w:id="54" w:name="_Toc166368633"/>
      <w:r w:rsidRPr="006C28BE">
        <w:rPr>
          <w:rFonts w:ascii="Arial" w:hAnsi="Arial" w:cs="Arial"/>
          <w:lang w:val="en-GB"/>
        </w:rPr>
        <w:lastRenderedPageBreak/>
        <w:t>Application of Logical Operators</w:t>
      </w:r>
      <w:bookmarkEnd w:id="54"/>
    </w:p>
    <w:tbl>
      <w:tblPr>
        <w:tblW w:w="0" w:type="auto"/>
        <w:tblBorders>
          <w:top w:val="single" w:sz="4" w:space="0" w:color="F1A983"/>
          <w:left w:val="single" w:sz="4" w:space="0" w:color="F1A983"/>
          <w:bottom w:val="single" w:sz="4" w:space="0" w:color="F1A983"/>
          <w:right w:val="single" w:sz="4" w:space="0" w:color="F1A983"/>
          <w:insideH w:val="single" w:sz="4" w:space="0" w:color="F1A983"/>
        </w:tblBorders>
        <w:tblCellMar>
          <w:left w:w="0" w:type="dxa"/>
          <w:right w:w="0" w:type="dxa"/>
        </w:tblCellMar>
        <w:tblLook w:val="04A0" w:firstRow="1" w:lastRow="0" w:firstColumn="1" w:lastColumn="0" w:noHBand="0" w:noVBand="1"/>
      </w:tblPr>
      <w:tblGrid>
        <w:gridCol w:w="958"/>
        <w:gridCol w:w="4923"/>
        <w:gridCol w:w="3469"/>
      </w:tblGrid>
      <w:tr w:rsidR="000B0DDC" w:rsidRPr="006C28BE" w:rsidTr="003D2275">
        <w:tc>
          <w:tcPr>
            <w:tcW w:w="0" w:type="auto"/>
            <w:tcBorders>
              <w:top w:val="single" w:sz="4" w:space="0" w:color="E97132"/>
              <w:left w:val="single" w:sz="4" w:space="0" w:color="E97132"/>
              <w:bottom w:val="single" w:sz="4" w:space="0" w:color="E97132"/>
              <w:right w:val="single" w:sz="4" w:space="0" w:color="E97132"/>
            </w:tcBorders>
            <w:shd w:val="clear" w:color="auto" w:fill="E97132"/>
          </w:tcPr>
          <w:p w:rsidR="000B0DDC" w:rsidRPr="006C28BE" w:rsidRDefault="000B0DDC" w:rsidP="003D2275">
            <w:pPr>
              <w:spacing w:line="360" w:lineRule="auto"/>
              <w:jc w:val="center"/>
              <w:rPr>
                <w:rFonts w:cs="Arial"/>
                <w:lang w:val="en-GB"/>
              </w:rPr>
            </w:pPr>
            <w:r w:rsidRPr="006C28BE">
              <w:rPr>
                <w:rFonts w:cs="Arial"/>
                <w:lang w:val="en-GB"/>
              </w:rPr>
              <w:t>Operator</w:t>
            </w:r>
          </w:p>
        </w:tc>
        <w:tc>
          <w:tcPr>
            <w:tcW w:w="0" w:type="auto"/>
            <w:tcBorders>
              <w:top w:val="single" w:sz="4" w:space="0" w:color="E97132"/>
              <w:left w:val="single" w:sz="4" w:space="0" w:color="E97132"/>
              <w:bottom w:val="single" w:sz="4" w:space="0" w:color="E97132"/>
              <w:right w:val="single" w:sz="4" w:space="0" w:color="E97132"/>
            </w:tcBorders>
            <w:shd w:val="clear" w:color="auto" w:fill="E97132"/>
          </w:tcPr>
          <w:p w:rsidR="000B0DDC" w:rsidRPr="006C28BE" w:rsidRDefault="000B0DDC" w:rsidP="003D2275">
            <w:pPr>
              <w:spacing w:line="360" w:lineRule="auto"/>
              <w:jc w:val="center"/>
              <w:rPr>
                <w:rFonts w:cs="Arial"/>
                <w:lang w:val="en-GB"/>
              </w:rPr>
            </w:pPr>
            <w:r w:rsidRPr="006C28BE">
              <w:rPr>
                <w:rFonts w:cs="Arial"/>
                <w:lang w:val="en-GB"/>
              </w:rPr>
              <w:t>Application</w:t>
            </w:r>
          </w:p>
        </w:tc>
        <w:tc>
          <w:tcPr>
            <w:tcW w:w="0" w:type="auto"/>
            <w:tcBorders>
              <w:top w:val="single" w:sz="4" w:space="0" w:color="E97132"/>
              <w:left w:val="single" w:sz="4" w:space="0" w:color="E97132"/>
              <w:bottom w:val="single" w:sz="4" w:space="0" w:color="E97132"/>
              <w:right w:val="single" w:sz="4" w:space="0" w:color="E97132"/>
            </w:tcBorders>
            <w:shd w:val="clear" w:color="auto" w:fill="E97132"/>
          </w:tcPr>
          <w:p w:rsidR="000B0DDC" w:rsidRPr="006C28BE" w:rsidRDefault="000B0DDC" w:rsidP="003D2275">
            <w:pPr>
              <w:spacing w:line="360" w:lineRule="auto"/>
              <w:jc w:val="center"/>
              <w:rPr>
                <w:rFonts w:cs="Arial"/>
                <w:lang w:val="en-GB"/>
              </w:rPr>
            </w:pPr>
            <w:r w:rsidRPr="006C28BE">
              <w:rPr>
                <w:rFonts w:cs="Arial"/>
                <w:lang w:val="en-GB"/>
              </w:rPr>
              <w:t>Example Use</w:t>
            </w:r>
          </w:p>
        </w:tc>
      </w:tr>
      <w:tr w:rsidR="000B0DDC" w:rsidRPr="006C28BE" w:rsidTr="003D2275">
        <w:tc>
          <w:tcPr>
            <w:tcW w:w="0" w:type="auto"/>
            <w:shd w:val="clear" w:color="auto" w:fill="FAE2D5"/>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AND</w:t>
            </w:r>
          </w:p>
        </w:tc>
        <w:tc>
          <w:tcPr>
            <w:tcW w:w="0" w:type="auto"/>
            <w:shd w:val="clear" w:color="auto" w:fill="FAE2D5"/>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Used to refine search results by ensuring all included terms are present in the literature. Increases specificity of the search.</w:t>
            </w:r>
          </w:p>
        </w:tc>
        <w:tc>
          <w:tcPr>
            <w:tcW w:w="0" w:type="auto"/>
            <w:shd w:val="clear" w:color="auto" w:fill="FAE2D5"/>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"Dual-income households" AND "economic implications" AND "UK" — ensures studies are specific to the UK context.</w:t>
            </w:r>
          </w:p>
        </w:tc>
      </w:tr>
      <w:tr w:rsidR="000B0DDC" w:rsidRPr="006C28BE" w:rsidTr="003D2275">
        <w:tc>
          <w:tcPr>
            <w:tcW w:w="0" w:type="auto"/>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OR</w:t>
            </w:r>
          </w:p>
        </w:tc>
        <w:tc>
          <w:tcPr>
            <w:tcW w:w="0" w:type="auto"/>
          </w:tcPr>
          <w:p w:rsidR="000B0DDC" w:rsidRPr="006C28BE" w:rsidRDefault="000B0DDC" w:rsidP="003D2275">
            <w:pPr>
              <w:spacing w:line="360" w:lineRule="auto"/>
              <w:jc w:val="center"/>
              <w:rPr>
                <w:rFonts w:cs="Arial"/>
                <w:color w:val="0D0D0D"/>
                <w:sz w:val="21"/>
                <w:szCs w:val="21"/>
                <w:lang w:val="en-GB"/>
              </w:rPr>
            </w:pPr>
            <w:r w:rsidRPr="006C28BE">
              <w:rPr>
                <w:rFonts w:cs="Arial"/>
                <w:color w:val="0D0D0D"/>
                <w:sz w:val="21"/>
                <w:szCs w:val="21"/>
                <w:lang w:val="en-GB"/>
              </w:rPr>
              <w:t>Broadens the search results by including literature containing any of the terms connected by "OR". Useful for capturing studies with varied terminology on similar concepts.</w:t>
            </w:r>
          </w:p>
        </w:tc>
        <w:tc>
          <w:tcPr>
            <w:tcW w:w="0" w:type="auto"/>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"Social implications" OR "family dynamics" OR "gender roles" — includes a broader array of related studies.</w:t>
            </w:r>
          </w:p>
        </w:tc>
      </w:tr>
      <w:tr w:rsidR="000B0DDC" w:rsidRPr="006C28BE" w:rsidTr="003D2275">
        <w:tc>
          <w:tcPr>
            <w:tcW w:w="0" w:type="auto"/>
            <w:shd w:val="clear" w:color="auto" w:fill="FAE2D5"/>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NOT</w:t>
            </w:r>
          </w:p>
        </w:tc>
        <w:tc>
          <w:tcPr>
            <w:tcW w:w="0" w:type="auto"/>
            <w:shd w:val="clear" w:color="auto" w:fill="FAE2D5"/>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Excludes certain terms or topics from the search results, ensuring focus remains on intended subjects. Although not initially specified, it can be crucial for filtering out irrelevant content.</w:t>
            </w:r>
          </w:p>
        </w:tc>
        <w:tc>
          <w:tcPr>
            <w:tcW w:w="0" w:type="auto"/>
            <w:shd w:val="clear" w:color="auto" w:fill="FAE2D5"/>
          </w:tcPr>
          <w:p w:rsidR="000B0DDC" w:rsidRPr="006C28BE" w:rsidRDefault="000B0DDC" w:rsidP="003D2275">
            <w:pPr>
              <w:spacing w:line="360" w:lineRule="auto"/>
              <w:rPr>
                <w:rFonts w:cs="Arial"/>
                <w:color w:val="0D0D0D"/>
                <w:sz w:val="21"/>
                <w:szCs w:val="21"/>
                <w:lang w:val="en-GB"/>
              </w:rPr>
            </w:pPr>
            <w:r w:rsidRPr="006C28BE">
              <w:rPr>
                <w:rFonts w:cs="Arial"/>
                <w:color w:val="0D0D0D"/>
                <w:sz w:val="21"/>
                <w:szCs w:val="21"/>
                <w:lang w:val="en-GB"/>
              </w:rPr>
              <w:t>"NOT retirement" — to exclude studies focused on retirement planning in dual-income households.</w:t>
            </w:r>
          </w:p>
        </w:tc>
      </w:tr>
    </w:tbl>
    <w:p w:rsidR="000B0DDC" w:rsidRPr="006C28BE" w:rsidRDefault="000B0DDC" w:rsidP="000B0DDC">
      <w:pPr>
        <w:spacing w:line="360" w:lineRule="auto"/>
        <w:jc w:val="both"/>
        <w:rPr>
          <w:rFonts w:cs="Arial"/>
          <w:color w:val="000000"/>
          <w:lang w:val="en-GB"/>
        </w:rPr>
      </w:pPr>
    </w:p>
    <w:p w:rsidR="000B0DDC" w:rsidRPr="001C709A" w:rsidRDefault="000B0DDC" w:rsidP="000B0DDC">
      <w:pPr>
        <w:pStyle w:val="ListParagraph"/>
        <w:numPr>
          <w:ilvl w:val="1"/>
          <w:numId w:val="21"/>
        </w:numPr>
        <w:rPr>
          <w:b/>
          <w:sz w:val="28"/>
          <w:szCs w:val="28"/>
          <w:lang w:val="en-GB"/>
        </w:rPr>
      </w:pPr>
      <w:bookmarkStart w:id="55" w:name="_Toc166368634"/>
      <w:r w:rsidRPr="001C709A">
        <w:rPr>
          <w:b/>
          <w:sz w:val="28"/>
          <w:szCs w:val="28"/>
          <w:lang w:val="en-GB"/>
        </w:rPr>
        <w:t>Inclusion and Exclusion Criteria</w:t>
      </w:r>
      <w:bookmarkEnd w:id="55"/>
    </w:p>
    <w:tbl>
      <w:tblPr>
        <w:tblW w:w="0" w:type="auto"/>
        <w:tblBorders>
          <w:top w:val="single" w:sz="4" w:space="0" w:color="F1A983"/>
          <w:left w:val="single" w:sz="4" w:space="0" w:color="F1A983"/>
          <w:bottom w:val="single" w:sz="4" w:space="0" w:color="F1A983"/>
          <w:right w:val="single" w:sz="4" w:space="0" w:color="F1A983"/>
          <w:insideH w:val="single" w:sz="4" w:space="0" w:color="F1A983"/>
        </w:tblBorders>
        <w:tblCellMar>
          <w:left w:w="0" w:type="dxa"/>
          <w:right w:w="0" w:type="dxa"/>
        </w:tblCellMar>
        <w:tblLook w:val="04A0" w:firstRow="1" w:lastRow="0" w:firstColumn="1" w:lastColumn="0" w:noHBand="0" w:noVBand="1"/>
      </w:tblPr>
      <w:tblGrid>
        <w:gridCol w:w="1712"/>
        <w:gridCol w:w="4041"/>
        <w:gridCol w:w="3597"/>
      </w:tblGrid>
      <w:tr w:rsidR="000B0DDC" w:rsidRPr="006C28BE" w:rsidTr="003D2275">
        <w:trPr>
          <w:trHeight w:val="319"/>
        </w:trPr>
        <w:tc>
          <w:tcPr>
            <w:tcW w:w="0" w:type="auto"/>
            <w:tcBorders>
              <w:top w:val="single" w:sz="4" w:space="0" w:color="E97132"/>
              <w:left w:val="single" w:sz="4" w:space="0" w:color="E97132"/>
              <w:bottom w:val="single" w:sz="4" w:space="0" w:color="E97132"/>
              <w:right w:val="single" w:sz="4" w:space="0" w:color="E97132"/>
            </w:tcBorders>
            <w:shd w:val="clear" w:color="auto" w:fill="E97132"/>
          </w:tcPr>
          <w:p w:rsidR="000B0DDC" w:rsidRPr="006C28BE" w:rsidRDefault="000B0DDC" w:rsidP="003D2275">
            <w:pPr>
              <w:spacing w:line="360" w:lineRule="auto"/>
              <w:rPr>
                <w:rFonts w:cs="Arial"/>
                <w:lang w:val="en-GB"/>
              </w:rPr>
            </w:pPr>
            <w:bookmarkStart w:id="56" w:name="_Toc162809012"/>
            <w:r w:rsidRPr="006C28BE">
              <w:rPr>
                <w:rFonts w:cs="Arial"/>
                <w:lang w:val="en-GB"/>
              </w:rPr>
              <w:t>Criteria</w:t>
            </w:r>
          </w:p>
        </w:tc>
        <w:tc>
          <w:tcPr>
            <w:tcW w:w="0" w:type="auto"/>
            <w:tcBorders>
              <w:top w:val="single" w:sz="4" w:space="0" w:color="E97132"/>
              <w:left w:val="single" w:sz="4" w:space="0" w:color="E97132"/>
              <w:bottom w:val="single" w:sz="4" w:space="0" w:color="E97132"/>
              <w:right w:val="single" w:sz="4" w:space="0" w:color="E97132"/>
            </w:tcBorders>
            <w:shd w:val="clear" w:color="auto" w:fill="E97132"/>
          </w:tcPr>
          <w:p w:rsidR="000B0DDC" w:rsidRPr="006C28BE" w:rsidRDefault="000B0DDC" w:rsidP="003D2275">
            <w:pPr>
              <w:spacing w:line="360" w:lineRule="auto"/>
              <w:rPr>
                <w:rFonts w:cs="Arial"/>
                <w:lang w:val="en-GB"/>
              </w:rPr>
            </w:pPr>
            <w:r w:rsidRPr="006C28BE">
              <w:rPr>
                <w:rFonts w:cs="Arial"/>
                <w:lang w:val="en-GB"/>
              </w:rPr>
              <w:t>Inclusion</w:t>
            </w:r>
          </w:p>
        </w:tc>
        <w:tc>
          <w:tcPr>
            <w:tcW w:w="0" w:type="auto"/>
            <w:tcBorders>
              <w:top w:val="single" w:sz="4" w:space="0" w:color="E97132"/>
              <w:left w:val="single" w:sz="4" w:space="0" w:color="E97132"/>
              <w:bottom w:val="single" w:sz="4" w:space="0" w:color="E97132"/>
              <w:right w:val="single" w:sz="4" w:space="0" w:color="E97132"/>
            </w:tcBorders>
            <w:shd w:val="clear" w:color="auto" w:fill="E97132"/>
          </w:tcPr>
          <w:p w:rsidR="000B0DDC" w:rsidRPr="006C28BE" w:rsidRDefault="000B0DDC" w:rsidP="003D2275">
            <w:pPr>
              <w:spacing w:line="360" w:lineRule="auto"/>
              <w:rPr>
                <w:rFonts w:cs="Arial"/>
                <w:lang w:val="en-GB"/>
              </w:rPr>
            </w:pPr>
            <w:r w:rsidRPr="006C28BE">
              <w:rPr>
                <w:rFonts w:cs="Arial"/>
                <w:lang w:val="en-GB"/>
              </w:rPr>
              <w:t>Exclusion</w:t>
            </w:r>
          </w:p>
        </w:tc>
      </w:tr>
      <w:tr w:rsidR="000B0DDC" w:rsidRPr="006C28BE" w:rsidTr="003D2275">
        <w:trPr>
          <w:trHeight w:val="639"/>
        </w:trPr>
        <w:tc>
          <w:tcPr>
            <w:tcW w:w="0" w:type="auto"/>
            <w:shd w:val="clear" w:color="auto" w:fill="FAE2D5"/>
          </w:tcPr>
          <w:p w:rsidR="000B0DDC" w:rsidRPr="006C28BE" w:rsidRDefault="000B0DDC" w:rsidP="003D2275">
            <w:pPr>
              <w:spacing w:line="360" w:lineRule="auto"/>
              <w:rPr>
                <w:rFonts w:cs="Arial"/>
                <w:lang w:val="en-GB"/>
              </w:rPr>
            </w:pPr>
            <w:r w:rsidRPr="006C28BE">
              <w:rPr>
                <w:rFonts w:cs="Arial"/>
                <w:lang w:val="en-GB"/>
              </w:rPr>
              <w:t>Geographical Focus</w:t>
            </w:r>
          </w:p>
        </w:tc>
        <w:tc>
          <w:tcPr>
            <w:tcW w:w="0" w:type="auto"/>
            <w:shd w:val="clear" w:color="auto" w:fill="FAE2D5"/>
          </w:tcPr>
          <w:p w:rsidR="000B0DDC" w:rsidRPr="006C28BE" w:rsidRDefault="000B0DDC" w:rsidP="003D2275">
            <w:pPr>
              <w:spacing w:line="360" w:lineRule="auto"/>
              <w:rPr>
                <w:rFonts w:cs="Arial"/>
                <w:lang w:val="en-GB"/>
              </w:rPr>
            </w:pPr>
            <w:r w:rsidRPr="006C28BE">
              <w:rPr>
                <w:rFonts w:cs="Arial"/>
                <w:lang w:val="en-GB"/>
              </w:rPr>
              <w:t>Studies focused on the UK or providing relevant comparative insights.</w:t>
            </w:r>
          </w:p>
        </w:tc>
        <w:tc>
          <w:tcPr>
            <w:tcW w:w="0" w:type="auto"/>
            <w:shd w:val="clear" w:color="auto" w:fill="FAE2D5"/>
          </w:tcPr>
          <w:p w:rsidR="000B0DDC" w:rsidRPr="006C28BE" w:rsidRDefault="000B0DDC" w:rsidP="003D2275">
            <w:pPr>
              <w:spacing w:line="360" w:lineRule="auto"/>
              <w:rPr>
                <w:rFonts w:cs="Arial"/>
                <w:lang w:val="en-GB"/>
              </w:rPr>
            </w:pPr>
            <w:r w:rsidRPr="006C28BE">
              <w:rPr>
                <w:rFonts w:cs="Arial"/>
                <w:lang w:val="en-GB"/>
              </w:rPr>
              <w:t>Studies with a focus outside the UK without relevant comparisons.</w:t>
            </w:r>
          </w:p>
        </w:tc>
      </w:tr>
      <w:tr w:rsidR="000B0DDC" w:rsidRPr="006C28BE" w:rsidTr="003D2275">
        <w:trPr>
          <w:trHeight w:val="639"/>
        </w:trPr>
        <w:tc>
          <w:tcPr>
            <w:tcW w:w="0" w:type="auto"/>
          </w:tcPr>
          <w:p w:rsidR="000B0DDC" w:rsidRPr="006C28BE" w:rsidRDefault="000B0DDC" w:rsidP="003D2275">
            <w:pPr>
              <w:spacing w:line="360" w:lineRule="auto"/>
              <w:rPr>
                <w:rFonts w:cs="Arial"/>
                <w:lang w:val="en-GB"/>
              </w:rPr>
            </w:pPr>
            <w:r w:rsidRPr="006C28BE">
              <w:rPr>
                <w:rFonts w:cs="Arial"/>
                <w:lang w:val="en-GB"/>
              </w:rPr>
              <w:t>Publication Date</w:t>
            </w:r>
          </w:p>
        </w:tc>
        <w:tc>
          <w:tcPr>
            <w:tcW w:w="0" w:type="auto"/>
          </w:tcPr>
          <w:p w:rsidR="000B0DDC" w:rsidRPr="006C28BE" w:rsidRDefault="000B0DDC" w:rsidP="003D2275">
            <w:pPr>
              <w:spacing w:line="360" w:lineRule="auto"/>
              <w:rPr>
                <w:rFonts w:cs="Arial"/>
                <w:lang w:val="en-GB"/>
              </w:rPr>
            </w:pPr>
            <w:r w:rsidRPr="006C28BE">
              <w:rPr>
                <w:rFonts w:cs="Arial"/>
                <w:lang w:val="en-GB"/>
              </w:rPr>
              <w:t>Research published from 2000 onwards to ensure contemporary relevance.</w:t>
            </w:r>
          </w:p>
        </w:tc>
        <w:tc>
          <w:tcPr>
            <w:tcW w:w="0" w:type="auto"/>
          </w:tcPr>
          <w:p w:rsidR="000B0DDC" w:rsidRPr="006C28BE" w:rsidRDefault="000B0DDC" w:rsidP="003D2275">
            <w:pPr>
              <w:spacing w:line="360" w:lineRule="auto"/>
              <w:rPr>
                <w:rFonts w:cs="Arial"/>
                <w:lang w:val="en-GB"/>
              </w:rPr>
            </w:pPr>
            <w:r w:rsidRPr="006C28BE">
              <w:rPr>
                <w:rFonts w:cs="Arial"/>
                <w:lang w:val="en-GB"/>
              </w:rPr>
              <w:t>Studies published before 2000.</w:t>
            </w:r>
          </w:p>
        </w:tc>
      </w:tr>
      <w:tr w:rsidR="000B0DDC" w:rsidRPr="006C28BE" w:rsidTr="003D2275">
        <w:trPr>
          <w:trHeight w:val="613"/>
        </w:trPr>
        <w:tc>
          <w:tcPr>
            <w:tcW w:w="0" w:type="auto"/>
            <w:shd w:val="clear" w:color="auto" w:fill="FAE2D5"/>
          </w:tcPr>
          <w:p w:rsidR="000B0DDC" w:rsidRPr="006C28BE" w:rsidRDefault="000B0DDC" w:rsidP="003D2275">
            <w:pPr>
              <w:spacing w:line="360" w:lineRule="auto"/>
              <w:rPr>
                <w:rFonts w:cs="Arial"/>
                <w:lang w:val="en-GB"/>
              </w:rPr>
            </w:pPr>
            <w:r w:rsidRPr="006C28BE">
              <w:rPr>
                <w:rFonts w:cs="Arial"/>
                <w:lang w:val="en-GB"/>
              </w:rPr>
              <w:t>Subject Matter</w:t>
            </w:r>
          </w:p>
        </w:tc>
        <w:tc>
          <w:tcPr>
            <w:tcW w:w="0" w:type="auto"/>
            <w:shd w:val="clear" w:color="auto" w:fill="FAE2D5"/>
          </w:tcPr>
          <w:p w:rsidR="000B0DDC" w:rsidRPr="006C28BE" w:rsidRDefault="000B0DDC" w:rsidP="003D2275">
            <w:pPr>
              <w:spacing w:line="360" w:lineRule="auto"/>
              <w:rPr>
                <w:rFonts w:cs="Arial"/>
                <w:lang w:val="en-GB"/>
              </w:rPr>
            </w:pPr>
            <w:r w:rsidRPr="006C28BE">
              <w:rPr>
                <w:rFonts w:cs="Arial"/>
                <w:lang w:val="en-GB"/>
              </w:rPr>
              <w:t>Articles discussing economic and social impacts of dual-income households.</w:t>
            </w:r>
          </w:p>
        </w:tc>
        <w:tc>
          <w:tcPr>
            <w:tcW w:w="0" w:type="auto"/>
            <w:shd w:val="clear" w:color="auto" w:fill="FAE2D5"/>
          </w:tcPr>
          <w:p w:rsidR="000B0DDC" w:rsidRPr="006C28BE" w:rsidRDefault="000B0DDC" w:rsidP="003D2275">
            <w:pPr>
              <w:spacing w:line="360" w:lineRule="auto"/>
              <w:rPr>
                <w:rFonts w:cs="Arial"/>
                <w:lang w:val="en-GB"/>
              </w:rPr>
            </w:pPr>
            <w:r w:rsidRPr="006C28BE">
              <w:rPr>
                <w:rFonts w:cs="Arial"/>
                <w:lang w:val="en-GB"/>
              </w:rPr>
              <w:t>Research not directly related to dual-income households.</w:t>
            </w:r>
          </w:p>
        </w:tc>
      </w:tr>
      <w:tr w:rsidR="000B0DDC" w:rsidRPr="006C28BE" w:rsidTr="003D2275">
        <w:trPr>
          <w:trHeight w:val="626"/>
        </w:trPr>
        <w:tc>
          <w:tcPr>
            <w:tcW w:w="0" w:type="auto"/>
          </w:tcPr>
          <w:p w:rsidR="000B0DDC" w:rsidRPr="006C28BE" w:rsidRDefault="000B0DDC" w:rsidP="003D2275">
            <w:pPr>
              <w:spacing w:line="360" w:lineRule="auto"/>
              <w:rPr>
                <w:rFonts w:cs="Arial"/>
                <w:lang w:val="en-GB"/>
              </w:rPr>
            </w:pPr>
            <w:r w:rsidRPr="006C28BE">
              <w:rPr>
                <w:rFonts w:cs="Arial"/>
                <w:lang w:val="en-GB"/>
              </w:rPr>
              <w:t>Study Design</w:t>
            </w:r>
          </w:p>
        </w:tc>
        <w:tc>
          <w:tcPr>
            <w:tcW w:w="0" w:type="auto"/>
          </w:tcPr>
          <w:p w:rsidR="000B0DDC" w:rsidRPr="006C28BE" w:rsidRDefault="000B0DDC" w:rsidP="003D2275">
            <w:pPr>
              <w:spacing w:line="360" w:lineRule="auto"/>
              <w:rPr>
                <w:rFonts w:cs="Arial"/>
                <w:lang w:val="en-GB"/>
              </w:rPr>
            </w:pPr>
            <w:r w:rsidRPr="006C28BE">
              <w:rPr>
                <w:rFonts w:cs="Arial"/>
                <w:lang w:val="en-GB"/>
              </w:rPr>
              <w:t>Both qualitative and quantitative studies that offer in-depth analysis.</w:t>
            </w:r>
          </w:p>
        </w:tc>
        <w:tc>
          <w:tcPr>
            <w:tcW w:w="0" w:type="auto"/>
          </w:tcPr>
          <w:p w:rsidR="000B0DDC" w:rsidRPr="006C28BE" w:rsidRDefault="000B0DDC" w:rsidP="003D2275">
            <w:pPr>
              <w:spacing w:line="360" w:lineRule="auto"/>
              <w:rPr>
                <w:rFonts w:cs="Arial"/>
                <w:lang w:val="en-GB"/>
              </w:rPr>
            </w:pPr>
            <w:r w:rsidRPr="006C28BE">
              <w:rPr>
                <w:rFonts w:cs="Arial"/>
                <w:lang w:val="en-GB"/>
              </w:rPr>
              <w:t>Studies lacking empirical evidence or in-depth analysis.</w:t>
            </w:r>
          </w:p>
        </w:tc>
      </w:tr>
      <w:tr w:rsidR="000B0DDC" w:rsidRPr="006C28BE" w:rsidTr="003D2275">
        <w:trPr>
          <w:trHeight w:val="319"/>
        </w:trPr>
        <w:tc>
          <w:tcPr>
            <w:tcW w:w="0" w:type="auto"/>
            <w:shd w:val="clear" w:color="auto" w:fill="FAE2D5"/>
          </w:tcPr>
          <w:p w:rsidR="000B0DDC" w:rsidRPr="006C28BE" w:rsidRDefault="000B0DDC" w:rsidP="003D2275">
            <w:pPr>
              <w:spacing w:line="360" w:lineRule="auto"/>
              <w:rPr>
                <w:rFonts w:cs="Arial"/>
                <w:lang w:val="en-GB"/>
              </w:rPr>
            </w:pPr>
            <w:r w:rsidRPr="006C28BE">
              <w:rPr>
                <w:rFonts w:cs="Arial"/>
                <w:lang w:val="en-GB"/>
              </w:rPr>
              <w:t>Language</w:t>
            </w:r>
          </w:p>
        </w:tc>
        <w:tc>
          <w:tcPr>
            <w:tcW w:w="0" w:type="auto"/>
            <w:shd w:val="clear" w:color="auto" w:fill="FAE2D5"/>
          </w:tcPr>
          <w:p w:rsidR="000B0DDC" w:rsidRPr="006C28BE" w:rsidRDefault="000B0DDC" w:rsidP="003D2275">
            <w:pPr>
              <w:spacing w:line="360" w:lineRule="auto"/>
              <w:rPr>
                <w:rFonts w:cs="Arial"/>
                <w:lang w:val="en-GB"/>
              </w:rPr>
            </w:pPr>
            <w:r w:rsidRPr="006C28BE">
              <w:rPr>
                <w:rFonts w:cs="Arial"/>
                <w:lang w:val="en-GB"/>
              </w:rPr>
              <w:t>Studies published in English.</w:t>
            </w:r>
          </w:p>
        </w:tc>
        <w:tc>
          <w:tcPr>
            <w:tcW w:w="0" w:type="auto"/>
            <w:shd w:val="clear" w:color="auto" w:fill="FAE2D5"/>
          </w:tcPr>
          <w:p w:rsidR="000B0DDC" w:rsidRPr="006C28BE" w:rsidRDefault="000B0DDC" w:rsidP="003D2275">
            <w:pPr>
              <w:spacing w:line="360" w:lineRule="auto"/>
              <w:rPr>
                <w:rFonts w:cs="Arial"/>
                <w:lang w:val="en-GB"/>
              </w:rPr>
            </w:pPr>
            <w:r w:rsidRPr="006C28BE">
              <w:rPr>
                <w:rFonts w:cs="Arial"/>
                <w:lang w:val="en-GB"/>
              </w:rPr>
              <w:t>Non-English publications.</w:t>
            </w:r>
          </w:p>
        </w:tc>
      </w:tr>
    </w:tbl>
    <w:p w:rsidR="000B0DDC" w:rsidRPr="006C28BE" w:rsidRDefault="000B0DDC" w:rsidP="000B0DDC">
      <w:pPr>
        <w:spacing w:line="360" w:lineRule="auto"/>
        <w:rPr>
          <w:rFonts w:cs="Arial"/>
          <w:lang w:val="en-GB"/>
        </w:rPr>
      </w:pPr>
    </w:p>
    <w:p w:rsidR="000B0DDC" w:rsidRPr="006C28BE" w:rsidRDefault="000B0DDC" w:rsidP="000B0DDC">
      <w:pPr>
        <w:keepNext/>
        <w:spacing w:line="360" w:lineRule="auto"/>
        <w:jc w:val="center"/>
        <w:rPr>
          <w:rFonts w:cs="Arial"/>
          <w:lang w:val="en-GB"/>
        </w:rPr>
      </w:pPr>
      <w:r w:rsidRPr="006C28BE">
        <w:rPr>
          <w:rFonts w:cs="Arial"/>
          <w:noProof/>
          <w:lang w:val="en-IN" w:eastAsia="en-IN"/>
        </w:rPr>
        <w:drawing>
          <wp:inline distT="0" distB="0" distL="0" distR="0" wp14:anchorId="66A872A6" wp14:editId="67434AF4">
            <wp:extent cx="4423784" cy="514889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0" cstate="print">
                      <a:extLst>
                        <a:ext uri="{28A0092B-C50C-407E-A947-70E740481C1C}">
                          <a14:useLocalDpi xmlns:a14="http://schemas.microsoft.com/office/drawing/2010/main" val="0"/>
                        </a:ext>
                      </a:extLst>
                    </a:blip>
                    <a:srcRect l="5782" t="24348" r="18129" b="13073"/>
                    <a:stretch/>
                  </pic:blipFill>
                  <pic:spPr bwMode="auto">
                    <a:xfrm>
                      <a:off x="0" y="0"/>
                      <a:ext cx="4424793" cy="5150066"/>
                    </a:xfrm>
                    <a:prstGeom prst="rect">
                      <a:avLst/>
                    </a:prstGeom>
                    <a:ln>
                      <a:noFill/>
                    </a:ln>
                    <a:extLst>
                      <a:ext uri="{53640926-AAD7-44D8-BBD7-CCE9431645EC}">
                        <a14:shadowObscured xmlns:a14="http://schemas.microsoft.com/office/drawing/2010/main"/>
                      </a:ext>
                    </a:extLst>
                  </pic:spPr>
                </pic:pic>
              </a:graphicData>
            </a:graphic>
          </wp:inline>
        </w:drawing>
      </w:r>
    </w:p>
    <w:p w:rsidR="000B0DDC" w:rsidRDefault="000B0DDC" w:rsidP="000B0DDC">
      <w:pPr>
        <w:pStyle w:val="Heading7"/>
        <w:rPr>
          <w:lang w:val="en-GB"/>
        </w:rPr>
      </w:pPr>
      <w:bookmarkStart w:id="57" w:name="_Toc165651592"/>
      <w:bookmarkStart w:id="58" w:name="_Toc166368666"/>
      <w:r w:rsidRPr="006C28BE">
        <w:rPr>
          <w:lang w:val="en-GB"/>
        </w:rPr>
        <w:t xml:space="preserve">Figure </w:t>
      </w:r>
      <w:r w:rsidRPr="006C28BE">
        <w:rPr>
          <w:lang w:val="en-GB"/>
        </w:rPr>
        <w:fldChar w:fldCharType="begin"/>
      </w:r>
      <w:r w:rsidRPr="006C28BE">
        <w:rPr>
          <w:lang w:val="en-GB"/>
        </w:rPr>
        <w:instrText xml:space="preserve"> SEQ Figure \* ARABIC </w:instrText>
      </w:r>
      <w:r w:rsidRPr="006C28BE">
        <w:rPr>
          <w:lang w:val="en-GB"/>
        </w:rPr>
        <w:fldChar w:fldCharType="separate"/>
      </w:r>
      <w:r w:rsidRPr="006C28BE">
        <w:rPr>
          <w:noProof/>
          <w:lang w:val="en-GB"/>
        </w:rPr>
        <w:t>3</w:t>
      </w:r>
      <w:r w:rsidRPr="006C28BE">
        <w:rPr>
          <w:lang w:val="en-GB"/>
        </w:rPr>
        <w:fldChar w:fldCharType="end"/>
      </w:r>
      <w:r>
        <w:rPr>
          <w:lang w:val="en-GB"/>
        </w:rPr>
        <w:t>:</w:t>
      </w:r>
      <w:r w:rsidRPr="006C28BE">
        <w:rPr>
          <w:lang w:val="en-GB"/>
        </w:rPr>
        <w:t xml:space="preserve"> Applied Methodology</w:t>
      </w:r>
      <w:bookmarkEnd w:id="57"/>
      <w:bookmarkEnd w:id="58"/>
    </w:p>
    <w:p w:rsidR="000B0DDC" w:rsidRDefault="000B0DDC" w:rsidP="000B0DDC">
      <w:pPr>
        <w:jc w:val="center"/>
        <w:rPr>
          <w:lang w:val="en-GB"/>
        </w:rPr>
      </w:pPr>
      <w:r>
        <w:rPr>
          <w:lang w:val="en-GB"/>
        </w:rPr>
        <w:t>(self - Created)</w:t>
      </w:r>
    </w:p>
    <w:p w:rsidR="000B0DDC" w:rsidRDefault="000B0DDC" w:rsidP="000B0DDC">
      <w:pPr>
        <w:jc w:val="center"/>
        <w:rPr>
          <w:lang w:val="en-GB"/>
        </w:rPr>
      </w:pPr>
    </w:p>
    <w:p w:rsidR="000B0DDC" w:rsidRDefault="000B0DDC" w:rsidP="000B0DDC">
      <w:pPr>
        <w:jc w:val="center"/>
        <w:rPr>
          <w:lang w:val="en-GB"/>
        </w:rPr>
      </w:pPr>
    </w:p>
    <w:p w:rsidR="000B0DDC" w:rsidRDefault="000B0DDC" w:rsidP="000B0DDC">
      <w:pPr>
        <w:jc w:val="center"/>
        <w:rPr>
          <w:lang w:val="en-GB"/>
        </w:rPr>
      </w:pPr>
    </w:p>
    <w:p w:rsidR="000B0DDC" w:rsidRDefault="000B0DDC" w:rsidP="000B0DDC">
      <w:pPr>
        <w:jc w:val="center"/>
        <w:rPr>
          <w:lang w:val="en-GB"/>
        </w:rPr>
      </w:pPr>
    </w:p>
    <w:p w:rsidR="000B0DDC" w:rsidRDefault="000B0DDC" w:rsidP="000B0DDC">
      <w:pPr>
        <w:jc w:val="center"/>
        <w:rPr>
          <w:lang w:val="en-GB"/>
        </w:rPr>
      </w:pPr>
    </w:p>
    <w:p w:rsidR="000B0DDC" w:rsidRDefault="000B0DDC" w:rsidP="000B0DDC">
      <w:pPr>
        <w:jc w:val="center"/>
        <w:rPr>
          <w:lang w:val="en-GB"/>
        </w:rPr>
      </w:pPr>
    </w:p>
    <w:p w:rsidR="000B0DDC" w:rsidRDefault="000B0DDC" w:rsidP="000B0DDC">
      <w:pPr>
        <w:jc w:val="center"/>
        <w:rPr>
          <w:lang w:val="en-GB"/>
        </w:rPr>
      </w:pPr>
    </w:p>
    <w:p w:rsidR="000B0DDC" w:rsidRPr="00DC621D" w:rsidRDefault="000B0DDC" w:rsidP="000B0DDC">
      <w:pPr>
        <w:jc w:val="center"/>
        <w:rPr>
          <w:lang w:val="en-GB"/>
        </w:rPr>
      </w:pPr>
    </w:p>
    <w:p w:rsidR="000B0DDC" w:rsidRPr="003B140F" w:rsidRDefault="000B0DDC" w:rsidP="000B0DDC">
      <w:pPr>
        <w:pStyle w:val="ListParagraph"/>
        <w:numPr>
          <w:ilvl w:val="1"/>
          <w:numId w:val="21"/>
        </w:numPr>
        <w:rPr>
          <w:b/>
          <w:bCs/>
          <w:sz w:val="28"/>
          <w:szCs w:val="28"/>
          <w:lang w:val="en-GB"/>
        </w:rPr>
      </w:pPr>
      <w:bookmarkStart w:id="59" w:name="_Toc166368635"/>
      <w:r w:rsidRPr="003B140F">
        <w:rPr>
          <w:b/>
          <w:sz w:val="28"/>
          <w:szCs w:val="28"/>
          <w:lang w:val="en-GB"/>
        </w:rPr>
        <w:lastRenderedPageBreak/>
        <w:t>Data Analysis</w:t>
      </w:r>
      <w:bookmarkEnd w:id="56"/>
      <w:bookmarkEnd w:id="59"/>
      <w:r w:rsidRPr="003B140F">
        <w:rPr>
          <w:b/>
          <w:sz w:val="28"/>
          <w:szCs w:val="28"/>
          <w:lang w:val="en-GB"/>
        </w:rPr>
        <w:tab/>
      </w:r>
    </w:p>
    <w:p w:rsidR="000B0DDC" w:rsidRPr="006C28BE" w:rsidRDefault="000B0DDC" w:rsidP="000B0DDC">
      <w:pPr>
        <w:spacing w:line="360" w:lineRule="auto"/>
        <w:jc w:val="both"/>
        <w:rPr>
          <w:rFonts w:cs="Arial"/>
          <w:b/>
          <w:bCs/>
          <w:color w:val="000000"/>
          <w:lang w:val="en-GB"/>
        </w:rPr>
      </w:pPr>
      <w:r w:rsidRPr="006C28BE">
        <w:rPr>
          <w:rFonts w:cs="Arial"/>
          <w:color w:val="000000"/>
          <w:lang w:val="en-GB"/>
        </w:rPr>
        <w:t>Thematic analysis will be the primary technique that I will apply to the secondary data collected from the many sources such as journal articles, government reports and policy documents to put together my dissertation on the Double Paycheck Revolution in the UK. This approach is ideal for research due to its exploratory nature as well as the inductive approach that it entails. These unique features facilitate the understanding of complex data and, consequently, the provision of appropriate interpretations. By using thematic analysis, the data will be scrutinized repeatedly for the patterns and repetitions of ideas that will be classified and organized into themes, which will reflect the socio-economic implications of dual-income households. These themes will address the goals and questions directly making it possible to focus on economic stability, work-life balance and other issues that relate to the influence of policy measures on couples with two incomes (Johnston, 2014).</w:t>
      </w:r>
    </w:p>
    <w:p w:rsidR="000B0DDC" w:rsidRPr="00895210" w:rsidRDefault="000B0DDC" w:rsidP="000B0DDC">
      <w:pPr>
        <w:spacing w:line="360" w:lineRule="auto"/>
        <w:jc w:val="both"/>
        <w:rPr>
          <w:rFonts w:cs="Arial"/>
          <w:color w:val="000000"/>
          <w:lang w:val="en-GB"/>
        </w:rPr>
      </w:pPr>
      <w:r w:rsidRPr="006C28BE">
        <w:rPr>
          <w:rFonts w:cs="Arial"/>
          <w:color w:val="000000"/>
          <w:lang w:val="en-GB"/>
        </w:rPr>
        <w:t>To this end, the themes uncovered will be interpreted considering the existing literature, not only placing emphasis on the perceived originality of the study but also on its situatedness within the larger academic environment. In this approach, the study results are well rooted in empirical studies and offer new connections or alternative perspectives to the phenomenon analysed. Thematic analysis, in this instance, will lead to a holistic comprehension of the multiple dimensions of the Revolt of the Double Paycheck and will determine the sufficiency of current institutional structures and will make valuable contributions to the issue of double-income households in the UK. With this methodological approach therefore, we can be sure that we will achieve the primary objectives of the study and that the results will significantly advance the understanding of the socio-economic dynamics that are at play within the UK dual-earner families (Johnston, 2014).</w:t>
      </w:r>
    </w:p>
    <w:p w:rsidR="000B0DDC" w:rsidRPr="007A3EF0" w:rsidRDefault="000B0DDC" w:rsidP="000B0DDC">
      <w:pPr>
        <w:pStyle w:val="ListParagraph"/>
        <w:numPr>
          <w:ilvl w:val="1"/>
          <w:numId w:val="21"/>
        </w:numPr>
        <w:rPr>
          <w:b/>
          <w:bCs/>
          <w:sz w:val="28"/>
          <w:szCs w:val="28"/>
          <w:lang w:val="en-GB"/>
        </w:rPr>
      </w:pPr>
      <w:bookmarkStart w:id="60" w:name="_Toc162809013"/>
      <w:bookmarkStart w:id="61" w:name="_Toc166368636"/>
      <w:r w:rsidRPr="007A3EF0">
        <w:rPr>
          <w:b/>
          <w:sz w:val="28"/>
          <w:szCs w:val="28"/>
          <w:lang w:val="en-GB"/>
        </w:rPr>
        <w:t>Ethical Considerations</w:t>
      </w:r>
      <w:bookmarkEnd w:id="60"/>
      <w:bookmarkEnd w:id="61"/>
    </w:p>
    <w:p w:rsidR="000B0DDC" w:rsidRPr="00895210" w:rsidRDefault="000B0DDC" w:rsidP="000B0DDC">
      <w:pPr>
        <w:spacing w:line="360" w:lineRule="auto"/>
        <w:jc w:val="both"/>
        <w:rPr>
          <w:rFonts w:cs="Arial"/>
          <w:color w:val="000000"/>
          <w:lang w:val="en-GB"/>
        </w:rPr>
      </w:pPr>
      <w:r w:rsidRPr="006C28BE">
        <w:rPr>
          <w:rFonts w:cs="Arial"/>
          <w:color w:val="000000"/>
          <w:lang w:val="en-GB"/>
        </w:rPr>
        <w:t xml:space="preserve">Ethical issues regarding secondary data analysis, mainly consent and confidentiality, are less of a concern for this dissertation on the Double Paycheck Revolution in the UK. Nevertheless, ethical care will always have to be applied especially when dealing with the primary data, for example the studies which involve primary human subjects, which must have informed consent and be conducted in accordance with the ethical standards. Moreover, special attention will be given to ensure the protection of individual identity and </w:t>
      </w:r>
      <w:r w:rsidRPr="006C28BE">
        <w:rPr>
          <w:rFonts w:cs="Arial"/>
          <w:color w:val="000000"/>
          <w:lang w:val="en-GB"/>
        </w:rPr>
        <w:lastRenderedPageBreak/>
        <w:t>anonymity within data sets. Data protection will be given through the fulfilling of the legal requirements like the General Data Protection Regulation (GDPR), by storing and handling all the information securely. Ethical standards will also be reflected in the manner of properly and truthfully citing all sources and maintaining academic integrity, while at the same time, respecting intellectual property rights (Bloomberg, 2022).</w:t>
      </w:r>
    </w:p>
    <w:p w:rsidR="000B0DDC" w:rsidRPr="008372A5" w:rsidRDefault="000B0DDC" w:rsidP="000B0DDC">
      <w:pPr>
        <w:pStyle w:val="ListParagraph"/>
        <w:numPr>
          <w:ilvl w:val="1"/>
          <w:numId w:val="21"/>
        </w:numPr>
        <w:rPr>
          <w:b/>
          <w:bCs/>
          <w:sz w:val="28"/>
          <w:szCs w:val="28"/>
          <w:lang w:val="en-GB"/>
        </w:rPr>
      </w:pPr>
      <w:bookmarkStart w:id="62" w:name="_Toc162809014"/>
      <w:bookmarkStart w:id="63" w:name="_Toc166368637"/>
      <w:r w:rsidRPr="008372A5">
        <w:rPr>
          <w:b/>
          <w:sz w:val="28"/>
          <w:szCs w:val="28"/>
          <w:lang w:val="en-GB"/>
        </w:rPr>
        <w:t>Research Limitations</w:t>
      </w:r>
      <w:bookmarkEnd w:id="62"/>
      <w:bookmarkEnd w:id="63"/>
    </w:p>
    <w:p w:rsidR="000B0DDC" w:rsidRPr="006C28BE" w:rsidRDefault="000B0DDC" w:rsidP="000B0DDC">
      <w:pPr>
        <w:spacing w:line="360" w:lineRule="auto"/>
        <w:jc w:val="both"/>
        <w:rPr>
          <w:rFonts w:cs="Arial"/>
          <w:b/>
          <w:bCs/>
          <w:color w:val="000000"/>
          <w:lang w:val="en-GB"/>
        </w:rPr>
      </w:pPr>
      <w:r w:rsidRPr="006C28BE">
        <w:rPr>
          <w:rFonts w:cs="Arial"/>
          <w:color w:val="000000"/>
          <w:lang w:val="en-GB"/>
        </w:rPr>
        <w:t>In respect to research limitations, the fundamentally being based on only secondary data may result in the introduction of factors such as the presence of bias in the methods of the original data collection and the limited scope or geographical focus in the studies that are reviewed. Such factors could influence the completeness and universality of the results as they relate to the population of the UK. The humanization of the given sentence involves the rearrangement of words to improve the flow and clarity of the sentence. In order to overcome these issues, the study will apply a critical and exhaustive approach to the selection of literature, that will include many different sources that are wide-ranging and representative. In addition, this research will have a reflective and transparent approach on the role of interpretation in the analysis and the possible impact of the researcher himself on the results, aiming to maintain an objective and professional manner in the synthesis and interpretation of the findings (Bloomberg et al ,2022).</w:t>
      </w:r>
      <w:bookmarkStart w:id="64" w:name="_Toc162809015"/>
    </w:p>
    <w:p w:rsidR="000B0DDC" w:rsidRPr="00D701FF" w:rsidRDefault="000B0DDC" w:rsidP="000B0DDC">
      <w:pPr>
        <w:pStyle w:val="ListParagraph"/>
        <w:numPr>
          <w:ilvl w:val="1"/>
          <w:numId w:val="21"/>
        </w:numPr>
        <w:ind w:left="720" w:hanging="720"/>
        <w:rPr>
          <w:b/>
          <w:sz w:val="28"/>
          <w:szCs w:val="28"/>
          <w:lang w:val="en-GB"/>
        </w:rPr>
      </w:pPr>
      <w:bookmarkStart w:id="65" w:name="_Toc166368638"/>
      <w:bookmarkEnd w:id="64"/>
      <w:r w:rsidRPr="00D701FF">
        <w:rPr>
          <w:b/>
          <w:sz w:val="28"/>
          <w:szCs w:val="28"/>
          <w:lang w:val="en-GB"/>
        </w:rPr>
        <w:t>Conclusion</w:t>
      </w:r>
      <w:bookmarkEnd w:id="65"/>
    </w:p>
    <w:p w:rsidR="000B0DDC" w:rsidRPr="006C28BE" w:rsidRDefault="000B0DDC" w:rsidP="000B0DDC">
      <w:pPr>
        <w:spacing w:line="360" w:lineRule="auto"/>
        <w:rPr>
          <w:rFonts w:cs="Arial"/>
          <w:lang w:val="en-GB"/>
        </w:rPr>
      </w:pPr>
    </w:p>
    <w:tbl>
      <w:tblPr>
        <w:tblStyle w:val="GridTable4-Accent2"/>
        <w:tblW w:w="9791" w:type="dxa"/>
        <w:tblLook w:val="04A0" w:firstRow="1" w:lastRow="0" w:firstColumn="1" w:lastColumn="0" w:noHBand="0" w:noVBand="1"/>
      </w:tblPr>
      <w:tblGrid>
        <w:gridCol w:w="1982"/>
        <w:gridCol w:w="7809"/>
      </w:tblGrid>
      <w:tr w:rsidR="000B0DDC" w:rsidRPr="006C28BE" w:rsidTr="003D2275">
        <w:trPr>
          <w:cnfStyle w:val="100000000000" w:firstRow="1" w:lastRow="0" w:firstColumn="0" w:lastColumn="0" w:oddVBand="0" w:evenVBand="0" w:oddHBand="0"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0" w:type="auto"/>
          </w:tcPr>
          <w:p w:rsidR="000B0DDC" w:rsidRPr="006C28BE" w:rsidRDefault="000B0DDC" w:rsidP="003D2275">
            <w:pPr>
              <w:spacing w:line="360" w:lineRule="auto"/>
              <w:jc w:val="both"/>
              <w:rPr>
                <w:rFonts w:cs="Arial"/>
                <w:color w:val="000000"/>
                <w:lang w:val="en-GB"/>
              </w:rPr>
            </w:pPr>
            <w:r w:rsidRPr="006C28BE">
              <w:rPr>
                <w:rFonts w:cs="Arial"/>
                <w:color w:val="000000"/>
                <w:lang w:val="en-GB"/>
              </w:rPr>
              <w:t>Section</w:t>
            </w:r>
          </w:p>
        </w:tc>
        <w:tc>
          <w:tcPr>
            <w:tcW w:w="0" w:type="auto"/>
          </w:tcPr>
          <w:p w:rsidR="000B0DDC" w:rsidRPr="006C28BE" w:rsidRDefault="000B0DDC" w:rsidP="003D227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color w:val="000000"/>
                <w:lang w:val="en-GB"/>
              </w:rPr>
            </w:pPr>
            <w:r w:rsidRPr="006C28BE">
              <w:rPr>
                <w:rFonts w:cs="Arial"/>
                <w:color w:val="000000"/>
                <w:lang w:val="en-GB"/>
              </w:rPr>
              <w:t>Description</w:t>
            </w:r>
          </w:p>
        </w:tc>
      </w:tr>
      <w:tr w:rsidR="000B0DDC" w:rsidRPr="006C28BE" w:rsidTr="003D2275">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0" w:type="auto"/>
          </w:tcPr>
          <w:p w:rsidR="000B0DDC" w:rsidRPr="006C28BE" w:rsidRDefault="000B0DDC" w:rsidP="003D2275">
            <w:pPr>
              <w:spacing w:line="360" w:lineRule="auto"/>
              <w:jc w:val="both"/>
              <w:rPr>
                <w:rFonts w:cs="Arial"/>
                <w:color w:val="000000"/>
                <w:lang w:val="en-GB"/>
              </w:rPr>
            </w:pPr>
            <w:r w:rsidRPr="006C28BE">
              <w:rPr>
                <w:rFonts w:cs="Arial"/>
                <w:color w:val="000000"/>
                <w:lang w:val="en-GB"/>
              </w:rPr>
              <w:t>Introduction</w:t>
            </w:r>
          </w:p>
        </w:tc>
        <w:tc>
          <w:tcPr>
            <w:tcW w:w="0" w:type="auto"/>
          </w:tcPr>
          <w:p w:rsidR="000B0DDC" w:rsidRPr="006C28BE" w:rsidRDefault="000B0DDC" w:rsidP="003D227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b/>
                <w:bCs/>
                <w:color w:val="000000"/>
                <w:lang w:val="en-GB"/>
              </w:rPr>
            </w:pPr>
            <w:r w:rsidRPr="006C28BE">
              <w:rPr>
                <w:rFonts w:cs="Arial"/>
                <w:color w:val="000000"/>
                <w:lang w:val="en-GB"/>
              </w:rPr>
              <w:t>Introduces the chapter's purpose to explore the socio-economic effects of dual-income households in the UK with appropriate research methods.</w:t>
            </w:r>
          </w:p>
        </w:tc>
      </w:tr>
      <w:tr w:rsidR="000B0DDC" w:rsidRPr="006C28BE" w:rsidTr="003D2275">
        <w:trPr>
          <w:trHeight w:val="561"/>
        </w:trPr>
        <w:tc>
          <w:tcPr>
            <w:cnfStyle w:val="001000000000" w:firstRow="0" w:lastRow="0" w:firstColumn="1" w:lastColumn="0" w:oddVBand="0" w:evenVBand="0" w:oddHBand="0" w:evenHBand="0" w:firstRowFirstColumn="0" w:firstRowLastColumn="0" w:lastRowFirstColumn="0" w:lastRowLastColumn="0"/>
            <w:tcW w:w="0" w:type="auto"/>
          </w:tcPr>
          <w:p w:rsidR="000B0DDC" w:rsidRPr="006C28BE" w:rsidRDefault="000B0DDC" w:rsidP="003D2275">
            <w:pPr>
              <w:spacing w:line="360" w:lineRule="auto"/>
              <w:jc w:val="both"/>
              <w:rPr>
                <w:rFonts w:cs="Arial"/>
                <w:color w:val="000000"/>
                <w:lang w:val="en-GB"/>
              </w:rPr>
            </w:pPr>
            <w:r w:rsidRPr="006C28BE">
              <w:rPr>
                <w:rFonts w:cs="Arial"/>
                <w:color w:val="000000"/>
                <w:lang w:val="en-GB"/>
              </w:rPr>
              <w:t>Research Philosophy</w:t>
            </w:r>
          </w:p>
        </w:tc>
        <w:tc>
          <w:tcPr>
            <w:tcW w:w="0" w:type="auto"/>
          </w:tcPr>
          <w:p w:rsidR="000B0DDC" w:rsidRPr="006C28BE" w:rsidRDefault="000B0DDC" w:rsidP="003D227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b/>
                <w:bCs/>
                <w:color w:val="000000"/>
                <w:lang w:val="en-GB"/>
              </w:rPr>
            </w:pPr>
            <w:r w:rsidRPr="006C28BE">
              <w:rPr>
                <w:rFonts w:cs="Arial"/>
                <w:color w:val="000000"/>
                <w:lang w:val="en-GB"/>
              </w:rPr>
              <w:t>Adopts Interpretivism tailored for secondary data to deeply understand the complexities of dual-income households in the UK's social context.</w:t>
            </w:r>
          </w:p>
        </w:tc>
      </w:tr>
      <w:tr w:rsidR="000B0DDC" w:rsidRPr="006C28BE" w:rsidTr="003D2275">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tcPr>
          <w:p w:rsidR="000B0DDC" w:rsidRPr="006C28BE" w:rsidRDefault="000B0DDC" w:rsidP="003D2275">
            <w:pPr>
              <w:spacing w:line="360" w:lineRule="auto"/>
              <w:jc w:val="both"/>
              <w:rPr>
                <w:rFonts w:cs="Arial"/>
                <w:color w:val="000000"/>
                <w:lang w:val="en-GB"/>
              </w:rPr>
            </w:pPr>
            <w:r w:rsidRPr="006C28BE">
              <w:rPr>
                <w:rFonts w:cs="Arial"/>
                <w:color w:val="000000"/>
                <w:lang w:val="en-GB"/>
              </w:rPr>
              <w:t>Research Approach</w:t>
            </w:r>
          </w:p>
        </w:tc>
        <w:tc>
          <w:tcPr>
            <w:tcW w:w="0" w:type="auto"/>
          </w:tcPr>
          <w:p w:rsidR="000B0DDC" w:rsidRPr="006C28BE" w:rsidRDefault="000B0DDC" w:rsidP="003D227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b/>
                <w:bCs/>
                <w:color w:val="000000"/>
                <w:lang w:val="en-GB"/>
              </w:rPr>
            </w:pPr>
            <w:r w:rsidRPr="006C28BE">
              <w:rPr>
                <w:rFonts w:cs="Arial"/>
                <w:color w:val="000000"/>
                <w:lang w:val="en-GB"/>
              </w:rPr>
              <w:t>Employs an inductive approach to generate new insights from existing data, aligning with the study's exploratory nature and interpretivist philosophy.</w:t>
            </w:r>
          </w:p>
        </w:tc>
      </w:tr>
      <w:tr w:rsidR="000B0DDC" w:rsidRPr="006C28BE" w:rsidTr="003D2275">
        <w:trPr>
          <w:trHeight w:val="701"/>
        </w:trPr>
        <w:tc>
          <w:tcPr>
            <w:cnfStyle w:val="001000000000" w:firstRow="0" w:lastRow="0" w:firstColumn="1" w:lastColumn="0" w:oddVBand="0" w:evenVBand="0" w:oddHBand="0" w:evenHBand="0" w:firstRowFirstColumn="0" w:firstRowLastColumn="0" w:lastRowFirstColumn="0" w:lastRowLastColumn="0"/>
            <w:tcW w:w="0" w:type="auto"/>
          </w:tcPr>
          <w:p w:rsidR="000B0DDC" w:rsidRPr="006C28BE" w:rsidRDefault="000B0DDC" w:rsidP="003D2275">
            <w:pPr>
              <w:spacing w:line="360" w:lineRule="auto"/>
              <w:jc w:val="both"/>
              <w:rPr>
                <w:rFonts w:cs="Arial"/>
                <w:color w:val="000000"/>
                <w:lang w:val="en-GB"/>
              </w:rPr>
            </w:pPr>
            <w:r w:rsidRPr="006C28BE">
              <w:rPr>
                <w:rFonts w:cs="Arial"/>
                <w:color w:val="000000"/>
                <w:lang w:val="en-GB"/>
              </w:rPr>
              <w:lastRenderedPageBreak/>
              <w:t>Research Design</w:t>
            </w:r>
          </w:p>
        </w:tc>
        <w:tc>
          <w:tcPr>
            <w:tcW w:w="0" w:type="auto"/>
          </w:tcPr>
          <w:p w:rsidR="000B0DDC" w:rsidRPr="006C28BE" w:rsidRDefault="000B0DDC" w:rsidP="003D227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b/>
                <w:bCs/>
                <w:color w:val="000000"/>
                <w:lang w:val="en-GB"/>
              </w:rPr>
            </w:pPr>
            <w:r w:rsidRPr="006C28BE">
              <w:rPr>
                <w:rFonts w:cs="Arial"/>
                <w:color w:val="000000"/>
                <w:lang w:val="en-GB"/>
              </w:rPr>
              <w:t>Utilizes an exploratory design to probe the multifaceted economic and social aspects of dual-income households, given the topic's significance and existing knowledge gaps.</w:t>
            </w:r>
          </w:p>
        </w:tc>
      </w:tr>
      <w:tr w:rsidR="000B0DDC" w:rsidRPr="006C28BE" w:rsidTr="003D2275">
        <w:trPr>
          <w:cnfStyle w:val="000000100000" w:firstRow="0" w:lastRow="0" w:firstColumn="0" w:lastColumn="0" w:oddVBand="0" w:evenVBand="0" w:oddHBand="1" w:evenHBand="0" w:firstRowFirstColumn="0" w:firstRowLastColumn="0" w:lastRowFirstColumn="0" w:lastRowLastColumn="0"/>
          <w:trHeight w:val="905"/>
        </w:trPr>
        <w:tc>
          <w:tcPr>
            <w:cnfStyle w:val="001000000000" w:firstRow="0" w:lastRow="0" w:firstColumn="1" w:lastColumn="0" w:oddVBand="0" w:evenVBand="0" w:oddHBand="0" w:evenHBand="0" w:firstRowFirstColumn="0" w:firstRowLastColumn="0" w:lastRowFirstColumn="0" w:lastRowLastColumn="0"/>
            <w:tcW w:w="0" w:type="auto"/>
          </w:tcPr>
          <w:p w:rsidR="000B0DDC" w:rsidRPr="006C28BE" w:rsidRDefault="000B0DDC" w:rsidP="003D2275">
            <w:pPr>
              <w:spacing w:line="360" w:lineRule="auto"/>
              <w:jc w:val="both"/>
              <w:rPr>
                <w:rFonts w:cs="Arial"/>
                <w:color w:val="000000"/>
                <w:lang w:val="en-GB"/>
              </w:rPr>
            </w:pPr>
            <w:r w:rsidRPr="006C28BE">
              <w:rPr>
                <w:rFonts w:cs="Arial"/>
                <w:color w:val="000000"/>
                <w:lang w:val="en-GB"/>
              </w:rPr>
              <w:t>Research Strategy</w:t>
            </w:r>
          </w:p>
        </w:tc>
        <w:tc>
          <w:tcPr>
            <w:tcW w:w="0" w:type="auto"/>
          </w:tcPr>
          <w:p w:rsidR="000B0DDC" w:rsidRPr="006C28BE" w:rsidRDefault="000B0DDC" w:rsidP="003D227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b/>
                <w:bCs/>
                <w:color w:val="000000"/>
                <w:lang w:val="en-GB"/>
              </w:rPr>
            </w:pPr>
            <w:r w:rsidRPr="006C28BE">
              <w:rPr>
                <w:rFonts w:cs="Arial"/>
                <w:color w:val="000000"/>
                <w:lang w:val="en-GB"/>
              </w:rPr>
              <w:t>Implements a systematic literature review to comprehensively analyse secondary data on dual-income households, effectively addressing research aims and questions.</w:t>
            </w:r>
          </w:p>
        </w:tc>
      </w:tr>
      <w:tr w:rsidR="000B0DDC" w:rsidRPr="006C28BE" w:rsidTr="003D2275">
        <w:trPr>
          <w:trHeight w:val="833"/>
        </w:trPr>
        <w:tc>
          <w:tcPr>
            <w:cnfStyle w:val="001000000000" w:firstRow="0" w:lastRow="0" w:firstColumn="1" w:lastColumn="0" w:oddVBand="0" w:evenVBand="0" w:oddHBand="0" w:evenHBand="0" w:firstRowFirstColumn="0" w:firstRowLastColumn="0" w:lastRowFirstColumn="0" w:lastRowLastColumn="0"/>
            <w:tcW w:w="0" w:type="auto"/>
          </w:tcPr>
          <w:p w:rsidR="000B0DDC" w:rsidRPr="006C28BE" w:rsidRDefault="000B0DDC" w:rsidP="003D2275">
            <w:pPr>
              <w:spacing w:line="360" w:lineRule="auto"/>
              <w:jc w:val="both"/>
              <w:rPr>
                <w:rFonts w:cs="Arial"/>
                <w:color w:val="000000"/>
                <w:lang w:val="en-GB"/>
              </w:rPr>
            </w:pPr>
            <w:r w:rsidRPr="006C28BE">
              <w:rPr>
                <w:rFonts w:cs="Arial"/>
                <w:color w:val="000000"/>
                <w:lang w:val="en-GB"/>
              </w:rPr>
              <w:t>Data Collection</w:t>
            </w:r>
          </w:p>
        </w:tc>
        <w:tc>
          <w:tcPr>
            <w:tcW w:w="0" w:type="auto"/>
          </w:tcPr>
          <w:p w:rsidR="000B0DDC" w:rsidRPr="006C28BE" w:rsidRDefault="000B0DDC" w:rsidP="003D227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b/>
                <w:bCs/>
                <w:color w:val="000000"/>
                <w:lang w:val="en-GB"/>
              </w:rPr>
            </w:pPr>
            <w:r w:rsidRPr="006C28BE">
              <w:rPr>
                <w:rFonts w:cs="Arial"/>
                <w:color w:val="000000"/>
                <w:lang w:val="en-GB"/>
              </w:rPr>
              <w:t>Focuses on collecting secondary data from diverse sources like academic journals, government reports, and policy documents to ensure a multifaceted analysis.</w:t>
            </w:r>
          </w:p>
        </w:tc>
      </w:tr>
    </w:tbl>
    <w:p w:rsidR="000B0DDC" w:rsidRPr="006C28BE" w:rsidRDefault="000B0DDC" w:rsidP="000B0DDC">
      <w:pPr>
        <w:spacing w:line="360" w:lineRule="auto"/>
        <w:rPr>
          <w:rFonts w:cs="Arial"/>
          <w:b/>
          <w:color w:val="000000"/>
          <w:lang w:val="en-GB"/>
        </w:rPr>
      </w:pPr>
      <w:r w:rsidRPr="006C28BE">
        <w:rPr>
          <w:rFonts w:cs="Arial"/>
          <w:b/>
          <w:color w:val="000000"/>
          <w:lang w:val="en-GB"/>
        </w:rPr>
        <w:br w:type="page"/>
      </w:r>
    </w:p>
    <w:p w:rsidR="000B0DDC" w:rsidRDefault="000B0DDC" w:rsidP="000B0DDC">
      <w:pPr>
        <w:pStyle w:val="ListParagraph"/>
        <w:numPr>
          <w:ilvl w:val="0"/>
          <w:numId w:val="21"/>
        </w:numPr>
        <w:ind w:left="720" w:hanging="720"/>
        <w:rPr>
          <w:b/>
          <w:sz w:val="28"/>
          <w:szCs w:val="28"/>
        </w:rPr>
      </w:pPr>
      <w:bookmarkStart w:id="66" w:name="_Toc166368639"/>
      <w:r w:rsidRPr="00DE2460">
        <w:rPr>
          <w:b/>
          <w:sz w:val="28"/>
          <w:szCs w:val="28"/>
        </w:rPr>
        <w:lastRenderedPageBreak/>
        <w:t>Analysis</w:t>
      </w:r>
      <w:bookmarkEnd w:id="66"/>
      <w:r w:rsidRPr="00DE2460">
        <w:rPr>
          <w:b/>
          <w:sz w:val="28"/>
          <w:szCs w:val="28"/>
        </w:rPr>
        <w:t xml:space="preserve"> </w:t>
      </w:r>
    </w:p>
    <w:p w:rsidR="000B0DDC" w:rsidRPr="00DE2460" w:rsidRDefault="000B0DDC" w:rsidP="000B0DDC">
      <w:pPr>
        <w:pStyle w:val="ListParagraph"/>
        <w:ind w:left="384"/>
        <w:rPr>
          <w:b/>
          <w:sz w:val="28"/>
          <w:szCs w:val="28"/>
        </w:rPr>
      </w:pPr>
    </w:p>
    <w:p w:rsidR="000B0DDC" w:rsidRPr="00DE2460" w:rsidRDefault="000B0DDC" w:rsidP="000B0DDC">
      <w:pPr>
        <w:pStyle w:val="ListParagraph"/>
        <w:numPr>
          <w:ilvl w:val="1"/>
          <w:numId w:val="13"/>
        </w:numPr>
        <w:ind w:left="720"/>
        <w:rPr>
          <w:b/>
          <w:sz w:val="28"/>
          <w:szCs w:val="28"/>
          <w:lang w:val="en-GB"/>
        </w:rPr>
      </w:pPr>
      <w:bookmarkStart w:id="67" w:name="_Toc166368640"/>
      <w:r w:rsidRPr="00DE2460">
        <w:rPr>
          <w:b/>
          <w:sz w:val="28"/>
          <w:szCs w:val="28"/>
          <w:lang w:val="en-GB"/>
        </w:rPr>
        <w:t>Introduction</w:t>
      </w:r>
      <w:bookmarkEnd w:id="67"/>
    </w:p>
    <w:p w:rsidR="000B0DDC" w:rsidRPr="006C28BE" w:rsidRDefault="000B0DDC" w:rsidP="000B0DDC">
      <w:pPr>
        <w:spacing w:line="360" w:lineRule="auto"/>
        <w:jc w:val="both"/>
        <w:rPr>
          <w:rFonts w:cs="Arial"/>
          <w:b/>
          <w:bCs/>
          <w:color w:val="000000"/>
          <w:lang w:val="en-GB"/>
        </w:rPr>
      </w:pPr>
      <w:r w:rsidRPr="006C28BE">
        <w:rPr>
          <w:rFonts w:cs="Arial"/>
          <w:color w:val="000000"/>
          <w:lang w:val="en-GB"/>
        </w:rPr>
        <w:t>The aim of the dissertation titled "A Study on the Double Paycheck Revolution in the UK" is to explore the socioeconomic consequences of dual-income households in the UK (also known as the "Double Paycheck Revolution"). This work is focused on the economic and social repercussions this major change has had on UK families, especially regarding the stability of finances, the influence of the family dynamics, and the effectiveness Thus the research is paramount as it adds to the existing conversation on family economics and social policies, thus influencing policy making and research in the field of family socioeconomics in future.</w:t>
      </w:r>
    </w:p>
    <w:p w:rsidR="000B0DDC" w:rsidRPr="006C28BE" w:rsidRDefault="000B0DDC" w:rsidP="000B0DDC">
      <w:pPr>
        <w:spacing w:line="360" w:lineRule="auto"/>
        <w:jc w:val="both"/>
        <w:rPr>
          <w:rFonts w:cs="Arial"/>
          <w:b/>
          <w:bCs/>
          <w:color w:val="000000"/>
          <w:lang w:val="en-GB"/>
        </w:rPr>
      </w:pPr>
      <w:r w:rsidRPr="006C28BE">
        <w:rPr>
          <w:rFonts w:cs="Arial"/>
          <w:color w:val="000000"/>
          <w:lang w:val="en-GB"/>
        </w:rPr>
        <w:t>The research methodology is thematic analysis, which is a reliable technique that helps to detect, analyze, and report on trends within the data and thus produce themes. This experience-oriented approach involves detailed analysis of different sources including academic journals, governmental reports, and policy documents. The adaptability of thematic method is a strong point of this study as it offers a multidimensional and comprehensive view of the broad influence of dual-income homes on family relationships. Then, a thorough literature review and systematic collection of data is carried out with coding of this information to catch the emerging themes. Next, these themes will be refined and reviewed to ensure that they are well-defined and original. Finally, they will be named and put together under the research questions that the dissertation aims to answer.</w:t>
      </w:r>
    </w:p>
    <w:p w:rsidR="000B0DDC" w:rsidRPr="006C28BE" w:rsidRDefault="000B0DDC" w:rsidP="000B0DDC">
      <w:pPr>
        <w:spacing w:line="360" w:lineRule="auto"/>
        <w:rPr>
          <w:rFonts w:cs="Arial"/>
          <w:lang w:val="en-IN" w:eastAsia="en-IN"/>
        </w:rPr>
      </w:pPr>
      <w:r w:rsidRPr="006C28BE">
        <w:rPr>
          <w:rFonts w:cs="Arial"/>
          <w:b/>
          <w:bCs/>
          <w:lang w:val="en-IN" w:eastAsia="en-IN"/>
        </w:rPr>
        <w:t>This dissertation will explore three main themes that have emerged from the initial thematic analysis</w:t>
      </w:r>
      <w:r w:rsidRPr="006C28BE">
        <w:rPr>
          <w:rFonts w:cs="Arial"/>
          <w:lang w:val="en-IN" w:eastAsia="en-IN"/>
        </w:rPr>
        <w:t>: This dissertation will explore three main themes that have emerged from the initial thematic analysis:</w:t>
      </w:r>
    </w:p>
    <w:p w:rsidR="000B0DDC" w:rsidRPr="006C28BE" w:rsidRDefault="000B0DDC" w:rsidP="000B0DDC">
      <w:pPr>
        <w:spacing w:line="360" w:lineRule="auto"/>
        <w:rPr>
          <w:rFonts w:cs="Arial"/>
        </w:rPr>
      </w:pPr>
      <w:r w:rsidRPr="006C28BE">
        <w:rPr>
          <w:rFonts w:cs="Arial"/>
          <w:b/>
          <w:bCs/>
          <w:lang w:val="en-IN" w:eastAsia="en-IN"/>
        </w:rPr>
        <w:t>Economic Effects of Dual Income Families</w:t>
      </w:r>
      <w:r w:rsidRPr="006C28BE">
        <w:rPr>
          <w:rFonts w:cs="Arial"/>
          <w:lang w:val="en-IN" w:eastAsia="en-IN"/>
        </w:rPr>
        <w:t xml:space="preserve"> – This is a study on the economy that shows how households have been affected by the two-income structures and the impact they have had on the housing market in particular.</w:t>
      </w:r>
    </w:p>
    <w:p w:rsidR="000B0DDC" w:rsidRPr="006C28BE" w:rsidRDefault="000B0DDC" w:rsidP="000B0DDC">
      <w:pPr>
        <w:spacing w:line="360" w:lineRule="auto"/>
        <w:jc w:val="both"/>
        <w:rPr>
          <w:rFonts w:cs="Arial"/>
          <w:b/>
          <w:bCs/>
          <w:color w:val="000000"/>
          <w:lang w:val="en-GB"/>
        </w:rPr>
      </w:pPr>
      <w:r w:rsidRPr="006C28BE">
        <w:rPr>
          <w:rFonts w:cs="Arial"/>
          <w:b/>
          <w:bCs/>
          <w:color w:val="000000"/>
          <w:lang w:val="en-GB"/>
        </w:rPr>
        <w:t>Social and family dynamics</w:t>
      </w:r>
      <w:r w:rsidRPr="006C28BE">
        <w:rPr>
          <w:rFonts w:cs="Arial"/>
          <w:color w:val="000000"/>
          <w:lang w:val="en-GB"/>
        </w:rPr>
        <w:t xml:space="preserve"> – This area of interest looks at the impact of dual incomes on the lifestyle of the working family and the mental health of the individuals, including the changes in the roles of families and the consequential effects on overall wellbeing.</w:t>
      </w:r>
    </w:p>
    <w:p w:rsidR="000B0DDC" w:rsidRPr="006C28BE" w:rsidRDefault="000B0DDC" w:rsidP="000B0DDC">
      <w:pPr>
        <w:spacing w:line="360" w:lineRule="auto"/>
        <w:ind w:left="720" w:hanging="720"/>
        <w:jc w:val="both"/>
        <w:rPr>
          <w:rFonts w:cs="Arial"/>
          <w:color w:val="000000"/>
          <w:lang w:val="en-GB"/>
        </w:rPr>
      </w:pPr>
      <w:r w:rsidRPr="006C28BE">
        <w:rPr>
          <w:rFonts w:cs="Arial"/>
          <w:b/>
          <w:bCs/>
          <w:color w:val="000000"/>
          <w:lang w:val="en-GB"/>
        </w:rPr>
        <w:lastRenderedPageBreak/>
        <w:t>Policy Effectiveness and Future Directions</w:t>
      </w:r>
      <w:r w:rsidRPr="006C28BE">
        <w:rPr>
          <w:rFonts w:cs="Arial"/>
          <w:color w:val="000000"/>
          <w:lang w:val="en-GB"/>
        </w:rPr>
        <w:t xml:space="preserve"> – In the third section, the impact of current policies on household dual income is evaluated and suggestions for improvement are presented so that these families are supported more effectively.</w:t>
      </w:r>
    </w:p>
    <w:p w:rsidR="000B0DDC" w:rsidRPr="003D6926" w:rsidRDefault="000B0DDC" w:rsidP="000B0DDC">
      <w:pPr>
        <w:pStyle w:val="ListParagraph"/>
        <w:numPr>
          <w:ilvl w:val="1"/>
          <w:numId w:val="13"/>
        </w:numPr>
        <w:ind w:left="720"/>
        <w:rPr>
          <w:b/>
          <w:sz w:val="28"/>
          <w:szCs w:val="28"/>
          <w:lang w:val="en-GB"/>
        </w:rPr>
      </w:pPr>
      <w:bookmarkStart w:id="68" w:name="_Toc166368641"/>
      <w:r w:rsidRPr="003D6926">
        <w:rPr>
          <w:b/>
          <w:sz w:val="28"/>
          <w:szCs w:val="28"/>
          <w:lang w:val="en-GB"/>
        </w:rPr>
        <w:t>Theme 1: The Economic Consequence of Dual-Income Households.</w:t>
      </w:r>
      <w:bookmarkEnd w:id="68"/>
    </w:p>
    <w:p w:rsidR="000B0DDC" w:rsidRPr="006C28BE" w:rsidRDefault="000B0DDC" w:rsidP="000B0DDC">
      <w:pPr>
        <w:pStyle w:val="Heading3"/>
        <w:numPr>
          <w:ilvl w:val="0"/>
          <w:numId w:val="0"/>
        </w:numPr>
        <w:spacing w:after="160" w:line="360" w:lineRule="auto"/>
        <w:ind w:left="720" w:hanging="720"/>
        <w:rPr>
          <w:rFonts w:ascii="Arial" w:hAnsi="Arial" w:cs="Arial"/>
          <w:lang w:val="en-GB"/>
        </w:rPr>
      </w:pPr>
      <w:bookmarkStart w:id="69" w:name="_Toc166368642"/>
      <w:r>
        <w:rPr>
          <w:rFonts w:ascii="Arial" w:hAnsi="Arial" w:cs="Arial"/>
          <w:lang w:val="en-GB"/>
        </w:rPr>
        <w:t xml:space="preserve">4.2.1   </w:t>
      </w:r>
      <w:r w:rsidRPr="006C28BE">
        <w:rPr>
          <w:rFonts w:ascii="Arial" w:hAnsi="Arial" w:cs="Arial"/>
          <w:lang w:val="en-GB"/>
        </w:rPr>
        <w:t>Economic Stability and Inequality Redistribution</w:t>
      </w:r>
      <w:bookmarkEnd w:id="69"/>
    </w:p>
    <w:p w:rsidR="000B0DDC" w:rsidRPr="006C28BE" w:rsidRDefault="000B0DDC" w:rsidP="000B0DDC">
      <w:pPr>
        <w:spacing w:line="360" w:lineRule="auto"/>
        <w:jc w:val="both"/>
        <w:rPr>
          <w:rFonts w:cs="Arial"/>
          <w:b/>
          <w:bCs/>
          <w:color w:val="000000"/>
          <w:lang w:val="en-GB"/>
        </w:rPr>
      </w:pPr>
      <w:r w:rsidRPr="006C28BE">
        <w:rPr>
          <w:rFonts w:cs="Arial"/>
          <w:b/>
          <w:bCs/>
          <w:color w:val="000000"/>
          <w:lang w:val="en-GB"/>
        </w:rPr>
        <w:t>Income Inequity and Volatility </w:t>
      </w:r>
    </w:p>
    <w:p w:rsidR="000B0DDC" w:rsidRDefault="000B0DDC" w:rsidP="000B0DDC">
      <w:pPr>
        <w:spacing w:line="360" w:lineRule="auto"/>
        <w:jc w:val="both"/>
        <w:rPr>
          <w:rFonts w:cs="Arial"/>
          <w:color w:val="000000"/>
          <w:lang w:val="en-GB"/>
        </w:rPr>
      </w:pPr>
      <w:r w:rsidRPr="006C28BE">
        <w:rPr>
          <w:rFonts w:cs="Arial"/>
          <w:color w:val="000000"/>
          <w:lang w:val="en-GB"/>
        </w:rPr>
        <w:t>The changing income pattern in two-income families is a different type of complex situation when compared to the traditional single-income families. Traditionally, dual-earning family members might be assumed to earn a higher total household income, which would, by implication, lead to a more balanced distribution of income across society. Therefore, the level of income distribution which these households enjoy mostly depends on the nature of work, sector, and regional economic circumstances. For example, a study by the (Office for National Statistics ONS ,2022) suggests that urban households in London, who have two income earners, have a quite high median income compared to those with only one income earner, but at the same time the latter face wider income disparity among the same dual-income demographic, which is mainly influenced by the high variability in wages across different sectors. Also mentioned is the (Joseph Rowntree Foundation 2021) which states that the income gap between dual-income households in the North-East is lesser, but this does not necessarily mean that the overall economic uplift in these areas is like that of more affluent regions. These results elucidate that although the ability of dual incomes to lift family economic status is obvious, the influence of dual incomes on the overall economic equality is not straightforward and instead varies from region to region such that sometimes it even aggravates the level of income disparity depending on job markets and economic policies of the regions (Bank of England.,2021).</w:t>
      </w:r>
    </w:p>
    <w:p w:rsidR="000B0DDC" w:rsidRPr="006C28BE" w:rsidRDefault="000B0DDC" w:rsidP="000B0DDC">
      <w:pPr>
        <w:spacing w:line="360" w:lineRule="auto"/>
        <w:jc w:val="both"/>
        <w:rPr>
          <w:rFonts w:cs="Arial"/>
          <w:b/>
          <w:bCs/>
          <w:color w:val="000000"/>
          <w:lang w:val="en-GB"/>
        </w:rPr>
      </w:pPr>
      <w:r w:rsidRPr="006C28BE">
        <w:rPr>
          <w:rFonts w:cs="Arial"/>
          <w:b/>
          <w:bCs/>
          <w:color w:val="000000"/>
          <w:lang w:val="en-GB"/>
        </w:rPr>
        <w:t>Stabilizing Effects on Households </w:t>
      </w:r>
    </w:p>
    <w:p w:rsidR="000B0DDC" w:rsidRPr="006C28BE" w:rsidRDefault="000B0DDC" w:rsidP="000B0DDC">
      <w:pPr>
        <w:spacing w:line="360" w:lineRule="auto"/>
        <w:jc w:val="both"/>
        <w:rPr>
          <w:rFonts w:cs="Arial"/>
          <w:color w:val="000000"/>
          <w:lang w:val="en-GB"/>
        </w:rPr>
      </w:pPr>
      <w:r w:rsidRPr="006C28BE">
        <w:rPr>
          <w:rFonts w:cs="Arial"/>
          <w:color w:val="000000"/>
          <w:lang w:val="en-GB"/>
        </w:rPr>
        <w:t xml:space="preserve">Being two income earners at the same time is normally associated with the strengthening of the families’ economic base, contributing significantly to the financial stability of each family. (Economic Policy Institute’s, EPI ,2020) concluded that families with dual incomes </w:t>
      </w:r>
      <w:r w:rsidRPr="006C28BE">
        <w:rPr>
          <w:rFonts w:cs="Arial"/>
          <w:color w:val="000000"/>
          <w:lang w:val="en-GB"/>
        </w:rPr>
        <w:lastRenderedPageBreak/>
        <w:t xml:space="preserve">are more likely to build emergency savings and make investments during recessions, which is critical for the household’s financial resilience. </w:t>
      </w:r>
    </w:p>
    <w:p w:rsidR="000B0DDC" w:rsidRPr="006C28BE" w:rsidRDefault="000B0DDC" w:rsidP="000B0DDC">
      <w:pPr>
        <w:keepNext/>
        <w:spacing w:line="360" w:lineRule="auto"/>
        <w:jc w:val="center"/>
        <w:rPr>
          <w:rFonts w:cs="Arial"/>
        </w:rPr>
      </w:pPr>
      <w:r w:rsidRPr="006C28BE">
        <w:rPr>
          <w:rFonts w:cs="Arial"/>
          <w:noProof/>
          <w:color w:val="000000"/>
          <w:lang w:val="en-IN" w:eastAsia="en-IN"/>
        </w:rPr>
        <w:drawing>
          <wp:inline distT="0" distB="0" distL="0" distR="0" wp14:anchorId="0A0A168D" wp14:editId="400FC849">
            <wp:extent cx="5207216" cy="3915983"/>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23637" cy="3928332"/>
                    </a:xfrm>
                    <a:prstGeom prst="rect">
                      <a:avLst/>
                    </a:prstGeom>
                  </pic:spPr>
                </pic:pic>
              </a:graphicData>
            </a:graphic>
          </wp:inline>
        </w:drawing>
      </w:r>
    </w:p>
    <w:p w:rsidR="000B0DDC" w:rsidRDefault="000B0DDC" w:rsidP="000B0DDC">
      <w:pPr>
        <w:pStyle w:val="Heading7"/>
      </w:pPr>
      <w:bookmarkStart w:id="70" w:name="_Toc166368667"/>
      <w:r w:rsidRPr="006C28BE">
        <w:t xml:space="preserve">Figure </w:t>
      </w:r>
      <w:r>
        <w:fldChar w:fldCharType="begin"/>
      </w:r>
      <w:r>
        <w:instrText xml:space="preserve"> SEQ Figure \* ARABIC </w:instrText>
      </w:r>
      <w:r>
        <w:fldChar w:fldCharType="separate"/>
      </w:r>
      <w:r w:rsidRPr="006C28BE">
        <w:rPr>
          <w:noProof/>
        </w:rPr>
        <w:t>4</w:t>
      </w:r>
      <w:r>
        <w:rPr>
          <w:noProof/>
        </w:rPr>
        <w:fldChar w:fldCharType="end"/>
      </w:r>
      <w:r w:rsidRPr="006C28BE">
        <w:t>: Growth of Median Income Suggests Double Income growth</w:t>
      </w:r>
      <w:bookmarkEnd w:id="70"/>
    </w:p>
    <w:p w:rsidR="000B0DDC" w:rsidRPr="00756537" w:rsidRDefault="000B0DDC" w:rsidP="000B0DDC">
      <w:pPr>
        <w:jc w:val="center"/>
      </w:pPr>
      <w:r>
        <w:t>(Source: Croal, 2022)</w:t>
      </w:r>
    </w:p>
    <w:p w:rsidR="000B0DDC" w:rsidRPr="006C28BE" w:rsidRDefault="000B0DDC" w:rsidP="000B0DDC">
      <w:pPr>
        <w:spacing w:line="360" w:lineRule="auto"/>
        <w:jc w:val="both"/>
        <w:rPr>
          <w:rFonts w:cs="Arial"/>
          <w:color w:val="000000"/>
          <w:lang w:val="en-GB"/>
        </w:rPr>
      </w:pPr>
    </w:p>
    <w:p w:rsidR="000B0DDC" w:rsidRPr="006C28BE" w:rsidRDefault="000B0DDC" w:rsidP="000B0DDC">
      <w:pPr>
        <w:spacing w:line="360" w:lineRule="auto"/>
        <w:jc w:val="both"/>
        <w:rPr>
          <w:rFonts w:cs="Arial"/>
          <w:b/>
          <w:bCs/>
          <w:color w:val="000000"/>
          <w:lang w:val="en-GB"/>
        </w:rPr>
      </w:pPr>
      <w:r w:rsidRPr="006C28BE">
        <w:rPr>
          <w:rFonts w:cs="Arial"/>
          <w:color w:val="000000"/>
          <w:lang w:val="en-GB"/>
        </w:rPr>
        <w:t xml:space="preserve">Adding another income source usually increases a family's resilience to financial trouble, enabling it to remain on the track of accumulation of wealth and financial management. For instance, in the period of the COVID-19 pandemic that led to the global economic downturn, low-income households that have two sources of income were able to adapt to losses of employment and reduction of working hours in a more effective manner as shown by the (Bank of England report ,2021). This report has underscored the fact that families with dual income are 40% less likely to deplete their savings during the pandemic compared to those which have a single income. Also, findings from the (Department for Work and Pensions ,2021) show that dual-income households were less prone to debt during economic contractions, and it highlights the stabilizing effect of additional income. This supports the hypothesis that dual incomes are not only an income security that </w:t>
      </w:r>
      <w:r w:rsidRPr="006C28BE">
        <w:rPr>
          <w:rFonts w:cs="Arial"/>
          <w:color w:val="000000"/>
          <w:lang w:val="en-GB"/>
        </w:rPr>
        <w:lastRenderedPageBreak/>
        <w:t>increases households' financial thresholds but also an insurance policy against economic cycles fluctuations, which prevent both the micro and macro-economic from being unstable.</w:t>
      </w:r>
    </w:p>
    <w:p w:rsidR="000B0DDC" w:rsidRPr="006C28BE" w:rsidRDefault="000B0DDC" w:rsidP="000B0DDC">
      <w:pPr>
        <w:pStyle w:val="Heading3"/>
        <w:numPr>
          <w:ilvl w:val="2"/>
          <w:numId w:val="22"/>
        </w:numPr>
        <w:tabs>
          <w:tab w:val="left" w:pos="720"/>
          <w:tab w:val="left" w:pos="1170"/>
        </w:tabs>
        <w:spacing w:after="160" w:line="360" w:lineRule="auto"/>
        <w:ind w:left="720"/>
        <w:rPr>
          <w:rFonts w:ascii="Arial" w:hAnsi="Arial" w:cs="Arial"/>
          <w:lang w:val="en-GB"/>
        </w:rPr>
      </w:pPr>
      <w:bookmarkStart w:id="71" w:name="_Toc166368643"/>
      <w:r w:rsidRPr="006C28BE">
        <w:rPr>
          <w:rFonts w:ascii="Arial" w:hAnsi="Arial" w:cs="Arial"/>
          <w:lang w:val="en-GB"/>
        </w:rPr>
        <w:t>Housing Market Dynamics</w:t>
      </w:r>
      <w:bookmarkEnd w:id="71"/>
    </w:p>
    <w:p w:rsidR="000B0DDC" w:rsidRPr="006C28BE" w:rsidRDefault="000B0DDC" w:rsidP="000B0DDC">
      <w:pPr>
        <w:spacing w:line="360" w:lineRule="auto"/>
        <w:jc w:val="both"/>
        <w:rPr>
          <w:rFonts w:cs="Arial"/>
          <w:b/>
          <w:bCs/>
          <w:color w:val="000000"/>
          <w:lang w:val="en-GB"/>
        </w:rPr>
      </w:pPr>
      <w:r w:rsidRPr="006C28BE">
        <w:rPr>
          <w:rFonts w:cs="Arial"/>
          <w:b/>
          <w:bCs/>
          <w:color w:val="000000"/>
          <w:lang w:val="en-GB"/>
        </w:rPr>
        <w:t>Influence on the Demand and the Affordability </w:t>
      </w:r>
    </w:p>
    <w:p w:rsidR="000B0DDC" w:rsidRPr="006C28BE" w:rsidRDefault="000B0DDC" w:rsidP="000B0DDC">
      <w:pPr>
        <w:spacing w:line="360" w:lineRule="auto"/>
        <w:jc w:val="both"/>
        <w:rPr>
          <w:rFonts w:cs="Arial"/>
          <w:color w:val="000000"/>
          <w:lang w:val="en-GB"/>
        </w:rPr>
      </w:pPr>
      <w:r w:rsidRPr="006C28BE">
        <w:rPr>
          <w:rFonts w:cs="Arial"/>
          <w:color w:val="000000"/>
          <w:lang w:val="en-GB"/>
        </w:rPr>
        <w:t>The growing number of dual-income households in the UK has had a notable impact in housing demand, particularly in big cities like London, Manchester, and Birmingham. It follows that the more families benefit from dual incomes the higher the aggregate household incomes make their perception of their purchasing power. So is it. This tendency is seen as a reason for the increase of real estate prices in these areas. In terms of the (UK’s Office for National Statistics,2023), areas with a higher proportion of dual-income families have seen property prices rise by 20% over the past decade, in comparison to the rate of general increase across the nation.</w:t>
      </w:r>
    </w:p>
    <w:p w:rsidR="000B0DDC" w:rsidRDefault="000B0DDC" w:rsidP="000B0DDC">
      <w:pPr>
        <w:spacing w:line="360" w:lineRule="auto"/>
        <w:jc w:val="center"/>
        <w:rPr>
          <w:rFonts w:cs="Arial"/>
          <w:b/>
          <w:bCs/>
          <w:color w:val="000000"/>
          <w:lang w:val="en-GB"/>
        </w:rPr>
      </w:pPr>
      <w:r w:rsidRPr="006C28BE">
        <w:rPr>
          <w:rFonts w:cs="Arial"/>
          <w:b/>
          <w:bCs/>
          <w:noProof/>
          <w:color w:val="000000"/>
          <w:lang w:val="en-IN" w:eastAsia="en-IN"/>
        </w:rPr>
        <w:drawing>
          <wp:inline distT="0" distB="0" distL="0" distR="0" wp14:anchorId="388360AD" wp14:editId="2320A39E">
            <wp:extent cx="4389120" cy="2968283"/>
            <wp:effectExtent l="0" t="0" r="508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14872" cy="2985699"/>
                    </a:xfrm>
                    <a:prstGeom prst="rect">
                      <a:avLst/>
                    </a:prstGeom>
                  </pic:spPr>
                </pic:pic>
              </a:graphicData>
            </a:graphic>
          </wp:inline>
        </w:drawing>
      </w:r>
    </w:p>
    <w:p w:rsidR="000B0DDC" w:rsidRDefault="000B0DDC" w:rsidP="000B0DDC">
      <w:pPr>
        <w:pStyle w:val="Heading7"/>
        <w:rPr>
          <w:lang w:val="en-GB"/>
        </w:rPr>
      </w:pPr>
      <w:bookmarkStart w:id="72" w:name="_Toc166368668"/>
      <w:r>
        <w:rPr>
          <w:lang w:val="en-GB"/>
        </w:rPr>
        <w:t>Figure 5: Dual Income Household in UK</w:t>
      </w:r>
      <w:bookmarkEnd w:id="72"/>
    </w:p>
    <w:p w:rsidR="000B0DDC" w:rsidRPr="001106DF" w:rsidRDefault="000B0DDC" w:rsidP="000B0DDC">
      <w:pPr>
        <w:spacing w:line="360" w:lineRule="auto"/>
        <w:jc w:val="center"/>
        <w:rPr>
          <w:rFonts w:cs="Arial"/>
          <w:color w:val="000000"/>
          <w:lang w:val="en-GB"/>
        </w:rPr>
      </w:pPr>
      <w:r w:rsidRPr="001106DF">
        <w:rPr>
          <w:rFonts w:cs="Arial"/>
          <w:color w:val="000000"/>
          <w:lang w:val="en-GB"/>
        </w:rPr>
        <w:t xml:space="preserve">(Source: </w:t>
      </w:r>
      <w:r w:rsidRPr="00DA35DD">
        <w:rPr>
          <w:rFonts w:cs="Arial"/>
          <w:color w:val="000000"/>
          <w:lang w:val="en-GB"/>
        </w:rPr>
        <w:t>Jones</w:t>
      </w:r>
      <w:r>
        <w:rPr>
          <w:rFonts w:cs="Arial"/>
          <w:color w:val="000000"/>
          <w:lang w:val="en-GB"/>
        </w:rPr>
        <w:t xml:space="preserve"> and</w:t>
      </w:r>
      <w:r w:rsidRPr="00DA35DD">
        <w:rPr>
          <w:rFonts w:cs="Arial"/>
          <w:color w:val="000000"/>
          <w:lang w:val="en-GB"/>
        </w:rPr>
        <w:t xml:space="preserve"> Seitani,</w:t>
      </w:r>
      <w:r>
        <w:rPr>
          <w:rFonts w:cs="Arial"/>
          <w:color w:val="000000"/>
          <w:lang w:val="en-GB"/>
        </w:rPr>
        <w:t xml:space="preserve"> </w:t>
      </w:r>
      <w:r w:rsidRPr="00DA35DD">
        <w:rPr>
          <w:rFonts w:cs="Arial"/>
          <w:color w:val="000000"/>
          <w:lang w:val="en-GB"/>
        </w:rPr>
        <w:t>2019)</w:t>
      </w:r>
    </w:p>
    <w:p w:rsidR="000B0DDC" w:rsidRPr="006C28BE" w:rsidRDefault="000B0DDC" w:rsidP="000B0DDC">
      <w:pPr>
        <w:spacing w:line="360" w:lineRule="auto"/>
        <w:jc w:val="both"/>
        <w:rPr>
          <w:rFonts w:cs="Arial"/>
          <w:b/>
          <w:bCs/>
          <w:color w:val="000000"/>
          <w:lang w:val="en-GB"/>
        </w:rPr>
      </w:pPr>
      <w:r w:rsidRPr="006C28BE">
        <w:rPr>
          <w:rFonts w:cs="Arial"/>
          <w:color w:val="000000"/>
          <w:lang w:val="en-GB"/>
        </w:rPr>
        <w:t xml:space="preserve">Contrarily, the rise of household income has both permitted and restricted the capacity of families to buy homes at the same time. The dual-income families are the segment of the population that might afford the high-priced properties. However, the demand for housing from this group of the population has led to the increase in the prices, the effect of which </w:t>
      </w:r>
      <w:r w:rsidRPr="006C28BE">
        <w:rPr>
          <w:rFonts w:cs="Arial"/>
          <w:color w:val="000000"/>
          <w:lang w:val="en-GB"/>
        </w:rPr>
        <w:lastRenderedPageBreak/>
        <w:t>is the reduction of affordability for all. (The Bank of England's report,2022) highlights that while dual-income households have greater access to mortgage financing, the overall housing affordability index has deteriorated, with the house price to income ratio worsening from 5: The ratio of 8:1 in the urban part last decade. This situation highlights that while an additional income boosts individual household capability but the raised price in the market leads to affordability issues (The Bank of England's report,2022).</w:t>
      </w:r>
    </w:p>
    <w:p w:rsidR="000B0DDC" w:rsidRPr="006C28BE" w:rsidRDefault="000B0DDC" w:rsidP="000B0DDC">
      <w:pPr>
        <w:spacing w:line="360" w:lineRule="auto"/>
        <w:jc w:val="both"/>
        <w:rPr>
          <w:rFonts w:cs="Arial"/>
          <w:b/>
          <w:bCs/>
          <w:color w:val="000000"/>
          <w:lang w:val="en-GB"/>
        </w:rPr>
      </w:pPr>
      <w:r w:rsidRPr="006C28BE">
        <w:rPr>
          <w:rFonts w:cs="Arial"/>
          <w:b/>
          <w:bCs/>
          <w:color w:val="000000"/>
          <w:lang w:val="en-GB"/>
        </w:rPr>
        <w:t>Comparative Insights </w:t>
      </w:r>
    </w:p>
    <w:p w:rsidR="000B0DDC" w:rsidRPr="006C28BE" w:rsidRDefault="000B0DDC" w:rsidP="000B0DDC">
      <w:pPr>
        <w:spacing w:line="360" w:lineRule="auto"/>
        <w:jc w:val="both"/>
        <w:rPr>
          <w:rFonts w:cs="Arial"/>
          <w:b/>
          <w:bCs/>
          <w:color w:val="000000"/>
          <w:lang w:val="en-GB"/>
        </w:rPr>
      </w:pPr>
      <w:r w:rsidRPr="006C28BE">
        <w:rPr>
          <w:rFonts w:cs="Arial"/>
          <w:color w:val="000000"/>
          <w:lang w:val="en-GB"/>
        </w:rPr>
        <w:t>Globally, the response of housing markets to dual-income households largely varies based on different policy regimes. For example, the U.S. has been a home to dual-income households for a longer time than the UK. The similar trend of the housing prices has been noticed particularly in metropolitan regions such as San Francisco and New York. However, U.S. tax policies that allow for the deduction of mortgage interest have alleviated this situation to some extent by lowering the effective cost of home ownership for these classes of population (Statistic Sweden,2022) (The Bank of England's report,2022).</w:t>
      </w:r>
    </w:p>
    <w:p w:rsidR="000B0DDC" w:rsidRPr="006C28BE" w:rsidRDefault="000B0DDC" w:rsidP="000B0DDC">
      <w:pPr>
        <w:spacing w:line="360" w:lineRule="auto"/>
        <w:jc w:val="both"/>
        <w:rPr>
          <w:rFonts w:cs="Arial"/>
          <w:b/>
          <w:bCs/>
          <w:color w:val="000000"/>
          <w:lang w:val="en-GB"/>
        </w:rPr>
      </w:pPr>
      <w:r w:rsidRPr="006C28BE">
        <w:rPr>
          <w:rFonts w:cs="Arial"/>
          <w:color w:val="000000"/>
          <w:lang w:val="en-GB"/>
        </w:rPr>
        <w:t>Unlike the Scandinavian nations of Sweden and Denmark which have housing policies that not only maintain the fluctuations of the market prices but also moderate the effects of dual incomes. For instance, such subsidies can be in the form of housing subsidies, caps on interest rates, etc. that make housing affordable despite increasing dual incomes. The data points out that the share of dual earner households is very high, but the housing price inflation is only 3% a year when compared with the UK's 6% (Statistic Sweden,2022).</w:t>
      </w:r>
    </w:p>
    <w:p w:rsidR="000B0DDC" w:rsidRPr="006C28BE" w:rsidRDefault="000B0DDC" w:rsidP="000B0DDC">
      <w:pPr>
        <w:spacing w:line="360" w:lineRule="auto"/>
        <w:jc w:val="both"/>
        <w:rPr>
          <w:rFonts w:cs="Arial"/>
          <w:b/>
          <w:bCs/>
          <w:color w:val="000000"/>
          <w:lang w:val="en-GB"/>
        </w:rPr>
      </w:pPr>
      <w:r w:rsidRPr="006C28BE">
        <w:rPr>
          <w:rFonts w:cs="Arial"/>
          <w:color w:val="000000"/>
          <w:lang w:val="en-GB"/>
        </w:rPr>
        <w:t>The Canadian model presents a possible lens to look through, where a proactive approach to housing such as strict lending criteria and direct government intervention in the development of affordable housing has helped stabilize prices. Based on the (Canadian Mortgage and Housing Corp., CMHC), these actions have made it possible for both income families to add to demand without the escalation of prices.</w:t>
      </w:r>
    </w:p>
    <w:p w:rsidR="000B0DDC" w:rsidRPr="006C28BE" w:rsidRDefault="000B0DDC" w:rsidP="000B0DDC">
      <w:pPr>
        <w:spacing w:line="360" w:lineRule="auto"/>
        <w:jc w:val="both"/>
        <w:rPr>
          <w:rFonts w:cs="Arial"/>
          <w:b/>
          <w:bCs/>
          <w:color w:val="000000"/>
          <w:lang w:val="en-GB"/>
        </w:rPr>
      </w:pPr>
      <w:r w:rsidRPr="006C28BE">
        <w:rPr>
          <w:rFonts w:cs="Arial"/>
          <w:color w:val="000000"/>
          <w:lang w:val="en-GB"/>
        </w:rPr>
        <w:t xml:space="preserve">Such examples from the international sphere would suggest that while the demand for and prices of housing tend to go up because of high dual incomes, policy measures could, however, alleviate the problem. The UK may even take similar approaches to make sure that the increase in dual-income families does not reduce the stability of the economy </w:t>
      </w:r>
      <w:r w:rsidRPr="006C28BE">
        <w:rPr>
          <w:rFonts w:cs="Arial"/>
          <w:color w:val="000000"/>
          <w:lang w:val="en-GB"/>
        </w:rPr>
        <w:lastRenderedPageBreak/>
        <w:t>while simultaneously preserving affordability in the housing sector (Statistic Sweden,2022).</w:t>
      </w:r>
    </w:p>
    <w:p w:rsidR="000B0DDC" w:rsidRPr="000168F1" w:rsidRDefault="000B0DDC" w:rsidP="000B0DDC">
      <w:pPr>
        <w:pStyle w:val="ListParagraph"/>
        <w:numPr>
          <w:ilvl w:val="1"/>
          <w:numId w:val="22"/>
        </w:numPr>
        <w:ind w:hanging="720"/>
        <w:rPr>
          <w:b/>
          <w:sz w:val="28"/>
          <w:szCs w:val="28"/>
          <w:lang w:val="en-GB"/>
        </w:rPr>
      </w:pPr>
      <w:bookmarkStart w:id="73" w:name="_Toc166368644"/>
      <w:r w:rsidRPr="000168F1">
        <w:rPr>
          <w:b/>
          <w:sz w:val="28"/>
          <w:szCs w:val="28"/>
          <w:lang w:val="en-GB"/>
        </w:rPr>
        <w:t>Theme 2: Social and Family Dynamics</w:t>
      </w:r>
      <w:bookmarkEnd w:id="73"/>
      <w:r w:rsidRPr="000168F1">
        <w:rPr>
          <w:b/>
          <w:sz w:val="28"/>
          <w:szCs w:val="28"/>
          <w:lang w:val="en-GB"/>
        </w:rPr>
        <w:t xml:space="preserve"> </w:t>
      </w:r>
    </w:p>
    <w:p w:rsidR="000B0DDC" w:rsidRPr="006C28BE" w:rsidRDefault="000B0DDC" w:rsidP="000B0DDC">
      <w:pPr>
        <w:pStyle w:val="Heading3"/>
        <w:numPr>
          <w:ilvl w:val="2"/>
          <w:numId w:val="23"/>
        </w:numPr>
        <w:spacing w:after="160" w:line="360" w:lineRule="auto"/>
        <w:ind w:left="720"/>
        <w:rPr>
          <w:rFonts w:ascii="Arial" w:hAnsi="Arial" w:cs="Arial"/>
          <w:lang w:val="en-GB"/>
        </w:rPr>
      </w:pPr>
      <w:bookmarkStart w:id="74" w:name="_Toc166368645"/>
      <w:r w:rsidRPr="006C28BE">
        <w:rPr>
          <w:rFonts w:ascii="Arial" w:hAnsi="Arial" w:cs="Arial"/>
          <w:lang w:val="en-GB"/>
        </w:rPr>
        <w:t>Work-Life Balance</w:t>
      </w:r>
      <w:bookmarkEnd w:id="74"/>
      <w:r w:rsidRPr="006C28BE">
        <w:rPr>
          <w:rFonts w:ascii="Arial" w:hAnsi="Arial" w:cs="Arial"/>
          <w:lang w:val="en-GB"/>
        </w:rPr>
        <w:t> </w:t>
      </w:r>
    </w:p>
    <w:p w:rsidR="000B0DDC" w:rsidRPr="006C28BE" w:rsidRDefault="000B0DDC" w:rsidP="000B0DDC">
      <w:pPr>
        <w:spacing w:line="360" w:lineRule="auto"/>
        <w:jc w:val="both"/>
        <w:rPr>
          <w:rFonts w:cs="Arial"/>
          <w:color w:val="000000"/>
          <w:lang w:val="en-GB"/>
        </w:rPr>
      </w:pPr>
      <w:r w:rsidRPr="006C28BE">
        <w:rPr>
          <w:rFonts w:cs="Arial"/>
          <w:b/>
          <w:bCs/>
          <w:color w:val="000000"/>
          <w:lang w:val="en-GB"/>
        </w:rPr>
        <w:t>Dual Career Challenges </w:t>
      </w:r>
    </w:p>
    <w:p w:rsidR="000B0DDC" w:rsidRPr="006C28BE" w:rsidRDefault="000B0DDC" w:rsidP="000B0DDC">
      <w:pPr>
        <w:spacing w:line="360" w:lineRule="auto"/>
        <w:jc w:val="both"/>
        <w:rPr>
          <w:rFonts w:cs="Arial"/>
          <w:color w:val="000000"/>
          <w:lang w:val="en-GB"/>
        </w:rPr>
      </w:pPr>
      <w:r w:rsidRPr="006C28BE">
        <w:rPr>
          <w:rFonts w:cs="Arial"/>
          <w:color w:val="000000"/>
          <w:lang w:val="en-GB"/>
        </w:rPr>
        <w:t>Dual-earning families are confronting a lot of issues in assimilating work and family life, a phenomenon which is both survey-based and qualitatively documented. One of the common problems regarding the work schedules is the inconvenience of having to coordinate the working hours of the partners and this decreases family time and increases the logistical complications, especially in the area of childcare and domestic matters. As the Work Foundation's 2021 survey revealed, a staggering 60% of dual-income couples in the UK have found themselves in frequent clashes of schedules that are known to play a role in a family's home dynamics.</w:t>
      </w:r>
    </w:p>
    <w:p w:rsidR="000B0DDC" w:rsidRPr="006C28BE" w:rsidRDefault="000B0DDC" w:rsidP="000B0DDC">
      <w:pPr>
        <w:spacing w:line="360" w:lineRule="auto"/>
        <w:jc w:val="both"/>
        <w:rPr>
          <w:rFonts w:cs="Arial"/>
          <w:color w:val="000000"/>
          <w:lang w:val="en-GB"/>
        </w:rPr>
      </w:pPr>
      <w:r w:rsidRPr="006C28BE">
        <w:rPr>
          <w:rFonts w:cs="Arial"/>
          <w:color w:val="000000"/>
          <w:lang w:val="en-GB"/>
        </w:rPr>
        <w:t>Similarly, this is much more stressful to dual-income households as the (Mental Health Foundation ,2022) reported that 45% of working parents cited having higher levels of stress as compared to 35% in single-income families. This burden is not merely limited to the parents, but it reaches the whole family structure and impacts the emotional and the psychological health of their children. As a result of the observations made by the qualitative interviews, the children in these households tend to feel that they are neglected and unsupported, which results in some negative outcomes such as low academic achievements and social withdrawal (Mental Health Foundation ,2022).</w:t>
      </w:r>
    </w:p>
    <w:p w:rsidR="000B0DDC" w:rsidRDefault="000B0DDC" w:rsidP="000B0DDC">
      <w:pPr>
        <w:spacing w:line="360" w:lineRule="auto"/>
        <w:jc w:val="both"/>
        <w:rPr>
          <w:rFonts w:cs="Arial"/>
          <w:color w:val="000000"/>
          <w:lang w:val="en-GB"/>
        </w:rPr>
      </w:pPr>
      <w:r w:rsidRPr="006C28BE">
        <w:rPr>
          <w:rFonts w:cs="Arial"/>
          <w:color w:val="000000"/>
          <w:lang w:val="en-GB"/>
        </w:rPr>
        <w:t>The long-term effect on extended family ties is equally noteworthy, where increased support from grandparents and other relatives in the form of childcare is common. These changes may have negative repercussions on relations and family structure, in some cases, for example, placing more emotional and physical load on older family members.</w:t>
      </w:r>
    </w:p>
    <w:p w:rsidR="000B0DDC" w:rsidRDefault="000B0DDC" w:rsidP="000B0DDC">
      <w:pPr>
        <w:spacing w:line="360" w:lineRule="auto"/>
        <w:jc w:val="both"/>
        <w:rPr>
          <w:rFonts w:cs="Arial"/>
          <w:color w:val="000000"/>
          <w:lang w:val="en-GB"/>
        </w:rPr>
      </w:pPr>
    </w:p>
    <w:p w:rsidR="000B0DDC" w:rsidRDefault="000B0DDC" w:rsidP="000B0DDC">
      <w:pPr>
        <w:spacing w:line="360" w:lineRule="auto"/>
        <w:jc w:val="both"/>
        <w:rPr>
          <w:rFonts w:cs="Arial"/>
          <w:color w:val="000000"/>
          <w:lang w:val="en-GB"/>
        </w:rPr>
      </w:pPr>
    </w:p>
    <w:p w:rsidR="000B0DDC" w:rsidRDefault="000B0DDC" w:rsidP="000B0DDC">
      <w:pPr>
        <w:spacing w:line="360" w:lineRule="auto"/>
        <w:jc w:val="both"/>
        <w:rPr>
          <w:rFonts w:cs="Arial"/>
          <w:color w:val="000000"/>
          <w:lang w:val="en-GB"/>
        </w:rPr>
      </w:pPr>
    </w:p>
    <w:p w:rsidR="000B0DDC" w:rsidRPr="006C28BE" w:rsidRDefault="000B0DDC" w:rsidP="000B0DDC">
      <w:pPr>
        <w:spacing w:line="360" w:lineRule="auto"/>
        <w:jc w:val="both"/>
        <w:rPr>
          <w:rFonts w:cs="Arial"/>
          <w:color w:val="000000"/>
          <w:lang w:val="en-GB"/>
        </w:rPr>
      </w:pPr>
    </w:p>
    <w:p w:rsidR="000B0DDC" w:rsidRPr="006C28BE" w:rsidRDefault="000B0DDC" w:rsidP="000B0DDC">
      <w:pPr>
        <w:spacing w:line="360" w:lineRule="auto"/>
        <w:jc w:val="both"/>
        <w:rPr>
          <w:rFonts w:cs="Arial"/>
          <w:b/>
          <w:color w:val="000000"/>
          <w:lang w:val="en-GB"/>
        </w:rPr>
      </w:pPr>
      <w:r w:rsidRPr="006C28BE">
        <w:rPr>
          <w:rFonts w:cs="Arial"/>
          <w:b/>
          <w:color w:val="000000"/>
          <w:lang w:val="en-GB"/>
        </w:rPr>
        <w:lastRenderedPageBreak/>
        <w:t>Policy Support </w:t>
      </w:r>
    </w:p>
    <w:p w:rsidR="000B0DDC" w:rsidRPr="006C28BE" w:rsidRDefault="000B0DDC" w:rsidP="000B0DDC">
      <w:pPr>
        <w:spacing w:line="360" w:lineRule="auto"/>
        <w:jc w:val="both"/>
        <w:rPr>
          <w:rFonts w:cs="Arial"/>
          <w:color w:val="000000"/>
          <w:lang w:val="en-GB"/>
        </w:rPr>
      </w:pPr>
      <w:r w:rsidRPr="006C28BE">
        <w:rPr>
          <w:rFonts w:cs="Arial"/>
          <w:color w:val="000000"/>
          <w:lang w:val="en-GB"/>
        </w:rPr>
        <w:t>The UK employment policies that support dual-income families have had varying success, and some of them have quite promising results, but some of the policies have shown some huge gaps. Work schedules adapted to different formats and teleworked have been adopted more and more, particularly after the pandemic, with the (Office for National Statistics,2023) saying that 50% of employees in dual-income households used flexible working arrangements. The above facts have been thoroughly tested in the increase of work-life balance through parents being able to better balance childcare and decrease commuting stress (Office for National Statistics,2023).</w:t>
      </w:r>
    </w:p>
    <w:p w:rsidR="000B0DDC" w:rsidRPr="006C28BE" w:rsidRDefault="000B0DDC" w:rsidP="000B0DDC">
      <w:pPr>
        <w:spacing w:line="360" w:lineRule="auto"/>
        <w:jc w:val="both"/>
        <w:rPr>
          <w:rFonts w:cs="Arial"/>
          <w:color w:val="000000"/>
          <w:lang w:val="en-GB"/>
        </w:rPr>
      </w:pPr>
      <w:r w:rsidRPr="006C28BE">
        <w:rPr>
          <w:rFonts w:cs="Arial"/>
          <w:color w:val="000000"/>
          <w:lang w:val="en-GB"/>
        </w:rPr>
        <w:t>Notwithstanding that, parental leave policies do not get an even implementation. However, the overall take-up of Shared Parental Leave which was introduced in 2015 by parents to share child-care responsibilities more flexibly has remained low. A government survey from 2022 revealed that out of 100 eligible parents, only 2 of them utilized shared parental leave to spend time with their new-borns, which clearly indicates serious policy gaps. Financial barriers and lack of awareness act as the factors for the low uptake which means that the policies should be communicated properly, and funding should be made available (Office for National Statistics,2023).</w:t>
      </w:r>
    </w:p>
    <w:p w:rsidR="000B0DDC" w:rsidRPr="006C28BE" w:rsidRDefault="000B0DDC" w:rsidP="000B0DDC">
      <w:pPr>
        <w:spacing w:line="360" w:lineRule="auto"/>
        <w:jc w:val="both"/>
        <w:rPr>
          <w:rFonts w:cs="Arial"/>
          <w:color w:val="000000"/>
          <w:lang w:val="en-GB"/>
        </w:rPr>
      </w:pPr>
      <w:r w:rsidRPr="006C28BE">
        <w:rPr>
          <w:rFonts w:cs="Arial"/>
          <w:color w:val="000000"/>
          <w:lang w:val="en-GB"/>
        </w:rPr>
        <w:t>These findings underline an appeal for policy reforms that would satisfy the expectations of dual-income families. Recommendations for policy improvements include raising the financial incentives for shared parental leave so as to boost the take-up of this benefit and extending flexible working policies to cover other sectors and more forms of jobs. The mentioned gaps could be filled by policies in a more robust manner, thus improving the balance between professional and personal life, which in turn would lead to a better family health (Office for National Statistics,2023).</w:t>
      </w:r>
    </w:p>
    <w:p w:rsidR="000B0DDC" w:rsidRDefault="000B0DDC" w:rsidP="000B0DDC">
      <w:pPr>
        <w:spacing w:line="360" w:lineRule="auto"/>
        <w:jc w:val="both"/>
        <w:rPr>
          <w:rFonts w:cs="Arial"/>
          <w:color w:val="000000"/>
          <w:lang w:val="en-GB"/>
        </w:rPr>
      </w:pPr>
    </w:p>
    <w:p w:rsidR="000B0DDC" w:rsidRDefault="000B0DDC" w:rsidP="000B0DDC">
      <w:pPr>
        <w:spacing w:line="360" w:lineRule="auto"/>
        <w:jc w:val="both"/>
        <w:rPr>
          <w:rFonts w:cs="Arial"/>
          <w:color w:val="000000"/>
          <w:lang w:val="en-GB"/>
        </w:rPr>
      </w:pPr>
    </w:p>
    <w:p w:rsidR="000B0DDC" w:rsidRDefault="000B0DDC" w:rsidP="000B0DDC">
      <w:pPr>
        <w:spacing w:line="360" w:lineRule="auto"/>
        <w:jc w:val="both"/>
        <w:rPr>
          <w:rFonts w:cs="Arial"/>
          <w:color w:val="000000"/>
          <w:lang w:val="en-GB"/>
        </w:rPr>
      </w:pPr>
    </w:p>
    <w:p w:rsidR="000B0DDC" w:rsidRDefault="000B0DDC" w:rsidP="000B0DDC">
      <w:pPr>
        <w:spacing w:line="360" w:lineRule="auto"/>
        <w:jc w:val="both"/>
        <w:rPr>
          <w:rFonts w:cs="Arial"/>
          <w:color w:val="000000"/>
          <w:lang w:val="en-GB"/>
        </w:rPr>
      </w:pPr>
    </w:p>
    <w:p w:rsidR="000B0DDC" w:rsidRDefault="000B0DDC" w:rsidP="000B0DDC">
      <w:pPr>
        <w:spacing w:line="360" w:lineRule="auto"/>
        <w:jc w:val="both"/>
        <w:rPr>
          <w:rFonts w:cs="Arial"/>
          <w:color w:val="000000"/>
          <w:lang w:val="en-GB"/>
        </w:rPr>
      </w:pPr>
    </w:p>
    <w:p w:rsidR="000B0DDC" w:rsidRPr="006C28BE" w:rsidRDefault="000B0DDC" w:rsidP="000B0DDC">
      <w:pPr>
        <w:spacing w:line="360" w:lineRule="auto"/>
        <w:jc w:val="both"/>
        <w:rPr>
          <w:rFonts w:cs="Arial"/>
          <w:color w:val="000000"/>
          <w:lang w:val="en-GB"/>
        </w:rPr>
      </w:pPr>
    </w:p>
    <w:p w:rsidR="000B0DDC" w:rsidRPr="006C28BE" w:rsidRDefault="000B0DDC" w:rsidP="000B0DDC">
      <w:pPr>
        <w:pStyle w:val="Heading3"/>
        <w:numPr>
          <w:ilvl w:val="2"/>
          <w:numId w:val="23"/>
        </w:numPr>
        <w:spacing w:after="160" w:line="360" w:lineRule="auto"/>
        <w:ind w:left="720"/>
        <w:rPr>
          <w:rFonts w:ascii="Arial" w:hAnsi="Arial" w:cs="Arial"/>
          <w:lang w:val="en-GB"/>
        </w:rPr>
      </w:pPr>
      <w:bookmarkStart w:id="75" w:name="_Toc166368646"/>
      <w:r w:rsidRPr="006C28BE">
        <w:rPr>
          <w:rFonts w:ascii="Arial" w:hAnsi="Arial" w:cs="Arial"/>
          <w:lang w:val="en-GB"/>
        </w:rPr>
        <w:lastRenderedPageBreak/>
        <w:t>Mental Health and Well-being</w:t>
      </w:r>
      <w:bookmarkEnd w:id="75"/>
    </w:p>
    <w:p w:rsidR="000B0DDC" w:rsidRPr="006C28BE" w:rsidRDefault="000B0DDC" w:rsidP="000B0DDC">
      <w:pPr>
        <w:spacing w:line="360" w:lineRule="auto"/>
        <w:jc w:val="both"/>
        <w:rPr>
          <w:rFonts w:cs="Arial"/>
          <w:b/>
          <w:bCs/>
          <w:color w:val="000000"/>
          <w:lang w:val="en-GB"/>
        </w:rPr>
      </w:pPr>
      <w:r w:rsidRPr="006C28BE">
        <w:rPr>
          <w:rFonts w:cs="Arial"/>
          <w:b/>
          <w:bCs/>
          <w:color w:val="000000"/>
          <w:lang w:val="en-GB"/>
        </w:rPr>
        <w:t>Health Outcomes </w:t>
      </w:r>
    </w:p>
    <w:p w:rsidR="000B0DDC" w:rsidRPr="006C28BE" w:rsidRDefault="000B0DDC" w:rsidP="000B0DDC">
      <w:pPr>
        <w:spacing w:line="360" w:lineRule="auto"/>
        <w:jc w:val="both"/>
        <w:rPr>
          <w:rFonts w:cs="Arial"/>
          <w:b/>
          <w:bCs/>
          <w:color w:val="000000"/>
          <w:lang w:val="en-GB"/>
        </w:rPr>
      </w:pPr>
      <w:r w:rsidRPr="006C28BE">
        <w:rPr>
          <w:rFonts w:cs="Arial"/>
          <w:color w:val="000000"/>
          <w:lang w:val="en-GB"/>
        </w:rPr>
        <w:t>Double-income couples encounter both individual and common mental health issues, as evidenced by psychological research and national health surveys. It has been noted that stressors such as role overload and role conflict are more than often associated with these work settings where collision of work responsibilities and family duties often results in increased anxiety and depression. A 2022 report by the (Mental Health Foundation,2022) noted that adults in dual-income families have a 30% higher chance of developing a clinical anxiety disorder compared to people in other income categories. Likewise, depression rates are reported to be remarkably high, and the Stress Management Society cites a 25% increase in this among dual earners, highlighting the strong mental strain of the task of managing multiple roles.</w:t>
      </w:r>
    </w:p>
    <w:p w:rsidR="000B0DDC" w:rsidRPr="006C28BE" w:rsidRDefault="000B0DDC" w:rsidP="000B0DDC">
      <w:pPr>
        <w:spacing w:line="360" w:lineRule="auto"/>
        <w:jc w:val="both"/>
        <w:rPr>
          <w:rFonts w:cs="Arial"/>
          <w:b/>
          <w:bCs/>
          <w:color w:val="000000"/>
          <w:lang w:val="en-GB"/>
        </w:rPr>
      </w:pPr>
      <w:r w:rsidRPr="006C28BE">
        <w:rPr>
          <w:rFonts w:cs="Arial"/>
          <w:color w:val="000000"/>
          <w:lang w:val="en-GB"/>
        </w:rPr>
        <w:t>The psychological effects may not be limited to only mental health symptoms experienced immediately, but they can affect the psychological well-being and the quality of life in general. A study conducted by the ("Journal of Family Issues" ,2021) showed that working parents whose income is derived from two sources commonly experienced lowered satisfaction levels in both their parenthood and marriage, thus leading to reduced overall life satisfaction. This relationship suggests the multi-layered link between work-family parameters and mental health and the need for the development of mental health strategies that would consider the problems faced by the people who have two jobs.</w:t>
      </w:r>
    </w:p>
    <w:p w:rsidR="000B0DDC" w:rsidRPr="006C28BE" w:rsidRDefault="000B0DDC" w:rsidP="000B0DDC">
      <w:pPr>
        <w:spacing w:line="360" w:lineRule="auto"/>
        <w:jc w:val="both"/>
        <w:rPr>
          <w:rFonts w:cs="Arial"/>
          <w:b/>
          <w:bCs/>
          <w:color w:val="000000"/>
          <w:lang w:val="en-GB"/>
        </w:rPr>
      </w:pPr>
      <w:r w:rsidRPr="006C28BE">
        <w:rPr>
          <w:rFonts w:cs="Arial"/>
          <w:b/>
          <w:bCs/>
          <w:color w:val="000000"/>
          <w:lang w:val="en-GB"/>
        </w:rPr>
        <w:t>Support System Evaluation </w:t>
      </w:r>
    </w:p>
    <w:p w:rsidR="000B0DDC" w:rsidRPr="006C28BE" w:rsidRDefault="000B0DDC" w:rsidP="000B0DDC">
      <w:pPr>
        <w:spacing w:line="360" w:lineRule="auto"/>
        <w:jc w:val="both"/>
        <w:rPr>
          <w:rFonts w:cs="Arial"/>
          <w:b/>
          <w:bCs/>
          <w:color w:val="000000"/>
          <w:lang w:val="en-GB"/>
        </w:rPr>
      </w:pPr>
      <w:r w:rsidRPr="006C28BE">
        <w:rPr>
          <w:rFonts w:cs="Arial"/>
          <w:color w:val="000000"/>
          <w:lang w:val="en-GB"/>
        </w:rPr>
        <w:t>The existing mental health support networks that are designed for dual-income families have a range in terms of effectiveness. The employer-sponsored initiatives including the Employee Assistance Program (EAP) might be helpful in this situation, yet they do not cover all issues and are not efficient at the same time. (The Health and Safety Executive 2022) conducted a review which concluded that while EAPs are helpful only half of employees in low-income households felt that these programs are sufficient in addressing their mental health issues, which is a sign of the inability of program design and implementation.</w:t>
      </w:r>
    </w:p>
    <w:p w:rsidR="000B0DDC" w:rsidRDefault="000B0DDC" w:rsidP="000B0DDC">
      <w:pPr>
        <w:spacing w:line="360" w:lineRule="auto"/>
        <w:jc w:val="both"/>
        <w:rPr>
          <w:rFonts w:cs="Arial"/>
          <w:color w:val="000000"/>
          <w:lang w:val="en-GB"/>
        </w:rPr>
      </w:pPr>
    </w:p>
    <w:p w:rsidR="000B0DDC" w:rsidRPr="006C28BE" w:rsidRDefault="000B0DDC" w:rsidP="000B0DDC">
      <w:pPr>
        <w:spacing w:line="360" w:lineRule="auto"/>
        <w:jc w:val="both"/>
        <w:rPr>
          <w:rFonts w:cs="Arial"/>
          <w:b/>
          <w:bCs/>
          <w:color w:val="000000"/>
          <w:lang w:val="en-GB"/>
        </w:rPr>
      </w:pPr>
      <w:r w:rsidRPr="006C28BE">
        <w:rPr>
          <w:rFonts w:cs="Arial"/>
          <w:color w:val="000000"/>
          <w:lang w:val="en-GB"/>
        </w:rPr>
        <w:lastRenderedPageBreak/>
        <w:t>Local and healthcare-provided mental health services have their own vital roles in mental health issues, but accessibility continues to be a major challenge. (The NHS report ,2023) indicates that waiting times for mental health services have gone up and this is likely to have a higher impact on workers in high demand dual income sectors such as technology as well as finance where schedules are not flexible. This disbalance indicates the necessity of services that could be more accessible and allow for the different schedules and stresses that dual income couples face.</w:t>
      </w:r>
    </w:p>
    <w:p w:rsidR="000B0DDC" w:rsidRDefault="000B0DDC" w:rsidP="000B0DDC">
      <w:pPr>
        <w:spacing w:line="360" w:lineRule="auto"/>
        <w:jc w:val="both"/>
        <w:rPr>
          <w:rFonts w:cs="Arial"/>
          <w:color w:val="000000"/>
          <w:lang w:val="en-GB"/>
        </w:rPr>
      </w:pPr>
      <w:r w:rsidRPr="006C28BE">
        <w:rPr>
          <w:rFonts w:cs="Arial"/>
          <w:color w:val="000000"/>
          <w:lang w:val="en-GB"/>
        </w:rPr>
        <w:t>To have a positive impact on dual earner mental health, it is fundamental to increase the out-of-hours mental health services availability and invest in workplace mental health initiatives that are specifically tailored for dual earners. Moreover, we can close the gap identified in the study by notifying the staff members with the help of workplace communication and national health campaigns. These improvements can be seen as a prerequisite to a better mental health support system for dual-income families, thus leading to more satisfying mental health outcomes and better overall wellness.</w:t>
      </w:r>
    </w:p>
    <w:p w:rsidR="000B0DDC" w:rsidRPr="006C28BE" w:rsidRDefault="000B0DDC" w:rsidP="000B0DDC">
      <w:pPr>
        <w:spacing w:line="360" w:lineRule="auto"/>
        <w:jc w:val="both"/>
        <w:rPr>
          <w:rFonts w:cs="Arial"/>
          <w:b/>
          <w:bCs/>
          <w:color w:val="000000"/>
          <w:lang w:val="en-GB"/>
        </w:rPr>
      </w:pPr>
    </w:p>
    <w:p w:rsidR="000B0DDC" w:rsidRPr="00B2711A" w:rsidRDefault="000B0DDC" w:rsidP="000B0DDC">
      <w:pPr>
        <w:pStyle w:val="ListParagraph"/>
        <w:numPr>
          <w:ilvl w:val="1"/>
          <w:numId w:val="23"/>
        </w:numPr>
        <w:ind w:hanging="720"/>
        <w:rPr>
          <w:b/>
          <w:sz w:val="28"/>
          <w:szCs w:val="28"/>
          <w:lang w:val="en-GB"/>
        </w:rPr>
      </w:pPr>
      <w:bookmarkStart w:id="76" w:name="_Toc166368647"/>
      <w:r w:rsidRPr="00B2711A">
        <w:rPr>
          <w:b/>
          <w:sz w:val="28"/>
          <w:szCs w:val="28"/>
          <w:lang w:val="en-GB"/>
        </w:rPr>
        <w:t>Theme 3: Policy Efficiency and Further Plans</w:t>
      </w:r>
      <w:bookmarkEnd w:id="76"/>
    </w:p>
    <w:p w:rsidR="000B0DDC" w:rsidRPr="006C28BE" w:rsidRDefault="000B0DDC" w:rsidP="000B0DDC">
      <w:pPr>
        <w:pStyle w:val="Heading3"/>
        <w:numPr>
          <w:ilvl w:val="2"/>
          <w:numId w:val="23"/>
        </w:numPr>
        <w:tabs>
          <w:tab w:val="left" w:pos="720"/>
        </w:tabs>
        <w:spacing w:after="160" w:line="360" w:lineRule="auto"/>
        <w:ind w:hanging="1080"/>
        <w:rPr>
          <w:rFonts w:ascii="Arial" w:hAnsi="Arial" w:cs="Arial"/>
          <w:lang w:val="en-GB"/>
        </w:rPr>
      </w:pPr>
      <w:bookmarkStart w:id="77" w:name="_Toc166368648"/>
      <w:r w:rsidRPr="006C28BE">
        <w:rPr>
          <w:rFonts w:ascii="Arial" w:hAnsi="Arial" w:cs="Arial"/>
          <w:lang w:val="en-GB"/>
        </w:rPr>
        <w:t>The current policy context</w:t>
      </w:r>
      <w:bookmarkEnd w:id="77"/>
      <w:r w:rsidRPr="006C28BE">
        <w:rPr>
          <w:rFonts w:ascii="Arial" w:hAnsi="Arial" w:cs="Arial"/>
          <w:lang w:val="en-GB"/>
        </w:rPr>
        <w:t> </w:t>
      </w:r>
    </w:p>
    <w:p w:rsidR="000B0DDC" w:rsidRPr="006C28BE" w:rsidRDefault="000B0DDC" w:rsidP="000B0DDC">
      <w:pPr>
        <w:spacing w:line="360" w:lineRule="auto"/>
        <w:jc w:val="both"/>
        <w:rPr>
          <w:rFonts w:cs="Arial"/>
          <w:b/>
          <w:bCs/>
          <w:color w:val="000000"/>
          <w:lang w:val="en-GB"/>
        </w:rPr>
      </w:pPr>
      <w:r w:rsidRPr="006C28BE">
        <w:rPr>
          <w:rFonts w:cs="Arial"/>
          <w:b/>
          <w:bCs/>
          <w:color w:val="000000"/>
          <w:lang w:val="en-GB"/>
        </w:rPr>
        <w:t>Care and Support of the Parents </w:t>
      </w:r>
    </w:p>
    <w:p w:rsidR="000B0DDC" w:rsidRPr="006C28BE" w:rsidRDefault="000B0DDC" w:rsidP="000B0DDC">
      <w:pPr>
        <w:spacing w:line="360" w:lineRule="auto"/>
        <w:jc w:val="both"/>
        <w:rPr>
          <w:rFonts w:cs="Arial"/>
          <w:color w:val="000000"/>
          <w:lang w:val="en-GB"/>
        </w:rPr>
      </w:pPr>
      <w:r w:rsidRPr="006C28BE">
        <w:rPr>
          <w:rFonts w:cs="Arial"/>
          <w:color w:val="000000"/>
          <w:lang w:val="en-GB"/>
        </w:rPr>
        <w:t>In the UK, the Tax-Free Childcare and Shared Parental Leave policies are designed to help dual-income households advance their careers and take care of their children by alleviating the cost and logistics associated with raising a family. Tax-Free Childcare gives up to £2,000 tax-free payment per child per year to help families with the childcare costs, having in mind to make the childcare affordable and accessible. Even though it was designed for the purpose of addressing the issue, it has not been used as much as expected. The UK Government 2022 report shows that only around 65% of families that fall within the eligibility bracket have enrolled into the program. This might suggest that there are some barriers to access or awareness.</w:t>
      </w:r>
    </w:p>
    <w:p w:rsidR="000B0DDC" w:rsidRPr="006C28BE" w:rsidRDefault="000B0DDC" w:rsidP="000B0DDC">
      <w:pPr>
        <w:spacing w:line="360" w:lineRule="auto"/>
        <w:jc w:val="both"/>
        <w:rPr>
          <w:rFonts w:cs="Arial"/>
          <w:b/>
          <w:bCs/>
          <w:color w:val="000000"/>
          <w:lang w:val="en-GB"/>
        </w:rPr>
      </w:pPr>
    </w:p>
    <w:p w:rsidR="000B0DDC" w:rsidRDefault="000B0DDC" w:rsidP="000B0DDC">
      <w:pPr>
        <w:spacing w:line="360" w:lineRule="auto"/>
        <w:jc w:val="both"/>
        <w:rPr>
          <w:rFonts w:cs="Arial"/>
          <w:color w:val="000000"/>
          <w:lang w:val="en-GB"/>
        </w:rPr>
      </w:pPr>
    </w:p>
    <w:p w:rsidR="000B0DDC" w:rsidRPr="006C28BE" w:rsidRDefault="000B0DDC" w:rsidP="000B0DDC">
      <w:pPr>
        <w:spacing w:line="360" w:lineRule="auto"/>
        <w:jc w:val="both"/>
        <w:rPr>
          <w:rFonts w:cs="Arial"/>
          <w:b/>
          <w:bCs/>
          <w:color w:val="000000"/>
          <w:lang w:val="en-GB"/>
        </w:rPr>
      </w:pPr>
      <w:r w:rsidRPr="006C28BE">
        <w:rPr>
          <w:rFonts w:cs="Arial"/>
          <w:color w:val="000000"/>
          <w:lang w:val="en-GB"/>
        </w:rPr>
        <w:lastRenderedPageBreak/>
        <w:t>Shared Parental Leave, which was introduced in 2015, enables parents to divide up to 50 weeks of paid leave between them after having a child. This policy seeks to give way to more flexibility as well as promote gender equality in the roles of caregivers. Conversely, the Equality and (Human Rights Commission study ,2021) found that only 2% of eligible parents used the policy. This signifies that there are major difficulties in the uptake of the policy. These imperfections reveal some important loopholes concerning accessibility, for instance, the complicated application procedures and the inadequate financial assistance that impede the widespread adoption of these services.</w:t>
      </w:r>
    </w:p>
    <w:p w:rsidR="000B0DDC" w:rsidRPr="006C28BE" w:rsidRDefault="000B0DDC" w:rsidP="000B0DDC">
      <w:pPr>
        <w:spacing w:line="360" w:lineRule="auto"/>
        <w:jc w:val="both"/>
        <w:rPr>
          <w:rFonts w:cs="Arial"/>
          <w:b/>
          <w:bCs/>
          <w:color w:val="000000"/>
          <w:lang w:val="en-GB"/>
        </w:rPr>
      </w:pPr>
      <w:r w:rsidRPr="006C28BE">
        <w:rPr>
          <w:rFonts w:cs="Arial"/>
          <w:b/>
          <w:bCs/>
          <w:color w:val="000000"/>
          <w:lang w:val="en-GB"/>
        </w:rPr>
        <w:t>Economic Incentives </w:t>
      </w:r>
    </w:p>
    <w:p w:rsidR="000B0DDC" w:rsidRPr="006C28BE" w:rsidRDefault="000B0DDC" w:rsidP="000B0DDC">
      <w:pPr>
        <w:spacing w:line="360" w:lineRule="auto"/>
        <w:jc w:val="both"/>
        <w:rPr>
          <w:rFonts w:cs="Arial"/>
          <w:b/>
          <w:bCs/>
          <w:color w:val="000000"/>
          <w:lang w:val="en-GB"/>
        </w:rPr>
      </w:pPr>
      <w:r w:rsidRPr="006C28BE">
        <w:rPr>
          <w:rFonts w:cs="Arial"/>
          <w:color w:val="000000"/>
          <w:lang w:val="en-GB"/>
        </w:rPr>
        <w:t>The economic incentive in the form of tax breaks, housing subsidies, and financial aid for childcare are the basic requirements for the households opting for dual-income families. These incentives are designed to secure the flow of money and provide economic stability among families where both parents are working. Take for example the housing subsidies whose main role is to curb housing costs especially in urban areas thus the working families can easily afford homeownership.</w:t>
      </w:r>
    </w:p>
    <w:p w:rsidR="000B0DDC" w:rsidRPr="006C28BE" w:rsidRDefault="000B0DDC" w:rsidP="000B0DDC">
      <w:pPr>
        <w:spacing w:line="360" w:lineRule="auto"/>
        <w:jc w:val="both"/>
        <w:rPr>
          <w:rFonts w:cs="Arial"/>
          <w:b/>
          <w:bCs/>
          <w:color w:val="000000"/>
          <w:lang w:val="en-GB"/>
        </w:rPr>
      </w:pPr>
      <w:r w:rsidRPr="006C28BE">
        <w:rPr>
          <w:rFonts w:cs="Arial"/>
          <w:color w:val="000000"/>
          <w:lang w:val="en-GB"/>
        </w:rPr>
        <w:t>(The Institute for Fiscal Studies ,2023) has done research that shows the inconsistency of the effects of tax breaks and subsidies on the economy. The impact of the tax breaks and subsidies may vary considerably across income levels and regions. For instance, middle to high income earners are likely to enjoy greater benefits than their low-income families (Office for National Statistics,2023). The illustration of this effect can be perceived from the involuntary market price increase when tax incentives are given to housing. This decreases the actual benefit to dual-earner families with lower income.</w:t>
      </w:r>
    </w:p>
    <w:p w:rsidR="000B0DDC" w:rsidRDefault="000B0DDC" w:rsidP="000B0DDC">
      <w:pPr>
        <w:spacing w:line="360" w:lineRule="auto"/>
        <w:jc w:val="both"/>
        <w:rPr>
          <w:rFonts w:cs="Arial"/>
          <w:color w:val="000000"/>
          <w:lang w:val="en-GB"/>
        </w:rPr>
      </w:pPr>
      <w:r w:rsidRPr="006C28BE">
        <w:rPr>
          <w:rFonts w:cs="Arial"/>
          <w:color w:val="000000"/>
          <w:lang w:val="en-GB"/>
        </w:rPr>
        <w:t>Additionally, the critics put forward the argument that despite the immediate monetary gains, these policies may not address the primary causes of economic instability in which parents work, such as the high cost of living and childcare. These are the suggestions that current incentives do take us in the right direction, but they need to be improved to serve a wider group of people and to have fair distribution of benefits for everyone (Office for National Statistics,2023).</w:t>
      </w:r>
    </w:p>
    <w:p w:rsidR="000B0DDC" w:rsidRDefault="000B0DDC" w:rsidP="000B0DDC">
      <w:pPr>
        <w:spacing w:line="360" w:lineRule="auto"/>
        <w:jc w:val="both"/>
        <w:rPr>
          <w:rFonts w:cs="Arial"/>
          <w:color w:val="000000"/>
          <w:lang w:val="en-GB"/>
        </w:rPr>
      </w:pPr>
    </w:p>
    <w:p w:rsidR="000B0DDC" w:rsidRPr="006C28BE" w:rsidRDefault="000B0DDC" w:rsidP="000B0DDC">
      <w:pPr>
        <w:spacing w:line="360" w:lineRule="auto"/>
        <w:jc w:val="both"/>
        <w:rPr>
          <w:rFonts w:cs="Arial"/>
          <w:b/>
          <w:bCs/>
          <w:color w:val="000000"/>
          <w:lang w:val="en-GB"/>
        </w:rPr>
      </w:pPr>
    </w:p>
    <w:p w:rsidR="000B0DDC" w:rsidRPr="006C28BE" w:rsidRDefault="000B0DDC" w:rsidP="000B0DDC">
      <w:pPr>
        <w:pStyle w:val="Heading3"/>
        <w:numPr>
          <w:ilvl w:val="2"/>
          <w:numId w:val="23"/>
        </w:numPr>
        <w:spacing w:after="160" w:line="360" w:lineRule="auto"/>
        <w:ind w:left="720"/>
        <w:rPr>
          <w:rFonts w:ascii="Arial" w:hAnsi="Arial" w:cs="Arial"/>
          <w:lang w:val="en-GB"/>
        </w:rPr>
      </w:pPr>
      <w:bookmarkStart w:id="78" w:name="_Toc166368649"/>
      <w:r w:rsidRPr="006C28BE">
        <w:rPr>
          <w:rFonts w:ascii="Arial" w:hAnsi="Arial" w:cs="Arial"/>
          <w:lang w:val="en-GB"/>
        </w:rPr>
        <w:lastRenderedPageBreak/>
        <w:t>Suggested Policy Innovations</w:t>
      </w:r>
      <w:bookmarkEnd w:id="78"/>
    </w:p>
    <w:p w:rsidR="000B0DDC" w:rsidRPr="006C28BE" w:rsidRDefault="000B0DDC" w:rsidP="00B664F2">
      <w:pPr>
        <w:spacing w:line="360" w:lineRule="auto"/>
        <w:jc w:val="both"/>
        <w:rPr>
          <w:rFonts w:cs="Arial"/>
          <w:b/>
          <w:bCs/>
          <w:color w:val="000000"/>
          <w:lang w:val="en-GB"/>
        </w:rPr>
      </w:pPr>
      <w:bookmarkStart w:id="79" w:name="_GoBack"/>
      <w:bookmarkEnd w:id="79"/>
      <w:r w:rsidRPr="006C28BE">
        <w:rPr>
          <w:rFonts w:cs="Arial"/>
          <w:b/>
          <w:bCs/>
          <w:color w:val="000000"/>
          <w:lang w:val="en-GB"/>
        </w:rPr>
        <w:t>Innovative Policies </w:t>
      </w:r>
    </w:p>
    <w:p w:rsidR="000B0DDC" w:rsidRPr="006C28BE" w:rsidRDefault="000B0DDC" w:rsidP="000B0DDC">
      <w:pPr>
        <w:spacing w:line="360" w:lineRule="auto"/>
        <w:jc w:val="both"/>
        <w:rPr>
          <w:rFonts w:cs="Arial"/>
          <w:b/>
          <w:bCs/>
          <w:color w:val="000000"/>
          <w:lang w:val="en-GB"/>
        </w:rPr>
      </w:pPr>
      <w:r w:rsidRPr="006C28BE">
        <w:rPr>
          <w:rFonts w:cs="Arial"/>
          <w:color w:val="000000"/>
          <w:lang w:val="en-GB"/>
        </w:rPr>
        <w:t>Addressing the identified gaps from the assessment of current UK policies, several innovative measures could significantly enhance support for dual-income households. Firstly, more flexible childcare solutions are crucial. An innovative approach could include subsidies for in-home childcare, allowing parents greater flexibility in managing work and family obligations. For instance, providing tax credits for families that hire registered childminders or nannies could fill the gaps in traditional childcare services, particularly during non-standard work hours.</w:t>
      </w:r>
    </w:p>
    <w:p w:rsidR="000B0DDC" w:rsidRPr="006C28BE" w:rsidRDefault="000B0DDC" w:rsidP="000B0DDC">
      <w:pPr>
        <w:spacing w:line="360" w:lineRule="auto"/>
        <w:jc w:val="both"/>
        <w:rPr>
          <w:rFonts w:cs="Arial"/>
          <w:color w:val="000000"/>
          <w:lang w:val="en-GB"/>
        </w:rPr>
      </w:pPr>
      <w:r w:rsidRPr="006C28BE">
        <w:rPr>
          <w:rFonts w:cs="Arial"/>
          <w:color w:val="000000"/>
          <w:lang w:val="en-GB"/>
        </w:rPr>
        <w:t>Additionally, enhancing tax relief schemes can provide direct financial relief to dual-income households. Expanding tax deductions for dual earners, specifically tailored to include deductions for work-related expenses such as commuting and professional development, can alleviate the financial burden significantly. As the initial data from the pilot projects in the Greater London area shows, households that received higher than usual tax reliefs reported that they had around 20% more disposable income that they often redirected to savings and improvements in their living standards (Clark , 2021).</w:t>
      </w:r>
    </w:p>
    <w:p w:rsidR="000B0DDC" w:rsidRPr="006C28BE" w:rsidRDefault="000B0DDC" w:rsidP="000B0DDC">
      <w:pPr>
        <w:spacing w:line="360" w:lineRule="auto"/>
        <w:jc w:val="both"/>
        <w:rPr>
          <w:rFonts w:cs="Arial"/>
          <w:color w:val="000000"/>
          <w:lang w:val="en-GB"/>
        </w:rPr>
      </w:pPr>
      <w:r w:rsidRPr="006C28BE">
        <w:rPr>
          <w:rFonts w:cs="Arial"/>
          <w:color w:val="000000"/>
          <w:lang w:val="en-GB"/>
        </w:rPr>
        <w:t>The proposed policies would not only be a financial relief, but they would also improve the well-being of families with two earners in terms of work-life balance, which may lead to higher job satisfaction, as well as a better economic performance. The same pattern will be compatible with the concepts of the socio-economic stability that is based on the comprehensive support systems which enhance family welfare and the economic development.</w:t>
      </w:r>
    </w:p>
    <w:p w:rsidR="000B0DDC" w:rsidRPr="006C28BE" w:rsidRDefault="000B0DDC" w:rsidP="000B0DDC">
      <w:pPr>
        <w:spacing w:line="360" w:lineRule="auto"/>
        <w:jc w:val="both"/>
        <w:rPr>
          <w:rFonts w:cs="Arial"/>
          <w:b/>
          <w:bCs/>
          <w:color w:val="000000"/>
          <w:lang w:val="en-GB"/>
        </w:rPr>
      </w:pPr>
      <w:r w:rsidRPr="006C28BE">
        <w:rPr>
          <w:rFonts w:cs="Arial"/>
          <w:b/>
          <w:bCs/>
          <w:color w:val="000000"/>
          <w:lang w:val="en-GB"/>
        </w:rPr>
        <w:t>International Best Practices </w:t>
      </w:r>
    </w:p>
    <w:p w:rsidR="000B0DDC" w:rsidRPr="006C28BE" w:rsidRDefault="000B0DDC" w:rsidP="000B0DDC">
      <w:pPr>
        <w:spacing w:line="360" w:lineRule="auto"/>
        <w:jc w:val="both"/>
        <w:rPr>
          <w:rFonts w:cs="Arial"/>
          <w:lang w:val="en-IN" w:eastAsia="en-IN"/>
        </w:rPr>
      </w:pPr>
      <w:r w:rsidRPr="006C28BE">
        <w:rPr>
          <w:rFonts w:cs="Arial"/>
          <w:lang w:val="en-IN" w:eastAsia="en-IN"/>
        </w:rPr>
        <w:t>Globally, Scandinavian countries provide an ideal model for such families where both parents are working. The Swedish leave policy, which is the most efficient one, allows parents to use 480 days of paid leave at normal salary level. This system is promoted by the society that holds gender equality and work-life balance as its values, and it is supported by the strong robust governmental backing. Another aspect of the Finnish model towards childcare is the high quality and subsidized daycare as well as the universal allowance for children which is an evidence of the comprehensive support systems (Simmons,2022) (Clark ,2021).</w:t>
      </w:r>
    </w:p>
    <w:p w:rsidR="000B0DDC" w:rsidRPr="006C28BE" w:rsidRDefault="000B0DDC" w:rsidP="000B0DDC">
      <w:pPr>
        <w:spacing w:line="360" w:lineRule="auto"/>
        <w:jc w:val="both"/>
        <w:rPr>
          <w:rFonts w:cs="Arial"/>
          <w:lang w:val="en-IN" w:eastAsia="en-IN"/>
        </w:rPr>
      </w:pPr>
      <w:r w:rsidRPr="006C28BE">
        <w:rPr>
          <w:rFonts w:cs="Arial"/>
          <w:lang w:val="en-IN" w:eastAsia="en-IN"/>
        </w:rPr>
        <w:lastRenderedPageBreak/>
        <w:t>These models are effective as they are integrated with other social security and economic policies that focus on the wellbeing of families and workplace equality between genders. These structures not only enable dual-income families, but they also create a society where the two parental roles are treated as equal in terms of the responsibility they have at home and in the workplace.</w:t>
      </w:r>
    </w:p>
    <w:p w:rsidR="000B0DDC" w:rsidRDefault="000B0DDC" w:rsidP="000B0DDC">
      <w:pPr>
        <w:spacing w:line="360" w:lineRule="auto"/>
        <w:jc w:val="both"/>
        <w:rPr>
          <w:rFonts w:cs="Arial"/>
          <w:lang w:val="en-IN" w:eastAsia="en-IN"/>
        </w:rPr>
      </w:pPr>
      <w:r w:rsidRPr="006C28BE">
        <w:rPr>
          <w:rFonts w:cs="Arial"/>
          <w:lang w:val="en-IN" w:eastAsia="en-IN"/>
        </w:rPr>
        <w:t>In order to apply these policies to the UK system, it would be necessary to take into account the cultural, economic, and political differences. Take, for example, modifying the UK parental leave on the Swedish model. It could be done through improvements in the flexibility and affordability of shared parental leave, so that it better fits with the economic circumstances and work ethics in the UK. Just as Finland’s childcare elements can be adopted, this might include improving the quality and availability of childcare services with the help of additional governmental funding, and possibly an attitude change towards communal responsibility for child-rearing. This approach would help to ensure that the best elements of the Scandinavian models will be appropriately translated to address the unique challenges and restrictions of British dual-income households.</w:t>
      </w:r>
    </w:p>
    <w:p w:rsidR="000B0DDC" w:rsidRPr="006C28BE" w:rsidRDefault="000B0DDC" w:rsidP="000B0DDC">
      <w:pPr>
        <w:spacing w:line="360" w:lineRule="auto"/>
        <w:jc w:val="both"/>
        <w:rPr>
          <w:rFonts w:cs="Arial"/>
        </w:rPr>
      </w:pPr>
    </w:p>
    <w:p w:rsidR="000B0DDC" w:rsidRPr="00475CEA" w:rsidRDefault="000B0DDC" w:rsidP="000B0DDC">
      <w:pPr>
        <w:pStyle w:val="ListParagraph"/>
        <w:numPr>
          <w:ilvl w:val="1"/>
          <w:numId w:val="23"/>
        </w:numPr>
        <w:ind w:hanging="720"/>
        <w:rPr>
          <w:b/>
          <w:sz w:val="28"/>
          <w:szCs w:val="28"/>
          <w:lang w:val="en-GB"/>
        </w:rPr>
      </w:pPr>
      <w:bookmarkStart w:id="80" w:name="_Toc166368650"/>
      <w:r w:rsidRPr="00475CEA">
        <w:rPr>
          <w:b/>
          <w:sz w:val="28"/>
          <w:szCs w:val="28"/>
          <w:lang w:val="en-GB"/>
        </w:rPr>
        <w:t>Thematic Insights and Discussions</w:t>
      </w:r>
      <w:bookmarkEnd w:id="80"/>
    </w:p>
    <w:p w:rsidR="000B0DDC" w:rsidRPr="006C28BE" w:rsidRDefault="000B0DDC" w:rsidP="000B0DDC">
      <w:pPr>
        <w:pStyle w:val="Heading3"/>
        <w:numPr>
          <w:ilvl w:val="2"/>
          <w:numId w:val="23"/>
        </w:numPr>
        <w:spacing w:after="160" w:line="360" w:lineRule="auto"/>
        <w:ind w:left="720"/>
        <w:rPr>
          <w:rFonts w:ascii="Arial" w:hAnsi="Arial" w:cs="Arial"/>
          <w:lang w:val="en-GB"/>
        </w:rPr>
      </w:pPr>
      <w:bookmarkStart w:id="81" w:name="_Toc166368651"/>
      <w:r w:rsidRPr="006C28BE">
        <w:rPr>
          <w:rFonts w:ascii="Arial" w:hAnsi="Arial" w:cs="Arial"/>
          <w:lang w:val="en-GB"/>
        </w:rPr>
        <w:t>Integrated View of Themes</w:t>
      </w:r>
      <w:bookmarkEnd w:id="81"/>
      <w:r w:rsidRPr="006C28BE">
        <w:rPr>
          <w:rFonts w:ascii="Arial" w:hAnsi="Arial" w:cs="Arial"/>
          <w:lang w:val="en-GB"/>
        </w:rPr>
        <w:t> </w:t>
      </w:r>
    </w:p>
    <w:p w:rsidR="000B0DDC" w:rsidRPr="006C28BE" w:rsidRDefault="000B0DDC" w:rsidP="000B0DDC">
      <w:pPr>
        <w:spacing w:line="360" w:lineRule="auto"/>
        <w:jc w:val="both"/>
        <w:rPr>
          <w:rFonts w:cs="Arial"/>
          <w:color w:val="000000"/>
          <w:lang w:val="en-GB"/>
        </w:rPr>
      </w:pPr>
      <w:r w:rsidRPr="006C28BE">
        <w:rPr>
          <w:rFonts w:cs="Arial"/>
          <w:color w:val="000000"/>
          <w:lang w:val="en-GB"/>
        </w:rPr>
        <w:t>The examination of dual-income households under the main themes of economic influences, social and family relationships, and policy effectivity demonstrates a diverse picture of contemporary life in the UK (Clark ,2021). The data shows that the households with two incomes, in addition to stabilize the economy, may also be a source of its complexity. One example is that the dual income earner of a household has a substantial impact on the level of income and the spending which in turn build up the economic resilience among the family. On the other hand, the surge of dual incomes can also cause the house prices to rise because of the higher demand for the limited supply. This trend is not a new phenomenon, especially in the big cities where the demand is more than the supply resulting in income inequality across different regions.</w:t>
      </w:r>
    </w:p>
    <w:p w:rsidR="000B0DDC" w:rsidRPr="006C28BE" w:rsidRDefault="000B0DDC" w:rsidP="000B0DDC">
      <w:pPr>
        <w:spacing w:line="360" w:lineRule="auto"/>
        <w:jc w:val="both"/>
        <w:rPr>
          <w:rFonts w:cs="Arial"/>
          <w:color w:val="000000"/>
          <w:lang w:val="en-GB"/>
        </w:rPr>
      </w:pPr>
      <w:r w:rsidRPr="006C28BE">
        <w:rPr>
          <w:rFonts w:cs="Arial"/>
          <w:color w:val="000000"/>
          <w:lang w:val="en-GB"/>
        </w:rPr>
        <w:t xml:space="preserve">Although, the families where both spouses are employed face various challenges like work-life balance and mental health issues which are intimately linked to the economic impacts. For instance, the struggle to manage two incomes may contribute to stress, </w:t>
      </w:r>
      <w:r w:rsidRPr="006C28BE">
        <w:rPr>
          <w:rFonts w:cs="Arial"/>
          <w:color w:val="000000"/>
          <w:lang w:val="en-GB"/>
        </w:rPr>
        <w:lastRenderedPageBreak/>
        <w:t>which in turn, can reduce the amount of time the whole family spends together, affecting the psychological health of all the family members. These personal and family-related issues are indeed indicative of the economic pressures which include paying high costs for housing in the urban locations and the saving for the future safety.</w:t>
      </w:r>
    </w:p>
    <w:p w:rsidR="000B0DDC" w:rsidRPr="006C28BE" w:rsidRDefault="000B0DDC" w:rsidP="000B0DDC">
      <w:pPr>
        <w:spacing w:line="360" w:lineRule="auto"/>
        <w:jc w:val="both"/>
        <w:rPr>
          <w:rFonts w:cs="Arial"/>
          <w:color w:val="000000"/>
          <w:lang w:val="en-GB"/>
        </w:rPr>
      </w:pPr>
      <w:r w:rsidRPr="006C28BE">
        <w:rPr>
          <w:rFonts w:cs="Arial"/>
          <w:color w:val="000000"/>
          <w:lang w:val="en-GB"/>
        </w:rPr>
        <w:t>Not only does the connection between economic stability and family well-being demonstrate that the policy has a crucial impact on these experiences but also that the policy is a major factor that affects these experiences. The implementation of the policies that are effective like flexible work arrangements and comprehensive parental leave can directly influence the ability of families to manage the work-life balance and keep the mental health (Clark, 2021). However, the shortcomings in the policy support are the ones that often aggravate those stressors, which may consequently result in a cycle where the economic conditions and the social structures keep reinforcing one another. For example, inadequate childcare support not only leads to parental stress scenarios, but also affects economic productivity and family economic stability, which are a clear demonstration of the cyclical nature of these problems.</w:t>
      </w:r>
    </w:p>
    <w:p w:rsidR="000B0DDC" w:rsidRPr="006C28BE" w:rsidRDefault="000B0DDC" w:rsidP="000B0DDC">
      <w:pPr>
        <w:spacing w:line="360" w:lineRule="auto"/>
        <w:jc w:val="both"/>
        <w:rPr>
          <w:rFonts w:cs="Arial"/>
          <w:b/>
          <w:bCs/>
          <w:color w:val="000000"/>
          <w:lang w:val="en-GB"/>
        </w:rPr>
      </w:pPr>
      <w:r w:rsidRPr="006C28BE">
        <w:rPr>
          <w:rFonts w:cs="Arial"/>
          <w:color w:val="000000"/>
          <w:lang w:val="en-GB"/>
        </w:rPr>
        <w:t>For all intents and purposes, the dual-income household model implies a duality of conditions; that is, economic benefits are mostly offset by social issues. These results therefore make the case for the need for the policy measures which are responsive, flexible, and of course address not just the economic as well as the social issues of working families. This strategy will provide an opportunity to enhance the advantages of having two incomes in a family but also mitigate the challenges that might be caused by it. (</w:t>
      </w:r>
      <w:r w:rsidRPr="006C28BE">
        <w:rPr>
          <w:rFonts w:cs="Arial"/>
          <w:lang w:val="en-GB"/>
        </w:rPr>
        <w:t>Clark ,2021)</w:t>
      </w:r>
      <w:r w:rsidRPr="006C28BE">
        <w:rPr>
          <w:rFonts w:cs="Arial"/>
          <w:color w:val="000000"/>
          <w:lang w:val="en-GB"/>
        </w:rPr>
        <w:t>.</w:t>
      </w:r>
    </w:p>
    <w:p w:rsidR="000B0DDC" w:rsidRPr="006C28BE" w:rsidRDefault="000B0DDC" w:rsidP="000B0DDC">
      <w:pPr>
        <w:pStyle w:val="Heading3"/>
        <w:numPr>
          <w:ilvl w:val="2"/>
          <w:numId w:val="23"/>
        </w:numPr>
        <w:spacing w:after="160" w:line="360" w:lineRule="auto"/>
        <w:ind w:left="720"/>
        <w:rPr>
          <w:rFonts w:ascii="Arial" w:hAnsi="Arial" w:cs="Arial"/>
          <w:lang w:val="en-GB"/>
        </w:rPr>
      </w:pPr>
      <w:bookmarkStart w:id="82" w:name="_Toc166368652"/>
      <w:r w:rsidRPr="006C28BE">
        <w:rPr>
          <w:rFonts w:ascii="Arial" w:hAnsi="Arial" w:cs="Arial"/>
          <w:lang w:val="en-GB"/>
        </w:rPr>
        <w:t>Implications for Policy and Society</w:t>
      </w:r>
      <w:bookmarkEnd w:id="82"/>
    </w:p>
    <w:p w:rsidR="000B0DDC" w:rsidRPr="006C28BE" w:rsidRDefault="000B0DDC" w:rsidP="000B0DDC">
      <w:pPr>
        <w:spacing w:line="360" w:lineRule="auto"/>
        <w:jc w:val="both"/>
        <w:rPr>
          <w:rFonts w:cs="Arial"/>
          <w:b/>
          <w:bCs/>
          <w:color w:val="000000"/>
          <w:lang w:val="en-GB"/>
        </w:rPr>
      </w:pPr>
      <w:r w:rsidRPr="006C28BE">
        <w:rPr>
          <w:rFonts w:cs="Arial"/>
          <w:b/>
          <w:bCs/>
          <w:color w:val="000000"/>
          <w:lang w:val="en-GB"/>
        </w:rPr>
        <w:t>Implications for Policy</w:t>
      </w:r>
    </w:p>
    <w:p w:rsidR="000B0DDC" w:rsidRPr="006C28BE" w:rsidRDefault="000B0DDC" w:rsidP="000B0DDC">
      <w:pPr>
        <w:spacing w:line="360" w:lineRule="auto"/>
        <w:jc w:val="both"/>
        <w:rPr>
          <w:rFonts w:cs="Arial"/>
          <w:color w:val="000000"/>
          <w:lang w:val="en-GB"/>
        </w:rPr>
      </w:pPr>
      <w:r w:rsidRPr="006C28BE">
        <w:rPr>
          <w:rFonts w:cs="Arial"/>
          <w:color w:val="000000"/>
          <w:lang w:val="en-GB"/>
        </w:rPr>
        <w:t xml:space="preserve">The results from British dual-income households' analysis lay bare the fact that we need policies that more effectively cater for these families' peculiar needs. Among the areas where the policy could be improved are providing economic incentives, providing childcare support more robustly and expanding mental health services directed to the needs of the working parents (Clark, 2021). Take for instance, tax breaks for families with two incomes would reduce the instances of financial difficulties, while government subsidies for childcare may help to balance work and family more. Moreover, </w:t>
      </w:r>
      <w:r w:rsidRPr="006C28BE">
        <w:rPr>
          <w:rFonts w:cs="Arial"/>
          <w:color w:val="000000"/>
          <w:lang w:val="en-GB"/>
        </w:rPr>
        <w:lastRenderedPageBreak/>
        <w:t>incorporating mental health support into the company health plan can be a preventive move to mental health and stress.</w:t>
      </w:r>
    </w:p>
    <w:p w:rsidR="000B0DDC" w:rsidRPr="006C28BE" w:rsidRDefault="000B0DDC" w:rsidP="000B0DDC">
      <w:pPr>
        <w:spacing w:line="360" w:lineRule="auto"/>
        <w:jc w:val="both"/>
        <w:rPr>
          <w:rFonts w:cs="Arial"/>
          <w:b/>
          <w:bCs/>
          <w:color w:val="000000"/>
          <w:lang w:val="en-GB"/>
        </w:rPr>
      </w:pPr>
      <w:r w:rsidRPr="006C28BE">
        <w:rPr>
          <w:rFonts w:cs="Arial"/>
          <w:color w:val="000000"/>
          <w:lang w:val="en-GB"/>
        </w:rPr>
        <w:t>These reforms are just not promising to help families with lower income but also represent a bigger picture of economic stability and social equity. The improved backing for dual-income households could increase number of people at work as well as productivity which in turn would fuel economic growth. Additionally, policies like this might help in the formation of a more robust societal structure through the reduction of economic differences and the support of family care.</w:t>
      </w:r>
    </w:p>
    <w:p w:rsidR="000B0DDC" w:rsidRPr="006C28BE" w:rsidRDefault="000B0DDC" w:rsidP="000B0DDC">
      <w:pPr>
        <w:spacing w:line="360" w:lineRule="auto"/>
        <w:jc w:val="both"/>
        <w:rPr>
          <w:rFonts w:cs="Arial"/>
          <w:b/>
          <w:bCs/>
          <w:color w:val="000000"/>
          <w:lang w:val="en-GB"/>
        </w:rPr>
      </w:pPr>
      <w:r w:rsidRPr="006C28BE">
        <w:rPr>
          <w:rFonts w:cs="Arial"/>
          <w:b/>
          <w:bCs/>
          <w:color w:val="000000"/>
          <w:lang w:val="en-GB"/>
        </w:rPr>
        <w:t>Implications for Society</w:t>
      </w:r>
    </w:p>
    <w:p w:rsidR="000B0DDC" w:rsidRPr="006C28BE" w:rsidRDefault="000B0DDC" w:rsidP="000B0DDC">
      <w:pPr>
        <w:spacing w:line="360" w:lineRule="auto"/>
        <w:jc w:val="both"/>
        <w:rPr>
          <w:rFonts w:cs="Arial"/>
          <w:color w:val="000000"/>
          <w:lang w:val="en-GB"/>
        </w:rPr>
      </w:pPr>
      <w:r w:rsidRPr="006C28BE">
        <w:rPr>
          <w:rFonts w:cs="Arial"/>
          <w:color w:val="000000"/>
          <w:lang w:val="en-GB"/>
        </w:rPr>
        <w:t>The societal importance of these outcomes is tremendous. The shifts of the family systems and working patterns of both parents can have a huge impact on the cultural structure of the whole society. Making domestic responsibilities more balanced through policy response will contribute to the achievement of gender equality, both at home and at work. Furthermore, provision of dual-income households with support, it is possible to see a society movement towards inclusive and sustainable social development, considering the different needs of contemporary families.</w:t>
      </w:r>
    </w:p>
    <w:p w:rsidR="000B0DDC" w:rsidRPr="006C28BE" w:rsidRDefault="000B0DDC" w:rsidP="000B0DDC">
      <w:pPr>
        <w:spacing w:line="360" w:lineRule="auto"/>
        <w:jc w:val="both"/>
        <w:rPr>
          <w:rFonts w:cs="Arial"/>
          <w:b/>
          <w:bCs/>
          <w:color w:val="000000"/>
          <w:lang w:val="en-GB"/>
        </w:rPr>
      </w:pPr>
      <w:r w:rsidRPr="006C28BE">
        <w:rPr>
          <w:rFonts w:cs="Arial"/>
          <w:color w:val="000000"/>
          <w:lang w:val="en-GB"/>
        </w:rPr>
        <w:t>This may be a catalyst for the creation of new social norms that foster a more comprehensive acceptance of alternative-work arrangements, which in turn would promote the establishment of a balance that is beneficial to both individual families and the community as a whole. Such could be a cultural change where the efforts of all family members are appreciated and respected at the same time, thus a more democratic society is formed.</w:t>
      </w:r>
    </w:p>
    <w:p w:rsidR="000B0DDC" w:rsidRPr="00C91343" w:rsidRDefault="000B0DDC" w:rsidP="000B0DDC">
      <w:pPr>
        <w:pStyle w:val="ListParagraph"/>
        <w:numPr>
          <w:ilvl w:val="1"/>
          <w:numId w:val="23"/>
        </w:numPr>
        <w:ind w:hanging="720"/>
        <w:rPr>
          <w:b/>
          <w:sz w:val="28"/>
          <w:szCs w:val="28"/>
          <w:lang w:val="en-GB"/>
        </w:rPr>
      </w:pPr>
      <w:bookmarkStart w:id="83" w:name="_Toc166368653"/>
      <w:r w:rsidRPr="00C91343">
        <w:rPr>
          <w:b/>
          <w:sz w:val="28"/>
          <w:szCs w:val="28"/>
          <w:lang w:val="en-GB"/>
        </w:rPr>
        <w:t>Linking Back to Research Objectives</w:t>
      </w:r>
      <w:bookmarkEnd w:id="83"/>
    </w:p>
    <w:p w:rsidR="000B0DDC" w:rsidRPr="006C28BE" w:rsidRDefault="000B0DDC" w:rsidP="000B0DDC">
      <w:pPr>
        <w:spacing w:line="360" w:lineRule="auto"/>
        <w:jc w:val="both"/>
        <w:rPr>
          <w:rFonts w:cs="Arial"/>
          <w:color w:val="000000"/>
          <w:lang w:val="en-GB"/>
        </w:rPr>
      </w:pPr>
      <w:r w:rsidRPr="006C28BE">
        <w:rPr>
          <w:rFonts w:cs="Arial"/>
          <w:color w:val="000000"/>
          <w:lang w:val="en-GB"/>
        </w:rPr>
        <w:t>The research is initiated with a view to examining how the socio-economic status of a household is affected by dual incomes in the UK and to evaluate if current policies are working as they should. The findings unquestionably achieve the established goals by offering a detailed explanation which relates the individual experiences to the macroeconomics and policy frameworks. The research shows both the merits and the difficulties which the dual income earning face and outlines the main issues where the policy could be improved to make it more appropriate for these families.</w:t>
      </w:r>
    </w:p>
    <w:p w:rsidR="000B0DDC" w:rsidRPr="006C28BE" w:rsidRDefault="000B0DDC" w:rsidP="000B0DDC">
      <w:pPr>
        <w:spacing w:line="360" w:lineRule="auto"/>
        <w:jc w:val="both"/>
        <w:rPr>
          <w:rFonts w:cs="Arial"/>
          <w:b/>
          <w:bCs/>
          <w:color w:val="000000"/>
          <w:lang w:val="en-GB"/>
        </w:rPr>
      </w:pPr>
      <w:r w:rsidRPr="006C28BE">
        <w:rPr>
          <w:rFonts w:cs="Arial"/>
          <w:color w:val="000000"/>
          <w:lang w:val="en-GB"/>
        </w:rPr>
        <w:lastRenderedPageBreak/>
        <w:t>The present dissertation has a great impact on the knowledge of academics and practitioners in the area of an income dual household, which gives practical insights that can be used in further research and policy development. It is also through the suggesting of specific pathways for policy improvement and emphasizing areas which need further academic exploration that the study not only adds to the discussion of family economics, but also proposes actionable steps towards more effective and equitable policy solution.</w:t>
      </w:r>
    </w:p>
    <w:p w:rsidR="000B0DDC" w:rsidRPr="001E53E8" w:rsidRDefault="000B0DDC" w:rsidP="000B0DDC">
      <w:pPr>
        <w:pStyle w:val="ListParagraph"/>
        <w:numPr>
          <w:ilvl w:val="1"/>
          <w:numId w:val="23"/>
        </w:numPr>
        <w:ind w:hanging="720"/>
        <w:rPr>
          <w:b/>
          <w:sz w:val="28"/>
          <w:szCs w:val="28"/>
          <w:lang w:val="en-GB"/>
        </w:rPr>
      </w:pPr>
      <w:bookmarkStart w:id="84" w:name="_Toc166368654"/>
      <w:r w:rsidRPr="001E53E8">
        <w:rPr>
          <w:b/>
          <w:sz w:val="28"/>
          <w:szCs w:val="28"/>
          <w:lang w:val="en-GB"/>
        </w:rPr>
        <w:t>Conclusion</w:t>
      </w:r>
      <w:bookmarkEnd w:id="84"/>
    </w:p>
    <w:p w:rsidR="000B0DDC" w:rsidRPr="006C28BE" w:rsidRDefault="000B0DDC" w:rsidP="000B0DDC">
      <w:pPr>
        <w:spacing w:line="360" w:lineRule="auto"/>
        <w:jc w:val="both"/>
        <w:rPr>
          <w:rFonts w:cs="Arial"/>
          <w:color w:val="000000"/>
          <w:lang w:val="en-GB"/>
        </w:rPr>
      </w:pPr>
      <w:r w:rsidRPr="006C28BE">
        <w:rPr>
          <w:rFonts w:cs="Arial"/>
          <w:color w:val="000000"/>
          <w:lang w:val="en-GB"/>
        </w:rPr>
        <w:t>The present dissertation has made a wide-ranging examination of the social and economic effects of dual-income households in the UK and offered some critical points of view on the complexities and problems these families experience. The major conclusions show that the two-income families contribute greatly to the stability of the household economy, but at the same time, they have their own specific issues (e.g. work-life balance, mental health, and economic pressures) in the housing market. Measures like Tax-free Childcare and Shared Parental Leave, which are fashioned to help these families, are often underutilized or not effective, which in turn points to fundamental shortcomings in the current policy framework.</w:t>
      </w:r>
    </w:p>
    <w:p w:rsidR="000B0DDC" w:rsidRPr="006C28BE" w:rsidRDefault="000B0DDC" w:rsidP="000B0DDC">
      <w:pPr>
        <w:spacing w:line="360" w:lineRule="auto"/>
        <w:jc w:val="both"/>
        <w:rPr>
          <w:rFonts w:cs="Arial"/>
          <w:color w:val="000000"/>
          <w:lang w:val="en-GB"/>
        </w:rPr>
      </w:pPr>
      <w:r w:rsidRPr="006C28BE">
        <w:rPr>
          <w:rFonts w:cs="Arial"/>
          <w:color w:val="000000"/>
          <w:lang w:val="en-GB"/>
        </w:rPr>
        <w:t>The large scale of these influences are going to be a game changer for the socio-economic scene in the UK. Increased knowledge of the dual-income household situation can be a guide for the stakeholders and policy makers in designing more effective supports which can, in turn, lead to the much needed economic stability and social equity. Research shows that policies ought to be more tailored to the realities of different family structures in the modern era and the actual needs of working parents. These problems could be resolved to lead to better productivity, higher level of family well-being, and economic growth.</w:t>
      </w:r>
    </w:p>
    <w:p w:rsidR="000B0DDC" w:rsidRDefault="000B0DDC" w:rsidP="000B0DDC">
      <w:pPr>
        <w:spacing w:line="360" w:lineRule="auto"/>
        <w:jc w:val="both"/>
        <w:rPr>
          <w:rFonts w:cs="Arial"/>
          <w:color w:val="000000"/>
          <w:lang w:val="en-GB"/>
        </w:rPr>
      </w:pPr>
      <w:r w:rsidRPr="006C28BE">
        <w:rPr>
          <w:rFonts w:cs="Arial"/>
          <w:color w:val="000000"/>
          <w:lang w:val="en-GB"/>
        </w:rPr>
        <w:t xml:space="preserve">The next area of study should be the long-term effects of both parents working on a relationship between children and the wider family networks so that we can better understand the intergenerational consequences of the current economic and social trends. Furthermore, the extension of the research into the effectiveness of international policy models and their ability to accommodate to the UK context could give substantial background for the policymaking. Research that concentrates on evaluating the actual world impact of policy modifications supported by this study is also crucial, and it would help to keep refining and improving support systems for dual-income households. This </w:t>
      </w:r>
      <w:r w:rsidRPr="006C28BE">
        <w:rPr>
          <w:rFonts w:cs="Arial"/>
          <w:color w:val="000000"/>
          <w:lang w:val="en-GB"/>
        </w:rPr>
        <w:lastRenderedPageBreak/>
        <w:t>involved focused and consistent research to be able to achieve a more complete understanding of dual-income households, which in turn can lead to the formulation of more effective policies and promoting a more inclusive and resilient socio-economic environment in the UK.</w:t>
      </w:r>
    </w:p>
    <w:p w:rsidR="000B0DDC" w:rsidRPr="00D221D3" w:rsidRDefault="000B0DDC" w:rsidP="000B0DDC">
      <w:pPr>
        <w:pStyle w:val="Heading7"/>
        <w:rPr>
          <w:bCs/>
          <w:lang w:val="en-GB"/>
        </w:rPr>
      </w:pPr>
      <w:r w:rsidRPr="00D221D3">
        <w:rPr>
          <w:lang w:val="en-GB"/>
        </w:rPr>
        <w:t>The key themes below are analysed and discussed based on the sys</w:t>
      </w:r>
      <w:r>
        <w:rPr>
          <w:lang w:val="en-GB"/>
        </w:rPr>
        <w:t xml:space="preserve">tematic review done in </w:t>
      </w:r>
      <w:r w:rsidRPr="00D221D3">
        <w:rPr>
          <w:lang w:val="en-GB"/>
        </w:rPr>
        <w:t xml:space="preserve">1 of to 50 key articles are assessed below- </w:t>
      </w:r>
    </w:p>
    <w:p w:rsidR="000B0DDC" w:rsidRDefault="000B0DDC" w:rsidP="000B0DDC">
      <w:pPr>
        <w:spacing w:line="360" w:lineRule="auto"/>
        <w:jc w:val="both"/>
        <w:rPr>
          <w:rFonts w:cs="Arial"/>
          <w:color w:val="000000"/>
          <w:lang w:val="en-GB"/>
        </w:rPr>
      </w:pPr>
    </w:p>
    <w:p w:rsidR="000B0DDC" w:rsidRPr="00D72FC4" w:rsidRDefault="000B0DDC" w:rsidP="000B0DDC">
      <w:pPr>
        <w:spacing w:line="360" w:lineRule="auto"/>
        <w:jc w:val="both"/>
        <w:rPr>
          <w:rFonts w:cs="Arial"/>
          <w:b/>
          <w:color w:val="000000"/>
          <w:sz w:val="28"/>
          <w:szCs w:val="28"/>
          <w:lang w:val="en-GB"/>
        </w:rPr>
      </w:pPr>
      <w:r>
        <w:rPr>
          <w:rFonts w:cs="Arial"/>
          <w:b/>
          <w:color w:val="000000"/>
          <w:sz w:val="28"/>
          <w:szCs w:val="28"/>
          <w:lang w:val="en-GB"/>
        </w:rPr>
        <w:t xml:space="preserve">4.8 </w:t>
      </w:r>
      <w:r w:rsidRPr="004E4E51">
        <w:rPr>
          <w:b/>
          <w:sz w:val="28"/>
          <w:szCs w:val="28"/>
        </w:rPr>
        <w:t>FINDING TABLE</w:t>
      </w:r>
    </w:p>
    <w:tbl>
      <w:tblPr>
        <w:tblStyle w:val="TableGrid"/>
        <w:tblW w:w="10350" w:type="dxa"/>
        <w:tblInd w:w="-635" w:type="dxa"/>
        <w:tblLayout w:type="fixed"/>
        <w:tblLook w:val="04A0" w:firstRow="1" w:lastRow="0" w:firstColumn="1" w:lastColumn="0" w:noHBand="0" w:noVBand="1"/>
      </w:tblPr>
      <w:tblGrid>
        <w:gridCol w:w="990"/>
        <w:gridCol w:w="1530"/>
        <w:gridCol w:w="900"/>
        <w:gridCol w:w="1710"/>
        <w:gridCol w:w="1890"/>
        <w:gridCol w:w="1800"/>
        <w:gridCol w:w="1530"/>
      </w:tblGrid>
      <w:tr w:rsidR="000B0DDC" w:rsidRPr="006C28BE" w:rsidTr="003D2275">
        <w:tc>
          <w:tcPr>
            <w:tcW w:w="990" w:type="dxa"/>
          </w:tcPr>
          <w:p w:rsidR="000B0DDC" w:rsidRPr="00454A73" w:rsidRDefault="000B0DDC" w:rsidP="003D2275">
            <w:pPr>
              <w:spacing w:line="360" w:lineRule="auto"/>
              <w:rPr>
                <w:rFonts w:cs="Arial"/>
                <w:b/>
                <w:szCs w:val="24"/>
              </w:rPr>
            </w:pPr>
            <w:r w:rsidRPr="00454A73">
              <w:rPr>
                <w:rFonts w:cs="Arial"/>
                <w:b/>
                <w:szCs w:val="24"/>
              </w:rPr>
              <w:t>Index</w:t>
            </w:r>
          </w:p>
        </w:tc>
        <w:tc>
          <w:tcPr>
            <w:tcW w:w="1530" w:type="dxa"/>
          </w:tcPr>
          <w:p w:rsidR="000B0DDC" w:rsidRPr="00454A73" w:rsidRDefault="000B0DDC" w:rsidP="003D2275">
            <w:pPr>
              <w:spacing w:line="360" w:lineRule="auto"/>
              <w:rPr>
                <w:rFonts w:cs="Arial"/>
                <w:b/>
                <w:szCs w:val="24"/>
              </w:rPr>
            </w:pPr>
            <w:r w:rsidRPr="00454A73">
              <w:rPr>
                <w:rFonts w:cs="Arial"/>
                <w:b/>
                <w:szCs w:val="24"/>
              </w:rPr>
              <w:t>Author</w:t>
            </w:r>
          </w:p>
        </w:tc>
        <w:tc>
          <w:tcPr>
            <w:tcW w:w="900" w:type="dxa"/>
          </w:tcPr>
          <w:p w:rsidR="000B0DDC" w:rsidRPr="00454A73" w:rsidRDefault="000B0DDC" w:rsidP="003D2275">
            <w:pPr>
              <w:spacing w:line="360" w:lineRule="auto"/>
              <w:rPr>
                <w:rFonts w:cs="Arial"/>
                <w:b/>
                <w:szCs w:val="24"/>
              </w:rPr>
            </w:pPr>
            <w:r w:rsidRPr="00454A73">
              <w:rPr>
                <w:rFonts w:cs="Arial"/>
                <w:b/>
                <w:szCs w:val="24"/>
              </w:rPr>
              <w:t>Year</w:t>
            </w:r>
          </w:p>
        </w:tc>
        <w:tc>
          <w:tcPr>
            <w:tcW w:w="1710" w:type="dxa"/>
          </w:tcPr>
          <w:p w:rsidR="000B0DDC" w:rsidRPr="00454A73" w:rsidRDefault="000B0DDC" w:rsidP="003D2275">
            <w:pPr>
              <w:spacing w:line="360" w:lineRule="auto"/>
              <w:rPr>
                <w:rFonts w:cs="Arial"/>
                <w:b/>
                <w:szCs w:val="24"/>
              </w:rPr>
            </w:pPr>
            <w:r w:rsidRPr="00454A73">
              <w:rPr>
                <w:rFonts w:cs="Arial"/>
                <w:b/>
                <w:szCs w:val="24"/>
              </w:rPr>
              <w:t>Title</w:t>
            </w:r>
          </w:p>
        </w:tc>
        <w:tc>
          <w:tcPr>
            <w:tcW w:w="1890" w:type="dxa"/>
          </w:tcPr>
          <w:p w:rsidR="000B0DDC" w:rsidRPr="00454A73" w:rsidRDefault="000B0DDC" w:rsidP="003D2275">
            <w:pPr>
              <w:spacing w:line="360" w:lineRule="auto"/>
              <w:rPr>
                <w:rFonts w:cs="Arial"/>
                <w:b/>
                <w:szCs w:val="24"/>
              </w:rPr>
            </w:pPr>
            <w:r w:rsidRPr="00454A73">
              <w:rPr>
                <w:rFonts w:cs="Arial"/>
                <w:b/>
                <w:szCs w:val="24"/>
              </w:rPr>
              <w:t>Methodology</w:t>
            </w:r>
          </w:p>
        </w:tc>
        <w:tc>
          <w:tcPr>
            <w:tcW w:w="1800" w:type="dxa"/>
          </w:tcPr>
          <w:p w:rsidR="000B0DDC" w:rsidRPr="006C28BE" w:rsidRDefault="000B0DDC" w:rsidP="003D2275">
            <w:pPr>
              <w:spacing w:line="360" w:lineRule="auto"/>
              <w:rPr>
                <w:rFonts w:cs="Arial"/>
                <w:szCs w:val="24"/>
              </w:rPr>
            </w:pPr>
            <w:r w:rsidRPr="00454A73">
              <w:rPr>
                <w:rFonts w:cs="Arial"/>
                <w:b/>
                <w:szCs w:val="24"/>
              </w:rPr>
              <w:t>Key</w:t>
            </w:r>
            <w:r w:rsidRPr="006C28BE">
              <w:rPr>
                <w:rFonts w:cs="Arial"/>
                <w:szCs w:val="24"/>
              </w:rPr>
              <w:t xml:space="preserve"> </w:t>
            </w:r>
            <w:r w:rsidRPr="00454A73">
              <w:rPr>
                <w:rFonts w:cs="Arial"/>
                <w:b/>
                <w:szCs w:val="24"/>
              </w:rPr>
              <w:t>focus</w:t>
            </w:r>
          </w:p>
        </w:tc>
        <w:tc>
          <w:tcPr>
            <w:tcW w:w="1530" w:type="dxa"/>
          </w:tcPr>
          <w:p w:rsidR="000B0DDC" w:rsidRPr="006C28BE" w:rsidRDefault="000B0DDC" w:rsidP="003D2275">
            <w:pPr>
              <w:spacing w:line="360" w:lineRule="auto"/>
              <w:rPr>
                <w:rFonts w:cs="Arial"/>
                <w:szCs w:val="24"/>
              </w:rPr>
            </w:pPr>
            <w:r w:rsidRPr="00454A73">
              <w:rPr>
                <w:rFonts w:cs="Arial"/>
                <w:b/>
                <w:szCs w:val="24"/>
              </w:rPr>
              <w:t>Key</w:t>
            </w:r>
            <w:r w:rsidRPr="006C28BE">
              <w:rPr>
                <w:rFonts w:cs="Arial"/>
                <w:szCs w:val="24"/>
              </w:rPr>
              <w:t xml:space="preserve"> </w:t>
            </w:r>
            <w:r w:rsidRPr="00454A73">
              <w:rPr>
                <w:rFonts w:cs="Arial"/>
                <w:b/>
                <w:szCs w:val="24"/>
              </w:rPr>
              <w:t>Findings</w:t>
            </w:r>
          </w:p>
        </w:tc>
      </w:tr>
      <w:tr w:rsidR="000B0DDC" w:rsidRPr="006C28BE" w:rsidTr="003D2275">
        <w:tc>
          <w:tcPr>
            <w:tcW w:w="10350" w:type="dxa"/>
            <w:gridSpan w:val="7"/>
          </w:tcPr>
          <w:p w:rsidR="000B0DDC" w:rsidRPr="006C28BE" w:rsidRDefault="000B0DDC" w:rsidP="003D2275">
            <w:pPr>
              <w:spacing w:line="360" w:lineRule="auto"/>
              <w:rPr>
                <w:rFonts w:cs="Arial"/>
                <w:b/>
                <w:bCs/>
                <w:szCs w:val="24"/>
              </w:rPr>
            </w:pPr>
            <w:r w:rsidRPr="006C28BE">
              <w:rPr>
                <w:rFonts w:cs="Arial"/>
                <w:b/>
                <w:bCs/>
                <w:szCs w:val="24"/>
              </w:rPr>
              <w:t>Economic Consequences of Dual-Income Households</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t>1</w:t>
            </w:r>
          </w:p>
        </w:tc>
        <w:tc>
          <w:tcPr>
            <w:tcW w:w="1530" w:type="dxa"/>
          </w:tcPr>
          <w:p w:rsidR="000B0DDC" w:rsidRPr="006C28BE" w:rsidRDefault="000B0DDC" w:rsidP="003D2275">
            <w:pPr>
              <w:spacing w:line="360" w:lineRule="auto"/>
              <w:rPr>
                <w:rFonts w:cs="Arial"/>
                <w:szCs w:val="24"/>
              </w:rPr>
            </w:pPr>
            <w:r w:rsidRPr="006C28BE">
              <w:rPr>
                <w:rFonts w:cs="Arial"/>
                <w:szCs w:val="24"/>
              </w:rPr>
              <w:t>(Office for National Statistics, 2023)</w:t>
            </w:r>
          </w:p>
        </w:tc>
        <w:tc>
          <w:tcPr>
            <w:tcW w:w="900" w:type="dxa"/>
          </w:tcPr>
          <w:p w:rsidR="000B0DDC" w:rsidRPr="006C28BE" w:rsidRDefault="000B0DDC" w:rsidP="003D2275">
            <w:pPr>
              <w:spacing w:line="360" w:lineRule="auto"/>
              <w:rPr>
                <w:rFonts w:cs="Arial"/>
                <w:szCs w:val="24"/>
              </w:rPr>
            </w:pPr>
            <w:r w:rsidRPr="006C28BE">
              <w:rPr>
                <w:rFonts w:cs="Arial"/>
                <w:szCs w:val="24"/>
              </w:rPr>
              <w:t>2023</w:t>
            </w:r>
          </w:p>
        </w:tc>
        <w:tc>
          <w:tcPr>
            <w:tcW w:w="1710" w:type="dxa"/>
          </w:tcPr>
          <w:p w:rsidR="000B0DDC" w:rsidRPr="006C28BE" w:rsidRDefault="000B0DDC" w:rsidP="003D2275">
            <w:pPr>
              <w:spacing w:line="360" w:lineRule="auto"/>
              <w:rPr>
                <w:rFonts w:cs="Arial"/>
                <w:szCs w:val="24"/>
              </w:rPr>
            </w:pPr>
            <w:r w:rsidRPr="006C28BE">
              <w:rPr>
                <w:rFonts w:cs="Arial"/>
                <w:szCs w:val="24"/>
              </w:rPr>
              <w:t>“Housing Affordability in the UK”</w:t>
            </w:r>
          </w:p>
        </w:tc>
        <w:tc>
          <w:tcPr>
            <w:tcW w:w="1890" w:type="dxa"/>
          </w:tcPr>
          <w:p w:rsidR="000B0DDC" w:rsidRPr="006C28BE" w:rsidRDefault="000B0DDC" w:rsidP="003D2275">
            <w:pPr>
              <w:spacing w:line="360" w:lineRule="auto"/>
              <w:rPr>
                <w:rFonts w:cs="Arial"/>
                <w:szCs w:val="24"/>
              </w:rPr>
            </w:pPr>
            <w:r w:rsidRPr="006C28BE">
              <w:rPr>
                <w:rFonts w:cs="Arial"/>
                <w:szCs w:val="24"/>
              </w:rPr>
              <w:t>Trends analysis from existing data from 2020- 2023</w:t>
            </w:r>
          </w:p>
        </w:tc>
        <w:tc>
          <w:tcPr>
            <w:tcW w:w="1800" w:type="dxa"/>
          </w:tcPr>
          <w:p w:rsidR="000B0DDC" w:rsidRPr="006C28BE" w:rsidRDefault="000B0DDC" w:rsidP="003D2275">
            <w:pPr>
              <w:spacing w:line="360" w:lineRule="auto"/>
              <w:rPr>
                <w:rFonts w:cs="Arial"/>
                <w:szCs w:val="24"/>
              </w:rPr>
            </w:pPr>
            <w:r w:rsidRPr="006C28BE">
              <w:rPr>
                <w:rFonts w:cs="Arial"/>
                <w:szCs w:val="24"/>
              </w:rPr>
              <w:t>Household affordability and regional variations and changing trends.</w:t>
            </w:r>
          </w:p>
        </w:tc>
        <w:tc>
          <w:tcPr>
            <w:tcW w:w="1530" w:type="dxa"/>
          </w:tcPr>
          <w:p w:rsidR="000B0DDC" w:rsidRPr="006C28BE" w:rsidRDefault="000B0DDC" w:rsidP="003D2275">
            <w:pPr>
              <w:spacing w:line="360" w:lineRule="auto"/>
              <w:rPr>
                <w:rFonts w:cs="Arial"/>
                <w:szCs w:val="24"/>
              </w:rPr>
            </w:pPr>
            <w:r w:rsidRPr="006C28BE">
              <w:rPr>
                <w:rFonts w:cs="Arial"/>
                <w:szCs w:val="24"/>
              </w:rPr>
              <w:t xml:space="preserve">The findings showcased the improvement to 75% local authorise with household affordability in some places like London. The Nee dwellings are costing remain challenging in most regions. </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2</w:t>
            </w:r>
          </w:p>
        </w:tc>
        <w:tc>
          <w:tcPr>
            <w:tcW w:w="1530" w:type="dxa"/>
          </w:tcPr>
          <w:p w:rsidR="000B0DDC" w:rsidRPr="006C28BE" w:rsidRDefault="000B0DDC" w:rsidP="003D2275">
            <w:pPr>
              <w:spacing w:line="360" w:lineRule="auto"/>
              <w:rPr>
                <w:rFonts w:cs="Arial"/>
                <w:szCs w:val="24"/>
              </w:rPr>
            </w:pPr>
            <w:r w:rsidRPr="006C28BE">
              <w:rPr>
                <w:rFonts w:cs="Arial"/>
                <w:szCs w:val="24"/>
              </w:rPr>
              <w:t>(Bank of England, 2021)</w:t>
            </w:r>
          </w:p>
        </w:tc>
        <w:tc>
          <w:tcPr>
            <w:tcW w:w="900" w:type="dxa"/>
          </w:tcPr>
          <w:p w:rsidR="000B0DDC" w:rsidRPr="006C28BE" w:rsidRDefault="000B0DDC" w:rsidP="003D2275">
            <w:pPr>
              <w:spacing w:line="360" w:lineRule="auto"/>
              <w:rPr>
                <w:rFonts w:cs="Arial"/>
                <w:szCs w:val="24"/>
              </w:rPr>
            </w:pPr>
            <w:r w:rsidRPr="006C28BE">
              <w:rPr>
                <w:rFonts w:cs="Arial"/>
                <w:szCs w:val="24"/>
              </w:rPr>
              <w:t>2021</w:t>
            </w:r>
          </w:p>
        </w:tc>
        <w:tc>
          <w:tcPr>
            <w:tcW w:w="1710" w:type="dxa"/>
          </w:tcPr>
          <w:p w:rsidR="000B0DDC" w:rsidRPr="006C28BE" w:rsidRDefault="000B0DDC" w:rsidP="003D2275">
            <w:pPr>
              <w:spacing w:line="360" w:lineRule="auto"/>
              <w:rPr>
                <w:rFonts w:cs="Arial"/>
                <w:szCs w:val="24"/>
              </w:rPr>
            </w:pPr>
            <w:r w:rsidRPr="006C28BE">
              <w:rPr>
                <w:rFonts w:cs="Arial"/>
                <w:szCs w:val="24"/>
              </w:rPr>
              <w:t>“Report on Household Financial Stability”</w:t>
            </w:r>
          </w:p>
        </w:tc>
        <w:tc>
          <w:tcPr>
            <w:tcW w:w="1890" w:type="dxa"/>
          </w:tcPr>
          <w:p w:rsidR="000B0DDC" w:rsidRPr="006C28BE" w:rsidRDefault="000B0DDC" w:rsidP="003D2275">
            <w:pPr>
              <w:spacing w:line="360" w:lineRule="auto"/>
              <w:rPr>
                <w:rFonts w:cs="Arial"/>
                <w:szCs w:val="24"/>
              </w:rPr>
            </w:pPr>
            <w:r w:rsidRPr="006C28BE">
              <w:rPr>
                <w:rFonts w:cs="Arial"/>
                <w:szCs w:val="24"/>
              </w:rPr>
              <w:t>Qualitative methodology</w:t>
            </w:r>
          </w:p>
        </w:tc>
        <w:tc>
          <w:tcPr>
            <w:tcW w:w="1800" w:type="dxa"/>
          </w:tcPr>
          <w:p w:rsidR="000B0DDC" w:rsidRPr="006C28BE" w:rsidRDefault="000B0DDC" w:rsidP="003D2275">
            <w:pPr>
              <w:spacing w:line="360" w:lineRule="auto"/>
              <w:rPr>
                <w:rFonts w:cs="Arial"/>
                <w:szCs w:val="24"/>
              </w:rPr>
            </w:pPr>
            <w:r w:rsidRPr="006C28BE">
              <w:rPr>
                <w:rFonts w:cs="Arial"/>
                <w:szCs w:val="24"/>
              </w:rPr>
              <w:t>Economic and financial developments, the potential risk for financial stability of dual-income households</w:t>
            </w:r>
          </w:p>
        </w:tc>
        <w:tc>
          <w:tcPr>
            <w:tcW w:w="1530" w:type="dxa"/>
          </w:tcPr>
          <w:p w:rsidR="000B0DDC" w:rsidRPr="006C28BE" w:rsidRDefault="000B0DDC" w:rsidP="003D2275">
            <w:pPr>
              <w:spacing w:line="360" w:lineRule="auto"/>
              <w:rPr>
                <w:rFonts w:cs="Arial"/>
                <w:szCs w:val="24"/>
              </w:rPr>
            </w:pPr>
            <w:r w:rsidRPr="006C28BE">
              <w:rPr>
                <w:rFonts w:cs="Arial"/>
                <w:szCs w:val="24"/>
              </w:rPr>
              <w:t>The key findings highlighted that global economic growth is slowing. This indicates that increasing borrowing costs has impacted financial conditions. UK households have faced an increment in the rise of mortgage payments and debt pressures.</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t>3</w:t>
            </w:r>
          </w:p>
        </w:tc>
        <w:tc>
          <w:tcPr>
            <w:tcW w:w="1530" w:type="dxa"/>
          </w:tcPr>
          <w:p w:rsidR="000B0DDC" w:rsidRPr="006C28BE" w:rsidRDefault="000B0DDC" w:rsidP="003D2275">
            <w:pPr>
              <w:spacing w:line="360" w:lineRule="auto"/>
              <w:rPr>
                <w:rFonts w:cs="Arial"/>
                <w:szCs w:val="24"/>
              </w:rPr>
            </w:pPr>
            <w:r w:rsidRPr="006C28BE">
              <w:rPr>
                <w:rFonts w:cs="Arial"/>
                <w:szCs w:val="24"/>
              </w:rPr>
              <w:t>(Economic Policy Institute, 2020)</w:t>
            </w:r>
          </w:p>
        </w:tc>
        <w:tc>
          <w:tcPr>
            <w:tcW w:w="900" w:type="dxa"/>
          </w:tcPr>
          <w:p w:rsidR="000B0DDC" w:rsidRPr="006C28BE" w:rsidRDefault="000B0DDC" w:rsidP="003D2275">
            <w:pPr>
              <w:spacing w:line="360" w:lineRule="auto"/>
              <w:rPr>
                <w:rFonts w:cs="Arial"/>
                <w:szCs w:val="24"/>
              </w:rPr>
            </w:pPr>
            <w:r w:rsidRPr="006C28BE">
              <w:rPr>
                <w:rFonts w:cs="Arial"/>
                <w:szCs w:val="24"/>
              </w:rPr>
              <w:t>2020</w:t>
            </w:r>
          </w:p>
        </w:tc>
        <w:tc>
          <w:tcPr>
            <w:tcW w:w="1710" w:type="dxa"/>
          </w:tcPr>
          <w:p w:rsidR="000B0DDC" w:rsidRPr="006C28BE" w:rsidRDefault="000B0DDC" w:rsidP="003D2275">
            <w:pPr>
              <w:spacing w:line="360" w:lineRule="auto"/>
              <w:rPr>
                <w:rFonts w:cs="Arial"/>
                <w:szCs w:val="24"/>
              </w:rPr>
            </w:pPr>
            <w:r w:rsidRPr="006C28BE">
              <w:rPr>
                <w:rFonts w:cs="Arial"/>
                <w:szCs w:val="24"/>
              </w:rPr>
              <w:t>“The Impact of Dual-Income Households on Economic Stability”</w:t>
            </w:r>
          </w:p>
        </w:tc>
        <w:tc>
          <w:tcPr>
            <w:tcW w:w="1890" w:type="dxa"/>
          </w:tcPr>
          <w:p w:rsidR="000B0DDC" w:rsidRPr="006C28BE" w:rsidRDefault="000B0DDC" w:rsidP="003D2275">
            <w:pPr>
              <w:spacing w:line="360" w:lineRule="auto"/>
              <w:rPr>
                <w:rFonts w:cs="Arial"/>
                <w:szCs w:val="24"/>
              </w:rPr>
            </w:pPr>
            <w:r w:rsidRPr="006C28BE">
              <w:rPr>
                <w:rFonts w:cs="Arial"/>
                <w:szCs w:val="24"/>
              </w:rPr>
              <w:t>Quantitative analysis of household income data.</w:t>
            </w:r>
          </w:p>
        </w:tc>
        <w:tc>
          <w:tcPr>
            <w:tcW w:w="1800" w:type="dxa"/>
          </w:tcPr>
          <w:p w:rsidR="000B0DDC" w:rsidRPr="006C28BE" w:rsidRDefault="000B0DDC" w:rsidP="003D2275">
            <w:pPr>
              <w:spacing w:line="360" w:lineRule="auto"/>
              <w:rPr>
                <w:rFonts w:cs="Arial"/>
                <w:szCs w:val="24"/>
              </w:rPr>
            </w:pPr>
            <w:r w:rsidRPr="006C28BE">
              <w:rPr>
                <w:rFonts w:cs="Arial"/>
                <w:szCs w:val="24"/>
              </w:rPr>
              <w:t>Dual income levels impact on the households for developing economic stability.</w:t>
            </w:r>
          </w:p>
        </w:tc>
        <w:tc>
          <w:tcPr>
            <w:tcW w:w="1530" w:type="dxa"/>
          </w:tcPr>
          <w:p w:rsidR="000B0DDC" w:rsidRPr="006C28BE" w:rsidRDefault="000B0DDC" w:rsidP="003D2275">
            <w:pPr>
              <w:spacing w:line="360" w:lineRule="auto"/>
              <w:rPr>
                <w:rFonts w:cs="Arial"/>
                <w:szCs w:val="24"/>
              </w:rPr>
            </w:pPr>
            <w:r w:rsidRPr="006C28BE">
              <w:rPr>
                <w:rFonts w:cs="Arial"/>
                <w:szCs w:val="24"/>
              </w:rPr>
              <w:t xml:space="preserve">The findings of the article have highlighted that dual-income households </w:t>
            </w:r>
            <w:r w:rsidRPr="006C28BE">
              <w:rPr>
                <w:rFonts w:cs="Arial"/>
                <w:szCs w:val="24"/>
              </w:rPr>
              <w:lastRenderedPageBreak/>
              <w:t>contribute to better economic stability and insert’s the household income. This also highlighted the improvement in saving rates and consumer spending betterment.</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4</w:t>
            </w:r>
          </w:p>
        </w:tc>
        <w:tc>
          <w:tcPr>
            <w:tcW w:w="1530" w:type="dxa"/>
          </w:tcPr>
          <w:p w:rsidR="000B0DDC" w:rsidRPr="006C28BE" w:rsidRDefault="000B0DDC" w:rsidP="003D2275">
            <w:pPr>
              <w:spacing w:line="360" w:lineRule="auto"/>
              <w:rPr>
                <w:rFonts w:cs="Arial"/>
                <w:szCs w:val="24"/>
              </w:rPr>
            </w:pPr>
            <w:r w:rsidRPr="006C28BE">
              <w:rPr>
                <w:rFonts w:cs="Arial"/>
                <w:szCs w:val="24"/>
              </w:rPr>
              <w:t>(Statistics Sweden, 2022)</w:t>
            </w:r>
          </w:p>
        </w:tc>
        <w:tc>
          <w:tcPr>
            <w:tcW w:w="900" w:type="dxa"/>
          </w:tcPr>
          <w:p w:rsidR="000B0DDC" w:rsidRPr="006C28BE" w:rsidRDefault="000B0DDC" w:rsidP="003D2275">
            <w:pPr>
              <w:spacing w:line="360" w:lineRule="auto"/>
              <w:rPr>
                <w:rFonts w:cs="Arial"/>
                <w:szCs w:val="24"/>
              </w:rPr>
            </w:pPr>
            <w:r w:rsidRPr="006C28BE">
              <w:rPr>
                <w:rFonts w:cs="Arial"/>
                <w:szCs w:val="24"/>
              </w:rPr>
              <w:t>2022</w:t>
            </w:r>
          </w:p>
        </w:tc>
        <w:tc>
          <w:tcPr>
            <w:tcW w:w="1710" w:type="dxa"/>
          </w:tcPr>
          <w:p w:rsidR="000B0DDC" w:rsidRPr="006C28BE" w:rsidRDefault="000B0DDC" w:rsidP="003D2275">
            <w:pPr>
              <w:spacing w:line="360" w:lineRule="auto"/>
              <w:rPr>
                <w:rFonts w:cs="Arial"/>
                <w:szCs w:val="24"/>
              </w:rPr>
            </w:pPr>
            <w:r w:rsidRPr="006C28BE">
              <w:rPr>
                <w:rFonts w:cs="Arial"/>
                <w:szCs w:val="24"/>
              </w:rPr>
              <w:t>“Annual Report on Housing Prices and Inflation”</w:t>
            </w:r>
          </w:p>
        </w:tc>
        <w:tc>
          <w:tcPr>
            <w:tcW w:w="1890" w:type="dxa"/>
          </w:tcPr>
          <w:p w:rsidR="000B0DDC" w:rsidRPr="006C28BE" w:rsidRDefault="000B0DDC" w:rsidP="003D2275">
            <w:pPr>
              <w:spacing w:line="360" w:lineRule="auto"/>
              <w:rPr>
                <w:rFonts w:cs="Arial"/>
                <w:szCs w:val="24"/>
              </w:rPr>
            </w:pPr>
            <w:r w:rsidRPr="006C28BE">
              <w:rPr>
                <w:rFonts w:cs="Arial"/>
                <w:szCs w:val="24"/>
              </w:rPr>
              <w:t>Quantitative methodology</w:t>
            </w:r>
          </w:p>
        </w:tc>
        <w:tc>
          <w:tcPr>
            <w:tcW w:w="1800" w:type="dxa"/>
          </w:tcPr>
          <w:p w:rsidR="000B0DDC" w:rsidRPr="006C28BE" w:rsidRDefault="000B0DDC" w:rsidP="003D2275">
            <w:pPr>
              <w:spacing w:line="360" w:lineRule="auto"/>
              <w:rPr>
                <w:rFonts w:cs="Arial"/>
                <w:szCs w:val="24"/>
              </w:rPr>
            </w:pPr>
            <w:r w:rsidRPr="006C28BE">
              <w:rPr>
                <w:rFonts w:cs="Arial"/>
                <w:szCs w:val="24"/>
              </w:rPr>
              <w:t>Key terms son housing prices with inflation rates that drive the housing market fluctuation.</w:t>
            </w:r>
          </w:p>
        </w:tc>
        <w:tc>
          <w:tcPr>
            <w:tcW w:w="1530" w:type="dxa"/>
          </w:tcPr>
          <w:p w:rsidR="000B0DDC" w:rsidRPr="006C28BE" w:rsidRDefault="000B0DDC" w:rsidP="003D2275">
            <w:pPr>
              <w:spacing w:line="360" w:lineRule="auto"/>
              <w:rPr>
                <w:rFonts w:cs="Arial"/>
                <w:szCs w:val="24"/>
              </w:rPr>
            </w:pPr>
            <w:r w:rsidRPr="006C28BE">
              <w:rPr>
                <w:rFonts w:cs="Arial"/>
                <w:szCs w:val="24"/>
              </w:rPr>
              <w:t xml:space="preserve">The housing price fluctuation and price movements have an impact on the inflation levels that impact people's affordability and economic conditions. The result </w:t>
            </w:r>
            <w:r w:rsidRPr="006C28BE">
              <w:rPr>
                <w:rFonts w:cs="Arial"/>
                <w:szCs w:val="24"/>
              </w:rPr>
              <w:lastRenderedPageBreak/>
              <w:t>shows that double income helps in investment trends and accessibility.</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5</w:t>
            </w:r>
          </w:p>
        </w:tc>
        <w:tc>
          <w:tcPr>
            <w:tcW w:w="1530" w:type="dxa"/>
          </w:tcPr>
          <w:p w:rsidR="000B0DDC" w:rsidRPr="006C28BE" w:rsidRDefault="000B0DDC" w:rsidP="003D2275">
            <w:pPr>
              <w:spacing w:line="360" w:lineRule="auto"/>
              <w:rPr>
                <w:rFonts w:cs="Arial"/>
                <w:szCs w:val="24"/>
              </w:rPr>
            </w:pPr>
            <w:r w:rsidRPr="006C28BE">
              <w:rPr>
                <w:rFonts w:cs="Arial"/>
                <w:szCs w:val="24"/>
              </w:rPr>
              <w:t>(Office for National Statistics, 2022)</w:t>
            </w:r>
          </w:p>
        </w:tc>
        <w:tc>
          <w:tcPr>
            <w:tcW w:w="900" w:type="dxa"/>
          </w:tcPr>
          <w:p w:rsidR="000B0DDC" w:rsidRPr="006C28BE" w:rsidRDefault="000B0DDC" w:rsidP="003D2275">
            <w:pPr>
              <w:spacing w:line="360" w:lineRule="auto"/>
              <w:rPr>
                <w:rFonts w:cs="Arial"/>
                <w:szCs w:val="24"/>
              </w:rPr>
            </w:pPr>
            <w:r w:rsidRPr="006C28BE">
              <w:rPr>
                <w:rFonts w:cs="Arial"/>
                <w:szCs w:val="24"/>
              </w:rPr>
              <w:t>2022</w:t>
            </w:r>
          </w:p>
        </w:tc>
        <w:tc>
          <w:tcPr>
            <w:tcW w:w="1710" w:type="dxa"/>
          </w:tcPr>
          <w:p w:rsidR="000B0DDC" w:rsidRPr="006C28BE" w:rsidRDefault="000B0DDC" w:rsidP="003D2275">
            <w:pPr>
              <w:spacing w:line="360" w:lineRule="auto"/>
              <w:rPr>
                <w:rFonts w:cs="Arial"/>
                <w:szCs w:val="24"/>
              </w:rPr>
            </w:pPr>
            <w:r w:rsidRPr="006C28BE">
              <w:rPr>
                <w:rFonts w:cs="Arial"/>
                <w:szCs w:val="24"/>
              </w:rPr>
              <w:t>“Annual Survey of Hours and Earnings”</w:t>
            </w:r>
          </w:p>
        </w:tc>
        <w:tc>
          <w:tcPr>
            <w:tcW w:w="1890" w:type="dxa"/>
          </w:tcPr>
          <w:p w:rsidR="000B0DDC" w:rsidRPr="006C28BE" w:rsidRDefault="000B0DDC" w:rsidP="003D2275">
            <w:pPr>
              <w:spacing w:line="360" w:lineRule="auto"/>
              <w:rPr>
                <w:rFonts w:cs="Arial"/>
                <w:szCs w:val="24"/>
              </w:rPr>
            </w:pPr>
            <w:r w:rsidRPr="006C28BE">
              <w:rPr>
                <w:rFonts w:cs="Arial"/>
                <w:szCs w:val="24"/>
              </w:rPr>
              <w:t>Quantitative methodology</w:t>
            </w:r>
          </w:p>
        </w:tc>
        <w:tc>
          <w:tcPr>
            <w:tcW w:w="1800" w:type="dxa"/>
          </w:tcPr>
          <w:p w:rsidR="000B0DDC" w:rsidRPr="006C28BE" w:rsidRDefault="000B0DDC" w:rsidP="003D2275">
            <w:pPr>
              <w:spacing w:line="360" w:lineRule="auto"/>
              <w:rPr>
                <w:rFonts w:cs="Arial"/>
                <w:szCs w:val="24"/>
              </w:rPr>
            </w:pPr>
            <w:r w:rsidRPr="006C28BE">
              <w:rPr>
                <w:rFonts w:cs="Arial"/>
                <w:szCs w:val="24"/>
              </w:rPr>
              <w:t>Trends of working hours and disparities among pay gaps and income distribution in different sectors.</w:t>
            </w:r>
          </w:p>
        </w:tc>
        <w:tc>
          <w:tcPr>
            <w:tcW w:w="1530" w:type="dxa"/>
          </w:tcPr>
          <w:p w:rsidR="000B0DDC" w:rsidRPr="006C28BE" w:rsidRDefault="000B0DDC" w:rsidP="003D2275">
            <w:pPr>
              <w:spacing w:line="360" w:lineRule="auto"/>
              <w:rPr>
                <w:rFonts w:cs="Arial"/>
                <w:szCs w:val="24"/>
              </w:rPr>
            </w:pPr>
            <w:r w:rsidRPr="006C28BE">
              <w:rPr>
                <w:rFonts w:cs="Arial"/>
                <w:szCs w:val="24"/>
              </w:rPr>
              <w:t>The findings have helped in revenging the key earning growths in the UK. The findings have also highlighted the pay gaps among people and provided insights into the economic landscape in employment and dual-income households in the UK.</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6</w:t>
            </w:r>
          </w:p>
        </w:tc>
        <w:tc>
          <w:tcPr>
            <w:tcW w:w="1530" w:type="dxa"/>
          </w:tcPr>
          <w:p w:rsidR="000B0DDC" w:rsidRPr="006C28BE" w:rsidRDefault="000B0DDC" w:rsidP="003D2275">
            <w:pPr>
              <w:spacing w:line="360" w:lineRule="auto"/>
              <w:rPr>
                <w:rFonts w:cs="Arial"/>
                <w:szCs w:val="24"/>
              </w:rPr>
            </w:pPr>
            <w:r w:rsidRPr="006C28BE">
              <w:rPr>
                <w:rFonts w:cs="Arial"/>
                <w:szCs w:val="24"/>
              </w:rPr>
              <w:t>(Brewer and Gardiner, 2020)</w:t>
            </w:r>
          </w:p>
        </w:tc>
        <w:tc>
          <w:tcPr>
            <w:tcW w:w="900" w:type="dxa"/>
          </w:tcPr>
          <w:p w:rsidR="000B0DDC" w:rsidRPr="006C28BE" w:rsidRDefault="000B0DDC" w:rsidP="003D2275">
            <w:pPr>
              <w:spacing w:line="360" w:lineRule="auto"/>
              <w:rPr>
                <w:rFonts w:cs="Arial"/>
                <w:szCs w:val="24"/>
              </w:rPr>
            </w:pPr>
            <w:r w:rsidRPr="006C28BE">
              <w:rPr>
                <w:rFonts w:cs="Arial"/>
                <w:szCs w:val="24"/>
              </w:rPr>
              <w:t>2020</w:t>
            </w:r>
          </w:p>
        </w:tc>
        <w:tc>
          <w:tcPr>
            <w:tcW w:w="1710" w:type="dxa"/>
          </w:tcPr>
          <w:p w:rsidR="000B0DDC" w:rsidRPr="006C28BE" w:rsidRDefault="000B0DDC" w:rsidP="003D2275">
            <w:pPr>
              <w:spacing w:line="360" w:lineRule="auto"/>
              <w:rPr>
                <w:rFonts w:cs="Arial"/>
                <w:szCs w:val="24"/>
              </w:rPr>
            </w:pPr>
            <w:r w:rsidRPr="006C28BE">
              <w:rPr>
                <w:rFonts w:cs="Arial"/>
                <w:szCs w:val="24"/>
              </w:rPr>
              <w:t>“The initial impact of COVID-19 and policy responses on household incomes”</w:t>
            </w:r>
          </w:p>
        </w:tc>
        <w:tc>
          <w:tcPr>
            <w:tcW w:w="1890" w:type="dxa"/>
          </w:tcPr>
          <w:p w:rsidR="000B0DDC" w:rsidRPr="006C28BE" w:rsidRDefault="000B0DDC" w:rsidP="003D2275">
            <w:pPr>
              <w:spacing w:line="360" w:lineRule="auto"/>
              <w:rPr>
                <w:rFonts w:cs="Arial"/>
                <w:szCs w:val="24"/>
              </w:rPr>
            </w:pPr>
            <w:r w:rsidRPr="006C28BE">
              <w:rPr>
                <w:rFonts w:cs="Arial"/>
                <w:szCs w:val="24"/>
              </w:rPr>
              <w:t>Literature review</w:t>
            </w:r>
          </w:p>
        </w:tc>
        <w:tc>
          <w:tcPr>
            <w:tcW w:w="1800" w:type="dxa"/>
          </w:tcPr>
          <w:p w:rsidR="000B0DDC" w:rsidRPr="006C28BE" w:rsidRDefault="000B0DDC" w:rsidP="003D2275">
            <w:pPr>
              <w:spacing w:line="360" w:lineRule="auto"/>
              <w:rPr>
                <w:rFonts w:cs="Arial"/>
                <w:szCs w:val="24"/>
              </w:rPr>
            </w:pPr>
            <w:r w:rsidRPr="006C28BE">
              <w:rPr>
                <w:rFonts w:cs="Arial"/>
                <w:szCs w:val="24"/>
              </w:rPr>
              <w:t>The findings indicate the covid impact on household incomes and the development of the need for dual income requirements for lower-income households.</w:t>
            </w:r>
          </w:p>
        </w:tc>
        <w:tc>
          <w:tcPr>
            <w:tcW w:w="1530" w:type="dxa"/>
          </w:tcPr>
          <w:p w:rsidR="000B0DDC" w:rsidRPr="006C28BE" w:rsidRDefault="000B0DDC" w:rsidP="003D2275">
            <w:pPr>
              <w:spacing w:line="360" w:lineRule="auto"/>
              <w:rPr>
                <w:rFonts w:cs="Arial"/>
                <w:szCs w:val="24"/>
              </w:rPr>
            </w:pPr>
            <w:r w:rsidRPr="006C28BE">
              <w:rPr>
                <w:rFonts w:cs="Arial"/>
                <w:szCs w:val="24"/>
              </w:rPr>
              <w:t>The findings of this study have indicated the covid 19 impact on the income levels in households in the UK, which has indicated the requirement for dual income levels for families to mitigate the constraints of financial challenges.</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t>7</w:t>
            </w:r>
          </w:p>
        </w:tc>
        <w:tc>
          <w:tcPr>
            <w:tcW w:w="1530" w:type="dxa"/>
          </w:tcPr>
          <w:p w:rsidR="000B0DDC" w:rsidRPr="006C28BE" w:rsidRDefault="000B0DDC" w:rsidP="003D2275">
            <w:pPr>
              <w:spacing w:line="360" w:lineRule="auto"/>
              <w:rPr>
                <w:rFonts w:cs="Arial"/>
                <w:szCs w:val="24"/>
              </w:rPr>
            </w:pPr>
            <w:r w:rsidRPr="006C28BE">
              <w:rPr>
                <w:rFonts w:cs="Arial"/>
                <w:szCs w:val="24"/>
              </w:rPr>
              <w:t>(Cooper and Stewart, 2021)</w:t>
            </w:r>
          </w:p>
        </w:tc>
        <w:tc>
          <w:tcPr>
            <w:tcW w:w="900" w:type="dxa"/>
          </w:tcPr>
          <w:p w:rsidR="000B0DDC" w:rsidRPr="006C28BE" w:rsidRDefault="000B0DDC" w:rsidP="003D2275">
            <w:pPr>
              <w:spacing w:line="360" w:lineRule="auto"/>
              <w:rPr>
                <w:rFonts w:cs="Arial"/>
                <w:szCs w:val="24"/>
              </w:rPr>
            </w:pPr>
            <w:r w:rsidRPr="006C28BE">
              <w:rPr>
                <w:rFonts w:cs="Arial"/>
                <w:szCs w:val="24"/>
              </w:rPr>
              <w:t>2021</w:t>
            </w:r>
          </w:p>
        </w:tc>
        <w:tc>
          <w:tcPr>
            <w:tcW w:w="1710" w:type="dxa"/>
          </w:tcPr>
          <w:p w:rsidR="000B0DDC" w:rsidRPr="006C28BE" w:rsidRDefault="000B0DDC" w:rsidP="003D2275">
            <w:pPr>
              <w:spacing w:line="360" w:lineRule="auto"/>
              <w:rPr>
                <w:rFonts w:cs="Arial"/>
                <w:szCs w:val="24"/>
              </w:rPr>
            </w:pPr>
            <w:r w:rsidRPr="006C28BE">
              <w:rPr>
                <w:rFonts w:cs="Arial"/>
                <w:szCs w:val="24"/>
              </w:rPr>
              <w:t>“Does household income affect children’s outcomes? A systematic review of the evidence.”</w:t>
            </w:r>
          </w:p>
        </w:tc>
        <w:tc>
          <w:tcPr>
            <w:tcW w:w="1890" w:type="dxa"/>
          </w:tcPr>
          <w:p w:rsidR="000B0DDC" w:rsidRPr="006C28BE" w:rsidRDefault="000B0DDC" w:rsidP="003D2275">
            <w:pPr>
              <w:spacing w:line="360" w:lineRule="auto"/>
              <w:rPr>
                <w:rFonts w:cs="Arial"/>
                <w:szCs w:val="24"/>
              </w:rPr>
            </w:pPr>
            <w:r w:rsidRPr="006C28BE">
              <w:rPr>
                <w:rFonts w:cs="Arial"/>
                <w:szCs w:val="24"/>
              </w:rPr>
              <w:t xml:space="preserve">Systematic literature review </w:t>
            </w:r>
          </w:p>
        </w:tc>
        <w:tc>
          <w:tcPr>
            <w:tcW w:w="1800" w:type="dxa"/>
          </w:tcPr>
          <w:p w:rsidR="000B0DDC" w:rsidRPr="006C28BE" w:rsidRDefault="000B0DDC" w:rsidP="003D2275">
            <w:pPr>
              <w:spacing w:line="360" w:lineRule="auto"/>
              <w:rPr>
                <w:rFonts w:cs="Arial"/>
                <w:szCs w:val="24"/>
              </w:rPr>
            </w:pPr>
            <w:r w:rsidRPr="006C28BE">
              <w:rPr>
                <w:rFonts w:cs="Arial"/>
                <w:szCs w:val="24"/>
              </w:rPr>
              <w:t xml:space="preserve">The key focus of the study indicates dual household incomes and children management and outcomes. Social development and mental </w:t>
            </w:r>
            <w:r w:rsidRPr="006C28BE">
              <w:rPr>
                <w:rFonts w:cs="Arial"/>
                <w:szCs w:val="24"/>
              </w:rPr>
              <w:lastRenderedPageBreak/>
              <w:t>health factors have also been indicated.</w:t>
            </w:r>
          </w:p>
        </w:tc>
        <w:tc>
          <w:tcPr>
            <w:tcW w:w="1530" w:type="dxa"/>
          </w:tcPr>
          <w:p w:rsidR="000B0DDC" w:rsidRPr="006C28BE" w:rsidRDefault="000B0DDC" w:rsidP="003D2275">
            <w:pPr>
              <w:spacing w:line="360" w:lineRule="auto"/>
              <w:rPr>
                <w:rFonts w:cs="Arial"/>
                <w:szCs w:val="24"/>
              </w:rPr>
            </w:pPr>
            <w:r w:rsidRPr="006C28BE">
              <w:rPr>
                <w:rFonts w:cs="Arial"/>
                <w:szCs w:val="24"/>
              </w:rPr>
              <w:lastRenderedPageBreak/>
              <w:t xml:space="preserve">The key finding of the study has indicates that people and families focus on dual income and their impact on </w:t>
            </w:r>
            <w:r w:rsidRPr="006C28BE">
              <w:rPr>
                <w:rFonts w:cs="Arial"/>
                <w:szCs w:val="24"/>
              </w:rPr>
              <w:lastRenderedPageBreak/>
              <w:t>child care. The study has shown the large effect of dual income on childcare in the household class on the economic stability of families.</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8</w:t>
            </w:r>
          </w:p>
        </w:tc>
        <w:tc>
          <w:tcPr>
            <w:tcW w:w="1530" w:type="dxa"/>
          </w:tcPr>
          <w:p w:rsidR="000B0DDC" w:rsidRPr="006C28BE" w:rsidRDefault="000B0DDC" w:rsidP="003D2275">
            <w:pPr>
              <w:spacing w:line="360" w:lineRule="auto"/>
              <w:rPr>
                <w:rFonts w:cs="Arial"/>
                <w:szCs w:val="24"/>
              </w:rPr>
            </w:pPr>
            <w:r w:rsidRPr="006C28BE">
              <w:rPr>
                <w:rFonts w:cs="Arial"/>
                <w:szCs w:val="24"/>
              </w:rPr>
              <w:t>(Fischer and Strauss, 2021)</w:t>
            </w:r>
          </w:p>
        </w:tc>
        <w:tc>
          <w:tcPr>
            <w:tcW w:w="900" w:type="dxa"/>
          </w:tcPr>
          <w:p w:rsidR="000B0DDC" w:rsidRPr="006C28BE" w:rsidRDefault="000B0DDC" w:rsidP="003D2275">
            <w:pPr>
              <w:spacing w:line="360" w:lineRule="auto"/>
              <w:rPr>
                <w:rFonts w:cs="Arial"/>
                <w:szCs w:val="24"/>
              </w:rPr>
            </w:pPr>
            <w:r w:rsidRPr="006C28BE">
              <w:rPr>
                <w:rFonts w:cs="Arial"/>
                <w:szCs w:val="24"/>
              </w:rPr>
              <w:t>2021</w:t>
            </w:r>
          </w:p>
        </w:tc>
        <w:tc>
          <w:tcPr>
            <w:tcW w:w="1710" w:type="dxa"/>
          </w:tcPr>
          <w:p w:rsidR="000B0DDC" w:rsidRPr="006C28BE" w:rsidRDefault="000B0DDC" w:rsidP="003D2275">
            <w:pPr>
              <w:spacing w:line="360" w:lineRule="auto"/>
              <w:rPr>
                <w:rFonts w:cs="Arial"/>
                <w:szCs w:val="24"/>
              </w:rPr>
            </w:pPr>
            <w:r w:rsidRPr="006C28BE">
              <w:rPr>
                <w:rFonts w:cs="Arial"/>
                <w:szCs w:val="24"/>
              </w:rPr>
              <w:t>“Europe's Income, Wealth, Consumption, and Inequality”</w:t>
            </w:r>
          </w:p>
        </w:tc>
        <w:tc>
          <w:tcPr>
            <w:tcW w:w="1890" w:type="dxa"/>
          </w:tcPr>
          <w:p w:rsidR="000B0DDC" w:rsidRPr="006C28BE" w:rsidRDefault="000B0DDC" w:rsidP="003D2275">
            <w:pPr>
              <w:spacing w:line="360" w:lineRule="auto"/>
              <w:rPr>
                <w:rFonts w:cs="Arial"/>
                <w:szCs w:val="24"/>
              </w:rPr>
            </w:pPr>
            <w:r w:rsidRPr="006C28BE">
              <w:rPr>
                <w:rFonts w:cs="Arial"/>
                <w:szCs w:val="24"/>
              </w:rPr>
              <w:t>Literature review</w:t>
            </w:r>
          </w:p>
        </w:tc>
        <w:tc>
          <w:tcPr>
            <w:tcW w:w="1800" w:type="dxa"/>
          </w:tcPr>
          <w:p w:rsidR="000B0DDC" w:rsidRPr="006C28BE" w:rsidRDefault="000B0DDC" w:rsidP="003D2275">
            <w:pPr>
              <w:spacing w:line="360" w:lineRule="auto"/>
              <w:rPr>
                <w:rFonts w:cs="Arial"/>
                <w:szCs w:val="24"/>
              </w:rPr>
            </w:pPr>
            <w:r w:rsidRPr="006C28BE">
              <w:rPr>
                <w:rFonts w:cs="Arial"/>
                <w:szCs w:val="24"/>
              </w:rPr>
              <w:t>Differences in wealth in families, consumption levels and financial inequalities impacting dual income importance</w:t>
            </w:r>
          </w:p>
        </w:tc>
        <w:tc>
          <w:tcPr>
            <w:tcW w:w="1530" w:type="dxa"/>
          </w:tcPr>
          <w:p w:rsidR="000B0DDC" w:rsidRPr="006C28BE" w:rsidRDefault="000B0DDC" w:rsidP="003D2275">
            <w:pPr>
              <w:spacing w:line="360" w:lineRule="auto"/>
              <w:rPr>
                <w:rFonts w:cs="Arial"/>
                <w:szCs w:val="24"/>
              </w:rPr>
            </w:pPr>
            <w:r w:rsidRPr="006C28BE">
              <w:rPr>
                <w:rFonts w:cs="Arial"/>
                <w:szCs w:val="24"/>
              </w:rPr>
              <w:t>The findings have highlighted the income level variation in the nation with eth economic structure and the cultural aspects that have been influenced by people's focus on dual income strategy.</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9</w:t>
            </w:r>
          </w:p>
        </w:tc>
        <w:tc>
          <w:tcPr>
            <w:tcW w:w="1530" w:type="dxa"/>
          </w:tcPr>
          <w:p w:rsidR="000B0DDC" w:rsidRPr="006C28BE" w:rsidRDefault="000B0DDC" w:rsidP="003D2275">
            <w:pPr>
              <w:spacing w:line="360" w:lineRule="auto"/>
              <w:rPr>
                <w:rFonts w:cs="Arial"/>
                <w:szCs w:val="24"/>
              </w:rPr>
            </w:pPr>
            <w:r w:rsidRPr="006C28BE">
              <w:rPr>
                <w:rFonts w:cs="Arial"/>
                <w:szCs w:val="24"/>
              </w:rPr>
              <w:t>(Leonce, 2020)</w:t>
            </w:r>
          </w:p>
        </w:tc>
        <w:tc>
          <w:tcPr>
            <w:tcW w:w="900" w:type="dxa"/>
          </w:tcPr>
          <w:p w:rsidR="000B0DDC" w:rsidRPr="006C28BE" w:rsidRDefault="000B0DDC" w:rsidP="003D2275">
            <w:pPr>
              <w:spacing w:line="360" w:lineRule="auto"/>
              <w:rPr>
                <w:rFonts w:cs="Arial"/>
                <w:szCs w:val="24"/>
              </w:rPr>
            </w:pPr>
            <w:r w:rsidRPr="006C28BE">
              <w:rPr>
                <w:rFonts w:cs="Arial"/>
                <w:szCs w:val="24"/>
              </w:rPr>
              <w:t>2020</w:t>
            </w:r>
          </w:p>
        </w:tc>
        <w:tc>
          <w:tcPr>
            <w:tcW w:w="1710" w:type="dxa"/>
          </w:tcPr>
          <w:p w:rsidR="000B0DDC" w:rsidRPr="006C28BE" w:rsidRDefault="000B0DDC" w:rsidP="003D2275">
            <w:pPr>
              <w:spacing w:line="360" w:lineRule="auto"/>
              <w:rPr>
                <w:rFonts w:cs="Arial"/>
                <w:szCs w:val="24"/>
              </w:rPr>
            </w:pPr>
            <w:r w:rsidRPr="006C28BE">
              <w:rPr>
                <w:rFonts w:cs="Arial"/>
                <w:szCs w:val="24"/>
              </w:rPr>
              <w:t>“The inevitable rise in dual-income households and the intertemporal effects on labor markets”</w:t>
            </w:r>
          </w:p>
        </w:tc>
        <w:tc>
          <w:tcPr>
            <w:tcW w:w="1890" w:type="dxa"/>
          </w:tcPr>
          <w:p w:rsidR="000B0DDC" w:rsidRPr="006C28BE" w:rsidRDefault="000B0DDC" w:rsidP="003D2275">
            <w:pPr>
              <w:spacing w:line="360" w:lineRule="auto"/>
              <w:rPr>
                <w:rFonts w:cs="Arial"/>
                <w:szCs w:val="24"/>
              </w:rPr>
            </w:pPr>
            <w:r w:rsidRPr="006C28BE">
              <w:rPr>
                <w:rFonts w:cs="Arial"/>
                <w:szCs w:val="24"/>
              </w:rPr>
              <w:t xml:space="preserve">Qualitative methodology </w:t>
            </w:r>
          </w:p>
        </w:tc>
        <w:tc>
          <w:tcPr>
            <w:tcW w:w="1800" w:type="dxa"/>
          </w:tcPr>
          <w:p w:rsidR="000B0DDC" w:rsidRPr="006C28BE" w:rsidRDefault="000B0DDC" w:rsidP="003D2275">
            <w:pPr>
              <w:spacing w:line="360" w:lineRule="auto"/>
              <w:rPr>
                <w:rFonts w:cs="Arial"/>
                <w:szCs w:val="24"/>
              </w:rPr>
            </w:pPr>
            <w:r w:rsidRPr="006C28BE">
              <w:rPr>
                <w:rFonts w:cs="Arial"/>
                <w:szCs w:val="24"/>
              </w:rPr>
              <w:t>The key focus of the study has shown the economic impact form dual income by showing better pension plans and increasing dual income levels, developing intertemporal effects on the labor market.</w:t>
            </w:r>
          </w:p>
        </w:tc>
        <w:tc>
          <w:tcPr>
            <w:tcW w:w="1530" w:type="dxa"/>
          </w:tcPr>
          <w:p w:rsidR="000B0DDC" w:rsidRPr="006C28BE" w:rsidRDefault="000B0DDC" w:rsidP="003D2275">
            <w:pPr>
              <w:spacing w:line="360" w:lineRule="auto"/>
              <w:rPr>
                <w:rFonts w:cs="Arial"/>
                <w:szCs w:val="24"/>
              </w:rPr>
            </w:pPr>
            <w:r w:rsidRPr="006C28BE">
              <w:rPr>
                <w:rFonts w:cs="Arial"/>
                <w:szCs w:val="24"/>
              </w:rPr>
              <w:t>The findings have indicated the trends for dual income and focus of facilities stores taking multiple works that are changing the labor market dynamics and have an impact on the economic feasibility in the market.</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t>10</w:t>
            </w:r>
          </w:p>
        </w:tc>
        <w:tc>
          <w:tcPr>
            <w:tcW w:w="1530" w:type="dxa"/>
          </w:tcPr>
          <w:p w:rsidR="000B0DDC" w:rsidRPr="006C28BE" w:rsidRDefault="000B0DDC" w:rsidP="003D2275">
            <w:pPr>
              <w:spacing w:line="360" w:lineRule="auto"/>
              <w:rPr>
                <w:rFonts w:cs="Arial"/>
                <w:szCs w:val="24"/>
              </w:rPr>
            </w:pPr>
            <w:r w:rsidRPr="006C28BE">
              <w:rPr>
                <w:rFonts w:cs="Arial"/>
                <w:szCs w:val="24"/>
              </w:rPr>
              <w:t>(Booth and Rigoberto, 2022)</w:t>
            </w:r>
          </w:p>
        </w:tc>
        <w:tc>
          <w:tcPr>
            <w:tcW w:w="900" w:type="dxa"/>
          </w:tcPr>
          <w:p w:rsidR="000B0DDC" w:rsidRPr="006C28BE" w:rsidRDefault="000B0DDC" w:rsidP="003D2275">
            <w:pPr>
              <w:spacing w:line="360" w:lineRule="auto"/>
              <w:rPr>
                <w:rFonts w:cs="Arial"/>
                <w:szCs w:val="24"/>
              </w:rPr>
            </w:pPr>
            <w:r w:rsidRPr="006C28BE">
              <w:rPr>
                <w:rFonts w:cs="Arial"/>
                <w:szCs w:val="24"/>
              </w:rPr>
              <w:t>2022</w:t>
            </w:r>
          </w:p>
        </w:tc>
        <w:tc>
          <w:tcPr>
            <w:tcW w:w="1710" w:type="dxa"/>
          </w:tcPr>
          <w:p w:rsidR="000B0DDC" w:rsidRPr="006C28BE" w:rsidRDefault="000B0DDC" w:rsidP="003D2275">
            <w:pPr>
              <w:spacing w:line="360" w:lineRule="auto"/>
              <w:rPr>
                <w:rFonts w:cs="Arial"/>
                <w:szCs w:val="24"/>
              </w:rPr>
            </w:pPr>
            <w:r w:rsidRPr="006C28BE">
              <w:rPr>
                <w:rFonts w:cs="Arial"/>
                <w:szCs w:val="24"/>
              </w:rPr>
              <w:t>“Taxing Families Fairly”</w:t>
            </w:r>
          </w:p>
        </w:tc>
        <w:tc>
          <w:tcPr>
            <w:tcW w:w="1890" w:type="dxa"/>
          </w:tcPr>
          <w:p w:rsidR="000B0DDC" w:rsidRPr="006C28BE" w:rsidRDefault="000B0DDC" w:rsidP="003D2275">
            <w:pPr>
              <w:spacing w:line="360" w:lineRule="auto"/>
              <w:rPr>
                <w:rFonts w:cs="Arial"/>
                <w:szCs w:val="24"/>
              </w:rPr>
            </w:pPr>
            <w:r w:rsidRPr="006C28BE">
              <w:rPr>
                <w:rFonts w:cs="Arial"/>
                <w:szCs w:val="24"/>
              </w:rPr>
              <w:t>Qualitative assessment</w:t>
            </w:r>
          </w:p>
        </w:tc>
        <w:tc>
          <w:tcPr>
            <w:tcW w:w="1800" w:type="dxa"/>
          </w:tcPr>
          <w:p w:rsidR="000B0DDC" w:rsidRPr="006C28BE" w:rsidRDefault="000B0DDC" w:rsidP="003D2275">
            <w:pPr>
              <w:spacing w:line="360" w:lineRule="auto"/>
              <w:rPr>
                <w:rFonts w:cs="Arial"/>
                <w:szCs w:val="24"/>
              </w:rPr>
            </w:pPr>
            <w:r w:rsidRPr="006C28BE">
              <w:rPr>
                <w:rFonts w:cs="Arial"/>
                <w:szCs w:val="24"/>
              </w:rPr>
              <w:t xml:space="preserve">The key focus of the study is the dual-income impact on the traction policy. The focus shows the development of inequalities, </w:t>
            </w:r>
            <w:r w:rsidRPr="006C28BE">
              <w:rPr>
                <w:rFonts w:cs="Arial"/>
                <w:szCs w:val="24"/>
              </w:rPr>
              <w:lastRenderedPageBreak/>
              <w:t>challenges, and distractions in ethical action policies due to dual income in families.</w:t>
            </w:r>
          </w:p>
        </w:tc>
        <w:tc>
          <w:tcPr>
            <w:tcW w:w="1530" w:type="dxa"/>
          </w:tcPr>
          <w:p w:rsidR="000B0DDC" w:rsidRPr="006C28BE" w:rsidRDefault="000B0DDC" w:rsidP="003D2275">
            <w:pPr>
              <w:spacing w:line="360" w:lineRule="auto"/>
              <w:rPr>
                <w:rFonts w:cs="Arial"/>
                <w:szCs w:val="24"/>
              </w:rPr>
            </w:pPr>
            <w:r w:rsidRPr="006C28BE">
              <w:rPr>
                <w:rFonts w:cs="Arial"/>
                <w:szCs w:val="24"/>
              </w:rPr>
              <w:lastRenderedPageBreak/>
              <w:t xml:space="preserve">The key finding is the economic challenge and implication on taxation policies for dual-income </w:t>
            </w:r>
            <w:r w:rsidRPr="006C28BE">
              <w:rPr>
                <w:rFonts w:cs="Arial"/>
                <w:szCs w:val="24"/>
              </w:rPr>
              <w:lastRenderedPageBreak/>
              <w:t>households. The finding indicates that developing fairness in taxation policies in dual-income households is much needed to develop social economic balance. The dual income level also creates challenges for action structure too.</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11</w:t>
            </w:r>
          </w:p>
        </w:tc>
        <w:tc>
          <w:tcPr>
            <w:tcW w:w="1530" w:type="dxa"/>
          </w:tcPr>
          <w:p w:rsidR="000B0DDC" w:rsidRPr="006C28BE" w:rsidRDefault="000B0DDC" w:rsidP="003D2275">
            <w:pPr>
              <w:spacing w:line="360" w:lineRule="auto"/>
              <w:rPr>
                <w:rFonts w:cs="Arial"/>
                <w:szCs w:val="24"/>
              </w:rPr>
            </w:pPr>
            <w:r w:rsidRPr="006C28BE">
              <w:rPr>
                <w:rFonts w:cs="Arial"/>
                <w:szCs w:val="24"/>
              </w:rPr>
              <w:t>(Delestre et al., 2022)</w:t>
            </w:r>
          </w:p>
        </w:tc>
        <w:tc>
          <w:tcPr>
            <w:tcW w:w="900" w:type="dxa"/>
          </w:tcPr>
          <w:p w:rsidR="000B0DDC" w:rsidRPr="006C28BE" w:rsidRDefault="000B0DDC" w:rsidP="003D2275">
            <w:pPr>
              <w:spacing w:line="360" w:lineRule="auto"/>
              <w:rPr>
                <w:rFonts w:cs="Arial"/>
                <w:szCs w:val="24"/>
              </w:rPr>
            </w:pPr>
            <w:r w:rsidRPr="006C28BE">
              <w:rPr>
                <w:rFonts w:cs="Arial"/>
                <w:szCs w:val="24"/>
              </w:rPr>
              <w:t>2022</w:t>
            </w:r>
          </w:p>
        </w:tc>
        <w:tc>
          <w:tcPr>
            <w:tcW w:w="1710" w:type="dxa"/>
          </w:tcPr>
          <w:p w:rsidR="000B0DDC" w:rsidRPr="006C28BE" w:rsidRDefault="000B0DDC" w:rsidP="003D2275">
            <w:pPr>
              <w:spacing w:line="360" w:lineRule="auto"/>
              <w:rPr>
                <w:rFonts w:cs="Arial"/>
                <w:szCs w:val="24"/>
              </w:rPr>
            </w:pPr>
            <w:r w:rsidRPr="006C28BE">
              <w:rPr>
                <w:rFonts w:cs="Arial"/>
                <w:szCs w:val="24"/>
              </w:rPr>
              <w:t>“Top income inequality and tax policy “</w:t>
            </w:r>
          </w:p>
        </w:tc>
        <w:tc>
          <w:tcPr>
            <w:tcW w:w="1890" w:type="dxa"/>
          </w:tcPr>
          <w:p w:rsidR="000B0DDC" w:rsidRPr="006C28BE" w:rsidRDefault="000B0DDC" w:rsidP="003D2275">
            <w:pPr>
              <w:spacing w:line="360" w:lineRule="auto"/>
              <w:rPr>
                <w:rFonts w:cs="Arial"/>
                <w:szCs w:val="24"/>
              </w:rPr>
            </w:pPr>
            <w:r w:rsidRPr="006C28BE">
              <w:rPr>
                <w:rFonts w:cs="Arial"/>
                <w:szCs w:val="24"/>
              </w:rPr>
              <w:t>Qualitative methodology</w:t>
            </w:r>
          </w:p>
        </w:tc>
        <w:tc>
          <w:tcPr>
            <w:tcW w:w="1800" w:type="dxa"/>
          </w:tcPr>
          <w:p w:rsidR="000B0DDC" w:rsidRPr="006C28BE" w:rsidRDefault="000B0DDC" w:rsidP="003D2275">
            <w:pPr>
              <w:spacing w:line="360" w:lineRule="auto"/>
              <w:rPr>
                <w:rFonts w:cs="Arial"/>
                <w:szCs w:val="24"/>
              </w:rPr>
            </w:pPr>
            <w:r w:rsidRPr="006C28BE">
              <w:rPr>
                <w:rFonts w:cs="Arial"/>
                <w:szCs w:val="24"/>
              </w:rPr>
              <w:t>They focus has been on inequality do action due to dual income.</w:t>
            </w:r>
          </w:p>
        </w:tc>
        <w:tc>
          <w:tcPr>
            <w:tcW w:w="1530" w:type="dxa"/>
          </w:tcPr>
          <w:p w:rsidR="000B0DDC" w:rsidRPr="006C28BE" w:rsidRDefault="000B0DDC" w:rsidP="003D2275">
            <w:pPr>
              <w:spacing w:line="360" w:lineRule="auto"/>
              <w:rPr>
                <w:rFonts w:cs="Arial"/>
                <w:szCs w:val="24"/>
              </w:rPr>
            </w:pPr>
            <w:r w:rsidRPr="006C28BE">
              <w:rPr>
                <w:rFonts w:cs="Arial"/>
                <w:szCs w:val="24"/>
              </w:rPr>
              <w:t xml:space="preserve">The findings have shown the inequality in action status developed from dual income and </w:t>
            </w:r>
            <w:r w:rsidRPr="006C28BE">
              <w:rPr>
                <w:rFonts w:cs="Arial"/>
                <w:szCs w:val="24"/>
              </w:rPr>
              <w:lastRenderedPageBreak/>
              <w:t>economic challenge in society.</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12</w:t>
            </w:r>
          </w:p>
        </w:tc>
        <w:tc>
          <w:tcPr>
            <w:tcW w:w="1530" w:type="dxa"/>
          </w:tcPr>
          <w:p w:rsidR="000B0DDC" w:rsidRPr="006C28BE" w:rsidRDefault="000B0DDC" w:rsidP="003D2275">
            <w:pPr>
              <w:spacing w:line="360" w:lineRule="auto"/>
              <w:rPr>
                <w:rFonts w:cs="Arial"/>
                <w:szCs w:val="24"/>
              </w:rPr>
            </w:pPr>
            <w:r w:rsidRPr="006C28BE">
              <w:rPr>
                <w:rFonts w:cs="Arial"/>
                <w:szCs w:val="24"/>
              </w:rPr>
              <w:t>(Grotti, 2020)</w:t>
            </w:r>
          </w:p>
        </w:tc>
        <w:tc>
          <w:tcPr>
            <w:tcW w:w="900" w:type="dxa"/>
          </w:tcPr>
          <w:p w:rsidR="000B0DDC" w:rsidRPr="006C28BE" w:rsidRDefault="000B0DDC" w:rsidP="003D2275">
            <w:pPr>
              <w:spacing w:line="360" w:lineRule="auto"/>
              <w:rPr>
                <w:rFonts w:cs="Arial"/>
                <w:szCs w:val="24"/>
              </w:rPr>
            </w:pPr>
            <w:r w:rsidRPr="006C28BE">
              <w:rPr>
                <w:rFonts w:cs="Arial"/>
                <w:szCs w:val="24"/>
              </w:rPr>
              <w:t>2020</w:t>
            </w:r>
          </w:p>
        </w:tc>
        <w:tc>
          <w:tcPr>
            <w:tcW w:w="1710" w:type="dxa"/>
          </w:tcPr>
          <w:p w:rsidR="000B0DDC" w:rsidRPr="006C28BE" w:rsidRDefault="000B0DDC" w:rsidP="003D2275">
            <w:pPr>
              <w:spacing w:line="360" w:lineRule="auto"/>
              <w:rPr>
                <w:rFonts w:cs="Arial"/>
                <w:szCs w:val="24"/>
              </w:rPr>
            </w:pPr>
            <w:r w:rsidRPr="006C28BE">
              <w:rPr>
                <w:rFonts w:cs="Arial"/>
                <w:szCs w:val="24"/>
              </w:rPr>
              <w:t>“Economic Inequality and the Household: Household changes and the role of welfare institutions across countries.”</w:t>
            </w:r>
          </w:p>
        </w:tc>
        <w:tc>
          <w:tcPr>
            <w:tcW w:w="1890" w:type="dxa"/>
          </w:tcPr>
          <w:p w:rsidR="000B0DDC" w:rsidRPr="006C28BE" w:rsidRDefault="000B0DDC" w:rsidP="003D2275">
            <w:pPr>
              <w:spacing w:line="360" w:lineRule="auto"/>
              <w:rPr>
                <w:rFonts w:cs="Arial"/>
                <w:szCs w:val="24"/>
              </w:rPr>
            </w:pPr>
            <w:r w:rsidRPr="006C28BE">
              <w:rPr>
                <w:rFonts w:cs="Arial"/>
                <w:szCs w:val="24"/>
              </w:rPr>
              <w:t xml:space="preserve">Literature review </w:t>
            </w:r>
          </w:p>
        </w:tc>
        <w:tc>
          <w:tcPr>
            <w:tcW w:w="1800" w:type="dxa"/>
          </w:tcPr>
          <w:p w:rsidR="000B0DDC" w:rsidRPr="006C28BE" w:rsidRDefault="000B0DDC" w:rsidP="003D2275">
            <w:pPr>
              <w:spacing w:line="360" w:lineRule="auto"/>
              <w:rPr>
                <w:rFonts w:cs="Arial"/>
                <w:szCs w:val="24"/>
              </w:rPr>
            </w:pPr>
            <w:r w:rsidRPr="006C28BE">
              <w:rPr>
                <w:rFonts w:cs="Arial"/>
                <w:szCs w:val="24"/>
              </w:rPr>
              <w:t xml:space="preserve">The key focus is towards the economic inequality debate of dual income levels and household dynamics. </w:t>
            </w:r>
          </w:p>
        </w:tc>
        <w:tc>
          <w:tcPr>
            <w:tcW w:w="1530" w:type="dxa"/>
          </w:tcPr>
          <w:p w:rsidR="000B0DDC" w:rsidRPr="006C28BE" w:rsidRDefault="000B0DDC" w:rsidP="003D2275">
            <w:pPr>
              <w:spacing w:line="360" w:lineRule="auto"/>
              <w:rPr>
                <w:rFonts w:cs="Arial"/>
                <w:szCs w:val="24"/>
              </w:rPr>
            </w:pPr>
            <w:r w:rsidRPr="006C28BE">
              <w:rPr>
                <w:rFonts w:cs="Arial"/>
                <w:szCs w:val="24"/>
              </w:rPr>
              <w:t>The study findings have indicated the economic inequalities created by dual income in the UK, which influences the welfare of some people and the economic situation in households.</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t>13</w:t>
            </w:r>
          </w:p>
        </w:tc>
        <w:tc>
          <w:tcPr>
            <w:tcW w:w="1530" w:type="dxa"/>
          </w:tcPr>
          <w:p w:rsidR="000B0DDC" w:rsidRPr="006C28BE" w:rsidRDefault="000B0DDC" w:rsidP="003D2275">
            <w:pPr>
              <w:spacing w:line="360" w:lineRule="auto"/>
              <w:rPr>
                <w:rFonts w:cs="Arial"/>
                <w:szCs w:val="24"/>
              </w:rPr>
            </w:pPr>
            <w:r w:rsidRPr="006C28BE">
              <w:rPr>
                <w:rFonts w:cs="Arial"/>
                <w:szCs w:val="24"/>
              </w:rPr>
              <w:t>(Zoeller, D., 2023)</w:t>
            </w:r>
          </w:p>
        </w:tc>
        <w:tc>
          <w:tcPr>
            <w:tcW w:w="900" w:type="dxa"/>
          </w:tcPr>
          <w:p w:rsidR="000B0DDC" w:rsidRPr="006C28BE" w:rsidRDefault="000B0DDC" w:rsidP="003D2275">
            <w:pPr>
              <w:spacing w:line="360" w:lineRule="auto"/>
              <w:rPr>
                <w:rFonts w:cs="Arial"/>
                <w:szCs w:val="24"/>
              </w:rPr>
            </w:pPr>
            <w:r w:rsidRPr="006C28BE">
              <w:rPr>
                <w:rFonts w:cs="Arial"/>
                <w:szCs w:val="24"/>
              </w:rPr>
              <w:t>2023</w:t>
            </w:r>
          </w:p>
        </w:tc>
        <w:tc>
          <w:tcPr>
            <w:tcW w:w="1710" w:type="dxa"/>
          </w:tcPr>
          <w:p w:rsidR="000B0DDC" w:rsidRPr="006C28BE" w:rsidRDefault="000B0DDC" w:rsidP="003D2275">
            <w:pPr>
              <w:spacing w:line="360" w:lineRule="auto"/>
              <w:rPr>
                <w:rFonts w:cs="Arial"/>
                <w:szCs w:val="24"/>
              </w:rPr>
            </w:pPr>
            <w:r w:rsidRPr="006C28BE">
              <w:rPr>
                <w:rFonts w:cs="Arial"/>
                <w:szCs w:val="24"/>
              </w:rPr>
              <w:t>“Splitting the" Second Shift" Among Dual Income Couples: A Consensual Qualitative Design “</w:t>
            </w:r>
          </w:p>
        </w:tc>
        <w:tc>
          <w:tcPr>
            <w:tcW w:w="1890" w:type="dxa"/>
          </w:tcPr>
          <w:p w:rsidR="000B0DDC" w:rsidRPr="006C28BE" w:rsidRDefault="000B0DDC" w:rsidP="003D2275">
            <w:pPr>
              <w:spacing w:line="360" w:lineRule="auto"/>
              <w:rPr>
                <w:rFonts w:cs="Arial"/>
                <w:szCs w:val="24"/>
              </w:rPr>
            </w:pPr>
            <w:r w:rsidRPr="006C28BE">
              <w:rPr>
                <w:rFonts w:cs="Arial"/>
                <w:szCs w:val="24"/>
              </w:rPr>
              <w:t xml:space="preserve">Content analysis </w:t>
            </w:r>
          </w:p>
        </w:tc>
        <w:tc>
          <w:tcPr>
            <w:tcW w:w="1800" w:type="dxa"/>
          </w:tcPr>
          <w:p w:rsidR="000B0DDC" w:rsidRPr="006C28BE" w:rsidRDefault="000B0DDC" w:rsidP="003D2275">
            <w:pPr>
              <w:spacing w:line="360" w:lineRule="auto"/>
              <w:rPr>
                <w:rFonts w:cs="Arial"/>
                <w:szCs w:val="24"/>
              </w:rPr>
            </w:pPr>
            <w:r w:rsidRPr="006C28BE">
              <w:rPr>
                <w:rFonts w:cs="Arial"/>
                <w:szCs w:val="24"/>
              </w:rPr>
              <w:t>The key focus highlights the economic shifts with dual-income</w:t>
            </w:r>
          </w:p>
        </w:tc>
        <w:tc>
          <w:tcPr>
            <w:tcW w:w="1530" w:type="dxa"/>
          </w:tcPr>
          <w:p w:rsidR="000B0DDC" w:rsidRPr="006C28BE" w:rsidRDefault="000B0DDC" w:rsidP="003D2275">
            <w:pPr>
              <w:spacing w:line="360" w:lineRule="auto"/>
              <w:rPr>
                <w:rFonts w:cs="Arial"/>
                <w:szCs w:val="24"/>
              </w:rPr>
            </w:pPr>
            <w:r w:rsidRPr="006C28BE">
              <w:rPr>
                <w:rFonts w:cs="Arial"/>
                <w:szCs w:val="24"/>
              </w:rPr>
              <w:t xml:space="preserve">The key findings of the study highlighted that dual income has led towards the unequal division of household labor and </w:t>
            </w:r>
            <w:r w:rsidRPr="006C28BE">
              <w:rPr>
                <w:rFonts w:cs="Arial"/>
                <w:szCs w:val="24"/>
              </w:rPr>
              <w:lastRenderedPageBreak/>
              <w:t xml:space="preserve">leading to marital discords. </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14</w:t>
            </w:r>
          </w:p>
        </w:tc>
        <w:tc>
          <w:tcPr>
            <w:tcW w:w="1530" w:type="dxa"/>
          </w:tcPr>
          <w:p w:rsidR="000B0DDC" w:rsidRPr="006C28BE" w:rsidRDefault="000B0DDC" w:rsidP="003D2275">
            <w:pPr>
              <w:spacing w:line="360" w:lineRule="auto"/>
              <w:rPr>
                <w:rFonts w:cs="Arial"/>
                <w:szCs w:val="24"/>
              </w:rPr>
            </w:pPr>
            <w:r w:rsidRPr="006C28BE">
              <w:rPr>
                <w:rFonts w:cs="Arial"/>
                <w:szCs w:val="24"/>
              </w:rPr>
              <w:t>(Sauer, Rehm and Mader, 2020)</w:t>
            </w:r>
          </w:p>
        </w:tc>
        <w:tc>
          <w:tcPr>
            <w:tcW w:w="900" w:type="dxa"/>
          </w:tcPr>
          <w:p w:rsidR="000B0DDC" w:rsidRPr="006C28BE" w:rsidRDefault="000B0DDC" w:rsidP="003D2275">
            <w:pPr>
              <w:spacing w:line="360" w:lineRule="auto"/>
              <w:rPr>
                <w:rFonts w:cs="Arial"/>
                <w:szCs w:val="24"/>
              </w:rPr>
            </w:pPr>
            <w:r w:rsidRPr="006C28BE">
              <w:rPr>
                <w:rFonts w:cs="Arial"/>
                <w:szCs w:val="24"/>
              </w:rPr>
              <w:t>2020</w:t>
            </w:r>
          </w:p>
        </w:tc>
        <w:tc>
          <w:tcPr>
            <w:tcW w:w="1710" w:type="dxa"/>
          </w:tcPr>
          <w:p w:rsidR="000B0DDC" w:rsidRPr="006C28BE" w:rsidRDefault="000B0DDC" w:rsidP="003D2275">
            <w:pPr>
              <w:spacing w:line="360" w:lineRule="auto"/>
              <w:rPr>
                <w:rFonts w:cs="Arial"/>
                <w:szCs w:val="24"/>
              </w:rPr>
            </w:pPr>
            <w:r w:rsidRPr="006C28BE">
              <w:rPr>
                <w:rFonts w:cs="Arial"/>
                <w:szCs w:val="24"/>
              </w:rPr>
              <w:t>“Gender and income inequality”</w:t>
            </w:r>
          </w:p>
        </w:tc>
        <w:tc>
          <w:tcPr>
            <w:tcW w:w="1890" w:type="dxa"/>
          </w:tcPr>
          <w:p w:rsidR="000B0DDC" w:rsidRPr="006C28BE" w:rsidRDefault="000B0DDC" w:rsidP="003D2275">
            <w:pPr>
              <w:spacing w:line="360" w:lineRule="auto"/>
              <w:rPr>
                <w:rFonts w:cs="Arial"/>
                <w:szCs w:val="24"/>
              </w:rPr>
            </w:pPr>
            <w:r w:rsidRPr="006C28BE">
              <w:rPr>
                <w:rFonts w:cs="Arial"/>
                <w:szCs w:val="24"/>
              </w:rPr>
              <w:t>Qualitative methodology</w:t>
            </w:r>
          </w:p>
        </w:tc>
        <w:tc>
          <w:tcPr>
            <w:tcW w:w="1800" w:type="dxa"/>
          </w:tcPr>
          <w:p w:rsidR="000B0DDC" w:rsidRPr="006C28BE" w:rsidRDefault="000B0DDC" w:rsidP="003D2275">
            <w:pPr>
              <w:spacing w:line="360" w:lineRule="auto"/>
              <w:rPr>
                <w:rFonts w:cs="Arial"/>
                <w:szCs w:val="24"/>
              </w:rPr>
            </w:pPr>
            <w:r w:rsidRPr="006C28BE">
              <w:rPr>
                <w:rFonts w:cs="Arial"/>
                <w:szCs w:val="24"/>
              </w:rPr>
              <w:t>The key focus indicates the income inequality reduction base on gender in dual-income scenarios in households.</w:t>
            </w:r>
          </w:p>
        </w:tc>
        <w:tc>
          <w:tcPr>
            <w:tcW w:w="1530" w:type="dxa"/>
          </w:tcPr>
          <w:p w:rsidR="000B0DDC" w:rsidRPr="006C28BE" w:rsidRDefault="000B0DDC" w:rsidP="003D2275">
            <w:pPr>
              <w:spacing w:line="360" w:lineRule="auto"/>
              <w:rPr>
                <w:rFonts w:cs="Arial"/>
                <w:szCs w:val="24"/>
              </w:rPr>
            </w:pPr>
            <w:r w:rsidRPr="006C28BE">
              <w:rPr>
                <w:rFonts w:cs="Arial"/>
                <w:szCs w:val="24"/>
              </w:rPr>
              <w:t xml:space="preserve">The key findings highly the reduction of the inequality based on genders in the UK because of the dual household income levels. </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t>15</w:t>
            </w:r>
          </w:p>
        </w:tc>
        <w:tc>
          <w:tcPr>
            <w:tcW w:w="1530" w:type="dxa"/>
          </w:tcPr>
          <w:p w:rsidR="000B0DDC" w:rsidRPr="006C28BE" w:rsidRDefault="000B0DDC" w:rsidP="003D2275">
            <w:pPr>
              <w:spacing w:line="360" w:lineRule="auto"/>
              <w:rPr>
                <w:rFonts w:cs="Arial"/>
                <w:szCs w:val="24"/>
              </w:rPr>
            </w:pPr>
            <w:r w:rsidRPr="006C28BE">
              <w:rPr>
                <w:rFonts w:cs="Arial"/>
                <w:szCs w:val="24"/>
              </w:rPr>
              <w:t>“Llanos Reynoso and Martínez Verduzco, 2020”</w:t>
            </w:r>
          </w:p>
        </w:tc>
        <w:tc>
          <w:tcPr>
            <w:tcW w:w="900" w:type="dxa"/>
          </w:tcPr>
          <w:p w:rsidR="000B0DDC" w:rsidRPr="006C28BE" w:rsidRDefault="000B0DDC" w:rsidP="003D2275">
            <w:pPr>
              <w:spacing w:line="360" w:lineRule="auto"/>
              <w:rPr>
                <w:rFonts w:cs="Arial"/>
                <w:szCs w:val="24"/>
              </w:rPr>
            </w:pPr>
            <w:r w:rsidRPr="006C28BE">
              <w:rPr>
                <w:rFonts w:cs="Arial"/>
                <w:szCs w:val="24"/>
              </w:rPr>
              <w:t>2020</w:t>
            </w:r>
          </w:p>
        </w:tc>
        <w:tc>
          <w:tcPr>
            <w:tcW w:w="1710" w:type="dxa"/>
          </w:tcPr>
          <w:p w:rsidR="000B0DDC" w:rsidRPr="006C28BE" w:rsidRDefault="000B0DDC" w:rsidP="003D2275">
            <w:pPr>
              <w:spacing w:line="360" w:lineRule="auto"/>
              <w:rPr>
                <w:rFonts w:cs="Arial"/>
                <w:szCs w:val="24"/>
              </w:rPr>
            </w:pPr>
            <w:r w:rsidRPr="006C28BE">
              <w:rPr>
                <w:rFonts w:cs="Arial"/>
                <w:szCs w:val="24"/>
              </w:rPr>
              <w:t>“Duplicating the Number of Income Earners per Household in Mexico Does Not Reduce Inequality”</w:t>
            </w:r>
          </w:p>
        </w:tc>
        <w:tc>
          <w:tcPr>
            <w:tcW w:w="1890" w:type="dxa"/>
          </w:tcPr>
          <w:p w:rsidR="000B0DDC" w:rsidRPr="006C28BE" w:rsidRDefault="000B0DDC" w:rsidP="003D2275">
            <w:pPr>
              <w:spacing w:line="360" w:lineRule="auto"/>
              <w:rPr>
                <w:rFonts w:cs="Arial"/>
                <w:szCs w:val="24"/>
              </w:rPr>
            </w:pPr>
            <w:r w:rsidRPr="006C28BE">
              <w:rPr>
                <w:rFonts w:cs="Arial"/>
                <w:szCs w:val="24"/>
              </w:rPr>
              <w:t xml:space="preserve">Statistical analysis </w:t>
            </w:r>
          </w:p>
        </w:tc>
        <w:tc>
          <w:tcPr>
            <w:tcW w:w="1800" w:type="dxa"/>
          </w:tcPr>
          <w:p w:rsidR="000B0DDC" w:rsidRPr="006C28BE" w:rsidRDefault="000B0DDC" w:rsidP="003D2275">
            <w:pPr>
              <w:spacing w:line="360" w:lineRule="auto"/>
              <w:rPr>
                <w:rFonts w:cs="Arial"/>
                <w:szCs w:val="24"/>
              </w:rPr>
            </w:pPr>
            <w:r w:rsidRPr="006C28BE">
              <w:rPr>
                <w:rFonts w:cs="Arial"/>
                <w:szCs w:val="24"/>
              </w:rPr>
              <w:t>Dual income impact on inequality in income level reduction.</w:t>
            </w:r>
          </w:p>
        </w:tc>
        <w:tc>
          <w:tcPr>
            <w:tcW w:w="1530" w:type="dxa"/>
          </w:tcPr>
          <w:p w:rsidR="000B0DDC" w:rsidRPr="006C28BE" w:rsidRDefault="000B0DDC" w:rsidP="003D2275">
            <w:pPr>
              <w:spacing w:line="360" w:lineRule="auto"/>
              <w:rPr>
                <w:rFonts w:cs="Arial"/>
                <w:szCs w:val="24"/>
              </w:rPr>
            </w:pPr>
            <w:r w:rsidRPr="006C28BE">
              <w:rPr>
                <w:rFonts w:cs="Arial"/>
                <w:szCs w:val="24"/>
              </w:rPr>
              <w:t>The finding shows that dual income helps in reducing the economic challenge from the society and helps in better income distributions.</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16</w:t>
            </w:r>
          </w:p>
        </w:tc>
        <w:tc>
          <w:tcPr>
            <w:tcW w:w="1530" w:type="dxa"/>
          </w:tcPr>
          <w:p w:rsidR="000B0DDC" w:rsidRPr="006C28BE" w:rsidRDefault="000B0DDC" w:rsidP="003D2275">
            <w:pPr>
              <w:spacing w:line="360" w:lineRule="auto"/>
              <w:rPr>
                <w:rFonts w:cs="Arial"/>
                <w:szCs w:val="24"/>
              </w:rPr>
            </w:pPr>
            <w:r w:rsidRPr="006C28BE">
              <w:rPr>
                <w:rFonts w:cs="Arial"/>
                <w:szCs w:val="24"/>
              </w:rPr>
              <w:t>(Bartels and Waldenström, 2022</w:t>
            </w:r>
          </w:p>
        </w:tc>
        <w:tc>
          <w:tcPr>
            <w:tcW w:w="900" w:type="dxa"/>
          </w:tcPr>
          <w:p w:rsidR="000B0DDC" w:rsidRPr="006C28BE" w:rsidRDefault="000B0DDC" w:rsidP="003D2275">
            <w:pPr>
              <w:spacing w:line="360" w:lineRule="auto"/>
              <w:rPr>
                <w:rFonts w:cs="Arial"/>
                <w:szCs w:val="24"/>
              </w:rPr>
            </w:pPr>
            <w:r w:rsidRPr="006C28BE">
              <w:rPr>
                <w:rFonts w:cs="Arial"/>
                <w:szCs w:val="24"/>
              </w:rPr>
              <w:t>2022</w:t>
            </w:r>
          </w:p>
        </w:tc>
        <w:tc>
          <w:tcPr>
            <w:tcW w:w="1710" w:type="dxa"/>
          </w:tcPr>
          <w:p w:rsidR="000B0DDC" w:rsidRPr="006C28BE" w:rsidRDefault="000B0DDC" w:rsidP="003D2275">
            <w:pPr>
              <w:spacing w:line="360" w:lineRule="auto"/>
              <w:rPr>
                <w:rFonts w:cs="Arial"/>
                <w:szCs w:val="24"/>
              </w:rPr>
            </w:pPr>
            <w:r w:rsidRPr="006C28BE">
              <w:rPr>
                <w:rFonts w:cs="Arial"/>
                <w:szCs w:val="24"/>
              </w:rPr>
              <w:t>“Inequality and top incomes”</w:t>
            </w:r>
          </w:p>
        </w:tc>
        <w:tc>
          <w:tcPr>
            <w:tcW w:w="1890" w:type="dxa"/>
          </w:tcPr>
          <w:p w:rsidR="000B0DDC" w:rsidRPr="006C28BE" w:rsidRDefault="000B0DDC" w:rsidP="003D2275">
            <w:pPr>
              <w:spacing w:line="360" w:lineRule="auto"/>
              <w:rPr>
                <w:rFonts w:cs="Arial"/>
                <w:szCs w:val="24"/>
              </w:rPr>
            </w:pPr>
            <w:r w:rsidRPr="006C28BE">
              <w:rPr>
                <w:rFonts w:cs="Arial"/>
                <w:szCs w:val="24"/>
              </w:rPr>
              <w:t xml:space="preserve">Econometric models use </w:t>
            </w:r>
          </w:p>
        </w:tc>
        <w:tc>
          <w:tcPr>
            <w:tcW w:w="1800" w:type="dxa"/>
          </w:tcPr>
          <w:p w:rsidR="000B0DDC" w:rsidRPr="006C28BE" w:rsidRDefault="000B0DDC" w:rsidP="003D2275">
            <w:pPr>
              <w:spacing w:line="360" w:lineRule="auto"/>
              <w:rPr>
                <w:rFonts w:cs="Arial"/>
                <w:szCs w:val="24"/>
              </w:rPr>
            </w:pPr>
            <w:r w:rsidRPr="006C28BE">
              <w:rPr>
                <w:rFonts w:cs="Arial"/>
                <w:szCs w:val="24"/>
              </w:rPr>
              <w:t>Dual income develops action challenges but also impacts household prosperity in economic conditions, focusing on reconciled estimates in the UK.</w:t>
            </w:r>
          </w:p>
        </w:tc>
        <w:tc>
          <w:tcPr>
            <w:tcW w:w="1530" w:type="dxa"/>
          </w:tcPr>
          <w:p w:rsidR="000B0DDC" w:rsidRPr="006C28BE" w:rsidRDefault="000B0DDC" w:rsidP="003D2275">
            <w:pPr>
              <w:spacing w:line="360" w:lineRule="auto"/>
              <w:rPr>
                <w:rFonts w:cs="Arial"/>
                <w:szCs w:val="24"/>
              </w:rPr>
            </w:pPr>
            <w:r w:rsidRPr="006C28BE">
              <w:rPr>
                <w:rFonts w:cs="Arial"/>
                <w:szCs w:val="24"/>
              </w:rPr>
              <w:t>The findings have indicated dual taxation requirements emerging from dual income but also indicate the financial prosperity with the dual income that provides social and economic security to facilities.</w:t>
            </w:r>
          </w:p>
        </w:tc>
      </w:tr>
      <w:tr w:rsidR="000B0DDC" w:rsidRPr="006C28BE" w:rsidTr="003D2275">
        <w:tc>
          <w:tcPr>
            <w:tcW w:w="10350" w:type="dxa"/>
            <w:gridSpan w:val="7"/>
          </w:tcPr>
          <w:p w:rsidR="000B0DDC" w:rsidRPr="006C28BE" w:rsidRDefault="000B0DDC" w:rsidP="003D2275">
            <w:pPr>
              <w:spacing w:line="360" w:lineRule="auto"/>
              <w:rPr>
                <w:rFonts w:cs="Arial"/>
                <w:szCs w:val="24"/>
              </w:rPr>
            </w:pPr>
          </w:p>
          <w:p w:rsidR="000B0DDC" w:rsidRPr="006C28BE" w:rsidRDefault="000B0DDC" w:rsidP="003D2275">
            <w:pPr>
              <w:spacing w:line="360" w:lineRule="auto"/>
              <w:rPr>
                <w:rFonts w:cs="Arial"/>
                <w:b/>
                <w:bCs/>
                <w:szCs w:val="24"/>
              </w:rPr>
            </w:pPr>
            <w:r w:rsidRPr="006C28BE">
              <w:rPr>
                <w:rFonts w:cs="Arial"/>
                <w:b/>
                <w:bCs/>
                <w:szCs w:val="24"/>
              </w:rPr>
              <w:t>Social and Family Dynamics</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t>17</w:t>
            </w:r>
          </w:p>
        </w:tc>
        <w:tc>
          <w:tcPr>
            <w:tcW w:w="1530" w:type="dxa"/>
          </w:tcPr>
          <w:p w:rsidR="000B0DDC" w:rsidRPr="006C28BE" w:rsidRDefault="000B0DDC" w:rsidP="003D2275">
            <w:pPr>
              <w:spacing w:line="360" w:lineRule="auto"/>
              <w:rPr>
                <w:rFonts w:cs="Arial"/>
                <w:szCs w:val="24"/>
              </w:rPr>
            </w:pPr>
            <w:r w:rsidRPr="006C28BE">
              <w:rPr>
                <w:rFonts w:cs="Arial"/>
                <w:szCs w:val="24"/>
              </w:rPr>
              <w:t>(Ahmad, 2022)</w:t>
            </w:r>
          </w:p>
        </w:tc>
        <w:tc>
          <w:tcPr>
            <w:tcW w:w="900" w:type="dxa"/>
          </w:tcPr>
          <w:p w:rsidR="000B0DDC" w:rsidRPr="006C28BE" w:rsidRDefault="000B0DDC" w:rsidP="003D2275">
            <w:pPr>
              <w:spacing w:line="360" w:lineRule="auto"/>
              <w:rPr>
                <w:rFonts w:cs="Arial"/>
                <w:szCs w:val="24"/>
              </w:rPr>
            </w:pPr>
            <w:r w:rsidRPr="006C28BE">
              <w:rPr>
                <w:rFonts w:cs="Arial"/>
                <w:szCs w:val="24"/>
              </w:rPr>
              <w:t>2022</w:t>
            </w:r>
          </w:p>
        </w:tc>
        <w:tc>
          <w:tcPr>
            <w:tcW w:w="1710" w:type="dxa"/>
          </w:tcPr>
          <w:p w:rsidR="000B0DDC" w:rsidRPr="006C28BE" w:rsidRDefault="000B0DDC" w:rsidP="003D2275">
            <w:pPr>
              <w:spacing w:line="360" w:lineRule="auto"/>
              <w:rPr>
                <w:rFonts w:cs="Arial"/>
                <w:szCs w:val="24"/>
              </w:rPr>
            </w:pPr>
            <w:r w:rsidRPr="006C28BE">
              <w:rPr>
                <w:rFonts w:cs="Arial"/>
                <w:szCs w:val="24"/>
              </w:rPr>
              <w:t>“Revolutionary papers: an exploration of anticolonial and anti-imperial journals”</w:t>
            </w:r>
          </w:p>
        </w:tc>
        <w:tc>
          <w:tcPr>
            <w:tcW w:w="1890" w:type="dxa"/>
          </w:tcPr>
          <w:p w:rsidR="000B0DDC" w:rsidRPr="006C28BE" w:rsidRDefault="000B0DDC" w:rsidP="003D2275">
            <w:pPr>
              <w:spacing w:line="360" w:lineRule="auto"/>
              <w:rPr>
                <w:rFonts w:cs="Arial"/>
                <w:szCs w:val="24"/>
              </w:rPr>
            </w:pPr>
            <w:r w:rsidRPr="006C28BE">
              <w:rPr>
                <w:rFonts w:cs="Arial"/>
                <w:szCs w:val="24"/>
              </w:rPr>
              <w:t>Content analysis with interdisciplinary collaboration in digital tools.</w:t>
            </w:r>
          </w:p>
        </w:tc>
        <w:tc>
          <w:tcPr>
            <w:tcW w:w="1800" w:type="dxa"/>
          </w:tcPr>
          <w:p w:rsidR="000B0DDC" w:rsidRPr="006C28BE" w:rsidRDefault="000B0DDC" w:rsidP="003D2275">
            <w:pPr>
              <w:spacing w:line="360" w:lineRule="auto"/>
              <w:rPr>
                <w:rFonts w:cs="Arial"/>
                <w:szCs w:val="24"/>
              </w:rPr>
            </w:pPr>
            <w:r w:rsidRPr="006C28BE">
              <w:rPr>
                <w:rFonts w:cs="Arial"/>
                <w:szCs w:val="24"/>
              </w:rPr>
              <w:t>Key focus indicated new political ideas and network developments.</w:t>
            </w:r>
          </w:p>
        </w:tc>
        <w:tc>
          <w:tcPr>
            <w:tcW w:w="1530" w:type="dxa"/>
          </w:tcPr>
          <w:p w:rsidR="000B0DDC" w:rsidRPr="006C28BE" w:rsidRDefault="000B0DDC" w:rsidP="003D2275">
            <w:pPr>
              <w:spacing w:line="360" w:lineRule="auto"/>
              <w:rPr>
                <w:rFonts w:cs="Arial"/>
                <w:szCs w:val="24"/>
              </w:rPr>
            </w:pPr>
            <w:r w:rsidRPr="006C28BE">
              <w:rPr>
                <w:rFonts w:cs="Arial"/>
                <w:szCs w:val="24"/>
              </w:rPr>
              <w:t xml:space="preserve">The finding highlights the role in social-political reconstruction that developed the social </w:t>
            </w:r>
            <w:r w:rsidRPr="006C28BE">
              <w:rPr>
                <w:rFonts w:cs="Arial"/>
                <w:szCs w:val="24"/>
              </w:rPr>
              <w:lastRenderedPageBreak/>
              <w:t>and family dynamics.</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18</w:t>
            </w:r>
          </w:p>
        </w:tc>
        <w:tc>
          <w:tcPr>
            <w:tcW w:w="1530" w:type="dxa"/>
          </w:tcPr>
          <w:p w:rsidR="000B0DDC" w:rsidRPr="006C28BE" w:rsidRDefault="000B0DDC" w:rsidP="003D2275">
            <w:pPr>
              <w:spacing w:line="360" w:lineRule="auto"/>
              <w:rPr>
                <w:rFonts w:cs="Arial"/>
                <w:szCs w:val="24"/>
              </w:rPr>
            </w:pPr>
            <w:r w:rsidRPr="006C28BE">
              <w:rPr>
                <w:rFonts w:cs="Arial"/>
                <w:szCs w:val="24"/>
              </w:rPr>
              <w:t>(Equality and Human Rights Commission, 2021)</w:t>
            </w:r>
          </w:p>
        </w:tc>
        <w:tc>
          <w:tcPr>
            <w:tcW w:w="900" w:type="dxa"/>
          </w:tcPr>
          <w:p w:rsidR="000B0DDC" w:rsidRPr="006C28BE" w:rsidRDefault="000B0DDC" w:rsidP="003D2275">
            <w:pPr>
              <w:spacing w:line="360" w:lineRule="auto"/>
              <w:rPr>
                <w:rFonts w:cs="Arial"/>
                <w:szCs w:val="24"/>
              </w:rPr>
            </w:pPr>
            <w:r w:rsidRPr="006C28BE">
              <w:rPr>
                <w:rFonts w:cs="Arial"/>
                <w:szCs w:val="24"/>
              </w:rPr>
              <w:t>2021</w:t>
            </w:r>
          </w:p>
        </w:tc>
        <w:tc>
          <w:tcPr>
            <w:tcW w:w="1710" w:type="dxa"/>
          </w:tcPr>
          <w:p w:rsidR="000B0DDC" w:rsidRPr="006C28BE" w:rsidRDefault="000B0DDC" w:rsidP="003D2275">
            <w:pPr>
              <w:spacing w:line="360" w:lineRule="auto"/>
              <w:rPr>
                <w:rFonts w:cs="Arial"/>
                <w:szCs w:val="24"/>
              </w:rPr>
            </w:pPr>
            <w:r w:rsidRPr="006C28BE">
              <w:rPr>
                <w:rFonts w:cs="Arial"/>
                <w:szCs w:val="24"/>
              </w:rPr>
              <w:t>“Shared Parental Leave: Uptake and Impact”</w:t>
            </w:r>
          </w:p>
        </w:tc>
        <w:tc>
          <w:tcPr>
            <w:tcW w:w="1890" w:type="dxa"/>
          </w:tcPr>
          <w:p w:rsidR="000B0DDC" w:rsidRPr="006C28BE" w:rsidRDefault="000B0DDC" w:rsidP="003D2275">
            <w:pPr>
              <w:spacing w:line="360" w:lineRule="auto"/>
              <w:rPr>
                <w:rFonts w:cs="Arial"/>
                <w:szCs w:val="24"/>
              </w:rPr>
            </w:pPr>
            <w:r w:rsidRPr="006C28BE">
              <w:rPr>
                <w:rFonts w:cs="Arial"/>
                <w:szCs w:val="24"/>
              </w:rPr>
              <w:t>Literature review</w:t>
            </w:r>
          </w:p>
        </w:tc>
        <w:tc>
          <w:tcPr>
            <w:tcW w:w="1800" w:type="dxa"/>
          </w:tcPr>
          <w:p w:rsidR="000B0DDC" w:rsidRPr="006C28BE" w:rsidRDefault="000B0DDC" w:rsidP="003D2275">
            <w:pPr>
              <w:spacing w:line="360" w:lineRule="auto"/>
              <w:rPr>
                <w:rFonts w:cs="Arial"/>
                <w:szCs w:val="24"/>
              </w:rPr>
            </w:pPr>
            <w:r w:rsidRPr="006C28BE">
              <w:rPr>
                <w:rFonts w:cs="Arial"/>
                <w:szCs w:val="24"/>
              </w:rPr>
              <w:t xml:space="preserve">Rates of shared parental levels, influential factors for employees' attitudes, gender equality, and parental involvement. </w:t>
            </w:r>
          </w:p>
        </w:tc>
        <w:tc>
          <w:tcPr>
            <w:tcW w:w="1530" w:type="dxa"/>
          </w:tcPr>
          <w:p w:rsidR="000B0DDC" w:rsidRPr="006C28BE" w:rsidRDefault="000B0DDC" w:rsidP="003D2275">
            <w:pPr>
              <w:spacing w:line="360" w:lineRule="auto"/>
              <w:rPr>
                <w:rFonts w:cs="Arial"/>
                <w:szCs w:val="24"/>
              </w:rPr>
            </w:pPr>
            <w:r w:rsidRPr="006C28BE">
              <w:rPr>
                <w:rFonts w:cs="Arial"/>
                <w:szCs w:val="24"/>
              </w:rPr>
              <w:t>The study findings should help in understanding the uptake rates among different demographics that highlight the supportive workplace policies for parental levels and benefits towards gender equality that indicate the social and family dynamics in workplace cultures.</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t>19</w:t>
            </w:r>
          </w:p>
        </w:tc>
        <w:tc>
          <w:tcPr>
            <w:tcW w:w="1530" w:type="dxa"/>
          </w:tcPr>
          <w:p w:rsidR="000B0DDC" w:rsidRPr="006C28BE" w:rsidRDefault="000B0DDC" w:rsidP="003D2275">
            <w:pPr>
              <w:spacing w:line="360" w:lineRule="auto"/>
              <w:rPr>
                <w:rFonts w:cs="Arial"/>
                <w:szCs w:val="24"/>
              </w:rPr>
            </w:pPr>
            <w:r w:rsidRPr="006C28BE">
              <w:rPr>
                <w:rFonts w:cs="Arial"/>
                <w:szCs w:val="24"/>
              </w:rPr>
              <w:t>(Stress Manageme</w:t>
            </w:r>
            <w:r w:rsidRPr="006C28BE">
              <w:rPr>
                <w:rFonts w:cs="Arial"/>
                <w:szCs w:val="24"/>
              </w:rPr>
              <w:lastRenderedPageBreak/>
              <w:t>nt Society, 2021)</w:t>
            </w:r>
          </w:p>
        </w:tc>
        <w:tc>
          <w:tcPr>
            <w:tcW w:w="900" w:type="dxa"/>
          </w:tcPr>
          <w:p w:rsidR="000B0DDC" w:rsidRPr="006C28BE" w:rsidRDefault="000B0DDC" w:rsidP="003D2275">
            <w:pPr>
              <w:spacing w:line="360" w:lineRule="auto"/>
              <w:rPr>
                <w:rFonts w:cs="Arial"/>
                <w:szCs w:val="24"/>
              </w:rPr>
            </w:pPr>
            <w:r w:rsidRPr="006C28BE">
              <w:rPr>
                <w:rFonts w:cs="Arial"/>
                <w:szCs w:val="24"/>
              </w:rPr>
              <w:lastRenderedPageBreak/>
              <w:t>2021</w:t>
            </w:r>
          </w:p>
        </w:tc>
        <w:tc>
          <w:tcPr>
            <w:tcW w:w="1710" w:type="dxa"/>
          </w:tcPr>
          <w:p w:rsidR="000B0DDC" w:rsidRPr="006C28BE" w:rsidRDefault="000B0DDC" w:rsidP="003D2275">
            <w:pPr>
              <w:spacing w:line="360" w:lineRule="auto"/>
              <w:rPr>
                <w:rFonts w:cs="Arial"/>
                <w:szCs w:val="24"/>
              </w:rPr>
            </w:pPr>
            <w:r w:rsidRPr="006C28BE">
              <w:rPr>
                <w:rFonts w:cs="Arial"/>
                <w:szCs w:val="24"/>
              </w:rPr>
              <w:t xml:space="preserve">‘Survey on Work-Related Stress in </w:t>
            </w:r>
            <w:r w:rsidRPr="006C28BE">
              <w:rPr>
                <w:rFonts w:cs="Arial"/>
                <w:szCs w:val="24"/>
              </w:rPr>
              <w:lastRenderedPageBreak/>
              <w:t>Dual-Income Families”</w:t>
            </w:r>
          </w:p>
        </w:tc>
        <w:tc>
          <w:tcPr>
            <w:tcW w:w="1890" w:type="dxa"/>
          </w:tcPr>
          <w:p w:rsidR="000B0DDC" w:rsidRPr="006C28BE" w:rsidRDefault="000B0DDC" w:rsidP="003D2275">
            <w:pPr>
              <w:spacing w:line="360" w:lineRule="auto"/>
              <w:rPr>
                <w:rFonts w:cs="Arial"/>
                <w:szCs w:val="24"/>
              </w:rPr>
            </w:pPr>
            <w:r w:rsidRPr="006C28BE">
              <w:rPr>
                <w:rFonts w:cs="Arial"/>
                <w:szCs w:val="24"/>
              </w:rPr>
              <w:lastRenderedPageBreak/>
              <w:t>Survey</w:t>
            </w:r>
          </w:p>
        </w:tc>
        <w:tc>
          <w:tcPr>
            <w:tcW w:w="1800" w:type="dxa"/>
          </w:tcPr>
          <w:p w:rsidR="000B0DDC" w:rsidRPr="006C28BE" w:rsidRDefault="000B0DDC" w:rsidP="003D2275">
            <w:pPr>
              <w:spacing w:line="360" w:lineRule="auto"/>
              <w:rPr>
                <w:rFonts w:cs="Arial"/>
                <w:szCs w:val="24"/>
              </w:rPr>
            </w:pPr>
            <w:r w:rsidRPr="006C28BE">
              <w:rPr>
                <w:rFonts w:cs="Arial"/>
                <w:szCs w:val="24"/>
              </w:rPr>
              <w:t xml:space="preserve">Work relates to distress in dual-income </w:t>
            </w:r>
            <w:r w:rsidRPr="006C28BE">
              <w:rPr>
                <w:rFonts w:cs="Arial"/>
                <w:szCs w:val="24"/>
              </w:rPr>
              <w:lastRenderedPageBreak/>
              <w:t>families and impacts on the well-being and overall family dynamics.</w:t>
            </w:r>
          </w:p>
        </w:tc>
        <w:tc>
          <w:tcPr>
            <w:tcW w:w="1530" w:type="dxa"/>
          </w:tcPr>
          <w:p w:rsidR="000B0DDC" w:rsidRPr="006C28BE" w:rsidRDefault="000B0DDC" w:rsidP="003D2275">
            <w:pPr>
              <w:spacing w:line="360" w:lineRule="auto"/>
              <w:rPr>
                <w:rFonts w:cs="Arial"/>
                <w:szCs w:val="24"/>
              </w:rPr>
            </w:pPr>
            <w:r w:rsidRPr="006C28BE">
              <w:rPr>
                <w:rFonts w:cs="Arial"/>
                <w:szCs w:val="24"/>
              </w:rPr>
              <w:lastRenderedPageBreak/>
              <w:t xml:space="preserve">The findings have syndicate </w:t>
            </w:r>
            <w:r w:rsidRPr="006C28BE">
              <w:rPr>
                <w:rFonts w:cs="Arial"/>
                <w:szCs w:val="24"/>
              </w:rPr>
              <w:lastRenderedPageBreak/>
              <w:t>down the significance level of stress persistence in families that have dual income. The study also indicated the need for supportive actions in the workplace for effectively coping and improving work-life balance.</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20</w:t>
            </w:r>
          </w:p>
        </w:tc>
        <w:tc>
          <w:tcPr>
            <w:tcW w:w="1530" w:type="dxa"/>
          </w:tcPr>
          <w:p w:rsidR="000B0DDC" w:rsidRPr="006C28BE" w:rsidRDefault="000B0DDC" w:rsidP="003D2275">
            <w:pPr>
              <w:spacing w:line="360" w:lineRule="auto"/>
              <w:rPr>
                <w:rFonts w:cs="Arial"/>
                <w:szCs w:val="24"/>
              </w:rPr>
            </w:pPr>
            <w:r w:rsidRPr="006C28BE">
              <w:rPr>
                <w:rFonts w:cs="Arial"/>
                <w:szCs w:val="24"/>
              </w:rPr>
              <w:t>(National Health Service. (2023)</w:t>
            </w:r>
          </w:p>
        </w:tc>
        <w:tc>
          <w:tcPr>
            <w:tcW w:w="900" w:type="dxa"/>
          </w:tcPr>
          <w:p w:rsidR="000B0DDC" w:rsidRPr="006C28BE" w:rsidRDefault="000B0DDC" w:rsidP="003D2275">
            <w:pPr>
              <w:spacing w:line="360" w:lineRule="auto"/>
              <w:rPr>
                <w:rFonts w:cs="Arial"/>
                <w:szCs w:val="24"/>
              </w:rPr>
            </w:pPr>
            <w:r w:rsidRPr="006C28BE">
              <w:rPr>
                <w:rFonts w:cs="Arial"/>
                <w:szCs w:val="24"/>
              </w:rPr>
              <w:t>2023</w:t>
            </w:r>
          </w:p>
        </w:tc>
        <w:tc>
          <w:tcPr>
            <w:tcW w:w="1710" w:type="dxa"/>
          </w:tcPr>
          <w:p w:rsidR="000B0DDC" w:rsidRPr="006C28BE" w:rsidRDefault="000B0DDC" w:rsidP="003D2275">
            <w:pPr>
              <w:spacing w:line="360" w:lineRule="auto"/>
              <w:rPr>
                <w:rFonts w:cs="Arial"/>
                <w:szCs w:val="24"/>
              </w:rPr>
            </w:pPr>
            <w:r w:rsidRPr="006C28BE">
              <w:rPr>
                <w:rFonts w:cs="Arial"/>
                <w:szCs w:val="24"/>
              </w:rPr>
              <w:t>‘Annual Report on Mental Health”</w:t>
            </w:r>
          </w:p>
        </w:tc>
        <w:tc>
          <w:tcPr>
            <w:tcW w:w="1890" w:type="dxa"/>
          </w:tcPr>
          <w:p w:rsidR="000B0DDC" w:rsidRPr="006C28BE" w:rsidRDefault="000B0DDC" w:rsidP="003D2275">
            <w:pPr>
              <w:spacing w:line="360" w:lineRule="auto"/>
              <w:rPr>
                <w:rFonts w:cs="Arial"/>
                <w:szCs w:val="24"/>
              </w:rPr>
            </w:pPr>
            <w:r w:rsidRPr="006C28BE">
              <w:rPr>
                <w:rFonts w:cs="Arial"/>
                <w:szCs w:val="24"/>
              </w:rPr>
              <w:t>Survey method</w:t>
            </w:r>
          </w:p>
        </w:tc>
        <w:tc>
          <w:tcPr>
            <w:tcW w:w="1800" w:type="dxa"/>
          </w:tcPr>
          <w:p w:rsidR="000B0DDC" w:rsidRPr="006C28BE" w:rsidRDefault="000B0DDC" w:rsidP="003D2275">
            <w:pPr>
              <w:spacing w:line="360" w:lineRule="auto"/>
              <w:rPr>
                <w:rFonts w:cs="Arial"/>
                <w:szCs w:val="24"/>
              </w:rPr>
            </w:pPr>
            <w:r w:rsidRPr="006C28BE">
              <w:rPr>
                <w:rFonts w:cs="Arial"/>
                <w:szCs w:val="24"/>
              </w:rPr>
              <w:t>NHS mental health services, gaps in acre and strategic improvements</w:t>
            </w:r>
          </w:p>
        </w:tc>
        <w:tc>
          <w:tcPr>
            <w:tcW w:w="1530" w:type="dxa"/>
          </w:tcPr>
          <w:p w:rsidR="000B0DDC" w:rsidRPr="006C28BE" w:rsidRDefault="000B0DDC" w:rsidP="003D2275">
            <w:pPr>
              <w:spacing w:line="360" w:lineRule="auto"/>
              <w:rPr>
                <w:rFonts w:cs="Arial"/>
                <w:szCs w:val="24"/>
              </w:rPr>
            </w:pPr>
            <w:r w:rsidRPr="006C28BE">
              <w:rPr>
                <w:rFonts w:cs="Arial"/>
                <w:szCs w:val="24"/>
              </w:rPr>
              <w:t xml:space="preserve">The fining has indicated towards the mental health in UK. The findings have indicated </w:t>
            </w:r>
            <w:r w:rsidRPr="006C28BE">
              <w:rPr>
                <w:rFonts w:cs="Arial"/>
                <w:szCs w:val="24"/>
              </w:rPr>
              <w:lastRenderedPageBreak/>
              <w:t>that the social norms for mental health conditions and challenges are accessing the treatments.</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21</w:t>
            </w:r>
          </w:p>
        </w:tc>
        <w:tc>
          <w:tcPr>
            <w:tcW w:w="1530" w:type="dxa"/>
          </w:tcPr>
          <w:p w:rsidR="000B0DDC" w:rsidRPr="006C28BE" w:rsidRDefault="000B0DDC" w:rsidP="003D2275">
            <w:pPr>
              <w:spacing w:line="360" w:lineRule="auto"/>
              <w:rPr>
                <w:rFonts w:cs="Arial"/>
                <w:szCs w:val="24"/>
              </w:rPr>
            </w:pPr>
            <w:r w:rsidRPr="006C28BE">
              <w:rPr>
                <w:rFonts w:cs="Arial"/>
                <w:szCs w:val="24"/>
              </w:rPr>
              <w:t>(Pinker, 2021)</w:t>
            </w:r>
          </w:p>
        </w:tc>
        <w:tc>
          <w:tcPr>
            <w:tcW w:w="900" w:type="dxa"/>
          </w:tcPr>
          <w:p w:rsidR="000B0DDC" w:rsidRPr="006C28BE" w:rsidRDefault="000B0DDC" w:rsidP="003D2275">
            <w:pPr>
              <w:spacing w:line="360" w:lineRule="auto"/>
              <w:rPr>
                <w:rFonts w:cs="Arial"/>
                <w:szCs w:val="24"/>
              </w:rPr>
            </w:pPr>
            <w:r w:rsidRPr="006C28BE">
              <w:rPr>
                <w:rFonts w:cs="Arial"/>
                <w:szCs w:val="24"/>
              </w:rPr>
              <w:t>2021</w:t>
            </w:r>
          </w:p>
        </w:tc>
        <w:tc>
          <w:tcPr>
            <w:tcW w:w="1710" w:type="dxa"/>
          </w:tcPr>
          <w:p w:rsidR="000B0DDC" w:rsidRPr="006C28BE" w:rsidRDefault="000B0DDC" w:rsidP="003D2275">
            <w:pPr>
              <w:spacing w:line="360" w:lineRule="auto"/>
              <w:rPr>
                <w:rFonts w:cs="Arial"/>
                <w:szCs w:val="24"/>
              </w:rPr>
            </w:pPr>
            <w:r w:rsidRPr="006C28BE">
              <w:rPr>
                <w:rFonts w:cs="Arial"/>
                <w:szCs w:val="24"/>
              </w:rPr>
              <w:t>“Inequality and progress,” Journal of Applied Corporate Finance”</w:t>
            </w:r>
          </w:p>
        </w:tc>
        <w:tc>
          <w:tcPr>
            <w:tcW w:w="1890" w:type="dxa"/>
          </w:tcPr>
          <w:p w:rsidR="000B0DDC" w:rsidRPr="006C28BE" w:rsidRDefault="000B0DDC" w:rsidP="003D2275">
            <w:pPr>
              <w:spacing w:line="360" w:lineRule="auto"/>
              <w:rPr>
                <w:rFonts w:cs="Arial"/>
                <w:szCs w:val="24"/>
              </w:rPr>
            </w:pPr>
            <w:r w:rsidRPr="006C28BE">
              <w:rPr>
                <w:rFonts w:cs="Arial"/>
                <w:szCs w:val="24"/>
              </w:rPr>
              <w:t>Natural language processing for sentiment analysis and big data use.</w:t>
            </w:r>
          </w:p>
        </w:tc>
        <w:tc>
          <w:tcPr>
            <w:tcW w:w="1800" w:type="dxa"/>
          </w:tcPr>
          <w:p w:rsidR="000B0DDC" w:rsidRPr="006C28BE" w:rsidRDefault="000B0DDC" w:rsidP="003D2275">
            <w:pPr>
              <w:spacing w:line="360" w:lineRule="auto"/>
              <w:rPr>
                <w:rFonts w:cs="Arial"/>
                <w:szCs w:val="24"/>
              </w:rPr>
            </w:pPr>
            <w:r w:rsidRPr="006C28BE">
              <w:rPr>
                <w:rFonts w:cs="Arial"/>
                <w:szCs w:val="24"/>
              </w:rPr>
              <w:t>Corporate responses in labor practices, operation adaptation in time of COVID-19 and the market and social conditions during the crisis</w:t>
            </w:r>
          </w:p>
        </w:tc>
        <w:tc>
          <w:tcPr>
            <w:tcW w:w="1530" w:type="dxa"/>
          </w:tcPr>
          <w:p w:rsidR="000B0DDC" w:rsidRPr="006C28BE" w:rsidRDefault="000B0DDC" w:rsidP="003D2275">
            <w:pPr>
              <w:spacing w:line="360" w:lineRule="auto"/>
              <w:rPr>
                <w:rFonts w:cs="Arial"/>
                <w:szCs w:val="24"/>
              </w:rPr>
            </w:pPr>
            <w:r w:rsidRPr="006C28BE">
              <w:rPr>
                <w:rFonts w:cs="Arial"/>
                <w:szCs w:val="24"/>
              </w:rPr>
              <w:t xml:space="preserve">The key findings have highlighted the public sentiments in the crisis response. The findings have highlighted the social norms and market collapse concerning the employees, families, and people with the </w:t>
            </w:r>
            <w:r w:rsidRPr="006C28BE">
              <w:rPr>
                <w:rFonts w:cs="Arial"/>
                <w:szCs w:val="24"/>
              </w:rPr>
              <w:lastRenderedPageBreak/>
              <w:t>market and economic fluctuations.</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22</w:t>
            </w:r>
          </w:p>
        </w:tc>
        <w:tc>
          <w:tcPr>
            <w:tcW w:w="1530" w:type="dxa"/>
          </w:tcPr>
          <w:p w:rsidR="000B0DDC" w:rsidRPr="006C28BE" w:rsidRDefault="000B0DDC" w:rsidP="003D2275">
            <w:pPr>
              <w:spacing w:line="360" w:lineRule="auto"/>
              <w:rPr>
                <w:rFonts w:cs="Arial"/>
                <w:szCs w:val="24"/>
              </w:rPr>
            </w:pPr>
            <w:r w:rsidRPr="006C28BE">
              <w:rPr>
                <w:rFonts w:cs="Arial"/>
                <w:szCs w:val="24"/>
              </w:rPr>
              <w:t>(Prins, 2022)</w:t>
            </w:r>
          </w:p>
        </w:tc>
        <w:tc>
          <w:tcPr>
            <w:tcW w:w="900" w:type="dxa"/>
          </w:tcPr>
          <w:p w:rsidR="000B0DDC" w:rsidRPr="006C28BE" w:rsidRDefault="000B0DDC" w:rsidP="003D2275">
            <w:pPr>
              <w:spacing w:line="360" w:lineRule="auto"/>
              <w:rPr>
                <w:rFonts w:cs="Arial"/>
                <w:szCs w:val="24"/>
              </w:rPr>
            </w:pPr>
            <w:r w:rsidRPr="006C28BE">
              <w:rPr>
                <w:rFonts w:cs="Arial"/>
                <w:szCs w:val="24"/>
              </w:rPr>
              <w:t>2022</w:t>
            </w:r>
          </w:p>
        </w:tc>
        <w:tc>
          <w:tcPr>
            <w:tcW w:w="1710" w:type="dxa"/>
          </w:tcPr>
          <w:p w:rsidR="000B0DDC" w:rsidRPr="006C28BE" w:rsidRDefault="000B0DDC" w:rsidP="003D2275">
            <w:pPr>
              <w:spacing w:line="360" w:lineRule="auto"/>
              <w:rPr>
                <w:rFonts w:cs="Arial"/>
                <w:szCs w:val="24"/>
              </w:rPr>
            </w:pPr>
            <w:r w:rsidRPr="006C28BE">
              <w:rPr>
                <w:rFonts w:cs="Arial"/>
                <w:szCs w:val="24"/>
              </w:rPr>
              <w:t>“Permanent Distortion: How the financial markets abandoned the real economy forever.”</w:t>
            </w:r>
          </w:p>
        </w:tc>
        <w:tc>
          <w:tcPr>
            <w:tcW w:w="1890" w:type="dxa"/>
          </w:tcPr>
          <w:p w:rsidR="000B0DDC" w:rsidRPr="006C28BE" w:rsidRDefault="000B0DDC" w:rsidP="003D2275">
            <w:pPr>
              <w:spacing w:line="360" w:lineRule="auto"/>
              <w:rPr>
                <w:rFonts w:cs="Arial"/>
                <w:szCs w:val="24"/>
              </w:rPr>
            </w:pPr>
            <w:r w:rsidRPr="006C28BE">
              <w:rPr>
                <w:rFonts w:cs="Arial"/>
                <w:szCs w:val="24"/>
              </w:rPr>
              <w:t xml:space="preserve">Content analysis </w:t>
            </w:r>
          </w:p>
        </w:tc>
        <w:tc>
          <w:tcPr>
            <w:tcW w:w="1800" w:type="dxa"/>
          </w:tcPr>
          <w:p w:rsidR="000B0DDC" w:rsidRPr="006C28BE" w:rsidRDefault="000B0DDC" w:rsidP="003D2275">
            <w:pPr>
              <w:spacing w:line="360" w:lineRule="auto"/>
              <w:rPr>
                <w:rFonts w:cs="Arial"/>
                <w:szCs w:val="24"/>
              </w:rPr>
            </w:pPr>
            <w:r w:rsidRPr="006C28BE">
              <w:rPr>
                <w:rFonts w:cs="Arial"/>
                <w:szCs w:val="24"/>
              </w:rPr>
              <w:t>The key focus indicates the link among financial markets and the real economy. The financial markets have impacted the economic change that impacted the social norms and also the family dynamics in the UK market.</w:t>
            </w:r>
          </w:p>
        </w:tc>
        <w:tc>
          <w:tcPr>
            <w:tcW w:w="1530" w:type="dxa"/>
          </w:tcPr>
          <w:p w:rsidR="000B0DDC" w:rsidRPr="006C28BE" w:rsidRDefault="000B0DDC" w:rsidP="003D2275">
            <w:pPr>
              <w:spacing w:line="360" w:lineRule="auto"/>
              <w:rPr>
                <w:rFonts w:cs="Arial"/>
                <w:szCs w:val="24"/>
              </w:rPr>
            </w:pPr>
            <w:r w:rsidRPr="006C28BE">
              <w:rPr>
                <w:rFonts w:cs="Arial"/>
                <w:szCs w:val="24"/>
              </w:rPr>
              <w:t>The key findings indicate stewards' persistent distortions that have developed financial market fluctuation and focused on short-term gains over long-term economic stability. This has impacted on the economic growth and towards the sustainability of the market.</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t>23</w:t>
            </w:r>
          </w:p>
        </w:tc>
        <w:tc>
          <w:tcPr>
            <w:tcW w:w="1530" w:type="dxa"/>
          </w:tcPr>
          <w:p w:rsidR="000B0DDC" w:rsidRPr="006C28BE" w:rsidRDefault="000B0DDC" w:rsidP="003D2275">
            <w:pPr>
              <w:spacing w:line="360" w:lineRule="auto"/>
              <w:rPr>
                <w:rFonts w:cs="Arial"/>
                <w:szCs w:val="24"/>
              </w:rPr>
            </w:pPr>
            <w:r w:rsidRPr="006C28BE">
              <w:rPr>
                <w:rFonts w:cs="Arial"/>
                <w:szCs w:val="24"/>
              </w:rPr>
              <w:t>(Ansari, 2023)</w:t>
            </w:r>
          </w:p>
        </w:tc>
        <w:tc>
          <w:tcPr>
            <w:tcW w:w="900" w:type="dxa"/>
          </w:tcPr>
          <w:p w:rsidR="000B0DDC" w:rsidRPr="006C28BE" w:rsidRDefault="000B0DDC" w:rsidP="003D2275">
            <w:pPr>
              <w:spacing w:line="360" w:lineRule="auto"/>
              <w:rPr>
                <w:rFonts w:cs="Arial"/>
                <w:szCs w:val="24"/>
              </w:rPr>
            </w:pPr>
            <w:r w:rsidRPr="006C28BE">
              <w:rPr>
                <w:rFonts w:cs="Arial"/>
                <w:szCs w:val="24"/>
              </w:rPr>
              <w:t>2023</w:t>
            </w:r>
          </w:p>
        </w:tc>
        <w:tc>
          <w:tcPr>
            <w:tcW w:w="1710" w:type="dxa"/>
          </w:tcPr>
          <w:p w:rsidR="000B0DDC" w:rsidRPr="006C28BE" w:rsidRDefault="000B0DDC" w:rsidP="003D2275">
            <w:pPr>
              <w:spacing w:line="360" w:lineRule="auto"/>
              <w:rPr>
                <w:rFonts w:cs="Arial"/>
                <w:szCs w:val="24"/>
              </w:rPr>
            </w:pPr>
            <w:r w:rsidRPr="006C28BE">
              <w:rPr>
                <w:rFonts w:cs="Arial"/>
                <w:szCs w:val="24"/>
              </w:rPr>
              <w:t xml:space="preserve">“Book Review: The Tyranny of </w:t>
            </w:r>
            <w:r w:rsidRPr="006C28BE">
              <w:rPr>
                <w:rFonts w:cs="Arial"/>
                <w:szCs w:val="24"/>
              </w:rPr>
              <w:lastRenderedPageBreak/>
              <w:t>Merit: What’s Become of the Common Good?”</w:t>
            </w:r>
          </w:p>
        </w:tc>
        <w:tc>
          <w:tcPr>
            <w:tcW w:w="1890" w:type="dxa"/>
          </w:tcPr>
          <w:p w:rsidR="000B0DDC" w:rsidRPr="006C28BE" w:rsidRDefault="000B0DDC" w:rsidP="003D2275">
            <w:pPr>
              <w:spacing w:line="360" w:lineRule="auto"/>
              <w:rPr>
                <w:rFonts w:cs="Arial"/>
                <w:szCs w:val="24"/>
              </w:rPr>
            </w:pPr>
            <w:r w:rsidRPr="006C28BE">
              <w:rPr>
                <w:rFonts w:cs="Arial"/>
                <w:szCs w:val="24"/>
              </w:rPr>
              <w:lastRenderedPageBreak/>
              <w:t>Literature review</w:t>
            </w:r>
          </w:p>
        </w:tc>
        <w:tc>
          <w:tcPr>
            <w:tcW w:w="1800" w:type="dxa"/>
          </w:tcPr>
          <w:p w:rsidR="000B0DDC" w:rsidRPr="006C28BE" w:rsidRDefault="000B0DDC" w:rsidP="003D2275">
            <w:pPr>
              <w:spacing w:line="360" w:lineRule="auto"/>
              <w:rPr>
                <w:rFonts w:cs="Arial"/>
                <w:szCs w:val="24"/>
              </w:rPr>
            </w:pPr>
            <w:r w:rsidRPr="006C28BE">
              <w:rPr>
                <w:rFonts w:cs="Arial"/>
                <w:szCs w:val="24"/>
              </w:rPr>
              <w:t xml:space="preserve">The theme of meritocracy and </w:t>
            </w:r>
            <w:r w:rsidRPr="006C28BE">
              <w:rPr>
                <w:rFonts w:cs="Arial"/>
                <w:szCs w:val="24"/>
              </w:rPr>
              <w:lastRenderedPageBreak/>
              <w:t xml:space="preserve">inequalities shows the erosion of the common good in the modern society setup. </w:t>
            </w:r>
          </w:p>
        </w:tc>
        <w:tc>
          <w:tcPr>
            <w:tcW w:w="1530" w:type="dxa"/>
          </w:tcPr>
          <w:p w:rsidR="000B0DDC" w:rsidRPr="006C28BE" w:rsidRDefault="000B0DDC" w:rsidP="003D2275">
            <w:pPr>
              <w:spacing w:line="360" w:lineRule="auto"/>
              <w:rPr>
                <w:rFonts w:cs="Arial"/>
                <w:szCs w:val="24"/>
              </w:rPr>
            </w:pPr>
            <w:r w:rsidRPr="006C28BE">
              <w:rPr>
                <w:rFonts w:cs="Arial"/>
                <w:szCs w:val="24"/>
              </w:rPr>
              <w:lastRenderedPageBreak/>
              <w:t xml:space="preserve">The findings of the study have </w:t>
            </w:r>
            <w:r w:rsidRPr="006C28BE">
              <w:rPr>
                <w:rFonts w:cs="Arial"/>
                <w:szCs w:val="24"/>
              </w:rPr>
              <w:lastRenderedPageBreak/>
              <w:t xml:space="preserve">indicated the challenges and consequences of the merit-based systems in society that develop cohesion and also develop fairness in society. </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24</w:t>
            </w:r>
          </w:p>
        </w:tc>
        <w:tc>
          <w:tcPr>
            <w:tcW w:w="1530" w:type="dxa"/>
          </w:tcPr>
          <w:p w:rsidR="000B0DDC" w:rsidRPr="006C28BE" w:rsidRDefault="000B0DDC" w:rsidP="003D2275">
            <w:pPr>
              <w:spacing w:line="360" w:lineRule="auto"/>
              <w:rPr>
                <w:rFonts w:cs="Arial"/>
                <w:szCs w:val="24"/>
              </w:rPr>
            </w:pPr>
            <w:r w:rsidRPr="006C28BE">
              <w:rPr>
                <w:rFonts w:cs="Arial"/>
                <w:szCs w:val="24"/>
              </w:rPr>
              <w:t>(Chorzempa, 2022)</w:t>
            </w:r>
          </w:p>
        </w:tc>
        <w:tc>
          <w:tcPr>
            <w:tcW w:w="900" w:type="dxa"/>
          </w:tcPr>
          <w:p w:rsidR="000B0DDC" w:rsidRPr="006C28BE" w:rsidRDefault="000B0DDC" w:rsidP="003D2275">
            <w:pPr>
              <w:spacing w:line="360" w:lineRule="auto"/>
              <w:rPr>
                <w:rFonts w:cs="Arial"/>
                <w:szCs w:val="24"/>
              </w:rPr>
            </w:pPr>
            <w:r w:rsidRPr="006C28BE">
              <w:rPr>
                <w:rFonts w:cs="Arial"/>
                <w:szCs w:val="24"/>
              </w:rPr>
              <w:t>2022</w:t>
            </w:r>
          </w:p>
        </w:tc>
        <w:tc>
          <w:tcPr>
            <w:tcW w:w="1710" w:type="dxa"/>
          </w:tcPr>
          <w:p w:rsidR="000B0DDC" w:rsidRPr="006C28BE" w:rsidRDefault="000B0DDC" w:rsidP="003D2275">
            <w:pPr>
              <w:spacing w:line="360" w:lineRule="auto"/>
              <w:rPr>
                <w:rFonts w:cs="Arial"/>
                <w:szCs w:val="24"/>
              </w:rPr>
            </w:pPr>
            <w:r w:rsidRPr="006C28BE">
              <w:rPr>
                <w:rFonts w:cs="Arial"/>
                <w:szCs w:val="24"/>
              </w:rPr>
              <w:t>“The cashless revolution: China’s reinvention of money and the end of America’s domination of finance and technology”</w:t>
            </w:r>
          </w:p>
        </w:tc>
        <w:tc>
          <w:tcPr>
            <w:tcW w:w="1890" w:type="dxa"/>
          </w:tcPr>
          <w:p w:rsidR="000B0DDC" w:rsidRPr="006C28BE" w:rsidRDefault="000B0DDC" w:rsidP="003D2275">
            <w:pPr>
              <w:spacing w:line="360" w:lineRule="auto"/>
              <w:rPr>
                <w:rFonts w:cs="Arial"/>
                <w:szCs w:val="24"/>
              </w:rPr>
            </w:pPr>
            <w:r w:rsidRPr="006C28BE">
              <w:rPr>
                <w:rFonts w:cs="Arial"/>
                <w:szCs w:val="24"/>
              </w:rPr>
              <w:t>Comparative analysis</w:t>
            </w:r>
          </w:p>
        </w:tc>
        <w:tc>
          <w:tcPr>
            <w:tcW w:w="1800" w:type="dxa"/>
          </w:tcPr>
          <w:p w:rsidR="000B0DDC" w:rsidRPr="006C28BE" w:rsidRDefault="000B0DDC" w:rsidP="003D2275">
            <w:pPr>
              <w:spacing w:line="360" w:lineRule="auto"/>
              <w:rPr>
                <w:rFonts w:cs="Arial"/>
                <w:szCs w:val="24"/>
              </w:rPr>
            </w:pPr>
            <w:r w:rsidRPr="006C28BE">
              <w:rPr>
                <w:rFonts w:cs="Arial"/>
                <w:szCs w:val="24"/>
              </w:rPr>
              <w:t>Advancement in cashless payments shipping social factors and global financial conditions</w:t>
            </w:r>
          </w:p>
        </w:tc>
        <w:tc>
          <w:tcPr>
            <w:tcW w:w="1530" w:type="dxa"/>
          </w:tcPr>
          <w:p w:rsidR="000B0DDC" w:rsidRPr="006C28BE" w:rsidRDefault="000B0DDC" w:rsidP="003D2275">
            <w:pPr>
              <w:spacing w:line="360" w:lineRule="auto"/>
              <w:rPr>
                <w:rFonts w:cs="Arial"/>
                <w:szCs w:val="24"/>
              </w:rPr>
            </w:pPr>
            <w:r w:rsidRPr="006C28BE">
              <w:rPr>
                <w:rFonts w:cs="Arial"/>
                <w:szCs w:val="24"/>
              </w:rPr>
              <w:t xml:space="preserve">The study findings have highlighted the possible advantages of technology in the financial system, focusing on the China case. This has indicated that people and social </w:t>
            </w:r>
            <w:r w:rsidRPr="006C28BE">
              <w:rPr>
                <w:rFonts w:cs="Arial"/>
                <w:szCs w:val="24"/>
              </w:rPr>
              <w:lastRenderedPageBreak/>
              <w:t>norms using technology for financial opportunities help in providing opportunities for better financial action and personal satisfaction.</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25</w:t>
            </w:r>
          </w:p>
        </w:tc>
        <w:tc>
          <w:tcPr>
            <w:tcW w:w="1530" w:type="dxa"/>
          </w:tcPr>
          <w:p w:rsidR="000B0DDC" w:rsidRPr="006C28BE" w:rsidRDefault="000B0DDC" w:rsidP="003D2275">
            <w:pPr>
              <w:spacing w:line="360" w:lineRule="auto"/>
              <w:rPr>
                <w:rFonts w:cs="Arial"/>
                <w:szCs w:val="24"/>
              </w:rPr>
            </w:pPr>
            <w:r w:rsidRPr="006C28BE">
              <w:rPr>
                <w:rFonts w:cs="Arial"/>
                <w:szCs w:val="24"/>
              </w:rPr>
              <w:t>(Claar and Forster, 2019)</w:t>
            </w:r>
          </w:p>
        </w:tc>
        <w:tc>
          <w:tcPr>
            <w:tcW w:w="900" w:type="dxa"/>
          </w:tcPr>
          <w:p w:rsidR="000B0DDC" w:rsidRPr="006C28BE" w:rsidRDefault="000B0DDC" w:rsidP="003D2275">
            <w:pPr>
              <w:spacing w:line="360" w:lineRule="auto"/>
              <w:rPr>
                <w:rFonts w:cs="Arial"/>
                <w:szCs w:val="24"/>
              </w:rPr>
            </w:pPr>
            <w:r w:rsidRPr="006C28BE">
              <w:rPr>
                <w:rFonts w:cs="Arial"/>
                <w:szCs w:val="24"/>
              </w:rPr>
              <w:t>2019</w:t>
            </w:r>
          </w:p>
        </w:tc>
        <w:tc>
          <w:tcPr>
            <w:tcW w:w="1710" w:type="dxa"/>
          </w:tcPr>
          <w:p w:rsidR="000B0DDC" w:rsidRPr="006C28BE" w:rsidRDefault="000B0DDC" w:rsidP="003D2275">
            <w:pPr>
              <w:spacing w:line="360" w:lineRule="auto"/>
              <w:rPr>
                <w:rFonts w:cs="Arial"/>
                <w:szCs w:val="24"/>
              </w:rPr>
            </w:pPr>
            <w:r w:rsidRPr="006C28BE">
              <w:rPr>
                <w:rFonts w:cs="Arial"/>
                <w:szCs w:val="24"/>
              </w:rPr>
              <w:t>“The Keynesian revolution and our empty economy”</w:t>
            </w:r>
          </w:p>
        </w:tc>
        <w:tc>
          <w:tcPr>
            <w:tcW w:w="1890" w:type="dxa"/>
          </w:tcPr>
          <w:p w:rsidR="000B0DDC" w:rsidRPr="006C28BE" w:rsidRDefault="000B0DDC" w:rsidP="003D2275">
            <w:pPr>
              <w:spacing w:line="360" w:lineRule="auto"/>
              <w:rPr>
                <w:rFonts w:cs="Arial"/>
                <w:szCs w:val="24"/>
              </w:rPr>
            </w:pPr>
            <w:r w:rsidRPr="006C28BE">
              <w:rPr>
                <w:rFonts w:cs="Arial"/>
                <w:szCs w:val="24"/>
              </w:rPr>
              <w:t xml:space="preserve">Qualitative mythology </w:t>
            </w:r>
          </w:p>
        </w:tc>
        <w:tc>
          <w:tcPr>
            <w:tcW w:w="1800" w:type="dxa"/>
          </w:tcPr>
          <w:p w:rsidR="000B0DDC" w:rsidRPr="006C28BE" w:rsidRDefault="000B0DDC" w:rsidP="003D2275">
            <w:pPr>
              <w:spacing w:line="360" w:lineRule="auto"/>
              <w:rPr>
                <w:rFonts w:cs="Arial"/>
                <w:szCs w:val="24"/>
              </w:rPr>
            </w:pPr>
            <w:r w:rsidRPr="006C28BE">
              <w:rPr>
                <w:rFonts w:cs="Arial"/>
                <w:szCs w:val="24"/>
              </w:rPr>
              <w:t>The shift in the economy shows the impact on people's moral and cultural dimensions.</w:t>
            </w:r>
          </w:p>
        </w:tc>
        <w:tc>
          <w:tcPr>
            <w:tcW w:w="1530" w:type="dxa"/>
          </w:tcPr>
          <w:p w:rsidR="000B0DDC" w:rsidRPr="006C28BE" w:rsidRDefault="000B0DDC" w:rsidP="003D2275">
            <w:pPr>
              <w:spacing w:line="360" w:lineRule="auto"/>
              <w:rPr>
                <w:rFonts w:cs="Arial"/>
                <w:szCs w:val="24"/>
              </w:rPr>
            </w:pPr>
            <w:r w:rsidRPr="006C28BE">
              <w:rPr>
                <w:rFonts w:cs="Arial"/>
                <w:szCs w:val="24"/>
              </w:rPr>
              <w:t xml:space="preserve">The findings of this study have highlighted the shift in economics that can impact people's moral values and their cultural knowledge. The study outcomes have also shown that this can develop morale anxiety and </w:t>
            </w:r>
            <w:r w:rsidRPr="006C28BE">
              <w:rPr>
                <w:rFonts w:cs="Arial"/>
                <w:szCs w:val="24"/>
              </w:rPr>
              <w:lastRenderedPageBreak/>
              <w:t>social polarization in the modern world.</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26</w:t>
            </w:r>
          </w:p>
        </w:tc>
        <w:tc>
          <w:tcPr>
            <w:tcW w:w="1530" w:type="dxa"/>
          </w:tcPr>
          <w:p w:rsidR="000B0DDC" w:rsidRPr="006C28BE" w:rsidRDefault="000B0DDC" w:rsidP="003D2275">
            <w:pPr>
              <w:spacing w:line="360" w:lineRule="auto"/>
              <w:rPr>
                <w:rFonts w:cs="Arial"/>
                <w:szCs w:val="24"/>
              </w:rPr>
            </w:pPr>
            <w:r w:rsidRPr="006C28BE">
              <w:rPr>
                <w:rFonts w:cs="Arial"/>
                <w:szCs w:val="24"/>
              </w:rPr>
              <w:t>(Collier and Kay, 2020)</w:t>
            </w:r>
          </w:p>
        </w:tc>
        <w:tc>
          <w:tcPr>
            <w:tcW w:w="900" w:type="dxa"/>
          </w:tcPr>
          <w:p w:rsidR="000B0DDC" w:rsidRPr="006C28BE" w:rsidRDefault="000B0DDC" w:rsidP="003D2275">
            <w:pPr>
              <w:spacing w:line="360" w:lineRule="auto"/>
              <w:rPr>
                <w:rFonts w:cs="Arial"/>
                <w:szCs w:val="24"/>
              </w:rPr>
            </w:pPr>
            <w:r w:rsidRPr="006C28BE">
              <w:rPr>
                <w:rFonts w:cs="Arial"/>
                <w:szCs w:val="24"/>
              </w:rPr>
              <w:t>2020</w:t>
            </w:r>
          </w:p>
          <w:p w:rsidR="000B0DDC" w:rsidRPr="006C28BE" w:rsidRDefault="000B0DDC" w:rsidP="003D2275">
            <w:pPr>
              <w:spacing w:line="360" w:lineRule="auto"/>
              <w:rPr>
                <w:rFonts w:cs="Arial"/>
                <w:szCs w:val="24"/>
              </w:rPr>
            </w:pPr>
          </w:p>
        </w:tc>
        <w:tc>
          <w:tcPr>
            <w:tcW w:w="1710" w:type="dxa"/>
          </w:tcPr>
          <w:p w:rsidR="000B0DDC" w:rsidRPr="006C28BE" w:rsidRDefault="000B0DDC" w:rsidP="003D2275">
            <w:pPr>
              <w:spacing w:line="360" w:lineRule="auto"/>
              <w:rPr>
                <w:rFonts w:cs="Arial"/>
                <w:szCs w:val="24"/>
              </w:rPr>
            </w:pPr>
            <w:r w:rsidRPr="006C28BE">
              <w:rPr>
                <w:rFonts w:cs="Arial"/>
                <w:szCs w:val="24"/>
              </w:rPr>
              <w:t>“Greed is dead: Politics after individualism”</w:t>
            </w:r>
          </w:p>
        </w:tc>
        <w:tc>
          <w:tcPr>
            <w:tcW w:w="1890" w:type="dxa"/>
          </w:tcPr>
          <w:p w:rsidR="000B0DDC" w:rsidRPr="006C28BE" w:rsidRDefault="000B0DDC" w:rsidP="003D2275">
            <w:pPr>
              <w:spacing w:line="360" w:lineRule="auto"/>
              <w:rPr>
                <w:rFonts w:cs="Arial"/>
                <w:szCs w:val="24"/>
              </w:rPr>
            </w:pPr>
            <w:r w:rsidRPr="006C28BE">
              <w:rPr>
                <w:rFonts w:cs="Arial"/>
                <w:szCs w:val="24"/>
              </w:rPr>
              <w:t>Qualitative methodology</w:t>
            </w:r>
          </w:p>
        </w:tc>
        <w:tc>
          <w:tcPr>
            <w:tcW w:w="1800" w:type="dxa"/>
          </w:tcPr>
          <w:p w:rsidR="000B0DDC" w:rsidRPr="006C28BE" w:rsidRDefault="000B0DDC" w:rsidP="003D2275">
            <w:pPr>
              <w:spacing w:line="360" w:lineRule="auto"/>
              <w:rPr>
                <w:rFonts w:cs="Arial"/>
                <w:szCs w:val="24"/>
              </w:rPr>
            </w:pPr>
            <w:r w:rsidRPr="006C28BE">
              <w:rPr>
                <w:rFonts w:cs="Arial"/>
                <w:szCs w:val="24"/>
              </w:rPr>
              <w:t>A key focus of the study is extreme individualism, shaping social norms and driving prosperity towards social benefits.</w:t>
            </w:r>
          </w:p>
        </w:tc>
        <w:tc>
          <w:tcPr>
            <w:tcW w:w="1530" w:type="dxa"/>
          </w:tcPr>
          <w:p w:rsidR="000B0DDC" w:rsidRPr="006C28BE" w:rsidRDefault="000B0DDC" w:rsidP="003D2275">
            <w:pPr>
              <w:spacing w:line="360" w:lineRule="auto"/>
              <w:rPr>
                <w:rFonts w:cs="Arial"/>
                <w:szCs w:val="24"/>
              </w:rPr>
            </w:pPr>
            <w:r w:rsidRPr="006C28BE">
              <w:rPr>
                <w:rFonts w:cs="Arial"/>
                <w:szCs w:val="24"/>
              </w:rPr>
              <w:t>Study findings indicated social factors like individualism, economic stability, and cooperation help in better economic satisfaction, mental health conditions, and social cohesions.</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t>27</w:t>
            </w:r>
          </w:p>
        </w:tc>
        <w:tc>
          <w:tcPr>
            <w:tcW w:w="1530" w:type="dxa"/>
          </w:tcPr>
          <w:p w:rsidR="000B0DDC" w:rsidRPr="006C28BE" w:rsidRDefault="000B0DDC" w:rsidP="003D2275">
            <w:pPr>
              <w:spacing w:line="360" w:lineRule="auto"/>
              <w:rPr>
                <w:rFonts w:cs="Arial"/>
                <w:szCs w:val="24"/>
              </w:rPr>
            </w:pPr>
            <w:r w:rsidRPr="006C28BE">
              <w:rPr>
                <w:rFonts w:cs="Arial"/>
                <w:szCs w:val="24"/>
              </w:rPr>
              <w:t>(Rooney and Gray, 2020)</w:t>
            </w:r>
          </w:p>
        </w:tc>
        <w:tc>
          <w:tcPr>
            <w:tcW w:w="900" w:type="dxa"/>
          </w:tcPr>
          <w:p w:rsidR="000B0DDC" w:rsidRPr="006C28BE" w:rsidRDefault="000B0DDC" w:rsidP="003D2275">
            <w:pPr>
              <w:spacing w:line="360" w:lineRule="auto"/>
              <w:rPr>
                <w:rFonts w:cs="Arial"/>
                <w:szCs w:val="24"/>
              </w:rPr>
            </w:pPr>
            <w:r w:rsidRPr="006C28BE">
              <w:rPr>
                <w:rFonts w:cs="Arial"/>
                <w:szCs w:val="24"/>
              </w:rPr>
              <w:t>2020</w:t>
            </w:r>
          </w:p>
        </w:tc>
        <w:tc>
          <w:tcPr>
            <w:tcW w:w="1710" w:type="dxa"/>
          </w:tcPr>
          <w:p w:rsidR="000B0DDC" w:rsidRPr="006C28BE" w:rsidRDefault="000B0DDC" w:rsidP="003D2275">
            <w:pPr>
              <w:spacing w:line="360" w:lineRule="auto"/>
              <w:rPr>
                <w:rFonts w:cs="Arial"/>
                <w:szCs w:val="24"/>
              </w:rPr>
            </w:pPr>
            <w:r w:rsidRPr="006C28BE">
              <w:rPr>
                <w:rFonts w:cs="Arial"/>
                <w:szCs w:val="24"/>
              </w:rPr>
              <w:t>“Changing family dynamics and in-work benefits”</w:t>
            </w:r>
          </w:p>
        </w:tc>
        <w:tc>
          <w:tcPr>
            <w:tcW w:w="1890" w:type="dxa"/>
          </w:tcPr>
          <w:p w:rsidR="000B0DDC" w:rsidRPr="006C28BE" w:rsidRDefault="000B0DDC" w:rsidP="003D2275">
            <w:pPr>
              <w:spacing w:line="360" w:lineRule="auto"/>
              <w:rPr>
                <w:rFonts w:cs="Arial"/>
                <w:szCs w:val="24"/>
              </w:rPr>
            </w:pPr>
            <w:r w:rsidRPr="006C28BE">
              <w:rPr>
                <w:rFonts w:cs="Arial"/>
                <w:szCs w:val="24"/>
              </w:rPr>
              <w:t xml:space="preserve">Literature review </w:t>
            </w:r>
          </w:p>
        </w:tc>
        <w:tc>
          <w:tcPr>
            <w:tcW w:w="1800" w:type="dxa"/>
          </w:tcPr>
          <w:p w:rsidR="000B0DDC" w:rsidRPr="006C28BE" w:rsidRDefault="000B0DDC" w:rsidP="003D2275">
            <w:pPr>
              <w:spacing w:line="360" w:lineRule="auto"/>
              <w:rPr>
                <w:rFonts w:cs="Arial"/>
                <w:szCs w:val="24"/>
              </w:rPr>
            </w:pPr>
            <w:r w:rsidRPr="006C28BE">
              <w:rPr>
                <w:rFonts w:cs="Arial"/>
                <w:szCs w:val="24"/>
              </w:rPr>
              <w:t>Work-life balance and changing social norms have been focused on.</w:t>
            </w:r>
          </w:p>
        </w:tc>
        <w:tc>
          <w:tcPr>
            <w:tcW w:w="1530" w:type="dxa"/>
          </w:tcPr>
          <w:p w:rsidR="000B0DDC" w:rsidRPr="006C28BE" w:rsidRDefault="000B0DDC" w:rsidP="003D2275">
            <w:pPr>
              <w:spacing w:line="360" w:lineRule="auto"/>
              <w:rPr>
                <w:rFonts w:cs="Arial"/>
                <w:szCs w:val="24"/>
              </w:rPr>
            </w:pPr>
            <w:r w:rsidRPr="006C28BE">
              <w:rPr>
                <w:rFonts w:cs="Arial"/>
                <w:szCs w:val="24"/>
              </w:rPr>
              <w:t xml:space="preserve">Key findings show that UK firms focus on work-life balance in dual-income setups </w:t>
            </w:r>
            <w:r w:rsidRPr="006C28BE">
              <w:rPr>
                <w:rFonts w:cs="Arial"/>
                <w:szCs w:val="24"/>
              </w:rPr>
              <w:lastRenderedPageBreak/>
              <w:t>where both parents can work full time in dual household systems that impact the employment patterns in the country.</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28</w:t>
            </w:r>
          </w:p>
        </w:tc>
        <w:tc>
          <w:tcPr>
            <w:tcW w:w="1530" w:type="dxa"/>
          </w:tcPr>
          <w:p w:rsidR="000B0DDC" w:rsidRPr="006C28BE" w:rsidRDefault="000B0DDC" w:rsidP="003D2275">
            <w:pPr>
              <w:spacing w:line="360" w:lineRule="auto"/>
              <w:rPr>
                <w:rFonts w:cs="Arial"/>
                <w:szCs w:val="24"/>
              </w:rPr>
            </w:pPr>
            <w:r w:rsidRPr="006C28BE">
              <w:rPr>
                <w:rFonts w:cs="Arial"/>
                <w:szCs w:val="24"/>
              </w:rPr>
              <w:t>(Irace, 2022)</w:t>
            </w:r>
          </w:p>
        </w:tc>
        <w:tc>
          <w:tcPr>
            <w:tcW w:w="900" w:type="dxa"/>
          </w:tcPr>
          <w:p w:rsidR="000B0DDC" w:rsidRPr="006C28BE" w:rsidRDefault="000B0DDC" w:rsidP="003D2275">
            <w:pPr>
              <w:spacing w:line="360" w:lineRule="auto"/>
              <w:rPr>
                <w:rFonts w:cs="Arial"/>
                <w:szCs w:val="24"/>
              </w:rPr>
            </w:pPr>
            <w:r w:rsidRPr="006C28BE">
              <w:rPr>
                <w:rFonts w:cs="Arial"/>
                <w:szCs w:val="24"/>
              </w:rPr>
              <w:t>2022</w:t>
            </w:r>
          </w:p>
        </w:tc>
        <w:tc>
          <w:tcPr>
            <w:tcW w:w="1710" w:type="dxa"/>
          </w:tcPr>
          <w:p w:rsidR="000B0DDC" w:rsidRPr="006C28BE" w:rsidRDefault="000B0DDC" w:rsidP="003D2275">
            <w:pPr>
              <w:spacing w:line="360" w:lineRule="auto"/>
              <w:rPr>
                <w:rFonts w:cs="Arial"/>
                <w:szCs w:val="24"/>
              </w:rPr>
            </w:pPr>
            <w:r w:rsidRPr="006C28BE">
              <w:rPr>
                <w:rFonts w:cs="Arial"/>
                <w:szCs w:val="24"/>
              </w:rPr>
              <w:t>“Mental health in dual-income families during COVID-19”</w:t>
            </w:r>
          </w:p>
        </w:tc>
        <w:tc>
          <w:tcPr>
            <w:tcW w:w="1890" w:type="dxa"/>
          </w:tcPr>
          <w:p w:rsidR="000B0DDC" w:rsidRPr="006C28BE" w:rsidRDefault="000B0DDC" w:rsidP="003D2275">
            <w:pPr>
              <w:spacing w:line="360" w:lineRule="auto"/>
              <w:rPr>
                <w:rFonts w:cs="Arial"/>
                <w:szCs w:val="24"/>
              </w:rPr>
            </w:pPr>
            <w:r w:rsidRPr="006C28BE">
              <w:rPr>
                <w:rFonts w:cs="Arial"/>
                <w:szCs w:val="24"/>
              </w:rPr>
              <w:t xml:space="preserve">Qualitative analysis </w:t>
            </w:r>
          </w:p>
        </w:tc>
        <w:tc>
          <w:tcPr>
            <w:tcW w:w="1800" w:type="dxa"/>
          </w:tcPr>
          <w:p w:rsidR="000B0DDC" w:rsidRPr="006C28BE" w:rsidRDefault="000B0DDC" w:rsidP="003D2275">
            <w:pPr>
              <w:spacing w:line="360" w:lineRule="auto"/>
              <w:rPr>
                <w:rFonts w:cs="Arial"/>
                <w:szCs w:val="24"/>
              </w:rPr>
            </w:pPr>
            <w:r w:rsidRPr="006C28BE">
              <w:rPr>
                <w:rFonts w:cs="Arial"/>
                <w:szCs w:val="24"/>
              </w:rPr>
              <w:t>Examine the mental health aspects in dual-income households during COVID-19.</w:t>
            </w:r>
          </w:p>
        </w:tc>
        <w:tc>
          <w:tcPr>
            <w:tcW w:w="1530" w:type="dxa"/>
          </w:tcPr>
          <w:p w:rsidR="000B0DDC" w:rsidRPr="006C28BE" w:rsidRDefault="000B0DDC" w:rsidP="003D2275">
            <w:pPr>
              <w:spacing w:line="360" w:lineRule="auto"/>
              <w:rPr>
                <w:rFonts w:cs="Arial"/>
                <w:szCs w:val="24"/>
              </w:rPr>
            </w:pPr>
            <w:r w:rsidRPr="006C28BE">
              <w:rPr>
                <w:rFonts w:cs="Arial"/>
                <w:szCs w:val="24"/>
              </w:rPr>
              <w:t>The findings highlighted the challenges in managing work-life balance in covid times that developed stress levels in income families.</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t>29</w:t>
            </w:r>
          </w:p>
        </w:tc>
        <w:tc>
          <w:tcPr>
            <w:tcW w:w="1530" w:type="dxa"/>
          </w:tcPr>
          <w:p w:rsidR="000B0DDC" w:rsidRPr="006C28BE" w:rsidRDefault="000B0DDC" w:rsidP="003D2275">
            <w:pPr>
              <w:spacing w:line="360" w:lineRule="auto"/>
              <w:rPr>
                <w:rFonts w:cs="Arial"/>
                <w:szCs w:val="24"/>
              </w:rPr>
            </w:pPr>
            <w:r w:rsidRPr="006C28BE">
              <w:rPr>
                <w:rFonts w:cs="Arial"/>
                <w:szCs w:val="24"/>
              </w:rPr>
              <w:t>(Martin, 2020)</w:t>
            </w:r>
          </w:p>
        </w:tc>
        <w:tc>
          <w:tcPr>
            <w:tcW w:w="900" w:type="dxa"/>
          </w:tcPr>
          <w:p w:rsidR="000B0DDC" w:rsidRPr="006C28BE" w:rsidRDefault="000B0DDC" w:rsidP="003D2275">
            <w:pPr>
              <w:spacing w:line="360" w:lineRule="auto"/>
              <w:rPr>
                <w:rFonts w:cs="Arial"/>
                <w:szCs w:val="24"/>
              </w:rPr>
            </w:pPr>
            <w:r w:rsidRPr="006C28BE">
              <w:rPr>
                <w:rFonts w:cs="Arial"/>
                <w:szCs w:val="24"/>
              </w:rPr>
              <w:t>2020</w:t>
            </w:r>
          </w:p>
        </w:tc>
        <w:tc>
          <w:tcPr>
            <w:tcW w:w="1710" w:type="dxa"/>
          </w:tcPr>
          <w:p w:rsidR="000B0DDC" w:rsidRPr="006C28BE" w:rsidRDefault="000B0DDC" w:rsidP="003D2275">
            <w:pPr>
              <w:spacing w:line="360" w:lineRule="auto"/>
              <w:rPr>
                <w:rFonts w:cs="Arial"/>
                <w:szCs w:val="24"/>
              </w:rPr>
            </w:pPr>
            <w:r w:rsidRPr="006C28BE">
              <w:rPr>
                <w:rFonts w:cs="Arial"/>
                <w:szCs w:val="24"/>
              </w:rPr>
              <w:t>“One Size Fits All: Do Dual-Income Couples and Families Require Different Benefits?”</w:t>
            </w:r>
          </w:p>
        </w:tc>
        <w:tc>
          <w:tcPr>
            <w:tcW w:w="1890" w:type="dxa"/>
          </w:tcPr>
          <w:p w:rsidR="000B0DDC" w:rsidRPr="006C28BE" w:rsidRDefault="000B0DDC" w:rsidP="003D2275">
            <w:pPr>
              <w:spacing w:line="360" w:lineRule="auto"/>
              <w:rPr>
                <w:rFonts w:cs="Arial"/>
                <w:szCs w:val="24"/>
              </w:rPr>
            </w:pPr>
            <w:r w:rsidRPr="006C28BE">
              <w:rPr>
                <w:rFonts w:cs="Arial"/>
                <w:szCs w:val="24"/>
              </w:rPr>
              <w:t xml:space="preserve">Literature review </w:t>
            </w:r>
          </w:p>
        </w:tc>
        <w:tc>
          <w:tcPr>
            <w:tcW w:w="1800" w:type="dxa"/>
          </w:tcPr>
          <w:p w:rsidR="000B0DDC" w:rsidRPr="006C28BE" w:rsidRDefault="000B0DDC" w:rsidP="003D2275">
            <w:pPr>
              <w:spacing w:line="360" w:lineRule="auto"/>
              <w:rPr>
                <w:rFonts w:cs="Arial"/>
                <w:szCs w:val="24"/>
              </w:rPr>
            </w:pPr>
            <w:r w:rsidRPr="006C28BE">
              <w:rPr>
                <w:rFonts w:cs="Arial"/>
                <w:szCs w:val="24"/>
              </w:rPr>
              <w:t xml:space="preserve">The article focuses on examining the benefits of dual-income couples in families than traditional </w:t>
            </w:r>
            <w:r w:rsidRPr="006C28BE">
              <w:rPr>
                <w:rFonts w:cs="Arial"/>
                <w:szCs w:val="24"/>
              </w:rPr>
              <w:lastRenderedPageBreak/>
              <w:t>income households.</w:t>
            </w:r>
          </w:p>
        </w:tc>
        <w:tc>
          <w:tcPr>
            <w:tcW w:w="1530" w:type="dxa"/>
          </w:tcPr>
          <w:p w:rsidR="000B0DDC" w:rsidRPr="006C28BE" w:rsidRDefault="000B0DDC" w:rsidP="003D2275">
            <w:pPr>
              <w:spacing w:line="360" w:lineRule="auto"/>
              <w:rPr>
                <w:rFonts w:cs="Arial"/>
                <w:szCs w:val="24"/>
              </w:rPr>
            </w:pPr>
            <w:r w:rsidRPr="006C28BE">
              <w:rPr>
                <w:rFonts w:cs="Arial"/>
                <w:szCs w:val="24"/>
              </w:rPr>
              <w:lastRenderedPageBreak/>
              <w:t xml:space="preserve">The findings have highlighted that dual-income households have much economic </w:t>
            </w:r>
            <w:r w:rsidRPr="006C28BE">
              <w:rPr>
                <w:rFonts w:cs="Arial"/>
                <w:szCs w:val="24"/>
              </w:rPr>
              <w:lastRenderedPageBreak/>
              <w:t>feasibility with benefits in having economic stability and prosperity.</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30</w:t>
            </w:r>
          </w:p>
        </w:tc>
        <w:tc>
          <w:tcPr>
            <w:tcW w:w="1530" w:type="dxa"/>
          </w:tcPr>
          <w:p w:rsidR="000B0DDC" w:rsidRPr="006C28BE" w:rsidRDefault="000B0DDC" w:rsidP="003D2275">
            <w:pPr>
              <w:spacing w:line="360" w:lineRule="auto"/>
              <w:rPr>
                <w:rFonts w:cs="Arial"/>
                <w:szCs w:val="24"/>
              </w:rPr>
            </w:pPr>
            <w:r w:rsidRPr="006C28BE">
              <w:rPr>
                <w:rFonts w:cs="Arial"/>
                <w:szCs w:val="24"/>
              </w:rPr>
              <w:t>(Geismer, 2022)</w:t>
            </w:r>
          </w:p>
        </w:tc>
        <w:tc>
          <w:tcPr>
            <w:tcW w:w="900" w:type="dxa"/>
          </w:tcPr>
          <w:p w:rsidR="000B0DDC" w:rsidRPr="006C28BE" w:rsidRDefault="000B0DDC" w:rsidP="003D2275">
            <w:pPr>
              <w:spacing w:line="360" w:lineRule="auto"/>
              <w:rPr>
                <w:rFonts w:cs="Arial"/>
                <w:szCs w:val="24"/>
              </w:rPr>
            </w:pPr>
            <w:r w:rsidRPr="006C28BE">
              <w:rPr>
                <w:rFonts w:cs="Arial"/>
                <w:szCs w:val="24"/>
              </w:rPr>
              <w:t>2022</w:t>
            </w:r>
          </w:p>
        </w:tc>
        <w:tc>
          <w:tcPr>
            <w:tcW w:w="1710" w:type="dxa"/>
          </w:tcPr>
          <w:p w:rsidR="000B0DDC" w:rsidRPr="006C28BE" w:rsidRDefault="000B0DDC" w:rsidP="003D2275">
            <w:pPr>
              <w:spacing w:line="360" w:lineRule="auto"/>
              <w:rPr>
                <w:rFonts w:cs="Arial"/>
                <w:szCs w:val="24"/>
              </w:rPr>
            </w:pPr>
            <w:r w:rsidRPr="006C28BE">
              <w:rPr>
                <w:rFonts w:cs="Arial"/>
                <w:szCs w:val="24"/>
              </w:rPr>
              <w:t>“Weathering: The Extraordinary Stress of Ordinary Life on the Body in an Unjust Society”</w:t>
            </w:r>
          </w:p>
        </w:tc>
        <w:tc>
          <w:tcPr>
            <w:tcW w:w="1890" w:type="dxa"/>
          </w:tcPr>
          <w:p w:rsidR="000B0DDC" w:rsidRPr="006C28BE" w:rsidRDefault="000B0DDC" w:rsidP="003D2275">
            <w:pPr>
              <w:spacing w:line="360" w:lineRule="auto"/>
              <w:rPr>
                <w:rFonts w:cs="Arial"/>
                <w:szCs w:val="24"/>
              </w:rPr>
            </w:pPr>
            <w:r w:rsidRPr="006C28BE">
              <w:rPr>
                <w:rFonts w:cs="Arial"/>
                <w:szCs w:val="24"/>
              </w:rPr>
              <w:t xml:space="preserve">Content analysis </w:t>
            </w:r>
          </w:p>
        </w:tc>
        <w:tc>
          <w:tcPr>
            <w:tcW w:w="1800" w:type="dxa"/>
          </w:tcPr>
          <w:p w:rsidR="000B0DDC" w:rsidRPr="006C28BE" w:rsidRDefault="000B0DDC" w:rsidP="003D2275">
            <w:pPr>
              <w:spacing w:line="360" w:lineRule="auto"/>
              <w:rPr>
                <w:rFonts w:cs="Arial"/>
                <w:szCs w:val="24"/>
              </w:rPr>
            </w:pPr>
            <w:r w:rsidRPr="006C28BE">
              <w:rPr>
                <w:rFonts w:cs="Arial"/>
                <w:szCs w:val="24"/>
              </w:rPr>
              <w:t>The key focus of the study has shown the efforts to manage the inequalities in social dynamics that dual income reduced.</w:t>
            </w:r>
          </w:p>
        </w:tc>
        <w:tc>
          <w:tcPr>
            <w:tcW w:w="1530" w:type="dxa"/>
          </w:tcPr>
          <w:p w:rsidR="000B0DDC" w:rsidRPr="006C28BE" w:rsidRDefault="000B0DDC" w:rsidP="003D2275">
            <w:pPr>
              <w:spacing w:line="360" w:lineRule="auto"/>
              <w:rPr>
                <w:rFonts w:cs="Arial"/>
                <w:szCs w:val="24"/>
              </w:rPr>
            </w:pPr>
            <w:r w:rsidRPr="006C28BE">
              <w:rPr>
                <w:rFonts w:cs="Arial"/>
                <w:szCs w:val="24"/>
              </w:rPr>
              <w:t>The findings have highlighted the socioeconomic challenge due to shortcomings that have been solved with dual income levels.</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t>31</w:t>
            </w:r>
          </w:p>
        </w:tc>
        <w:tc>
          <w:tcPr>
            <w:tcW w:w="1530" w:type="dxa"/>
          </w:tcPr>
          <w:p w:rsidR="000B0DDC" w:rsidRPr="006C28BE" w:rsidRDefault="000B0DDC" w:rsidP="003D2275">
            <w:pPr>
              <w:spacing w:line="360" w:lineRule="auto"/>
              <w:rPr>
                <w:rFonts w:cs="Arial"/>
                <w:szCs w:val="24"/>
              </w:rPr>
            </w:pPr>
            <w:r w:rsidRPr="006C28BE">
              <w:rPr>
                <w:rFonts w:cs="Arial"/>
                <w:szCs w:val="24"/>
              </w:rPr>
              <w:t>(Geronimu, 2023)</w:t>
            </w:r>
          </w:p>
        </w:tc>
        <w:tc>
          <w:tcPr>
            <w:tcW w:w="900" w:type="dxa"/>
          </w:tcPr>
          <w:p w:rsidR="000B0DDC" w:rsidRPr="006C28BE" w:rsidRDefault="000B0DDC" w:rsidP="003D2275">
            <w:pPr>
              <w:spacing w:line="360" w:lineRule="auto"/>
              <w:rPr>
                <w:rFonts w:cs="Arial"/>
                <w:szCs w:val="24"/>
              </w:rPr>
            </w:pPr>
            <w:r w:rsidRPr="006C28BE">
              <w:rPr>
                <w:rFonts w:cs="Arial"/>
                <w:szCs w:val="24"/>
              </w:rPr>
              <w:t>2023</w:t>
            </w:r>
          </w:p>
        </w:tc>
        <w:tc>
          <w:tcPr>
            <w:tcW w:w="1710" w:type="dxa"/>
          </w:tcPr>
          <w:p w:rsidR="000B0DDC" w:rsidRPr="006C28BE" w:rsidRDefault="000B0DDC" w:rsidP="003D2275">
            <w:pPr>
              <w:spacing w:line="360" w:lineRule="auto"/>
              <w:rPr>
                <w:rFonts w:cs="Arial"/>
                <w:szCs w:val="24"/>
              </w:rPr>
            </w:pPr>
            <w:r w:rsidRPr="006C28BE">
              <w:rPr>
                <w:rFonts w:cs="Arial"/>
                <w:szCs w:val="24"/>
              </w:rPr>
              <w:t>“Weathering: The Extraordinary Stress of Ordinary Life on the Body in an Unjust Society”</w:t>
            </w:r>
          </w:p>
        </w:tc>
        <w:tc>
          <w:tcPr>
            <w:tcW w:w="1890" w:type="dxa"/>
          </w:tcPr>
          <w:p w:rsidR="000B0DDC" w:rsidRPr="006C28BE" w:rsidRDefault="000B0DDC" w:rsidP="003D2275">
            <w:pPr>
              <w:spacing w:line="360" w:lineRule="auto"/>
              <w:rPr>
                <w:rFonts w:cs="Arial"/>
                <w:szCs w:val="24"/>
              </w:rPr>
            </w:pPr>
            <w:r w:rsidRPr="006C28BE">
              <w:rPr>
                <w:rFonts w:cs="Arial"/>
                <w:szCs w:val="24"/>
              </w:rPr>
              <w:t>Literature review</w:t>
            </w:r>
          </w:p>
        </w:tc>
        <w:tc>
          <w:tcPr>
            <w:tcW w:w="1800" w:type="dxa"/>
          </w:tcPr>
          <w:p w:rsidR="000B0DDC" w:rsidRPr="006C28BE" w:rsidRDefault="000B0DDC" w:rsidP="003D2275">
            <w:pPr>
              <w:spacing w:line="360" w:lineRule="auto"/>
              <w:rPr>
                <w:rFonts w:cs="Arial"/>
                <w:szCs w:val="24"/>
              </w:rPr>
            </w:pPr>
            <w:r w:rsidRPr="00D024DA">
              <w:rPr>
                <w:rFonts w:cs="Arial"/>
                <w:szCs w:val="24"/>
              </w:rPr>
              <w:t xml:space="preserve">Social injustice and economic distress can have physical health impacts, specifically on marginalised communities. sha scene </w:t>
            </w:r>
            <w:r w:rsidRPr="00D024DA">
              <w:rPr>
                <w:rFonts w:cs="Arial"/>
                <w:szCs w:val="24"/>
              </w:rPr>
              <w:lastRenderedPageBreak/>
              <w:t>Scene-focused</w:t>
            </w:r>
          </w:p>
        </w:tc>
        <w:tc>
          <w:tcPr>
            <w:tcW w:w="1530" w:type="dxa"/>
          </w:tcPr>
          <w:p w:rsidR="000B0DDC" w:rsidRPr="006C28BE" w:rsidRDefault="000B0DDC" w:rsidP="003D2275">
            <w:pPr>
              <w:spacing w:line="360" w:lineRule="auto"/>
              <w:rPr>
                <w:rFonts w:cs="Arial"/>
                <w:szCs w:val="24"/>
              </w:rPr>
            </w:pPr>
            <w:r w:rsidRPr="006C28BE">
              <w:rPr>
                <w:rFonts w:cs="Arial"/>
                <w:szCs w:val="24"/>
              </w:rPr>
              <w:lastRenderedPageBreak/>
              <w:t xml:space="preserve">The key findings have highlighted the social inequalities and their impact on mental health and stress levels with </w:t>
            </w:r>
            <w:r w:rsidRPr="006C28BE">
              <w:rPr>
                <w:rFonts w:cs="Arial"/>
                <w:szCs w:val="24"/>
              </w:rPr>
              <w:lastRenderedPageBreak/>
              <w:t>chronic health problems due to economic conditions and financial instabilities in society.</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32</w:t>
            </w:r>
          </w:p>
        </w:tc>
        <w:tc>
          <w:tcPr>
            <w:tcW w:w="1530" w:type="dxa"/>
          </w:tcPr>
          <w:p w:rsidR="000B0DDC" w:rsidRPr="006C28BE" w:rsidRDefault="000B0DDC" w:rsidP="003D2275">
            <w:pPr>
              <w:spacing w:line="360" w:lineRule="auto"/>
              <w:rPr>
                <w:rFonts w:cs="Arial"/>
                <w:szCs w:val="24"/>
              </w:rPr>
            </w:pPr>
            <w:r w:rsidRPr="006C28BE">
              <w:rPr>
                <w:rFonts w:cs="Arial"/>
                <w:szCs w:val="24"/>
              </w:rPr>
              <w:t>(Hill, 2020)</w:t>
            </w:r>
          </w:p>
        </w:tc>
        <w:tc>
          <w:tcPr>
            <w:tcW w:w="900" w:type="dxa"/>
          </w:tcPr>
          <w:p w:rsidR="000B0DDC" w:rsidRPr="006C28BE" w:rsidRDefault="000B0DDC" w:rsidP="003D2275">
            <w:pPr>
              <w:spacing w:line="360" w:lineRule="auto"/>
              <w:rPr>
                <w:rFonts w:cs="Arial"/>
                <w:szCs w:val="24"/>
              </w:rPr>
            </w:pPr>
            <w:r w:rsidRPr="006C28BE">
              <w:rPr>
                <w:rFonts w:cs="Arial"/>
                <w:szCs w:val="24"/>
              </w:rPr>
              <w:t>2020</w:t>
            </w:r>
          </w:p>
        </w:tc>
        <w:tc>
          <w:tcPr>
            <w:tcW w:w="1710" w:type="dxa"/>
          </w:tcPr>
          <w:p w:rsidR="000B0DDC" w:rsidRPr="006C28BE" w:rsidRDefault="000B0DDC" w:rsidP="003D2275">
            <w:pPr>
              <w:spacing w:line="360" w:lineRule="auto"/>
              <w:rPr>
                <w:rFonts w:cs="Arial"/>
                <w:szCs w:val="24"/>
              </w:rPr>
            </w:pPr>
            <w:r w:rsidRPr="006C28BE">
              <w:rPr>
                <w:rFonts w:cs="Arial"/>
                <w:szCs w:val="24"/>
              </w:rPr>
              <w:t>“She will rise: Becoming a warrior in the battle for true equality.”</w:t>
            </w:r>
          </w:p>
        </w:tc>
        <w:tc>
          <w:tcPr>
            <w:tcW w:w="1890" w:type="dxa"/>
          </w:tcPr>
          <w:p w:rsidR="000B0DDC" w:rsidRPr="006C28BE" w:rsidRDefault="000B0DDC" w:rsidP="003D2275">
            <w:pPr>
              <w:spacing w:line="360" w:lineRule="auto"/>
              <w:rPr>
                <w:rFonts w:cs="Arial"/>
                <w:szCs w:val="24"/>
              </w:rPr>
            </w:pPr>
            <w:r w:rsidRPr="006C28BE">
              <w:rPr>
                <w:rFonts w:cs="Arial"/>
                <w:szCs w:val="24"/>
              </w:rPr>
              <w:t>Qualitative methodology</w:t>
            </w:r>
          </w:p>
        </w:tc>
        <w:tc>
          <w:tcPr>
            <w:tcW w:w="1800" w:type="dxa"/>
          </w:tcPr>
          <w:p w:rsidR="000B0DDC" w:rsidRPr="006C28BE" w:rsidRDefault="000B0DDC" w:rsidP="003D2275">
            <w:pPr>
              <w:spacing w:line="360" w:lineRule="auto"/>
              <w:rPr>
                <w:rFonts w:cs="Arial"/>
                <w:szCs w:val="24"/>
              </w:rPr>
            </w:pPr>
            <w:r w:rsidRPr="006C28BE">
              <w:rPr>
                <w:rFonts w:cs="Arial"/>
                <w:szCs w:val="24"/>
              </w:rPr>
              <w:t>The key focus is developing equality in society with better opportunities for work.</w:t>
            </w:r>
          </w:p>
        </w:tc>
        <w:tc>
          <w:tcPr>
            <w:tcW w:w="1530" w:type="dxa"/>
          </w:tcPr>
          <w:p w:rsidR="000B0DDC" w:rsidRPr="006C28BE" w:rsidRDefault="000B0DDC" w:rsidP="003D2275">
            <w:pPr>
              <w:spacing w:line="360" w:lineRule="auto"/>
              <w:rPr>
                <w:rFonts w:cs="Arial"/>
                <w:szCs w:val="24"/>
              </w:rPr>
            </w:pPr>
            <w:r w:rsidRPr="006C28BE">
              <w:rPr>
                <w:rFonts w:cs="Arial"/>
                <w:szCs w:val="24"/>
              </w:rPr>
              <w:t>Key findings have highlighted women's empowerment and working facilities providing dual-income households that impact the social norms of reducing inequity and driving social changes.</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t>33</w:t>
            </w:r>
          </w:p>
        </w:tc>
        <w:tc>
          <w:tcPr>
            <w:tcW w:w="1530" w:type="dxa"/>
          </w:tcPr>
          <w:p w:rsidR="000B0DDC" w:rsidRPr="006C28BE" w:rsidRDefault="000B0DDC" w:rsidP="003D2275">
            <w:pPr>
              <w:spacing w:line="360" w:lineRule="auto"/>
              <w:rPr>
                <w:rFonts w:cs="Arial"/>
                <w:szCs w:val="24"/>
              </w:rPr>
            </w:pPr>
            <w:r w:rsidRPr="006C28BE">
              <w:rPr>
                <w:rFonts w:cs="Arial"/>
                <w:szCs w:val="24"/>
              </w:rPr>
              <w:t>(Institute for Fiscal Studies, 2023)</w:t>
            </w:r>
          </w:p>
        </w:tc>
        <w:tc>
          <w:tcPr>
            <w:tcW w:w="900" w:type="dxa"/>
          </w:tcPr>
          <w:p w:rsidR="000B0DDC" w:rsidRPr="006C28BE" w:rsidRDefault="000B0DDC" w:rsidP="003D2275">
            <w:pPr>
              <w:spacing w:line="360" w:lineRule="auto"/>
              <w:rPr>
                <w:rFonts w:cs="Arial"/>
                <w:szCs w:val="24"/>
              </w:rPr>
            </w:pPr>
            <w:r w:rsidRPr="006C28BE">
              <w:rPr>
                <w:rFonts w:cs="Arial"/>
                <w:szCs w:val="24"/>
              </w:rPr>
              <w:t>2023</w:t>
            </w:r>
          </w:p>
        </w:tc>
        <w:tc>
          <w:tcPr>
            <w:tcW w:w="1710" w:type="dxa"/>
          </w:tcPr>
          <w:p w:rsidR="000B0DDC" w:rsidRPr="006C28BE" w:rsidRDefault="000B0DDC" w:rsidP="003D2275">
            <w:pPr>
              <w:spacing w:line="360" w:lineRule="auto"/>
              <w:rPr>
                <w:rFonts w:cs="Arial"/>
                <w:szCs w:val="24"/>
              </w:rPr>
            </w:pPr>
            <w:r w:rsidRPr="006C28BE">
              <w:rPr>
                <w:rFonts w:cs="Arial"/>
                <w:szCs w:val="24"/>
              </w:rPr>
              <w:t xml:space="preserve">“Evaluation of Tax Breaks and Subsidies for </w:t>
            </w:r>
            <w:r w:rsidRPr="006C28BE">
              <w:rPr>
                <w:rFonts w:cs="Arial"/>
                <w:szCs w:val="24"/>
              </w:rPr>
              <w:lastRenderedPageBreak/>
              <w:t>Dual-Income Households”</w:t>
            </w:r>
          </w:p>
        </w:tc>
        <w:tc>
          <w:tcPr>
            <w:tcW w:w="1890" w:type="dxa"/>
          </w:tcPr>
          <w:p w:rsidR="000B0DDC" w:rsidRPr="006C28BE" w:rsidRDefault="000B0DDC" w:rsidP="003D2275">
            <w:pPr>
              <w:spacing w:line="360" w:lineRule="auto"/>
              <w:rPr>
                <w:rFonts w:cs="Arial"/>
                <w:szCs w:val="24"/>
              </w:rPr>
            </w:pPr>
            <w:r w:rsidRPr="006C28BE">
              <w:rPr>
                <w:rFonts w:cs="Arial"/>
                <w:szCs w:val="24"/>
              </w:rPr>
              <w:lastRenderedPageBreak/>
              <w:t xml:space="preserve">Content analysis </w:t>
            </w:r>
          </w:p>
        </w:tc>
        <w:tc>
          <w:tcPr>
            <w:tcW w:w="1800" w:type="dxa"/>
          </w:tcPr>
          <w:p w:rsidR="000B0DDC" w:rsidRPr="006C28BE" w:rsidRDefault="000B0DDC" w:rsidP="003D2275">
            <w:pPr>
              <w:spacing w:line="360" w:lineRule="auto"/>
              <w:rPr>
                <w:rFonts w:cs="Arial"/>
                <w:szCs w:val="24"/>
              </w:rPr>
            </w:pPr>
            <w:r w:rsidRPr="006C28BE">
              <w:rPr>
                <w:rFonts w:cs="Arial"/>
                <w:szCs w:val="24"/>
              </w:rPr>
              <w:t xml:space="preserve">The key focus of this study is towards the taxation </w:t>
            </w:r>
            <w:r w:rsidRPr="006C28BE">
              <w:rPr>
                <w:rFonts w:cs="Arial"/>
                <w:szCs w:val="24"/>
              </w:rPr>
              <w:lastRenderedPageBreak/>
              <w:t>structure in dual-income households.</w:t>
            </w:r>
          </w:p>
        </w:tc>
        <w:tc>
          <w:tcPr>
            <w:tcW w:w="1530" w:type="dxa"/>
          </w:tcPr>
          <w:p w:rsidR="000B0DDC" w:rsidRPr="006C28BE" w:rsidRDefault="000B0DDC" w:rsidP="003D2275">
            <w:pPr>
              <w:spacing w:line="360" w:lineRule="auto"/>
              <w:rPr>
                <w:rFonts w:cs="Arial"/>
                <w:szCs w:val="24"/>
              </w:rPr>
            </w:pPr>
            <w:r w:rsidRPr="006C28BE">
              <w:rPr>
                <w:rFonts w:cs="Arial"/>
                <w:szCs w:val="24"/>
              </w:rPr>
              <w:lastRenderedPageBreak/>
              <w:t xml:space="preserve">The key findings have highlighted </w:t>
            </w:r>
            <w:r w:rsidRPr="006C28BE">
              <w:rPr>
                <w:rFonts w:cs="Arial"/>
                <w:szCs w:val="24"/>
              </w:rPr>
              <w:lastRenderedPageBreak/>
              <w:t xml:space="preserve">the tax breaks and the impact of subsidies on dual-income households that develop inequality in distribution on the social scale. </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34</w:t>
            </w:r>
          </w:p>
        </w:tc>
        <w:tc>
          <w:tcPr>
            <w:tcW w:w="1530" w:type="dxa"/>
          </w:tcPr>
          <w:p w:rsidR="000B0DDC" w:rsidRPr="006C28BE" w:rsidRDefault="000B0DDC" w:rsidP="003D2275">
            <w:pPr>
              <w:spacing w:line="360" w:lineRule="auto"/>
              <w:rPr>
                <w:rFonts w:cs="Arial"/>
                <w:szCs w:val="24"/>
              </w:rPr>
            </w:pPr>
            <w:r w:rsidRPr="006C28BE">
              <w:rPr>
                <w:rFonts w:cs="Arial"/>
                <w:szCs w:val="24"/>
              </w:rPr>
              <w:t>(Kuhn, 2020)</w:t>
            </w:r>
          </w:p>
        </w:tc>
        <w:tc>
          <w:tcPr>
            <w:tcW w:w="900" w:type="dxa"/>
          </w:tcPr>
          <w:p w:rsidR="000B0DDC" w:rsidRPr="006C28BE" w:rsidRDefault="000B0DDC" w:rsidP="003D2275">
            <w:pPr>
              <w:spacing w:line="360" w:lineRule="auto"/>
              <w:rPr>
                <w:rFonts w:cs="Arial"/>
                <w:szCs w:val="24"/>
              </w:rPr>
            </w:pPr>
            <w:r w:rsidRPr="006C28BE">
              <w:rPr>
                <w:rFonts w:cs="Arial"/>
                <w:szCs w:val="24"/>
              </w:rPr>
              <w:t>2020</w:t>
            </w:r>
          </w:p>
        </w:tc>
        <w:tc>
          <w:tcPr>
            <w:tcW w:w="1710" w:type="dxa"/>
          </w:tcPr>
          <w:p w:rsidR="000B0DDC" w:rsidRPr="006C28BE" w:rsidRDefault="000B0DDC" w:rsidP="003D2275">
            <w:pPr>
              <w:spacing w:line="360" w:lineRule="auto"/>
              <w:rPr>
                <w:rFonts w:cs="Arial"/>
                <w:szCs w:val="24"/>
              </w:rPr>
            </w:pPr>
            <w:r w:rsidRPr="006C28BE">
              <w:rPr>
                <w:rFonts w:cs="Arial"/>
                <w:szCs w:val="24"/>
              </w:rPr>
              <w:t>“The Hardhat Riot: Nixon, New York City, and the dawn of the white working-class revolution”</w:t>
            </w:r>
          </w:p>
        </w:tc>
        <w:tc>
          <w:tcPr>
            <w:tcW w:w="1890" w:type="dxa"/>
          </w:tcPr>
          <w:p w:rsidR="000B0DDC" w:rsidRPr="006C28BE" w:rsidRDefault="000B0DDC" w:rsidP="003D2275">
            <w:pPr>
              <w:spacing w:line="360" w:lineRule="auto"/>
              <w:rPr>
                <w:rFonts w:cs="Arial"/>
                <w:szCs w:val="24"/>
              </w:rPr>
            </w:pPr>
            <w:r w:rsidRPr="006C28BE">
              <w:rPr>
                <w:rFonts w:cs="Arial"/>
                <w:szCs w:val="24"/>
              </w:rPr>
              <w:t xml:space="preserve">Literature review </w:t>
            </w:r>
          </w:p>
        </w:tc>
        <w:tc>
          <w:tcPr>
            <w:tcW w:w="1800" w:type="dxa"/>
          </w:tcPr>
          <w:p w:rsidR="000B0DDC" w:rsidRPr="006C28BE" w:rsidRDefault="000B0DDC" w:rsidP="003D2275">
            <w:pPr>
              <w:spacing w:line="360" w:lineRule="auto"/>
              <w:rPr>
                <w:rFonts w:cs="Arial"/>
                <w:szCs w:val="24"/>
              </w:rPr>
            </w:pPr>
            <w:r w:rsidRPr="006C28BE">
              <w:rPr>
                <w:rFonts w:cs="Arial"/>
                <w:szCs w:val="24"/>
              </w:rPr>
              <w:t>The political and social dynamics have been the key focus of the study</w:t>
            </w:r>
          </w:p>
        </w:tc>
        <w:tc>
          <w:tcPr>
            <w:tcW w:w="1530" w:type="dxa"/>
          </w:tcPr>
          <w:p w:rsidR="000B0DDC" w:rsidRPr="006C28BE" w:rsidRDefault="000B0DDC" w:rsidP="003D2275">
            <w:pPr>
              <w:spacing w:line="360" w:lineRule="auto"/>
              <w:rPr>
                <w:rFonts w:cs="Arial"/>
                <w:szCs w:val="24"/>
              </w:rPr>
            </w:pPr>
            <w:r w:rsidRPr="006C28BE">
              <w:rPr>
                <w:rFonts w:cs="Arial"/>
                <w:szCs w:val="24"/>
              </w:rPr>
              <w:t>The finding has shown that the white working class has contributed to the economic stability and development of feasibility in social standards.</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t>35</w:t>
            </w:r>
          </w:p>
        </w:tc>
        <w:tc>
          <w:tcPr>
            <w:tcW w:w="1530" w:type="dxa"/>
          </w:tcPr>
          <w:p w:rsidR="000B0DDC" w:rsidRPr="006C28BE" w:rsidRDefault="000B0DDC" w:rsidP="003D2275">
            <w:pPr>
              <w:spacing w:line="360" w:lineRule="auto"/>
              <w:rPr>
                <w:rFonts w:cs="Arial"/>
                <w:szCs w:val="24"/>
              </w:rPr>
            </w:pPr>
            <w:r w:rsidRPr="006C28BE">
              <w:rPr>
                <w:rFonts w:cs="Arial"/>
                <w:szCs w:val="24"/>
              </w:rPr>
              <w:t>(Wiltshire, 2013)</w:t>
            </w:r>
          </w:p>
        </w:tc>
        <w:tc>
          <w:tcPr>
            <w:tcW w:w="900" w:type="dxa"/>
          </w:tcPr>
          <w:p w:rsidR="000B0DDC" w:rsidRPr="006C28BE" w:rsidRDefault="000B0DDC" w:rsidP="003D2275">
            <w:pPr>
              <w:spacing w:line="360" w:lineRule="auto"/>
              <w:rPr>
                <w:rFonts w:cs="Arial"/>
                <w:szCs w:val="24"/>
              </w:rPr>
            </w:pPr>
            <w:r w:rsidRPr="006C28BE">
              <w:rPr>
                <w:rFonts w:cs="Arial"/>
                <w:szCs w:val="24"/>
              </w:rPr>
              <w:t>2013</w:t>
            </w:r>
          </w:p>
        </w:tc>
        <w:tc>
          <w:tcPr>
            <w:tcW w:w="1710" w:type="dxa"/>
          </w:tcPr>
          <w:p w:rsidR="000B0DDC" w:rsidRPr="006C28BE" w:rsidRDefault="000B0DDC" w:rsidP="003D2275">
            <w:pPr>
              <w:spacing w:line="360" w:lineRule="auto"/>
              <w:rPr>
                <w:rFonts w:cs="Arial"/>
                <w:szCs w:val="24"/>
              </w:rPr>
            </w:pPr>
            <w:r w:rsidRPr="006C28BE">
              <w:rPr>
                <w:rFonts w:cs="Arial"/>
                <w:szCs w:val="24"/>
              </w:rPr>
              <w:t xml:space="preserve">“The dissolution of first unions and women’s economic </w:t>
            </w:r>
            <w:r w:rsidRPr="006C28BE">
              <w:rPr>
                <w:rFonts w:cs="Arial"/>
                <w:szCs w:val="24"/>
              </w:rPr>
              <w:lastRenderedPageBreak/>
              <w:t>activity in the UK”</w:t>
            </w:r>
          </w:p>
        </w:tc>
        <w:tc>
          <w:tcPr>
            <w:tcW w:w="1890" w:type="dxa"/>
          </w:tcPr>
          <w:p w:rsidR="000B0DDC" w:rsidRPr="006C28BE" w:rsidRDefault="000B0DDC" w:rsidP="003D2275">
            <w:pPr>
              <w:spacing w:line="360" w:lineRule="auto"/>
              <w:rPr>
                <w:rFonts w:cs="Arial"/>
                <w:szCs w:val="24"/>
              </w:rPr>
            </w:pPr>
            <w:r w:rsidRPr="006C28BE">
              <w:rPr>
                <w:rFonts w:cs="Arial"/>
                <w:szCs w:val="24"/>
              </w:rPr>
              <w:lastRenderedPageBreak/>
              <w:t>Survey method</w:t>
            </w:r>
          </w:p>
        </w:tc>
        <w:tc>
          <w:tcPr>
            <w:tcW w:w="1800" w:type="dxa"/>
          </w:tcPr>
          <w:p w:rsidR="000B0DDC" w:rsidRPr="006C28BE" w:rsidRDefault="000B0DDC" w:rsidP="003D2275">
            <w:pPr>
              <w:spacing w:line="360" w:lineRule="auto"/>
              <w:rPr>
                <w:rFonts w:cs="Arial"/>
                <w:szCs w:val="24"/>
              </w:rPr>
            </w:pPr>
            <w:r w:rsidRPr="006C28BE">
              <w:rPr>
                <w:rFonts w:cs="Arial"/>
                <w:szCs w:val="24"/>
              </w:rPr>
              <w:t xml:space="preserve">The key focus is on the association between women's employment </w:t>
            </w:r>
            <w:r w:rsidRPr="006C28BE">
              <w:rPr>
                <w:rFonts w:cs="Arial"/>
                <w:szCs w:val="24"/>
              </w:rPr>
              <w:lastRenderedPageBreak/>
              <w:t>and economic prosperity.</w:t>
            </w:r>
          </w:p>
        </w:tc>
        <w:tc>
          <w:tcPr>
            <w:tcW w:w="1530" w:type="dxa"/>
          </w:tcPr>
          <w:p w:rsidR="000B0DDC" w:rsidRPr="006C28BE" w:rsidRDefault="000B0DDC" w:rsidP="003D2275">
            <w:pPr>
              <w:spacing w:line="360" w:lineRule="auto"/>
              <w:rPr>
                <w:rFonts w:cs="Arial"/>
                <w:szCs w:val="24"/>
              </w:rPr>
            </w:pPr>
            <w:r w:rsidRPr="006C28BE">
              <w:rPr>
                <w:rFonts w:cs="Arial"/>
                <w:szCs w:val="24"/>
              </w:rPr>
              <w:lastRenderedPageBreak/>
              <w:t xml:space="preserve">The key finding indicates that the union of Dissolutions </w:t>
            </w:r>
            <w:r w:rsidRPr="006C28BE">
              <w:rPr>
                <w:rFonts w:cs="Arial"/>
                <w:szCs w:val="24"/>
              </w:rPr>
              <w:lastRenderedPageBreak/>
              <w:t>and women focuses on economic activities that provide social balance.</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36</w:t>
            </w:r>
          </w:p>
        </w:tc>
        <w:tc>
          <w:tcPr>
            <w:tcW w:w="1530" w:type="dxa"/>
          </w:tcPr>
          <w:p w:rsidR="000B0DDC" w:rsidRPr="006C28BE" w:rsidRDefault="000B0DDC" w:rsidP="003D2275">
            <w:pPr>
              <w:spacing w:line="360" w:lineRule="auto"/>
              <w:rPr>
                <w:rFonts w:cs="Arial"/>
                <w:szCs w:val="24"/>
              </w:rPr>
            </w:pPr>
            <w:r w:rsidRPr="006C28BE">
              <w:rPr>
                <w:rFonts w:cs="Arial"/>
                <w:szCs w:val="24"/>
              </w:rPr>
              <w:t>(Perry</w:t>
            </w:r>
            <w:r w:rsidRPr="006C28BE">
              <w:rPr>
                <w:rFonts w:ascii="Cambria Math" w:hAnsi="Cambria Math" w:cs="Cambria Math"/>
                <w:szCs w:val="24"/>
              </w:rPr>
              <w:t>‐</w:t>
            </w:r>
            <w:r w:rsidRPr="006C28BE">
              <w:rPr>
                <w:rFonts w:cs="Arial"/>
                <w:szCs w:val="24"/>
              </w:rPr>
              <w:t>Jenkins and Gerstel, 2020)</w:t>
            </w:r>
          </w:p>
        </w:tc>
        <w:tc>
          <w:tcPr>
            <w:tcW w:w="900" w:type="dxa"/>
          </w:tcPr>
          <w:p w:rsidR="000B0DDC" w:rsidRPr="006C28BE" w:rsidRDefault="000B0DDC" w:rsidP="003D2275">
            <w:pPr>
              <w:spacing w:line="360" w:lineRule="auto"/>
              <w:rPr>
                <w:rFonts w:cs="Arial"/>
                <w:szCs w:val="24"/>
              </w:rPr>
            </w:pPr>
            <w:r w:rsidRPr="006C28BE">
              <w:rPr>
                <w:rFonts w:cs="Arial"/>
                <w:szCs w:val="24"/>
              </w:rPr>
              <w:t>2020</w:t>
            </w:r>
          </w:p>
        </w:tc>
        <w:tc>
          <w:tcPr>
            <w:tcW w:w="1710" w:type="dxa"/>
          </w:tcPr>
          <w:p w:rsidR="000B0DDC" w:rsidRPr="006C28BE" w:rsidRDefault="000B0DDC" w:rsidP="003D2275">
            <w:pPr>
              <w:spacing w:line="360" w:lineRule="auto"/>
              <w:rPr>
                <w:rFonts w:cs="Arial"/>
                <w:szCs w:val="24"/>
              </w:rPr>
            </w:pPr>
            <w:r w:rsidRPr="006C28BE">
              <w:rPr>
                <w:rFonts w:cs="Arial"/>
                <w:szCs w:val="24"/>
              </w:rPr>
              <w:t>“Work and family in the second decade of the 21st century”</w:t>
            </w:r>
          </w:p>
        </w:tc>
        <w:tc>
          <w:tcPr>
            <w:tcW w:w="1890" w:type="dxa"/>
          </w:tcPr>
          <w:p w:rsidR="000B0DDC" w:rsidRPr="006C28BE" w:rsidRDefault="000B0DDC" w:rsidP="003D2275">
            <w:pPr>
              <w:spacing w:line="360" w:lineRule="auto"/>
              <w:rPr>
                <w:rFonts w:cs="Arial"/>
                <w:szCs w:val="24"/>
              </w:rPr>
            </w:pPr>
            <w:r w:rsidRPr="006C28BE">
              <w:rPr>
                <w:rFonts w:cs="Arial"/>
                <w:szCs w:val="24"/>
              </w:rPr>
              <w:t xml:space="preserve">Qualitative methodology </w:t>
            </w:r>
          </w:p>
        </w:tc>
        <w:tc>
          <w:tcPr>
            <w:tcW w:w="1800" w:type="dxa"/>
          </w:tcPr>
          <w:p w:rsidR="000B0DDC" w:rsidRPr="006C28BE" w:rsidRDefault="000B0DDC" w:rsidP="003D2275">
            <w:pPr>
              <w:spacing w:line="360" w:lineRule="auto"/>
              <w:rPr>
                <w:rFonts w:cs="Arial"/>
                <w:szCs w:val="24"/>
              </w:rPr>
            </w:pPr>
            <w:r w:rsidRPr="006C28BE">
              <w:rPr>
                <w:rFonts w:cs="Arial"/>
                <w:szCs w:val="24"/>
              </w:rPr>
              <w:t>A key focus of the study has been on the social change developed for dual-earning.</w:t>
            </w:r>
          </w:p>
        </w:tc>
        <w:tc>
          <w:tcPr>
            <w:tcW w:w="1530" w:type="dxa"/>
          </w:tcPr>
          <w:p w:rsidR="000B0DDC" w:rsidRPr="006C28BE" w:rsidRDefault="000B0DDC" w:rsidP="003D2275">
            <w:pPr>
              <w:spacing w:line="360" w:lineRule="auto"/>
              <w:rPr>
                <w:rFonts w:cs="Arial"/>
                <w:szCs w:val="24"/>
              </w:rPr>
            </w:pPr>
            <w:r w:rsidRPr="006C28BE">
              <w:rPr>
                <w:rFonts w:cs="Arial"/>
                <w:szCs w:val="24"/>
              </w:rPr>
              <w:t>The findings have indicated that social change challenges have been faced in low-income facilities for dual income or changing working dynamics.</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t>37</w:t>
            </w:r>
          </w:p>
        </w:tc>
        <w:tc>
          <w:tcPr>
            <w:tcW w:w="1530" w:type="dxa"/>
          </w:tcPr>
          <w:p w:rsidR="000B0DDC" w:rsidRPr="006C28BE" w:rsidRDefault="000B0DDC" w:rsidP="003D2275">
            <w:pPr>
              <w:spacing w:line="360" w:lineRule="auto"/>
              <w:rPr>
                <w:rFonts w:cs="Arial"/>
                <w:szCs w:val="24"/>
              </w:rPr>
            </w:pPr>
            <w:r w:rsidRPr="006C28BE">
              <w:rPr>
                <w:rFonts w:cs="Arial"/>
                <w:szCs w:val="24"/>
              </w:rPr>
              <w:t>(Thomson et al., 2022)</w:t>
            </w:r>
          </w:p>
        </w:tc>
        <w:tc>
          <w:tcPr>
            <w:tcW w:w="900" w:type="dxa"/>
          </w:tcPr>
          <w:p w:rsidR="000B0DDC" w:rsidRPr="006C28BE" w:rsidRDefault="000B0DDC" w:rsidP="003D2275">
            <w:pPr>
              <w:spacing w:line="360" w:lineRule="auto"/>
              <w:rPr>
                <w:rFonts w:cs="Arial"/>
                <w:szCs w:val="24"/>
              </w:rPr>
            </w:pPr>
            <w:r w:rsidRPr="006C28BE">
              <w:rPr>
                <w:rFonts w:cs="Arial"/>
                <w:szCs w:val="24"/>
              </w:rPr>
              <w:t>2022</w:t>
            </w:r>
          </w:p>
        </w:tc>
        <w:tc>
          <w:tcPr>
            <w:tcW w:w="1710" w:type="dxa"/>
          </w:tcPr>
          <w:p w:rsidR="000B0DDC" w:rsidRPr="006C28BE" w:rsidRDefault="000B0DDC" w:rsidP="003D2275">
            <w:pPr>
              <w:spacing w:line="360" w:lineRule="auto"/>
              <w:rPr>
                <w:rFonts w:cs="Arial"/>
                <w:szCs w:val="24"/>
              </w:rPr>
            </w:pPr>
            <w:r w:rsidRPr="006C28BE">
              <w:rPr>
                <w:rFonts w:cs="Arial"/>
                <w:szCs w:val="24"/>
              </w:rPr>
              <w:t>“How do income changes impact mental health and well-being for working-age adults?”</w:t>
            </w:r>
          </w:p>
        </w:tc>
        <w:tc>
          <w:tcPr>
            <w:tcW w:w="1890" w:type="dxa"/>
          </w:tcPr>
          <w:p w:rsidR="000B0DDC" w:rsidRPr="006C28BE" w:rsidRDefault="000B0DDC" w:rsidP="003D2275">
            <w:pPr>
              <w:spacing w:line="360" w:lineRule="auto"/>
              <w:rPr>
                <w:rFonts w:cs="Arial"/>
                <w:szCs w:val="24"/>
              </w:rPr>
            </w:pPr>
            <w:r w:rsidRPr="006C28BE">
              <w:rPr>
                <w:rFonts w:cs="Arial"/>
                <w:szCs w:val="24"/>
              </w:rPr>
              <w:t xml:space="preserve">Systematics literature review </w:t>
            </w:r>
          </w:p>
        </w:tc>
        <w:tc>
          <w:tcPr>
            <w:tcW w:w="1800" w:type="dxa"/>
          </w:tcPr>
          <w:p w:rsidR="000B0DDC" w:rsidRPr="006C28BE" w:rsidRDefault="000B0DDC" w:rsidP="003D2275">
            <w:pPr>
              <w:spacing w:line="360" w:lineRule="auto"/>
              <w:rPr>
                <w:rFonts w:cs="Arial"/>
                <w:szCs w:val="24"/>
              </w:rPr>
            </w:pPr>
            <w:r w:rsidRPr="006C28BE">
              <w:rPr>
                <w:rFonts w:cs="Arial"/>
                <w:szCs w:val="24"/>
              </w:rPr>
              <w:t>The key focus has been on the relationship between income level flection and mental health well-being.</w:t>
            </w:r>
          </w:p>
        </w:tc>
        <w:tc>
          <w:tcPr>
            <w:tcW w:w="1530" w:type="dxa"/>
          </w:tcPr>
          <w:p w:rsidR="000B0DDC" w:rsidRPr="006C28BE" w:rsidRDefault="000B0DDC" w:rsidP="003D2275">
            <w:pPr>
              <w:spacing w:line="360" w:lineRule="auto"/>
              <w:rPr>
                <w:rFonts w:cs="Arial"/>
                <w:szCs w:val="24"/>
              </w:rPr>
            </w:pPr>
            <w:r w:rsidRPr="006C28BE">
              <w:rPr>
                <w:rFonts w:cs="Arial"/>
                <w:szCs w:val="24"/>
              </w:rPr>
              <w:t xml:space="preserve">The finding of the article highlighted the relationship between economic and income change impact on mental health </w:t>
            </w:r>
            <w:r w:rsidRPr="006C28BE">
              <w:rPr>
                <w:rFonts w:cs="Arial"/>
                <w:szCs w:val="24"/>
              </w:rPr>
              <w:lastRenderedPageBreak/>
              <w:t>outcomes. The finding showed that having economic stability and stable income helps better psychological well-being.</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38</w:t>
            </w:r>
          </w:p>
        </w:tc>
        <w:tc>
          <w:tcPr>
            <w:tcW w:w="1530" w:type="dxa"/>
          </w:tcPr>
          <w:p w:rsidR="000B0DDC" w:rsidRPr="006C28BE" w:rsidRDefault="000B0DDC" w:rsidP="003D2275">
            <w:pPr>
              <w:spacing w:line="360" w:lineRule="auto"/>
              <w:rPr>
                <w:rFonts w:cs="Arial"/>
                <w:szCs w:val="24"/>
              </w:rPr>
            </w:pPr>
            <w:r w:rsidRPr="006C28BE">
              <w:rPr>
                <w:rFonts w:cs="Arial"/>
                <w:szCs w:val="24"/>
              </w:rPr>
              <w:t>(Chung et al., 2022)</w:t>
            </w:r>
          </w:p>
        </w:tc>
        <w:tc>
          <w:tcPr>
            <w:tcW w:w="900" w:type="dxa"/>
          </w:tcPr>
          <w:p w:rsidR="000B0DDC" w:rsidRPr="006C28BE" w:rsidRDefault="000B0DDC" w:rsidP="003D2275">
            <w:pPr>
              <w:spacing w:line="360" w:lineRule="auto"/>
              <w:rPr>
                <w:rFonts w:cs="Arial"/>
                <w:szCs w:val="24"/>
              </w:rPr>
            </w:pPr>
            <w:r w:rsidRPr="006C28BE">
              <w:rPr>
                <w:rFonts w:cs="Arial"/>
                <w:szCs w:val="24"/>
              </w:rPr>
              <w:t>2022</w:t>
            </w:r>
          </w:p>
        </w:tc>
        <w:tc>
          <w:tcPr>
            <w:tcW w:w="1710" w:type="dxa"/>
          </w:tcPr>
          <w:p w:rsidR="000B0DDC" w:rsidRPr="006C28BE" w:rsidRDefault="000B0DDC" w:rsidP="003D2275">
            <w:pPr>
              <w:spacing w:line="360" w:lineRule="auto"/>
              <w:rPr>
                <w:rFonts w:cs="Arial"/>
                <w:szCs w:val="24"/>
              </w:rPr>
            </w:pPr>
            <w:r w:rsidRPr="006C28BE">
              <w:rPr>
                <w:rFonts w:cs="Arial"/>
                <w:szCs w:val="24"/>
              </w:rPr>
              <w:t>“Working from Home and the Division of Childcare and Housework among Dual-Earner Parents during the Pandemic in the UK”</w:t>
            </w:r>
          </w:p>
        </w:tc>
        <w:tc>
          <w:tcPr>
            <w:tcW w:w="1890" w:type="dxa"/>
          </w:tcPr>
          <w:p w:rsidR="000B0DDC" w:rsidRPr="006C28BE" w:rsidRDefault="000B0DDC" w:rsidP="003D2275">
            <w:pPr>
              <w:spacing w:line="360" w:lineRule="auto"/>
              <w:rPr>
                <w:rFonts w:cs="Arial"/>
                <w:szCs w:val="24"/>
              </w:rPr>
            </w:pPr>
            <w:r w:rsidRPr="006C28BE">
              <w:rPr>
                <w:rFonts w:cs="Arial"/>
                <w:szCs w:val="24"/>
              </w:rPr>
              <w:t xml:space="preserve">Qualitative methodology </w:t>
            </w:r>
          </w:p>
        </w:tc>
        <w:tc>
          <w:tcPr>
            <w:tcW w:w="1800" w:type="dxa"/>
          </w:tcPr>
          <w:p w:rsidR="000B0DDC" w:rsidRPr="006C28BE" w:rsidRDefault="000B0DDC" w:rsidP="003D2275">
            <w:pPr>
              <w:spacing w:line="360" w:lineRule="auto"/>
              <w:rPr>
                <w:rFonts w:cs="Arial"/>
                <w:szCs w:val="24"/>
              </w:rPr>
            </w:pPr>
            <w:r w:rsidRPr="006C28BE">
              <w:rPr>
                <w:rFonts w:cs="Arial"/>
                <w:szCs w:val="24"/>
              </w:rPr>
              <w:t>The key findings highlighted the dual-income impact on child care and housework-diving inequality development.</w:t>
            </w:r>
          </w:p>
        </w:tc>
        <w:tc>
          <w:tcPr>
            <w:tcW w:w="1530" w:type="dxa"/>
          </w:tcPr>
          <w:p w:rsidR="000B0DDC" w:rsidRPr="006C28BE" w:rsidRDefault="000B0DDC" w:rsidP="003D2275">
            <w:pPr>
              <w:spacing w:line="360" w:lineRule="auto"/>
              <w:rPr>
                <w:rFonts w:cs="Arial"/>
                <w:szCs w:val="24"/>
              </w:rPr>
            </w:pPr>
            <w:r w:rsidRPr="006C28BE">
              <w:rPr>
                <w:rFonts w:cs="Arial"/>
                <w:szCs w:val="24"/>
              </w:rPr>
              <w:t>The findings have indicated that dual rocking influences inequality in household work and also in childcare, which creates disbalance in family dynamics.</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t>39</w:t>
            </w:r>
          </w:p>
        </w:tc>
        <w:tc>
          <w:tcPr>
            <w:tcW w:w="1530" w:type="dxa"/>
          </w:tcPr>
          <w:p w:rsidR="000B0DDC" w:rsidRPr="006C28BE" w:rsidRDefault="000B0DDC" w:rsidP="003D2275">
            <w:pPr>
              <w:spacing w:line="360" w:lineRule="auto"/>
              <w:rPr>
                <w:rFonts w:cs="Arial"/>
                <w:szCs w:val="24"/>
              </w:rPr>
            </w:pPr>
            <w:r w:rsidRPr="006C28BE">
              <w:rPr>
                <w:rFonts w:cs="Arial"/>
                <w:szCs w:val="24"/>
              </w:rPr>
              <w:t>(Musick, Bea and Gonalons-Pons, 2020)</w:t>
            </w:r>
          </w:p>
        </w:tc>
        <w:tc>
          <w:tcPr>
            <w:tcW w:w="900" w:type="dxa"/>
          </w:tcPr>
          <w:p w:rsidR="000B0DDC" w:rsidRPr="006C28BE" w:rsidRDefault="000B0DDC" w:rsidP="003D2275">
            <w:pPr>
              <w:spacing w:line="360" w:lineRule="auto"/>
              <w:rPr>
                <w:rFonts w:cs="Arial"/>
                <w:szCs w:val="24"/>
              </w:rPr>
            </w:pPr>
            <w:r w:rsidRPr="006C28BE">
              <w:rPr>
                <w:rFonts w:cs="Arial"/>
                <w:szCs w:val="24"/>
              </w:rPr>
              <w:t>2020</w:t>
            </w:r>
          </w:p>
        </w:tc>
        <w:tc>
          <w:tcPr>
            <w:tcW w:w="1710" w:type="dxa"/>
          </w:tcPr>
          <w:p w:rsidR="000B0DDC" w:rsidRPr="006C28BE" w:rsidRDefault="000B0DDC" w:rsidP="003D2275">
            <w:pPr>
              <w:spacing w:line="360" w:lineRule="auto"/>
              <w:rPr>
                <w:rFonts w:cs="Arial"/>
                <w:szCs w:val="24"/>
              </w:rPr>
            </w:pPr>
            <w:r w:rsidRPr="006C28BE">
              <w:rPr>
                <w:rFonts w:cs="Arial"/>
                <w:szCs w:val="24"/>
              </w:rPr>
              <w:t xml:space="preserve">“His and her earnings following parenthood in the United </w:t>
            </w:r>
            <w:r w:rsidRPr="006C28BE">
              <w:rPr>
                <w:rFonts w:cs="Arial"/>
                <w:szCs w:val="24"/>
              </w:rPr>
              <w:lastRenderedPageBreak/>
              <w:t>States, Germany, and the United Kingdom”</w:t>
            </w:r>
          </w:p>
        </w:tc>
        <w:tc>
          <w:tcPr>
            <w:tcW w:w="1890" w:type="dxa"/>
          </w:tcPr>
          <w:p w:rsidR="000B0DDC" w:rsidRPr="006C28BE" w:rsidRDefault="000B0DDC" w:rsidP="003D2275">
            <w:pPr>
              <w:spacing w:line="360" w:lineRule="auto"/>
              <w:rPr>
                <w:rFonts w:cs="Arial"/>
                <w:szCs w:val="24"/>
              </w:rPr>
            </w:pPr>
            <w:r w:rsidRPr="006C28BE">
              <w:rPr>
                <w:rFonts w:cs="Arial"/>
                <w:szCs w:val="24"/>
              </w:rPr>
              <w:lastRenderedPageBreak/>
              <w:t xml:space="preserve">Comparative analysis </w:t>
            </w:r>
          </w:p>
        </w:tc>
        <w:tc>
          <w:tcPr>
            <w:tcW w:w="1800" w:type="dxa"/>
          </w:tcPr>
          <w:p w:rsidR="000B0DDC" w:rsidRPr="006C28BE" w:rsidRDefault="000B0DDC" w:rsidP="003D2275">
            <w:pPr>
              <w:spacing w:line="360" w:lineRule="auto"/>
              <w:rPr>
                <w:rFonts w:cs="Arial"/>
                <w:szCs w:val="24"/>
              </w:rPr>
            </w:pPr>
            <w:r w:rsidRPr="006C28BE">
              <w:rPr>
                <w:rFonts w:cs="Arial"/>
                <w:szCs w:val="24"/>
              </w:rPr>
              <w:t xml:space="preserve">Impact of parenthood on earning dynamics in </w:t>
            </w:r>
            <w:r w:rsidRPr="006C28BE">
              <w:rPr>
                <w:rFonts w:cs="Arial"/>
                <w:szCs w:val="24"/>
              </w:rPr>
              <w:lastRenderedPageBreak/>
              <w:t>dual-earning families.</w:t>
            </w:r>
          </w:p>
        </w:tc>
        <w:tc>
          <w:tcPr>
            <w:tcW w:w="1530" w:type="dxa"/>
          </w:tcPr>
          <w:p w:rsidR="000B0DDC" w:rsidRPr="006C28BE" w:rsidRDefault="000B0DDC" w:rsidP="003D2275">
            <w:pPr>
              <w:spacing w:line="360" w:lineRule="auto"/>
              <w:rPr>
                <w:rFonts w:cs="Arial"/>
                <w:szCs w:val="24"/>
              </w:rPr>
            </w:pPr>
            <w:r w:rsidRPr="006C28BE">
              <w:rPr>
                <w:rFonts w:cs="Arial"/>
                <w:szCs w:val="24"/>
              </w:rPr>
              <w:lastRenderedPageBreak/>
              <w:t xml:space="preserve">The study ah revealed that earning patterns after </w:t>
            </w:r>
            <w:r w:rsidRPr="006C28BE">
              <w:rPr>
                <w:rFonts w:cs="Arial"/>
                <w:szCs w:val="24"/>
              </w:rPr>
              <w:lastRenderedPageBreak/>
              <w:t>parenthood vary in families and also impact the child acre in families.</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40</w:t>
            </w:r>
          </w:p>
        </w:tc>
        <w:tc>
          <w:tcPr>
            <w:tcW w:w="1530" w:type="dxa"/>
          </w:tcPr>
          <w:p w:rsidR="000B0DDC" w:rsidRPr="006C28BE" w:rsidRDefault="000B0DDC" w:rsidP="003D2275">
            <w:pPr>
              <w:spacing w:line="360" w:lineRule="auto"/>
              <w:rPr>
                <w:rFonts w:cs="Arial"/>
                <w:szCs w:val="24"/>
              </w:rPr>
            </w:pPr>
            <w:r w:rsidRPr="006C28BE">
              <w:rPr>
                <w:rFonts w:cs="Arial"/>
                <w:szCs w:val="24"/>
              </w:rPr>
              <w:t>(Syrda, 2023)</w:t>
            </w:r>
          </w:p>
        </w:tc>
        <w:tc>
          <w:tcPr>
            <w:tcW w:w="900" w:type="dxa"/>
          </w:tcPr>
          <w:p w:rsidR="000B0DDC" w:rsidRPr="006C28BE" w:rsidRDefault="000B0DDC" w:rsidP="003D2275">
            <w:pPr>
              <w:spacing w:line="360" w:lineRule="auto"/>
              <w:rPr>
                <w:rFonts w:cs="Arial"/>
                <w:szCs w:val="24"/>
              </w:rPr>
            </w:pPr>
            <w:r w:rsidRPr="006C28BE">
              <w:rPr>
                <w:rFonts w:cs="Arial"/>
                <w:szCs w:val="24"/>
              </w:rPr>
              <w:t>2023</w:t>
            </w:r>
          </w:p>
        </w:tc>
        <w:tc>
          <w:tcPr>
            <w:tcW w:w="1710" w:type="dxa"/>
          </w:tcPr>
          <w:p w:rsidR="000B0DDC" w:rsidRPr="006C28BE" w:rsidRDefault="000B0DDC" w:rsidP="003D2275">
            <w:pPr>
              <w:spacing w:line="360" w:lineRule="auto"/>
              <w:rPr>
                <w:rFonts w:cs="Arial"/>
                <w:szCs w:val="24"/>
              </w:rPr>
            </w:pPr>
            <w:r w:rsidRPr="006C28BE">
              <w:rPr>
                <w:rFonts w:cs="Arial"/>
                <w:szCs w:val="24"/>
              </w:rPr>
              <w:t>“Gendered housework: Spousal relative income, parenthood and traditional gender identity norms.”</w:t>
            </w:r>
          </w:p>
        </w:tc>
        <w:tc>
          <w:tcPr>
            <w:tcW w:w="1890" w:type="dxa"/>
          </w:tcPr>
          <w:p w:rsidR="000B0DDC" w:rsidRPr="006C28BE" w:rsidRDefault="000B0DDC" w:rsidP="003D2275">
            <w:pPr>
              <w:spacing w:line="360" w:lineRule="auto"/>
              <w:rPr>
                <w:rFonts w:cs="Arial"/>
                <w:szCs w:val="24"/>
              </w:rPr>
            </w:pPr>
            <w:r w:rsidRPr="006C28BE">
              <w:rPr>
                <w:rFonts w:cs="Arial"/>
                <w:szCs w:val="24"/>
              </w:rPr>
              <w:t xml:space="preserve">Qualitative methodology </w:t>
            </w:r>
          </w:p>
        </w:tc>
        <w:tc>
          <w:tcPr>
            <w:tcW w:w="1800" w:type="dxa"/>
          </w:tcPr>
          <w:p w:rsidR="000B0DDC" w:rsidRPr="006C28BE" w:rsidRDefault="000B0DDC" w:rsidP="003D2275">
            <w:pPr>
              <w:spacing w:line="360" w:lineRule="auto"/>
              <w:rPr>
                <w:rFonts w:cs="Arial"/>
                <w:szCs w:val="24"/>
              </w:rPr>
            </w:pPr>
            <w:r w:rsidRPr="006C28BE">
              <w:rPr>
                <w:rFonts w:cs="Arial"/>
                <w:szCs w:val="24"/>
              </w:rPr>
              <w:t>Influence of income and women's empowerment with dual income on the traditional gender norms and work divisions.</w:t>
            </w:r>
          </w:p>
        </w:tc>
        <w:tc>
          <w:tcPr>
            <w:tcW w:w="1530" w:type="dxa"/>
          </w:tcPr>
          <w:p w:rsidR="000B0DDC" w:rsidRPr="006C28BE" w:rsidRDefault="000B0DDC" w:rsidP="003D2275">
            <w:pPr>
              <w:spacing w:line="360" w:lineRule="auto"/>
              <w:rPr>
                <w:rFonts w:cs="Arial"/>
                <w:szCs w:val="24"/>
              </w:rPr>
            </w:pPr>
            <w:r w:rsidRPr="006C28BE">
              <w:rPr>
                <w:rFonts w:cs="Arial"/>
                <w:szCs w:val="24"/>
              </w:rPr>
              <w:t>The study findings sighted women working impost on the social values and challenges in traditional gender norms in households with better positive developments.</w:t>
            </w:r>
          </w:p>
        </w:tc>
      </w:tr>
      <w:tr w:rsidR="000B0DDC" w:rsidRPr="006C28BE" w:rsidTr="003D2275">
        <w:tc>
          <w:tcPr>
            <w:tcW w:w="10350" w:type="dxa"/>
            <w:gridSpan w:val="7"/>
          </w:tcPr>
          <w:p w:rsidR="000B0DDC" w:rsidRPr="006C28BE" w:rsidRDefault="000B0DDC" w:rsidP="003D2275">
            <w:pPr>
              <w:spacing w:line="360" w:lineRule="auto"/>
              <w:rPr>
                <w:rFonts w:cs="Arial"/>
                <w:b/>
                <w:bCs/>
                <w:szCs w:val="24"/>
              </w:rPr>
            </w:pPr>
            <w:r w:rsidRPr="006C28BE">
              <w:rPr>
                <w:rFonts w:cs="Arial"/>
                <w:b/>
                <w:bCs/>
                <w:szCs w:val="24"/>
              </w:rPr>
              <w:t xml:space="preserve">Policy efficiency and further plans </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t>41</w:t>
            </w:r>
          </w:p>
        </w:tc>
        <w:tc>
          <w:tcPr>
            <w:tcW w:w="1530" w:type="dxa"/>
          </w:tcPr>
          <w:p w:rsidR="000B0DDC" w:rsidRPr="006C28BE" w:rsidRDefault="000B0DDC" w:rsidP="003D2275">
            <w:pPr>
              <w:spacing w:line="360" w:lineRule="auto"/>
              <w:rPr>
                <w:rFonts w:cs="Arial"/>
                <w:szCs w:val="24"/>
              </w:rPr>
            </w:pPr>
            <w:r w:rsidRPr="006C28BE">
              <w:rPr>
                <w:rFonts w:cs="Arial"/>
                <w:szCs w:val="24"/>
              </w:rPr>
              <w:t>(Samways, 2019)</w:t>
            </w:r>
          </w:p>
        </w:tc>
        <w:tc>
          <w:tcPr>
            <w:tcW w:w="900" w:type="dxa"/>
          </w:tcPr>
          <w:p w:rsidR="000B0DDC" w:rsidRPr="006C28BE" w:rsidRDefault="000B0DDC" w:rsidP="003D2275">
            <w:pPr>
              <w:spacing w:line="360" w:lineRule="auto"/>
              <w:rPr>
                <w:rFonts w:cs="Arial"/>
                <w:szCs w:val="24"/>
              </w:rPr>
            </w:pPr>
            <w:r w:rsidRPr="006C28BE">
              <w:rPr>
                <w:rFonts w:cs="Arial"/>
                <w:szCs w:val="24"/>
              </w:rPr>
              <w:t>2019</w:t>
            </w:r>
          </w:p>
        </w:tc>
        <w:tc>
          <w:tcPr>
            <w:tcW w:w="1710" w:type="dxa"/>
          </w:tcPr>
          <w:p w:rsidR="000B0DDC" w:rsidRPr="006C28BE" w:rsidRDefault="000B0DDC" w:rsidP="003D2275">
            <w:pPr>
              <w:spacing w:line="360" w:lineRule="auto"/>
              <w:rPr>
                <w:rFonts w:cs="Arial"/>
                <w:szCs w:val="24"/>
              </w:rPr>
            </w:pPr>
            <w:r w:rsidRPr="006C28BE">
              <w:rPr>
                <w:rFonts w:cs="Arial"/>
                <w:szCs w:val="24"/>
              </w:rPr>
              <w:t xml:space="preserve">“Empty Planet: The Shock of Global Population Decline” by Darell Bricker </w:t>
            </w:r>
            <w:r w:rsidRPr="006C28BE">
              <w:rPr>
                <w:rFonts w:cs="Arial"/>
                <w:szCs w:val="24"/>
              </w:rPr>
              <w:lastRenderedPageBreak/>
              <w:t>and John Ibbitson”</w:t>
            </w:r>
          </w:p>
        </w:tc>
        <w:tc>
          <w:tcPr>
            <w:tcW w:w="1890" w:type="dxa"/>
          </w:tcPr>
          <w:p w:rsidR="000B0DDC" w:rsidRPr="006C28BE" w:rsidRDefault="000B0DDC" w:rsidP="003D2275">
            <w:pPr>
              <w:spacing w:line="360" w:lineRule="auto"/>
              <w:rPr>
                <w:rFonts w:cs="Arial"/>
                <w:szCs w:val="24"/>
              </w:rPr>
            </w:pPr>
            <w:r w:rsidRPr="006C28BE">
              <w:rPr>
                <w:rFonts w:cs="Arial"/>
                <w:szCs w:val="24"/>
              </w:rPr>
              <w:lastRenderedPageBreak/>
              <w:t>Demographic transition theory is used with interviews and news reports.</w:t>
            </w:r>
          </w:p>
        </w:tc>
        <w:tc>
          <w:tcPr>
            <w:tcW w:w="1800" w:type="dxa"/>
          </w:tcPr>
          <w:p w:rsidR="000B0DDC" w:rsidRPr="006C28BE" w:rsidRDefault="000B0DDC" w:rsidP="003D2275">
            <w:pPr>
              <w:spacing w:line="360" w:lineRule="auto"/>
              <w:rPr>
                <w:rFonts w:cs="Arial"/>
                <w:szCs w:val="24"/>
              </w:rPr>
            </w:pPr>
            <w:r w:rsidRPr="006C28BE">
              <w:rPr>
                <w:rFonts w:cs="Arial"/>
                <w:szCs w:val="24"/>
              </w:rPr>
              <w:t>Optimising population decline, need for proactive policy measures</w:t>
            </w:r>
          </w:p>
        </w:tc>
        <w:tc>
          <w:tcPr>
            <w:tcW w:w="1530" w:type="dxa"/>
          </w:tcPr>
          <w:p w:rsidR="000B0DDC" w:rsidRPr="006C28BE" w:rsidRDefault="000B0DDC" w:rsidP="003D2275">
            <w:pPr>
              <w:spacing w:line="360" w:lineRule="auto"/>
              <w:rPr>
                <w:rFonts w:cs="Arial"/>
                <w:szCs w:val="24"/>
              </w:rPr>
            </w:pPr>
            <w:r w:rsidRPr="006C28BE">
              <w:rPr>
                <w:rFonts w:cs="Arial"/>
                <w:szCs w:val="24"/>
              </w:rPr>
              <w:t xml:space="preserve">The findings indicate the concerns for advocating the policies for addressing </w:t>
            </w:r>
            <w:r w:rsidRPr="006C28BE">
              <w:rPr>
                <w:rFonts w:cs="Arial"/>
                <w:szCs w:val="24"/>
              </w:rPr>
              <w:lastRenderedPageBreak/>
              <w:t>the challenges and creating an environment, population growth and shaping the fertility rates for better economic and ecological sustainability.</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42</w:t>
            </w:r>
          </w:p>
        </w:tc>
        <w:tc>
          <w:tcPr>
            <w:tcW w:w="1530" w:type="dxa"/>
          </w:tcPr>
          <w:p w:rsidR="000B0DDC" w:rsidRPr="006C28BE" w:rsidRDefault="000B0DDC" w:rsidP="003D2275">
            <w:pPr>
              <w:spacing w:line="360" w:lineRule="auto"/>
              <w:rPr>
                <w:rFonts w:cs="Arial"/>
                <w:szCs w:val="24"/>
              </w:rPr>
            </w:pPr>
            <w:r w:rsidRPr="006C28BE">
              <w:rPr>
                <w:rFonts w:cs="Arial"/>
                <w:szCs w:val="24"/>
              </w:rPr>
              <w:t>(UK Government, 2022)</w:t>
            </w:r>
          </w:p>
        </w:tc>
        <w:tc>
          <w:tcPr>
            <w:tcW w:w="900" w:type="dxa"/>
          </w:tcPr>
          <w:p w:rsidR="000B0DDC" w:rsidRPr="006C28BE" w:rsidRDefault="000B0DDC" w:rsidP="003D2275">
            <w:pPr>
              <w:spacing w:line="360" w:lineRule="auto"/>
              <w:rPr>
                <w:rFonts w:cs="Arial"/>
                <w:szCs w:val="24"/>
              </w:rPr>
            </w:pPr>
            <w:r w:rsidRPr="006C28BE">
              <w:rPr>
                <w:rFonts w:cs="Arial"/>
                <w:szCs w:val="24"/>
              </w:rPr>
              <w:t>2022</w:t>
            </w:r>
          </w:p>
          <w:p w:rsidR="000B0DDC" w:rsidRPr="006C28BE" w:rsidRDefault="000B0DDC" w:rsidP="003D2275">
            <w:pPr>
              <w:spacing w:line="360" w:lineRule="auto"/>
              <w:rPr>
                <w:rFonts w:cs="Arial"/>
                <w:szCs w:val="24"/>
              </w:rPr>
            </w:pPr>
          </w:p>
        </w:tc>
        <w:tc>
          <w:tcPr>
            <w:tcW w:w="1710" w:type="dxa"/>
          </w:tcPr>
          <w:p w:rsidR="000B0DDC" w:rsidRPr="006C28BE" w:rsidRDefault="000B0DDC" w:rsidP="003D2275">
            <w:pPr>
              <w:spacing w:line="360" w:lineRule="auto"/>
              <w:rPr>
                <w:rFonts w:cs="Arial"/>
                <w:szCs w:val="24"/>
              </w:rPr>
            </w:pPr>
            <w:r w:rsidRPr="006C28BE">
              <w:rPr>
                <w:rFonts w:cs="Arial"/>
                <w:szCs w:val="24"/>
              </w:rPr>
              <w:t>“Tax-Free Childcare Uptake Report.”</w:t>
            </w:r>
          </w:p>
        </w:tc>
        <w:tc>
          <w:tcPr>
            <w:tcW w:w="1890" w:type="dxa"/>
          </w:tcPr>
          <w:p w:rsidR="000B0DDC" w:rsidRPr="006C28BE" w:rsidRDefault="000B0DDC" w:rsidP="003D2275">
            <w:pPr>
              <w:spacing w:line="360" w:lineRule="auto"/>
              <w:rPr>
                <w:rFonts w:cs="Arial"/>
                <w:szCs w:val="24"/>
              </w:rPr>
            </w:pPr>
            <w:r w:rsidRPr="006C28BE">
              <w:rPr>
                <w:rFonts w:cs="Arial"/>
                <w:szCs w:val="24"/>
              </w:rPr>
              <w:t xml:space="preserve">Survey </w:t>
            </w:r>
          </w:p>
        </w:tc>
        <w:tc>
          <w:tcPr>
            <w:tcW w:w="1800" w:type="dxa"/>
          </w:tcPr>
          <w:p w:rsidR="000B0DDC" w:rsidRPr="006C28BE" w:rsidRDefault="000B0DDC" w:rsidP="003D2275">
            <w:pPr>
              <w:spacing w:line="360" w:lineRule="auto"/>
              <w:rPr>
                <w:rFonts w:cs="Arial"/>
                <w:szCs w:val="24"/>
              </w:rPr>
            </w:pPr>
            <w:r w:rsidRPr="006C28BE">
              <w:rPr>
                <w:rFonts w:cs="Arial"/>
                <w:szCs w:val="24"/>
              </w:rPr>
              <w:t>Tax-free child care schemes and policies, effective childcare and improvement areas in policies</w:t>
            </w:r>
          </w:p>
        </w:tc>
        <w:tc>
          <w:tcPr>
            <w:tcW w:w="1530" w:type="dxa"/>
          </w:tcPr>
          <w:p w:rsidR="000B0DDC" w:rsidRPr="006C28BE" w:rsidRDefault="000B0DDC" w:rsidP="003D2275">
            <w:pPr>
              <w:spacing w:line="360" w:lineRule="auto"/>
              <w:rPr>
                <w:rFonts w:cs="Arial"/>
                <w:szCs w:val="24"/>
              </w:rPr>
            </w:pPr>
            <w:r w:rsidRPr="006C28BE">
              <w:rPr>
                <w:rFonts w:cs="Arial"/>
                <w:szCs w:val="24"/>
              </w:rPr>
              <w:t xml:space="preserve">The key findings have highlighted the UK's focus on uptake schemes and policies for financial benefits for families to childcare and ending the overall accessibility and </w:t>
            </w:r>
            <w:r w:rsidRPr="006C28BE">
              <w:rPr>
                <w:rFonts w:cs="Arial"/>
                <w:szCs w:val="24"/>
              </w:rPr>
              <w:lastRenderedPageBreak/>
              <w:t>awareness in families.</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43</w:t>
            </w:r>
          </w:p>
        </w:tc>
        <w:tc>
          <w:tcPr>
            <w:tcW w:w="1530" w:type="dxa"/>
          </w:tcPr>
          <w:p w:rsidR="000B0DDC" w:rsidRPr="006C28BE" w:rsidRDefault="000B0DDC" w:rsidP="003D2275">
            <w:pPr>
              <w:spacing w:line="360" w:lineRule="auto"/>
              <w:rPr>
                <w:rFonts w:cs="Arial"/>
                <w:szCs w:val="24"/>
              </w:rPr>
            </w:pPr>
            <w:r w:rsidRPr="006C28BE">
              <w:rPr>
                <w:rFonts w:cs="Arial"/>
                <w:szCs w:val="24"/>
              </w:rPr>
              <w:t>(Ahmad, 2022)</w:t>
            </w:r>
          </w:p>
        </w:tc>
        <w:tc>
          <w:tcPr>
            <w:tcW w:w="900" w:type="dxa"/>
          </w:tcPr>
          <w:p w:rsidR="000B0DDC" w:rsidRPr="006C28BE" w:rsidRDefault="000B0DDC" w:rsidP="003D2275">
            <w:pPr>
              <w:spacing w:line="360" w:lineRule="auto"/>
              <w:rPr>
                <w:rFonts w:cs="Arial"/>
                <w:szCs w:val="24"/>
              </w:rPr>
            </w:pPr>
            <w:r w:rsidRPr="006C28BE">
              <w:rPr>
                <w:rFonts w:cs="Arial"/>
                <w:szCs w:val="24"/>
              </w:rPr>
              <w:t>2022</w:t>
            </w:r>
          </w:p>
        </w:tc>
        <w:tc>
          <w:tcPr>
            <w:tcW w:w="1710" w:type="dxa"/>
          </w:tcPr>
          <w:p w:rsidR="000B0DDC" w:rsidRPr="006C28BE" w:rsidRDefault="000B0DDC" w:rsidP="003D2275">
            <w:pPr>
              <w:spacing w:line="360" w:lineRule="auto"/>
              <w:rPr>
                <w:rFonts w:cs="Arial"/>
                <w:szCs w:val="24"/>
              </w:rPr>
            </w:pPr>
            <w:r w:rsidRPr="006C28BE">
              <w:rPr>
                <w:rFonts w:cs="Arial"/>
                <w:szCs w:val="24"/>
              </w:rPr>
              <w:t>“FOR THE WORLD”</w:t>
            </w:r>
          </w:p>
        </w:tc>
        <w:tc>
          <w:tcPr>
            <w:tcW w:w="1890" w:type="dxa"/>
          </w:tcPr>
          <w:p w:rsidR="000B0DDC" w:rsidRPr="006C28BE" w:rsidRDefault="000B0DDC" w:rsidP="003D2275">
            <w:pPr>
              <w:spacing w:line="360" w:lineRule="auto"/>
              <w:rPr>
                <w:rFonts w:cs="Arial"/>
                <w:szCs w:val="24"/>
              </w:rPr>
            </w:pPr>
            <w:r w:rsidRPr="006C28BE">
              <w:rPr>
                <w:rFonts w:cs="Arial"/>
                <w:szCs w:val="24"/>
              </w:rPr>
              <w:t>Quantitative methodology</w:t>
            </w:r>
          </w:p>
        </w:tc>
        <w:tc>
          <w:tcPr>
            <w:tcW w:w="1800" w:type="dxa"/>
          </w:tcPr>
          <w:p w:rsidR="000B0DDC" w:rsidRPr="006C28BE" w:rsidRDefault="000B0DDC" w:rsidP="003D2275">
            <w:pPr>
              <w:spacing w:line="360" w:lineRule="auto"/>
              <w:rPr>
                <w:rFonts w:cs="Arial"/>
                <w:szCs w:val="24"/>
              </w:rPr>
            </w:pPr>
            <w:r w:rsidRPr="006C28BE">
              <w:rPr>
                <w:rFonts w:cs="Arial"/>
                <w:szCs w:val="24"/>
              </w:rPr>
              <w:t>Economic consequences impacting social dynamics by focusing on the policies at micro, meso and macro levels</w:t>
            </w:r>
          </w:p>
        </w:tc>
        <w:tc>
          <w:tcPr>
            <w:tcW w:w="1530" w:type="dxa"/>
          </w:tcPr>
          <w:p w:rsidR="000B0DDC" w:rsidRPr="006C28BE" w:rsidRDefault="000B0DDC" w:rsidP="003D2275">
            <w:pPr>
              <w:spacing w:line="360" w:lineRule="auto"/>
              <w:rPr>
                <w:rFonts w:cs="Arial"/>
                <w:szCs w:val="24"/>
              </w:rPr>
            </w:pPr>
            <w:r w:rsidRPr="006C28BE">
              <w:rPr>
                <w:rFonts w:cs="Arial"/>
                <w:szCs w:val="24"/>
              </w:rPr>
              <w:t>Key findings indicate the economic cost of micro-level decision making related to healthcare system adaptations. It also shows the macro level budgets and policies that can help in better health care systems and indicate towards the public sector coverages development for future implications.</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44</w:t>
            </w:r>
          </w:p>
        </w:tc>
        <w:tc>
          <w:tcPr>
            <w:tcW w:w="1530" w:type="dxa"/>
          </w:tcPr>
          <w:p w:rsidR="000B0DDC" w:rsidRPr="006C28BE" w:rsidRDefault="000B0DDC" w:rsidP="003D2275">
            <w:pPr>
              <w:spacing w:line="360" w:lineRule="auto"/>
              <w:rPr>
                <w:rFonts w:cs="Arial"/>
                <w:szCs w:val="24"/>
              </w:rPr>
            </w:pPr>
            <w:r w:rsidRPr="006C28BE">
              <w:rPr>
                <w:rFonts w:cs="Arial"/>
                <w:szCs w:val="24"/>
              </w:rPr>
              <w:t>(Autor, 2022)</w:t>
            </w:r>
          </w:p>
        </w:tc>
        <w:tc>
          <w:tcPr>
            <w:tcW w:w="900" w:type="dxa"/>
          </w:tcPr>
          <w:p w:rsidR="000B0DDC" w:rsidRPr="006C28BE" w:rsidRDefault="000B0DDC" w:rsidP="003D2275">
            <w:pPr>
              <w:spacing w:line="360" w:lineRule="auto"/>
              <w:rPr>
                <w:rFonts w:cs="Arial"/>
                <w:szCs w:val="24"/>
              </w:rPr>
            </w:pPr>
            <w:r w:rsidRPr="006C28BE">
              <w:rPr>
                <w:rFonts w:cs="Arial"/>
                <w:szCs w:val="24"/>
              </w:rPr>
              <w:t>2022</w:t>
            </w:r>
          </w:p>
        </w:tc>
        <w:tc>
          <w:tcPr>
            <w:tcW w:w="1710" w:type="dxa"/>
          </w:tcPr>
          <w:p w:rsidR="000B0DDC" w:rsidRPr="006C28BE" w:rsidRDefault="000B0DDC" w:rsidP="003D2275">
            <w:pPr>
              <w:spacing w:line="360" w:lineRule="auto"/>
              <w:rPr>
                <w:rFonts w:cs="Arial"/>
                <w:szCs w:val="24"/>
              </w:rPr>
            </w:pPr>
            <w:r w:rsidRPr="006C28BE">
              <w:rPr>
                <w:rFonts w:cs="Arial"/>
                <w:szCs w:val="24"/>
              </w:rPr>
              <w:t>“The Work of the Future: Building Better Jobs in an Age of Intelligent Machines”</w:t>
            </w:r>
          </w:p>
        </w:tc>
        <w:tc>
          <w:tcPr>
            <w:tcW w:w="1890" w:type="dxa"/>
          </w:tcPr>
          <w:p w:rsidR="000B0DDC" w:rsidRPr="006C28BE" w:rsidRDefault="000B0DDC" w:rsidP="003D2275">
            <w:pPr>
              <w:spacing w:line="360" w:lineRule="auto"/>
              <w:rPr>
                <w:rFonts w:cs="Arial"/>
                <w:szCs w:val="24"/>
              </w:rPr>
            </w:pPr>
            <w:r w:rsidRPr="006C28BE">
              <w:rPr>
                <w:rFonts w:cs="Arial"/>
                <w:szCs w:val="24"/>
              </w:rPr>
              <w:t xml:space="preserve">Qualitative analysis </w:t>
            </w:r>
          </w:p>
        </w:tc>
        <w:tc>
          <w:tcPr>
            <w:tcW w:w="1800" w:type="dxa"/>
          </w:tcPr>
          <w:p w:rsidR="000B0DDC" w:rsidRPr="006C28BE" w:rsidRDefault="000B0DDC" w:rsidP="003D2275">
            <w:pPr>
              <w:spacing w:line="360" w:lineRule="auto"/>
              <w:rPr>
                <w:rFonts w:cs="Arial"/>
                <w:szCs w:val="24"/>
              </w:rPr>
            </w:pPr>
            <w:r w:rsidRPr="006C28BE">
              <w:rPr>
                <w:rFonts w:cs="Arial"/>
                <w:szCs w:val="24"/>
              </w:rPr>
              <w:t>The key focus of the research indicates the innovation benefits by proposing institutional innovation and skill development for empowering workers to develop a better economy.</w:t>
            </w:r>
          </w:p>
        </w:tc>
        <w:tc>
          <w:tcPr>
            <w:tcW w:w="1530" w:type="dxa"/>
          </w:tcPr>
          <w:p w:rsidR="000B0DDC" w:rsidRPr="006C28BE" w:rsidRDefault="000B0DDC" w:rsidP="003D2275">
            <w:pPr>
              <w:spacing w:line="360" w:lineRule="auto"/>
              <w:rPr>
                <w:rFonts w:cs="Arial"/>
                <w:szCs w:val="24"/>
              </w:rPr>
            </w:pPr>
            <w:r w:rsidRPr="006C28BE">
              <w:rPr>
                <w:rFonts w:cs="Arial"/>
                <w:szCs w:val="24"/>
              </w:rPr>
              <w:t xml:space="preserve">The findings of this study have indicated the technology adaptation and use of institutes for innovation generation for future development. The findings have also indicated work-based learning and sharing economic prosperity. </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t>45</w:t>
            </w:r>
          </w:p>
        </w:tc>
        <w:tc>
          <w:tcPr>
            <w:tcW w:w="1530" w:type="dxa"/>
          </w:tcPr>
          <w:p w:rsidR="000B0DDC" w:rsidRPr="006C28BE" w:rsidRDefault="000B0DDC" w:rsidP="003D2275">
            <w:pPr>
              <w:spacing w:line="360" w:lineRule="auto"/>
              <w:rPr>
                <w:rFonts w:cs="Arial"/>
                <w:szCs w:val="24"/>
              </w:rPr>
            </w:pPr>
            <w:r w:rsidRPr="006C28BE">
              <w:rPr>
                <w:rFonts w:cs="Arial"/>
                <w:szCs w:val="24"/>
              </w:rPr>
              <w:t>(Boll, C., Leppin, J. and Reich, 2014)</w:t>
            </w:r>
          </w:p>
        </w:tc>
        <w:tc>
          <w:tcPr>
            <w:tcW w:w="900" w:type="dxa"/>
          </w:tcPr>
          <w:p w:rsidR="000B0DDC" w:rsidRPr="006C28BE" w:rsidRDefault="000B0DDC" w:rsidP="003D2275">
            <w:pPr>
              <w:spacing w:line="360" w:lineRule="auto"/>
              <w:rPr>
                <w:rFonts w:cs="Arial"/>
                <w:szCs w:val="24"/>
              </w:rPr>
            </w:pPr>
            <w:r w:rsidRPr="006C28BE">
              <w:rPr>
                <w:rFonts w:cs="Arial"/>
                <w:szCs w:val="24"/>
              </w:rPr>
              <w:t>2014</w:t>
            </w:r>
          </w:p>
        </w:tc>
        <w:tc>
          <w:tcPr>
            <w:tcW w:w="1710" w:type="dxa"/>
          </w:tcPr>
          <w:p w:rsidR="000B0DDC" w:rsidRPr="006C28BE" w:rsidRDefault="000B0DDC" w:rsidP="003D2275">
            <w:pPr>
              <w:spacing w:line="360" w:lineRule="auto"/>
              <w:rPr>
                <w:rFonts w:cs="Arial"/>
                <w:szCs w:val="24"/>
              </w:rPr>
            </w:pPr>
            <w:r w:rsidRPr="006C28BE">
              <w:rPr>
                <w:rFonts w:cs="Arial"/>
                <w:szCs w:val="24"/>
              </w:rPr>
              <w:t>“Paternal childcare and parental leave policies: evidence from industrialized countries,”</w:t>
            </w:r>
          </w:p>
        </w:tc>
        <w:tc>
          <w:tcPr>
            <w:tcW w:w="1890" w:type="dxa"/>
          </w:tcPr>
          <w:p w:rsidR="000B0DDC" w:rsidRPr="006C28BE" w:rsidRDefault="000B0DDC" w:rsidP="003D2275">
            <w:pPr>
              <w:spacing w:line="360" w:lineRule="auto"/>
              <w:rPr>
                <w:rFonts w:cs="Arial"/>
                <w:szCs w:val="24"/>
              </w:rPr>
            </w:pPr>
            <w:r w:rsidRPr="006C28BE">
              <w:rPr>
                <w:rFonts w:cs="Arial"/>
                <w:szCs w:val="24"/>
              </w:rPr>
              <w:t xml:space="preserve">Literature review </w:t>
            </w:r>
          </w:p>
        </w:tc>
        <w:tc>
          <w:tcPr>
            <w:tcW w:w="1800" w:type="dxa"/>
          </w:tcPr>
          <w:p w:rsidR="000B0DDC" w:rsidRPr="006C28BE" w:rsidRDefault="000B0DDC" w:rsidP="003D2275">
            <w:pPr>
              <w:spacing w:line="360" w:lineRule="auto"/>
              <w:rPr>
                <w:rFonts w:cs="Arial"/>
                <w:szCs w:val="24"/>
              </w:rPr>
            </w:pPr>
            <w:r w:rsidRPr="006C28BE">
              <w:rPr>
                <w:rFonts w:cs="Arial"/>
                <w:szCs w:val="24"/>
              </w:rPr>
              <w:t>National parental leave policies and parental childcare options provide better education and awareness.</w:t>
            </w:r>
          </w:p>
        </w:tc>
        <w:tc>
          <w:tcPr>
            <w:tcW w:w="1530" w:type="dxa"/>
          </w:tcPr>
          <w:p w:rsidR="000B0DDC" w:rsidRPr="006C28BE" w:rsidRDefault="000B0DDC" w:rsidP="003D2275">
            <w:pPr>
              <w:spacing w:line="360" w:lineRule="auto"/>
              <w:rPr>
                <w:rFonts w:cs="Arial"/>
                <w:szCs w:val="24"/>
              </w:rPr>
            </w:pPr>
            <w:r w:rsidRPr="006C28BE">
              <w:rPr>
                <w:rFonts w:cs="Arial"/>
                <w:szCs w:val="24"/>
              </w:rPr>
              <w:t xml:space="preserve">The findings indicate toward development of police sleek parental levels and benefits rates for child care in </w:t>
            </w:r>
            <w:r w:rsidRPr="006C28BE">
              <w:rPr>
                <w:rFonts w:cs="Arial"/>
                <w:szCs w:val="24"/>
              </w:rPr>
              <w:lastRenderedPageBreak/>
              <w:t>dual-working households. This also indicates the importance of education on childcare for better family dynamics and childcare.</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46</w:t>
            </w:r>
          </w:p>
        </w:tc>
        <w:tc>
          <w:tcPr>
            <w:tcW w:w="1530" w:type="dxa"/>
          </w:tcPr>
          <w:p w:rsidR="000B0DDC" w:rsidRPr="006C28BE" w:rsidRDefault="000B0DDC" w:rsidP="003D2275">
            <w:pPr>
              <w:spacing w:line="360" w:lineRule="auto"/>
              <w:rPr>
                <w:rFonts w:cs="Arial"/>
                <w:szCs w:val="24"/>
              </w:rPr>
            </w:pPr>
            <w:r w:rsidRPr="006C28BE">
              <w:rPr>
                <w:rFonts w:cs="Arial"/>
                <w:szCs w:val="24"/>
              </w:rPr>
              <w:t>(Health and Safety Executive, 2022)</w:t>
            </w:r>
          </w:p>
        </w:tc>
        <w:tc>
          <w:tcPr>
            <w:tcW w:w="900" w:type="dxa"/>
          </w:tcPr>
          <w:p w:rsidR="000B0DDC" w:rsidRPr="006C28BE" w:rsidRDefault="000B0DDC" w:rsidP="003D2275">
            <w:pPr>
              <w:spacing w:line="360" w:lineRule="auto"/>
              <w:rPr>
                <w:rFonts w:cs="Arial"/>
                <w:szCs w:val="24"/>
              </w:rPr>
            </w:pPr>
            <w:r w:rsidRPr="006C28BE">
              <w:rPr>
                <w:rFonts w:cs="Arial"/>
                <w:szCs w:val="24"/>
              </w:rPr>
              <w:t>2022</w:t>
            </w:r>
          </w:p>
        </w:tc>
        <w:tc>
          <w:tcPr>
            <w:tcW w:w="1710" w:type="dxa"/>
          </w:tcPr>
          <w:p w:rsidR="000B0DDC" w:rsidRPr="006C28BE" w:rsidRDefault="000B0DDC" w:rsidP="003D2275">
            <w:pPr>
              <w:spacing w:line="360" w:lineRule="auto"/>
              <w:rPr>
                <w:rFonts w:cs="Arial"/>
                <w:szCs w:val="24"/>
              </w:rPr>
            </w:pPr>
            <w:r w:rsidRPr="006C28BE">
              <w:rPr>
                <w:rFonts w:cs="Arial"/>
                <w:szCs w:val="24"/>
              </w:rPr>
              <w:t>“Evaluation of Employee Assistance Programs”</w:t>
            </w:r>
          </w:p>
        </w:tc>
        <w:tc>
          <w:tcPr>
            <w:tcW w:w="1890" w:type="dxa"/>
          </w:tcPr>
          <w:p w:rsidR="000B0DDC" w:rsidRPr="006C28BE" w:rsidRDefault="000B0DDC" w:rsidP="003D2275">
            <w:pPr>
              <w:spacing w:line="360" w:lineRule="auto"/>
              <w:rPr>
                <w:rFonts w:cs="Arial"/>
                <w:szCs w:val="24"/>
              </w:rPr>
            </w:pPr>
            <w:r w:rsidRPr="006C28BE">
              <w:rPr>
                <w:rFonts w:cs="Arial"/>
                <w:szCs w:val="24"/>
              </w:rPr>
              <w:t xml:space="preserve">Qualitative methodology </w:t>
            </w:r>
          </w:p>
        </w:tc>
        <w:tc>
          <w:tcPr>
            <w:tcW w:w="1800" w:type="dxa"/>
          </w:tcPr>
          <w:p w:rsidR="000B0DDC" w:rsidRPr="006C28BE" w:rsidRDefault="000B0DDC" w:rsidP="003D2275">
            <w:pPr>
              <w:spacing w:line="360" w:lineRule="auto"/>
              <w:rPr>
                <w:rFonts w:cs="Arial"/>
                <w:szCs w:val="24"/>
              </w:rPr>
            </w:pPr>
            <w:r w:rsidRPr="006C28BE">
              <w:rPr>
                <w:rFonts w:cs="Arial"/>
                <w:szCs w:val="24"/>
              </w:rPr>
              <w:t>The key focus of the study is towards employee assistance policies and SNA programs in organizations.</w:t>
            </w:r>
          </w:p>
        </w:tc>
        <w:tc>
          <w:tcPr>
            <w:tcW w:w="1530" w:type="dxa"/>
          </w:tcPr>
          <w:p w:rsidR="000B0DDC" w:rsidRPr="006C28BE" w:rsidRDefault="000B0DDC" w:rsidP="003D2275">
            <w:pPr>
              <w:spacing w:line="360" w:lineRule="auto"/>
              <w:rPr>
                <w:rFonts w:cs="Arial"/>
                <w:szCs w:val="24"/>
              </w:rPr>
            </w:pPr>
            <w:r w:rsidRPr="006C28BE">
              <w:rPr>
                <w:rFonts w:cs="Arial"/>
                <w:szCs w:val="24"/>
              </w:rPr>
              <w:t>The findings of the study indicate that key programs and policies strengthen work-life balance and better training for employees that can help in better dual income opportunities.</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47</w:t>
            </w:r>
          </w:p>
        </w:tc>
        <w:tc>
          <w:tcPr>
            <w:tcW w:w="1530" w:type="dxa"/>
          </w:tcPr>
          <w:p w:rsidR="000B0DDC" w:rsidRPr="006C28BE" w:rsidRDefault="000B0DDC" w:rsidP="003D2275">
            <w:pPr>
              <w:spacing w:line="360" w:lineRule="auto"/>
              <w:rPr>
                <w:rFonts w:cs="Arial"/>
                <w:szCs w:val="24"/>
              </w:rPr>
            </w:pPr>
            <w:r w:rsidRPr="006C28BE">
              <w:rPr>
                <w:rFonts w:cs="Arial"/>
                <w:szCs w:val="24"/>
              </w:rPr>
              <w:t>(Huberfeld, 2023)</w:t>
            </w:r>
          </w:p>
        </w:tc>
        <w:tc>
          <w:tcPr>
            <w:tcW w:w="900" w:type="dxa"/>
          </w:tcPr>
          <w:p w:rsidR="000B0DDC" w:rsidRPr="006C28BE" w:rsidRDefault="000B0DDC" w:rsidP="003D2275">
            <w:pPr>
              <w:spacing w:line="360" w:lineRule="auto"/>
              <w:rPr>
                <w:rFonts w:cs="Arial"/>
                <w:szCs w:val="24"/>
              </w:rPr>
            </w:pPr>
            <w:r w:rsidRPr="006C28BE">
              <w:rPr>
                <w:rFonts w:cs="Arial"/>
                <w:szCs w:val="24"/>
              </w:rPr>
              <w:t>2023</w:t>
            </w:r>
          </w:p>
        </w:tc>
        <w:tc>
          <w:tcPr>
            <w:tcW w:w="1710" w:type="dxa"/>
          </w:tcPr>
          <w:p w:rsidR="000B0DDC" w:rsidRPr="006C28BE" w:rsidRDefault="000B0DDC" w:rsidP="003D2275">
            <w:pPr>
              <w:spacing w:line="360" w:lineRule="auto"/>
              <w:rPr>
                <w:rFonts w:cs="Arial"/>
                <w:szCs w:val="24"/>
              </w:rPr>
            </w:pPr>
            <w:r w:rsidRPr="006C28BE">
              <w:rPr>
                <w:rFonts w:cs="Arial"/>
                <w:szCs w:val="24"/>
              </w:rPr>
              <w:t>“High Stakes, Bad Odds: Health Laws and the Revived Federalism Revolution”</w:t>
            </w:r>
          </w:p>
        </w:tc>
        <w:tc>
          <w:tcPr>
            <w:tcW w:w="1890" w:type="dxa"/>
          </w:tcPr>
          <w:p w:rsidR="000B0DDC" w:rsidRPr="006C28BE" w:rsidRDefault="000B0DDC" w:rsidP="003D2275">
            <w:pPr>
              <w:spacing w:line="360" w:lineRule="auto"/>
              <w:rPr>
                <w:rFonts w:cs="Arial"/>
                <w:szCs w:val="24"/>
              </w:rPr>
            </w:pPr>
            <w:r w:rsidRPr="006C28BE">
              <w:rPr>
                <w:rFonts w:cs="Arial"/>
                <w:szCs w:val="24"/>
              </w:rPr>
              <w:t xml:space="preserve">Comparative analysis </w:t>
            </w:r>
          </w:p>
        </w:tc>
        <w:tc>
          <w:tcPr>
            <w:tcW w:w="1800" w:type="dxa"/>
          </w:tcPr>
          <w:p w:rsidR="000B0DDC" w:rsidRPr="006C28BE" w:rsidRDefault="000B0DDC" w:rsidP="003D2275">
            <w:pPr>
              <w:spacing w:line="360" w:lineRule="auto"/>
              <w:rPr>
                <w:rFonts w:cs="Arial"/>
                <w:szCs w:val="24"/>
              </w:rPr>
            </w:pPr>
            <w:r w:rsidRPr="006C28BE">
              <w:rPr>
                <w:rFonts w:cs="Arial"/>
                <w:szCs w:val="24"/>
              </w:rPr>
              <w:t>The key focus of this study is towards the health policies, legal challenges for health laws and future implications for developments</w:t>
            </w:r>
          </w:p>
        </w:tc>
        <w:tc>
          <w:tcPr>
            <w:tcW w:w="1530" w:type="dxa"/>
          </w:tcPr>
          <w:p w:rsidR="000B0DDC" w:rsidRPr="006C28BE" w:rsidRDefault="000B0DDC" w:rsidP="003D2275">
            <w:pPr>
              <w:spacing w:line="360" w:lineRule="auto"/>
              <w:rPr>
                <w:rFonts w:cs="Arial"/>
                <w:szCs w:val="24"/>
              </w:rPr>
            </w:pPr>
            <w:r w:rsidRPr="006C28BE">
              <w:rPr>
                <w:rFonts w:cs="Arial"/>
                <w:szCs w:val="24"/>
              </w:rPr>
              <w:t>The key findings have indicated that different laws relating to health and policies can help in better health outcomes in future implementations.</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t>48</w:t>
            </w:r>
          </w:p>
        </w:tc>
        <w:tc>
          <w:tcPr>
            <w:tcW w:w="1530" w:type="dxa"/>
          </w:tcPr>
          <w:p w:rsidR="000B0DDC" w:rsidRPr="006C28BE" w:rsidRDefault="000B0DDC" w:rsidP="003D2275">
            <w:pPr>
              <w:spacing w:line="360" w:lineRule="auto"/>
              <w:rPr>
                <w:rFonts w:cs="Arial"/>
                <w:szCs w:val="24"/>
              </w:rPr>
            </w:pPr>
            <w:r w:rsidRPr="006C28BE">
              <w:rPr>
                <w:rFonts w:cs="Arial"/>
                <w:szCs w:val="24"/>
              </w:rPr>
              <w:t>(Lobel, 2022)</w:t>
            </w:r>
          </w:p>
        </w:tc>
        <w:tc>
          <w:tcPr>
            <w:tcW w:w="900" w:type="dxa"/>
          </w:tcPr>
          <w:p w:rsidR="000B0DDC" w:rsidRPr="006C28BE" w:rsidRDefault="000B0DDC" w:rsidP="003D2275">
            <w:pPr>
              <w:spacing w:line="360" w:lineRule="auto"/>
              <w:rPr>
                <w:rFonts w:cs="Arial"/>
                <w:szCs w:val="24"/>
              </w:rPr>
            </w:pPr>
            <w:r w:rsidRPr="006C28BE">
              <w:rPr>
                <w:rFonts w:cs="Arial"/>
                <w:szCs w:val="24"/>
              </w:rPr>
              <w:t>2022</w:t>
            </w:r>
          </w:p>
        </w:tc>
        <w:tc>
          <w:tcPr>
            <w:tcW w:w="1710" w:type="dxa"/>
          </w:tcPr>
          <w:p w:rsidR="000B0DDC" w:rsidRPr="006C28BE" w:rsidRDefault="000B0DDC" w:rsidP="003D2275">
            <w:pPr>
              <w:spacing w:line="360" w:lineRule="auto"/>
              <w:rPr>
                <w:rFonts w:cs="Arial"/>
                <w:szCs w:val="24"/>
              </w:rPr>
            </w:pPr>
            <w:r w:rsidRPr="006C28BE">
              <w:rPr>
                <w:rFonts w:cs="Arial"/>
                <w:szCs w:val="24"/>
              </w:rPr>
              <w:t>“Equality Machine: Harnessing Digital Technology for a Brighter, More Inclusive Future”</w:t>
            </w:r>
          </w:p>
        </w:tc>
        <w:tc>
          <w:tcPr>
            <w:tcW w:w="1890" w:type="dxa"/>
          </w:tcPr>
          <w:p w:rsidR="000B0DDC" w:rsidRPr="006C28BE" w:rsidRDefault="000B0DDC" w:rsidP="003D2275">
            <w:pPr>
              <w:spacing w:line="360" w:lineRule="auto"/>
              <w:rPr>
                <w:rFonts w:cs="Arial"/>
                <w:szCs w:val="24"/>
              </w:rPr>
            </w:pPr>
            <w:r w:rsidRPr="006C28BE">
              <w:rPr>
                <w:rFonts w:cs="Arial"/>
                <w:szCs w:val="24"/>
              </w:rPr>
              <w:t xml:space="preserve">Literature review </w:t>
            </w:r>
          </w:p>
        </w:tc>
        <w:tc>
          <w:tcPr>
            <w:tcW w:w="1800" w:type="dxa"/>
          </w:tcPr>
          <w:p w:rsidR="000B0DDC" w:rsidRPr="006C28BE" w:rsidRDefault="000B0DDC" w:rsidP="003D2275">
            <w:pPr>
              <w:spacing w:line="360" w:lineRule="auto"/>
              <w:rPr>
                <w:rFonts w:cs="Arial"/>
                <w:szCs w:val="24"/>
              </w:rPr>
            </w:pPr>
            <w:r w:rsidRPr="006C28BE">
              <w:rPr>
                <w:rFonts w:cs="Arial"/>
                <w:szCs w:val="24"/>
              </w:rPr>
              <w:t>A key focus of the study has been on technology use for better future development.</w:t>
            </w:r>
          </w:p>
        </w:tc>
        <w:tc>
          <w:tcPr>
            <w:tcW w:w="1530" w:type="dxa"/>
          </w:tcPr>
          <w:p w:rsidR="000B0DDC" w:rsidRPr="006C28BE" w:rsidRDefault="000B0DDC" w:rsidP="003D2275">
            <w:pPr>
              <w:spacing w:line="360" w:lineRule="auto"/>
              <w:rPr>
                <w:rFonts w:cs="Arial"/>
                <w:szCs w:val="24"/>
              </w:rPr>
            </w:pPr>
            <w:r w:rsidRPr="006C28BE">
              <w:rPr>
                <w:rFonts w:cs="Arial"/>
                <w:szCs w:val="24"/>
              </w:rPr>
              <w:t>The findings highlight that digital technology sus can help quality management in future by fostering better inclusivity in employment in different sectors and society.</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lastRenderedPageBreak/>
              <w:t>49</w:t>
            </w:r>
          </w:p>
        </w:tc>
        <w:tc>
          <w:tcPr>
            <w:tcW w:w="1530" w:type="dxa"/>
          </w:tcPr>
          <w:p w:rsidR="000B0DDC" w:rsidRPr="006C28BE" w:rsidRDefault="000B0DDC" w:rsidP="003D2275">
            <w:pPr>
              <w:spacing w:line="360" w:lineRule="auto"/>
              <w:rPr>
                <w:rFonts w:cs="Arial"/>
                <w:szCs w:val="24"/>
              </w:rPr>
            </w:pPr>
            <w:r w:rsidRPr="006C28BE">
              <w:rPr>
                <w:rFonts w:cs="Arial"/>
                <w:szCs w:val="24"/>
              </w:rPr>
              <w:t>(Mohr, 2023)</w:t>
            </w:r>
          </w:p>
        </w:tc>
        <w:tc>
          <w:tcPr>
            <w:tcW w:w="900" w:type="dxa"/>
          </w:tcPr>
          <w:p w:rsidR="000B0DDC" w:rsidRPr="006C28BE" w:rsidRDefault="000B0DDC" w:rsidP="003D2275">
            <w:pPr>
              <w:spacing w:line="360" w:lineRule="auto"/>
              <w:rPr>
                <w:rFonts w:cs="Arial"/>
                <w:szCs w:val="24"/>
              </w:rPr>
            </w:pPr>
            <w:r w:rsidRPr="006C28BE">
              <w:rPr>
                <w:rFonts w:cs="Arial"/>
                <w:szCs w:val="24"/>
              </w:rPr>
              <w:t>2023</w:t>
            </w:r>
          </w:p>
        </w:tc>
        <w:tc>
          <w:tcPr>
            <w:tcW w:w="1710" w:type="dxa"/>
          </w:tcPr>
          <w:p w:rsidR="000B0DDC" w:rsidRPr="006C28BE" w:rsidRDefault="000B0DDC" w:rsidP="003D2275">
            <w:pPr>
              <w:spacing w:line="360" w:lineRule="auto"/>
              <w:rPr>
                <w:rFonts w:cs="Arial"/>
                <w:szCs w:val="24"/>
              </w:rPr>
            </w:pPr>
            <w:r w:rsidRPr="006C28BE">
              <w:rPr>
                <w:rFonts w:cs="Arial"/>
                <w:szCs w:val="24"/>
              </w:rPr>
              <w:t>"Innovative approaches to integrating technology in education,"</w:t>
            </w:r>
          </w:p>
        </w:tc>
        <w:tc>
          <w:tcPr>
            <w:tcW w:w="1890" w:type="dxa"/>
          </w:tcPr>
          <w:p w:rsidR="000B0DDC" w:rsidRPr="006C28BE" w:rsidRDefault="000B0DDC" w:rsidP="003D2275">
            <w:pPr>
              <w:spacing w:line="360" w:lineRule="auto"/>
              <w:rPr>
                <w:rFonts w:cs="Arial"/>
                <w:szCs w:val="24"/>
              </w:rPr>
            </w:pPr>
            <w:r w:rsidRPr="006C28BE">
              <w:rPr>
                <w:rFonts w:cs="Arial"/>
                <w:szCs w:val="24"/>
              </w:rPr>
              <w:t>Qualitative methodology</w:t>
            </w:r>
          </w:p>
        </w:tc>
        <w:tc>
          <w:tcPr>
            <w:tcW w:w="1800" w:type="dxa"/>
          </w:tcPr>
          <w:p w:rsidR="000B0DDC" w:rsidRPr="006C28BE" w:rsidRDefault="000B0DDC" w:rsidP="003D2275">
            <w:pPr>
              <w:spacing w:line="360" w:lineRule="auto"/>
              <w:rPr>
                <w:rFonts w:cs="Arial"/>
                <w:szCs w:val="24"/>
              </w:rPr>
            </w:pPr>
            <w:r w:rsidRPr="006C28BE">
              <w:rPr>
                <w:rFonts w:cs="Arial"/>
                <w:szCs w:val="24"/>
              </w:rPr>
              <w:t>The key focus is on skill development and innovation by using technology in future and for education.</w:t>
            </w:r>
          </w:p>
        </w:tc>
        <w:tc>
          <w:tcPr>
            <w:tcW w:w="1530" w:type="dxa"/>
          </w:tcPr>
          <w:p w:rsidR="000B0DDC" w:rsidRPr="006C28BE" w:rsidRDefault="000B0DDC" w:rsidP="003D2275">
            <w:pPr>
              <w:spacing w:line="360" w:lineRule="auto"/>
              <w:rPr>
                <w:rFonts w:cs="Arial"/>
                <w:szCs w:val="24"/>
              </w:rPr>
            </w:pPr>
            <w:r w:rsidRPr="006C28BE">
              <w:rPr>
                <w:rFonts w:cs="Arial"/>
                <w:szCs w:val="24"/>
              </w:rPr>
              <w:t>The key findings have shown that the integration of key technologies can help in better engagement, collaboration, and learning outcomes in future with digital quality and adaptation to better working approaches.</w:t>
            </w:r>
          </w:p>
        </w:tc>
      </w:tr>
      <w:tr w:rsidR="000B0DDC" w:rsidRPr="006C28BE" w:rsidTr="003D2275">
        <w:tc>
          <w:tcPr>
            <w:tcW w:w="990" w:type="dxa"/>
          </w:tcPr>
          <w:p w:rsidR="000B0DDC" w:rsidRPr="006C28BE" w:rsidRDefault="000B0DDC" w:rsidP="003D2275">
            <w:pPr>
              <w:spacing w:line="360" w:lineRule="auto"/>
              <w:rPr>
                <w:rFonts w:cs="Arial"/>
                <w:szCs w:val="24"/>
              </w:rPr>
            </w:pPr>
            <w:r w:rsidRPr="006C28BE">
              <w:rPr>
                <w:rFonts w:cs="Arial"/>
                <w:szCs w:val="24"/>
              </w:rPr>
              <w:t>50</w:t>
            </w:r>
          </w:p>
        </w:tc>
        <w:tc>
          <w:tcPr>
            <w:tcW w:w="1530" w:type="dxa"/>
          </w:tcPr>
          <w:p w:rsidR="000B0DDC" w:rsidRPr="006C28BE" w:rsidRDefault="000B0DDC" w:rsidP="003D2275">
            <w:pPr>
              <w:spacing w:line="360" w:lineRule="auto"/>
              <w:rPr>
                <w:rFonts w:cs="Arial"/>
                <w:szCs w:val="24"/>
              </w:rPr>
            </w:pPr>
            <w:r w:rsidRPr="006C28BE">
              <w:rPr>
                <w:rFonts w:cs="Arial"/>
                <w:szCs w:val="24"/>
              </w:rPr>
              <w:t>(He et al., 2023)</w:t>
            </w:r>
          </w:p>
        </w:tc>
        <w:tc>
          <w:tcPr>
            <w:tcW w:w="900" w:type="dxa"/>
          </w:tcPr>
          <w:p w:rsidR="000B0DDC" w:rsidRPr="006C28BE" w:rsidRDefault="000B0DDC" w:rsidP="003D2275">
            <w:pPr>
              <w:spacing w:line="360" w:lineRule="auto"/>
              <w:rPr>
                <w:rFonts w:cs="Arial"/>
                <w:szCs w:val="24"/>
              </w:rPr>
            </w:pPr>
            <w:r w:rsidRPr="006C28BE">
              <w:rPr>
                <w:rFonts w:cs="Arial"/>
                <w:szCs w:val="24"/>
              </w:rPr>
              <w:t>2023</w:t>
            </w:r>
          </w:p>
        </w:tc>
        <w:tc>
          <w:tcPr>
            <w:tcW w:w="1710" w:type="dxa"/>
          </w:tcPr>
          <w:p w:rsidR="000B0DDC" w:rsidRPr="006C28BE" w:rsidRDefault="000B0DDC" w:rsidP="003D2275">
            <w:pPr>
              <w:spacing w:line="360" w:lineRule="auto"/>
              <w:rPr>
                <w:rFonts w:cs="Arial"/>
                <w:szCs w:val="24"/>
              </w:rPr>
            </w:pPr>
            <w:r w:rsidRPr="006C28BE">
              <w:rPr>
                <w:rFonts w:cs="Arial"/>
                <w:szCs w:val="24"/>
              </w:rPr>
              <w:t>“</w:t>
            </w:r>
            <w:r w:rsidRPr="006C28BE">
              <w:rPr>
                <w:rFonts w:cs="Arial"/>
                <w:color w:val="222222"/>
                <w:szCs w:val="24"/>
                <w:shd w:val="clear" w:color="auto" w:fill="FFFFFF"/>
              </w:rPr>
              <w:t>Value of dual-credit policy: Evidence from green technology innovation efficiency”</w:t>
            </w:r>
          </w:p>
        </w:tc>
        <w:tc>
          <w:tcPr>
            <w:tcW w:w="1890" w:type="dxa"/>
          </w:tcPr>
          <w:p w:rsidR="000B0DDC" w:rsidRPr="006C28BE" w:rsidRDefault="000B0DDC" w:rsidP="003D2275">
            <w:pPr>
              <w:spacing w:line="360" w:lineRule="auto"/>
              <w:rPr>
                <w:rFonts w:cs="Arial"/>
                <w:szCs w:val="24"/>
              </w:rPr>
            </w:pPr>
            <w:r w:rsidRPr="006C28BE">
              <w:rPr>
                <w:rFonts w:cs="Arial"/>
                <w:szCs w:val="24"/>
              </w:rPr>
              <w:t xml:space="preserve">Literature review </w:t>
            </w:r>
          </w:p>
        </w:tc>
        <w:tc>
          <w:tcPr>
            <w:tcW w:w="1800" w:type="dxa"/>
          </w:tcPr>
          <w:p w:rsidR="000B0DDC" w:rsidRPr="006C28BE" w:rsidRDefault="000B0DDC" w:rsidP="003D2275">
            <w:pPr>
              <w:spacing w:line="360" w:lineRule="auto"/>
              <w:rPr>
                <w:rFonts w:cs="Arial"/>
                <w:szCs w:val="24"/>
              </w:rPr>
            </w:pPr>
            <w:r w:rsidRPr="006C28BE">
              <w:rPr>
                <w:rFonts w:cs="Arial"/>
                <w:szCs w:val="24"/>
              </w:rPr>
              <w:t>The key focus has been highly on using technology for better innovation and dual income in future.</w:t>
            </w:r>
          </w:p>
        </w:tc>
        <w:tc>
          <w:tcPr>
            <w:tcW w:w="1530" w:type="dxa"/>
          </w:tcPr>
          <w:p w:rsidR="000B0DDC" w:rsidRPr="006C28BE" w:rsidRDefault="000B0DDC" w:rsidP="003D2275">
            <w:pPr>
              <w:spacing w:line="360" w:lineRule="auto"/>
              <w:rPr>
                <w:rFonts w:cs="Arial"/>
                <w:szCs w:val="24"/>
              </w:rPr>
            </w:pPr>
            <w:r w:rsidRPr="006C28BE">
              <w:rPr>
                <w:rFonts w:cs="Arial"/>
                <w:szCs w:val="24"/>
              </w:rPr>
              <w:t xml:space="preserve">The findings indicate the use of technology and dual credit policies for developing better skills and </w:t>
            </w:r>
            <w:r w:rsidRPr="006C28BE">
              <w:rPr>
                <w:rFonts w:cs="Arial"/>
                <w:szCs w:val="24"/>
              </w:rPr>
              <w:lastRenderedPageBreak/>
              <w:t>effectiveness in working for future implications.</w:t>
            </w:r>
          </w:p>
        </w:tc>
      </w:tr>
    </w:tbl>
    <w:p w:rsidR="000B0DDC" w:rsidRPr="006C28BE" w:rsidRDefault="000B0DDC" w:rsidP="000B0DDC">
      <w:pPr>
        <w:spacing w:line="360" w:lineRule="auto"/>
        <w:jc w:val="center"/>
        <w:rPr>
          <w:rFonts w:eastAsiaTheme="majorEastAsia" w:cs="Arial"/>
          <w:b/>
          <w:bCs/>
          <w:smallCaps/>
          <w:color w:val="000000" w:themeColor="text1"/>
          <w:sz w:val="36"/>
          <w:szCs w:val="36"/>
          <w:lang w:val="en-GB"/>
        </w:rPr>
      </w:pPr>
      <w:r>
        <w:rPr>
          <w:rFonts w:cs="Arial"/>
          <w:lang w:val="en-GB"/>
        </w:rPr>
        <w:lastRenderedPageBreak/>
        <w:t>Table 4.8 : Table of academic articles used</w:t>
      </w:r>
      <w:r w:rsidRPr="006C28BE">
        <w:rPr>
          <w:rFonts w:cs="Arial"/>
          <w:lang w:val="en-GB"/>
        </w:rPr>
        <w:br w:type="page"/>
      </w:r>
    </w:p>
    <w:p w:rsidR="000B0DDC" w:rsidRPr="00A409FA" w:rsidRDefault="000B0DDC" w:rsidP="000B0DDC">
      <w:pPr>
        <w:pStyle w:val="ListParagraph"/>
        <w:numPr>
          <w:ilvl w:val="0"/>
          <w:numId w:val="23"/>
        </w:numPr>
        <w:ind w:left="720" w:hanging="720"/>
        <w:rPr>
          <w:b/>
          <w:sz w:val="28"/>
          <w:szCs w:val="28"/>
        </w:rPr>
      </w:pPr>
      <w:bookmarkStart w:id="85" w:name="_Toc166368655"/>
      <w:r w:rsidRPr="00A409FA">
        <w:rPr>
          <w:b/>
          <w:sz w:val="28"/>
          <w:szCs w:val="28"/>
        </w:rPr>
        <w:lastRenderedPageBreak/>
        <w:t>Conclusion</w:t>
      </w:r>
      <w:bookmarkEnd w:id="85"/>
    </w:p>
    <w:p w:rsidR="000B0DDC" w:rsidRPr="00A409FA" w:rsidRDefault="000B0DDC" w:rsidP="000B0DDC">
      <w:pPr>
        <w:rPr>
          <w:b/>
          <w:sz w:val="28"/>
          <w:szCs w:val="28"/>
          <w:lang w:val="en-GB"/>
        </w:rPr>
      </w:pPr>
      <w:bookmarkStart w:id="86" w:name="_Toc166368656"/>
      <w:r>
        <w:rPr>
          <w:b/>
          <w:sz w:val="28"/>
          <w:szCs w:val="28"/>
          <w:lang w:val="en-GB"/>
        </w:rPr>
        <w:t xml:space="preserve">5.1    </w:t>
      </w:r>
      <w:r w:rsidRPr="00A409FA">
        <w:rPr>
          <w:b/>
          <w:sz w:val="28"/>
          <w:szCs w:val="28"/>
          <w:lang w:val="en-GB"/>
        </w:rPr>
        <w:t>Summary of Main Findings</w:t>
      </w:r>
      <w:bookmarkEnd w:id="86"/>
    </w:p>
    <w:p w:rsidR="000B0DDC" w:rsidRPr="006C28BE" w:rsidRDefault="000B0DDC" w:rsidP="000B0DDC">
      <w:pPr>
        <w:spacing w:line="360" w:lineRule="auto"/>
        <w:jc w:val="both"/>
        <w:rPr>
          <w:rFonts w:cs="Arial"/>
          <w:color w:val="000000"/>
          <w:lang w:val="en-GB"/>
        </w:rPr>
      </w:pPr>
      <w:r w:rsidRPr="006C28BE">
        <w:rPr>
          <w:rFonts w:cs="Arial"/>
          <w:color w:val="000000"/>
          <w:lang w:val="en-GB"/>
        </w:rPr>
        <w:t>The dissertation has been discussing the socio-economic consequences of the double Pay check revolution in the UK. Therefore, it is double Pay check revolution. Various aspects and dimensions of economic stability, housing market dynamics, family and social dynamics, and effectiveness of existing policies tailored for two-income households have been covered throughout this in-depth investigation. undefined</w:t>
      </w:r>
    </w:p>
    <w:p w:rsidR="000B0DDC" w:rsidRPr="006C28BE" w:rsidRDefault="000B0DDC" w:rsidP="000B0DDC">
      <w:pPr>
        <w:numPr>
          <w:ilvl w:val="0"/>
          <w:numId w:val="5"/>
        </w:numPr>
        <w:spacing w:before="300" w:line="360" w:lineRule="auto"/>
        <w:jc w:val="both"/>
        <w:textAlignment w:val="baseline"/>
        <w:rPr>
          <w:rFonts w:cs="Arial"/>
          <w:color w:val="000000"/>
          <w:lang w:val="en-GB"/>
        </w:rPr>
      </w:pPr>
      <w:r w:rsidRPr="006C28BE">
        <w:rPr>
          <w:rFonts w:cs="Arial"/>
          <w:color w:val="000000"/>
          <w:lang w:val="en-GB"/>
        </w:rPr>
        <w:t>Economic Impact: The study noted that households with two incomes mostly possessed a higher level of financial stability and security, and it was obvious especially in urban places like London. Dual-income families tend to have more financial opportunities, which gives them an edge over those who live on one income. It seems to be much easier for them to cope with economic difficulties. On the one hand, the enhanced financial ability of residents is good for the housing market, but on the other hand, the high demand for housing widens the gap between the rich and the poor. Such a dynamic of joint-income further results in making the existing economic disparity wider, especially in the housing markets where dual earners are more in number.</w:t>
      </w:r>
    </w:p>
    <w:p w:rsidR="000B0DDC" w:rsidRPr="006C28BE" w:rsidRDefault="000B0DDC" w:rsidP="000B0DDC">
      <w:pPr>
        <w:numPr>
          <w:ilvl w:val="0"/>
          <w:numId w:val="5"/>
        </w:numPr>
        <w:spacing w:line="360" w:lineRule="auto"/>
        <w:jc w:val="both"/>
        <w:textAlignment w:val="baseline"/>
        <w:rPr>
          <w:rFonts w:cs="Arial"/>
          <w:color w:val="000000"/>
          <w:lang w:val="en-GB"/>
        </w:rPr>
      </w:pPr>
      <w:r w:rsidRPr="006C28BE">
        <w:rPr>
          <w:rFonts w:cs="Arial"/>
          <w:color w:val="000000"/>
          <w:lang w:val="en-GB"/>
        </w:rPr>
        <w:t>Social Dynamics: The study brought to light significant modifications in the family system ensuing from both partners being part of paid employment. With financial stability in place, work-life balance takes over as an issue to be tackled. Because of the time-consuming nature of both of job responsibilities and the family obligations of dual income earners, they experience increased stress and mental health that can deteriorate the family well-being. The case of managing two jobs simultaneously has the potential to ruin the quality of marital relationships and the way parents engage with their kids, thus adding additional complexities to the social life of families with dual income.</w:t>
      </w:r>
    </w:p>
    <w:p w:rsidR="000B0DDC" w:rsidRPr="006C28BE" w:rsidRDefault="000B0DDC" w:rsidP="000B0DDC">
      <w:pPr>
        <w:numPr>
          <w:ilvl w:val="0"/>
          <w:numId w:val="6"/>
        </w:numPr>
        <w:spacing w:before="300" w:line="360" w:lineRule="auto"/>
        <w:jc w:val="both"/>
        <w:textAlignment w:val="baseline"/>
        <w:rPr>
          <w:rFonts w:cs="Arial"/>
          <w:color w:val="000000"/>
          <w:lang w:val="en-GB"/>
        </w:rPr>
      </w:pPr>
      <w:r w:rsidRPr="006C28BE">
        <w:rPr>
          <w:rFonts w:cs="Arial"/>
          <w:color w:val="000000"/>
          <w:lang w:val="en-GB"/>
        </w:rPr>
        <w:t xml:space="preserve">Policy Analysis: The examination of policies such as Tax-Free Childcare and Shared Parental Leave led to discovering that this gap between the objectives of these policies and their utilization exists. An overly complicated application process and an insufficient spread of knowledge among those who qualify lead to an underuse of the existing financial assistance. This is an example of policy schemes </w:t>
      </w:r>
      <w:r w:rsidRPr="006C28BE">
        <w:rPr>
          <w:rFonts w:cs="Arial"/>
          <w:color w:val="000000"/>
          <w:lang w:val="en-GB"/>
        </w:rPr>
        <w:lastRenderedPageBreak/>
        <w:t>which are designed for dual-income families but don does not meet their specific needs. The conclusion is that, on the one hand, the policies are there with the intention of improving the living conditions of these families, yet they may face challenges in terms of accessibility and effectiveness, leaving out some parts of the population that need help.</w:t>
      </w:r>
    </w:p>
    <w:p w:rsidR="000B0DDC" w:rsidRPr="006C28BE" w:rsidRDefault="000B0DDC" w:rsidP="000B0DDC">
      <w:pPr>
        <w:spacing w:before="300" w:line="360" w:lineRule="auto"/>
        <w:jc w:val="both"/>
        <w:rPr>
          <w:rFonts w:cs="Arial"/>
          <w:color w:val="000000"/>
          <w:lang w:val="en-GB"/>
        </w:rPr>
      </w:pPr>
      <w:r w:rsidRPr="006C28BE">
        <w:rPr>
          <w:rFonts w:cs="Arial"/>
          <w:color w:val="000000"/>
          <w:lang w:val="en-GB"/>
        </w:rPr>
        <w:t>The results of this research supply a deepened perspective on how dual-income families influence the socio-economic landscape of the UK. They bring into play both the upsides and the downsides of this kind of family structure that is a result of the increased household income. It is from this overview that the paper proceeds to make concluding remarks and recommendations based on the previous evidence gathered through this research.</w:t>
      </w:r>
    </w:p>
    <w:p w:rsidR="000B0DDC" w:rsidRPr="006C28BE" w:rsidRDefault="000B0DDC" w:rsidP="000B0DDC">
      <w:pPr>
        <w:pStyle w:val="Heading2"/>
        <w:numPr>
          <w:ilvl w:val="0"/>
          <w:numId w:val="0"/>
        </w:numPr>
        <w:tabs>
          <w:tab w:val="left" w:pos="810"/>
        </w:tabs>
        <w:spacing w:after="160" w:line="360" w:lineRule="auto"/>
        <w:ind w:left="720" w:hanging="720"/>
        <w:rPr>
          <w:rFonts w:eastAsiaTheme="minorEastAsia" w:cs="Arial"/>
          <w:b w:val="0"/>
          <w:bCs w:val="0"/>
          <w:smallCaps w:val="0"/>
          <w:color w:val="000000"/>
          <w:sz w:val="24"/>
          <w:szCs w:val="22"/>
          <w:lang w:val="en-GB"/>
        </w:rPr>
      </w:pPr>
      <w:bookmarkStart w:id="87" w:name="_Toc166368657"/>
      <w:r w:rsidRPr="00912DFF">
        <w:rPr>
          <w:rFonts w:eastAsiaTheme="minorEastAsia" w:cs="Arial"/>
          <w:smallCaps w:val="0"/>
          <w:color w:val="000000"/>
          <w:sz w:val="28"/>
          <w:lang w:val="en-GB"/>
        </w:rPr>
        <w:t>5.2</w:t>
      </w:r>
      <w:r w:rsidRPr="006C28BE">
        <w:rPr>
          <w:rFonts w:eastAsiaTheme="minorEastAsia" w:cs="Arial"/>
          <w:b w:val="0"/>
          <w:bCs w:val="0"/>
          <w:smallCaps w:val="0"/>
          <w:color w:val="000000"/>
          <w:sz w:val="24"/>
          <w:szCs w:val="22"/>
          <w:lang w:val="en-GB"/>
        </w:rPr>
        <w:t xml:space="preserve"> </w:t>
      </w:r>
      <w:r>
        <w:rPr>
          <w:rFonts w:eastAsiaTheme="minorEastAsia" w:cs="Arial"/>
          <w:b w:val="0"/>
          <w:bCs w:val="0"/>
          <w:smallCaps w:val="0"/>
          <w:color w:val="000000"/>
          <w:sz w:val="24"/>
          <w:szCs w:val="22"/>
          <w:lang w:val="en-GB"/>
        </w:rPr>
        <w:t xml:space="preserve">    </w:t>
      </w:r>
      <w:r w:rsidRPr="00912DFF">
        <w:rPr>
          <w:rStyle w:val="Heading1Char"/>
          <w:b/>
        </w:rPr>
        <w:t>Conclusion Based on the Research Questions</w:t>
      </w:r>
      <w:bookmarkEnd w:id="87"/>
    </w:p>
    <w:p w:rsidR="000B0DDC" w:rsidRPr="006C28BE" w:rsidRDefault="000B0DDC" w:rsidP="000B0DDC">
      <w:pPr>
        <w:spacing w:line="360" w:lineRule="auto"/>
        <w:jc w:val="both"/>
        <w:rPr>
          <w:rFonts w:cs="Arial"/>
          <w:color w:val="000000"/>
          <w:lang w:val="en-GB"/>
        </w:rPr>
      </w:pPr>
      <w:r w:rsidRPr="006C28BE">
        <w:rPr>
          <w:rFonts w:cs="Arial"/>
          <w:color w:val="000000"/>
          <w:lang w:val="en-GB"/>
        </w:rPr>
        <w:t>The research questions are expected to provide building blocks for subsequent studies on the influence of automation on the future of work. The research was a comprehensive study of the impacts of dual-income households on income distribution, economic disparity, family relationships, mental health and the effectiveness of policies aimed at supporting the families in the United Kingdom. All these elements constitute the dynamic interplay of circumstances and factors that determine the economic and social context of the UK.</w:t>
      </w:r>
    </w:p>
    <w:p w:rsidR="000B0DDC" w:rsidRPr="006C28BE" w:rsidRDefault="000B0DDC" w:rsidP="000B0DDC">
      <w:pPr>
        <w:spacing w:line="360" w:lineRule="auto"/>
        <w:jc w:val="both"/>
        <w:rPr>
          <w:rFonts w:cs="Arial"/>
          <w:color w:val="000000"/>
          <w:lang w:val="en-GB"/>
        </w:rPr>
      </w:pPr>
      <w:r w:rsidRPr="006C28BE">
        <w:rPr>
          <w:rFonts w:cs="Arial"/>
          <w:color w:val="000000"/>
          <w:lang w:val="en-GB"/>
        </w:rPr>
        <w:t>Income Distribution and Economic Inequality: The study found that high-income families in different parts of the UK caused various kinds of economic inequality. Whilst they mostly tend to improve the household income and financial stability, they do not have equal distribution of the benefits. In wealthy areas of London, like many cities, dual incomes have upped the price of property and widened the economic gap, making housing less affordable for lower-income earners. Dual incomes may improve a household's financial status in less affluent regions, but they do not substantially reduce the economic situation of the whole community. Such a contrast again proves that double incomes are not always the source for region-wide equalisation of the economy, but rather the opposite.</w:t>
      </w:r>
    </w:p>
    <w:p w:rsidR="000B0DDC" w:rsidRPr="006C28BE" w:rsidRDefault="000B0DDC" w:rsidP="000B0DDC">
      <w:pPr>
        <w:spacing w:line="360" w:lineRule="auto"/>
        <w:jc w:val="both"/>
        <w:rPr>
          <w:rFonts w:cs="Arial"/>
          <w:color w:val="000000"/>
          <w:lang w:val="en-GB"/>
        </w:rPr>
      </w:pPr>
      <w:r w:rsidRPr="006C28BE">
        <w:rPr>
          <w:rFonts w:cs="Arial"/>
          <w:color w:val="000000"/>
          <w:lang w:val="en-GB"/>
        </w:rPr>
        <w:lastRenderedPageBreak/>
        <w:t>Family Dynamics and Mental Health: In the family dynamics aspect, the findings of this research revealed that dual-income families encounter major difficulties as regards the maintenance of balance between work and home lifestyles. Often this unequal spread of responsibilities results in stressful situations and mental health challenges for the family members. Balancing two different careers, inevitably, can tighten relationships and the quality of family life, having an effect both on the adults and the children in the household. In this case, the research underlines the necessity for measures aimed at removing these stressors, which sometimes are neglected by the current policies.</w:t>
      </w:r>
    </w:p>
    <w:p w:rsidR="000B0DDC" w:rsidRPr="006C28BE" w:rsidRDefault="000B0DDC" w:rsidP="000B0DDC">
      <w:pPr>
        <w:spacing w:line="360" w:lineRule="auto"/>
        <w:jc w:val="both"/>
        <w:rPr>
          <w:rFonts w:cs="Arial"/>
          <w:color w:val="000000"/>
          <w:lang w:val="en-GB"/>
        </w:rPr>
      </w:pPr>
      <w:r w:rsidRPr="006C28BE">
        <w:rPr>
          <w:rFonts w:cs="Arial"/>
          <w:color w:val="000000"/>
          <w:lang w:val="en-GB"/>
        </w:rPr>
        <w:t>Policy Effectiveness: The result of the research in policy effectiveness suggests that in spite of the fact that the UK has adopted several policies assisting dual-income families - like Tax-Free Childcare and Shared Parental Leave - their actual effectiveness is blurred due to insufficient utilisation and availability problems. Sophisticated application procedures along with low awareness about these programs are considered the key obstacles, which limit the number of families who can afford to receive the help they are entitled to.</w:t>
      </w:r>
    </w:p>
    <w:p w:rsidR="000B0DDC" w:rsidRPr="006C28BE" w:rsidRDefault="000B0DDC" w:rsidP="000B0DDC">
      <w:pPr>
        <w:spacing w:line="360" w:lineRule="auto"/>
        <w:jc w:val="both"/>
        <w:rPr>
          <w:rFonts w:cs="Arial"/>
          <w:color w:val="000000"/>
          <w:lang w:val="en-GB"/>
        </w:rPr>
      </w:pPr>
      <w:r w:rsidRPr="006C28BE">
        <w:rPr>
          <w:rFonts w:cs="Arial"/>
          <w:color w:val="000000"/>
          <w:lang w:val="en-GB"/>
        </w:rPr>
        <w:t>This study's findings are based on a multi-faceted approach to policymaking which looks into the different challenges that dual-income families face in different regions of our country. The policy effectiveness can be improved through new initiatives but also ensuring that the measures are accessible, well-communicated and they reach and benefit all UK dual-income families. Policies for the future should also aim at addressing the specific difficulties that involve the balance between work and family responsibilities for the purpose of reducing the damage to mental health and relations between family members.</w:t>
      </w:r>
    </w:p>
    <w:p w:rsidR="000B0DDC" w:rsidRDefault="000B0DDC" w:rsidP="000B0DDC">
      <w:pPr>
        <w:spacing w:line="360" w:lineRule="auto"/>
        <w:jc w:val="both"/>
        <w:rPr>
          <w:rFonts w:cs="Arial"/>
          <w:color w:val="000000"/>
          <w:lang w:val="en-GB"/>
        </w:rPr>
      </w:pPr>
      <w:r w:rsidRPr="006C28BE">
        <w:rPr>
          <w:rFonts w:cs="Arial"/>
          <w:color w:val="000000"/>
          <w:lang w:val="en-GB"/>
        </w:rPr>
        <w:t>In light of the results and conclusions of this research on dual-income families in the UK some practical as well as theoretical solutions are proposed to enhance the socio-economic state and policy environments that affect this group.</w:t>
      </w:r>
    </w:p>
    <w:p w:rsidR="000B0DDC" w:rsidRDefault="000B0DDC" w:rsidP="000B0DDC">
      <w:pPr>
        <w:spacing w:line="360" w:lineRule="auto"/>
        <w:jc w:val="both"/>
        <w:rPr>
          <w:rFonts w:cs="Arial"/>
          <w:color w:val="000000"/>
          <w:lang w:val="en-GB"/>
        </w:rPr>
      </w:pPr>
    </w:p>
    <w:p w:rsidR="000B0DDC" w:rsidRDefault="000B0DDC" w:rsidP="000B0DDC">
      <w:pPr>
        <w:spacing w:line="360" w:lineRule="auto"/>
        <w:jc w:val="both"/>
        <w:rPr>
          <w:rFonts w:cs="Arial"/>
          <w:color w:val="000000"/>
          <w:lang w:val="en-GB"/>
        </w:rPr>
      </w:pPr>
    </w:p>
    <w:p w:rsidR="000B0DDC" w:rsidRDefault="000B0DDC" w:rsidP="000B0DDC">
      <w:pPr>
        <w:spacing w:line="360" w:lineRule="auto"/>
        <w:jc w:val="both"/>
        <w:rPr>
          <w:rFonts w:cs="Arial"/>
          <w:color w:val="000000"/>
          <w:lang w:val="en-GB"/>
        </w:rPr>
      </w:pPr>
    </w:p>
    <w:p w:rsidR="000B0DDC" w:rsidRPr="006C28BE" w:rsidRDefault="000B0DDC" w:rsidP="000B0DDC">
      <w:pPr>
        <w:spacing w:line="360" w:lineRule="auto"/>
        <w:jc w:val="both"/>
        <w:rPr>
          <w:rFonts w:cs="Arial"/>
          <w:color w:val="000000"/>
          <w:lang w:val="en-GB"/>
        </w:rPr>
      </w:pPr>
    </w:p>
    <w:p w:rsidR="000B0DDC" w:rsidRPr="00BD2F36" w:rsidRDefault="000B0DDC" w:rsidP="000B0DDC">
      <w:pPr>
        <w:pStyle w:val="ListParagraph"/>
        <w:numPr>
          <w:ilvl w:val="1"/>
          <w:numId w:val="19"/>
        </w:numPr>
        <w:rPr>
          <w:b/>
          <w:sz w:val="28"/>
          <w:szCs w:val="28"/>
          <w:lang w:val="en-GB"/>
        </w:rPr>
      </w:pPr>
      <w:bookmarkStart w:id="88" w:name="_Toc166368658"/>
      <w:r w:rsidRPr="00BD2F36">
        <w:rPr>
          <w:b/>
          <w:sz w:val="28"/>
          <w:szCs w:val="28"/>
          <w:lang w:val="en-GB"/>
        </w:rPr>
        <w:lastRenderedPageBreak/>
        <w:t>Practical Recommendations:</w:t>
      </w:r>
      <w:bookmarkEnd w:id="88"/>
    </w:p>
    <w:p w:rsidR="000B0DDC" w:rsidRPr="006C28BE" w:rsidRDefault="000B0DDC" w:rsidP="000B0DDC">
      <w:pPr>
        <w:numPr>
          <w:ilvl w:val="0"/>
          <w:numId w:val="7"/>
        </w:numPr>
        <w:spacing w:line="360" w:lineRule="auto"/>
        <w:jc w:val="both"/>
        <w:textAlignment w:val="baseline"/>
        <w:rPr>
          <w:rFonts w:cs="Arial"/>
          <w:color w:val="000000"/>
          <w:lang w:val="en-GB"/>
        </w:rPr>
      </w:pPr>
      <w:r w:rsidRPr="006C28BE">
        <w:rPr>
          <w:rFonts w:cs="Arial"/>
          <w:color w:val="000000"/>
          <w:lang w:val="en-GB"/>
        </w:rPr>
        <w:t>Enhanced Policy Accessibility: The application procedures for childcare and parental leave benefits are one of the substantial obstacles to their applications. It would be advisable to simplify these processes and make them more user-friendly for those who are eligible so that this necessary support is not missed by more families who need them. It could, for example, include digital simplifications, minimising the number of bureaucratic obstacles, and more transparent regulations that are readily available.</w:t>
      </w:r>
    </w:p>
    <w:p w:rsidR="000B0DDC" w:rsidRPr="006C28BE" w:rsidRDefault="000B0DDC" w:rsidP="000B0DDC">
      <w:pPr>
        <w:numPr>
          <w:ilvl w:val="0"/>
          <w:numId w:val="7"/>
        </w:numPr>
        <w:spacing w:line="360" w:lineRule="auto"/>
        <w:jc w:val="both"/>
        <w:textAlignment w:val="baseline"/>
        <w:rPr>
          <w:rFonts w:cs="Arial"/>
          <w:color w:val="000000"/>
          <w:lang w:val="en-GB"/>
        </w:rPr>
      </w:pPr>
      <w:r w:rsidRPr="006C28BE">
        <w:rPr>
          <w:rFonts w:cs="Arial"/>
          <w:color w:val="000000"/>
          <w:lang w:val="en-GB"/>
        </w:rPr>
        <w:t>Economic Support: Dual-income households are one of the primary drivers of rising housing prices. Thus, subsidising housing, targeting dual-income families could be a remedy to this issue. Making housing affordable for the dual-income households would be the result. For example, these subsidies can be diminished or raised in the same proportion as cost-of-living indices in different regions. In this way, they will help stabilise the housing market and reduce economic inequalities.</w:t>
      </w:r>
    </w:p>
    <w:p w:rsidR="000B0DDC" w:rsidRPr="006C28BE" w:rsidRDefault="000B0DDC" w:rsidP="000B0DDC">
      <w:pPr>
        <w:numPr>
          <w:ilvl w:val="0"/>
          <w:numId w:val="7"/>
        </w:numPr>
        <w:spacing w:line="360" w:lineRule="auto"/>
        <w:jc w:val="both"/>
        <w:textAlignment w:val="baseline"/>
        <w:rPr>
          <w:rFonts w:cs="Arial"/>
          <w:color w:val="000000"/>
          <w:lang w:val="en-GB"/>
        </w:rPr>
      </w:pPr>
      <w:r w:rsidRPr="006C28BE">
        <w:rPr>
          <w:rFonts w:cs="Arial"/>
          <w:color w:val="000000"/>
          <w:lang w:val="en-GB"/>
        </w:rPr>
        <w:t>Workplace Flexibility: There is a critical factor which is the need to include more flexible working arrangements, e.g. telecommuting options, flexible hours, and condensed workweeks. Incentivizing employers to constitute these options is a great way to assist the dual-income families in managing the demanding situations of work and life, hence, improving their mental well-being and work-life balance.</w:t>
      </w:r>
    </w:p>
    <w:p w:rsidR="000B0DDC" w:rsidRPr="00BD2F36" w:rsidRDefault="000B0DDC" w:rsidP="000B0DDC">
      <w:pPr>
        <w:pStyle w:val="ListParagraph"/>
        <w:numPr>
          <w:ilvl w:val="1"/>
          <w:numId w:val="19"/>
        </w:numPr>
        <w:rPr>
          <w:b/>
          <w:sz w:val="28"/>
          <w:szCs w:val="28"/>
          <w:lang w:val="en-GB"/>
        </w:rPr>
      </w:pPr>
      <w:bookmarkStart w:id="89" w:name="_Toc166368659"/>
      <w:r w:rsidRPr="00BD2F36">
        <w:rPr>
          <w:b/>
          <w:sz w:val="28"/>
          <w:szCs w:val="28"/>
          <w:lang w:val="en-GB"/>
        </w:rPr>
        <w:t>Theoretical Recommendations:</w:t>
      </w:r>
      <w:bookmarkEnd w:id="89"/>
    </w:p>
    <w:p w:rsidR="000B0DDC" w:rsidRPr="006C28BE" w:rsidRDefault="000B0DDC" w:rsidP="000B0DDC">
      <w:pPr>
        <w:numPr>
          <w:ilvl w:val="0"/>
          <w:numId w:val="8"/>
        </w:numPr>
        <w:spacing w:before="300" w:line="360" w:lineRule="auto"/>
        <w:jc w:val="both"/>
        <w:textAlignment w:val="baseline"/>
        <w:rPr>
          <w:rFonts w:cs="Arial"/>
          <w:color w:val="000000"/>
          <w:lang w:val="en-GB"/>
        </w:rPr>
      </w:pPr>
      <w:r w:rsidRPr="006C28BE">
        <w:rPr>
          <w:rFonts w:cs="Arial"/>
          <w:color w:val="000000"/>
          <w:lang w:val="en-GB"/>
        </w:rPr>
        <w:t>Policy Revision: Data and statistics have shown that it is time to review the policies that were made to accommodate the demographic of the dual-income households.</w:t>
      </w:r>
      <w:r w:rsidRPr="006C28BE">
        <w:rPr>
          <w:rFonts w:cs="Arial"/>
        </w:rPr>
        <w:t xml:space="preserve"> </w:t>
      </w:r>
      <w:r w:rsidRPr="006C28BE">
        <w:rPr>
          <w:rFonts w:cs="Arial"/>
          <w:color w:val="000000"/>
          <w:lang w:val="en-GB"/>
        </w:rPr>
        <w:t>This implies not only making the existing ones more inclusive but also developing new policies that directly deal with the problems that the families are going through such as childcare, and mental health issues which are often a result of these pressures.</w:t>
      </w:r>
    </w:p>
    <w:p w:rsidR="000B0DDC" w:rsidRPr="006C28BE" w:rsidRDefault="000B0DDC" w:rsidP="000B0DDC">
      <w:pPr>
        <w:numPr>
          <w:ilvl w:val="0"/>
          <w:numId w:val="8"/>
        </w:numPr>
        <w:spacing w:before="300" w:line="360" w:lineRule="auto"/>
        <w:jc w:val="both"/>
        <w:textAlignment w:val="baseline"/>
        <w:rPr>
          <w:rFonts w:cs="Arial"/>
          <w:color w:val="000000"/>
          <w:lang w:val="en-GB"/>
        </w:rPr>
      </w:pPr>
      <w:r w:rsidRPr="006C28BE">
        <w:rPr>
          <w:rFonts w:cs="Arial"/>
          <w:color w:val="000000"/>
          <w:lang w:val="en-GB"/>
        </w:rPr>
        <w:t xml:space="preserve">Economic Models: When reviewing economic theories and policies, it is crucial that the different parts of the country with dual income households are also considered. It is a unique strategy that allows the employment of health resources that can be </w:t>
      </w:r>
      <w:r w:rsidRPr="006C28BE">
        <w:rPr>
          <w:rFonts w:cs="Arial"/>
          <w:color w:val="000000"/>
          <w:lang w:val="en-GB"/>
        </w:rPr>
        <w:lastRenderedPageBreak/>
        <w:t>targeted to deal with regional economic inequalities and those people living in dual-income households in that area.</w:t>
      </w:r>
    </w:p>
    <w:p w:rsidR="000B0DDC" w:rsidRPr="006C28BE" w:rsidRDefault="000B0DDC" w:rsidP="000B0DDC">
      <w:pPr>
        <w:numPr>
          <w:ilvl w:val="0"/>
          <w:numId w:val="8"/>
        </w:numPr>
        <w:spacing w:before="300" w:line="360" w:lineRule="auto"/>
        <w:jc w:val="both"/>
        <w:textAlignment w:val="baseline"/>
        <w:rPr>
          <w:rFonts w:cs="Arial"/>
          <w:color w:val="000000"/>
          <w:lang w:val="en-GB"/>
        </w:rPr>
      </w:pPr>
      <w:r w:rsidRPr="006C28BE">
        <w:rPr>
          <w:rFonts w:cs="Arial"/>
          <w:color w:val="000000"/>
          <w:lang w:val="en-GB"/>
        </w:rPr>
        <w:t>The recommendations are meant to give a workable environment to dual earners so that these policies are not only existing but useful too and also meet the needs of the dual earners.</w:t>
      </w:r>
    </w:p>
    <w:p w:rsidR="000B0DDC" w:rsidRPr="006C28BE" w:rsidRDefault="000B0DDC" w:rsidP="000B0DDC">
      <w:pPr>
        <w:spacing w:before="300" w:line="360" w:lineRule="auto"/>
        <w:jc w:val="both"/>
        <w:rPr>
          <w:rFonts w:cs="Arial"/>
          <w:color w:val="000000"/>
          <w:lang w:val="en-GB"/>
        </w:rPr>
      </w:pPr>
      <w:r w:rsidRPr="006C28BE">
        <w:rPr>
          <w:rFonts w:cs="Arial"/>
          <w:color w:val="000000"/>
          <w:lang w:val="en-GB"/>
        </w:rPr>
        <w:t>The successful implementation of these practical and practical ideas will contribute to economic stability, good family relationships and finally, the well-being of dual-income households in the UK.</w:t>
      </w:r>
    </w:p>
    <w:p w:rsidR="000B0DDC" w:rsidRPr="00233931" w:rsidRDefault="000B0DDC" w:rsidP="000B0DDC">
      <w:pPr>
        <w:pStyle w:val="ListParagraph"/>
        <w:numPr>
          <w:ilvl w:val="1"/>
          <w:numId w:val="19"/>
        </w:numPr>
        <w:rPr>
          <w:b/>
          <w:sz w:val="28"/>
          <w:szCs w:val="28"/>
          <w:lang w:val="en-GB"/>
        </w:rPr>
      </w:pPr>
      <w:bookmarkStart w:id="90" w:name="_Toc166368660"/>
      <w:r w:rsidRPr="00233931">
        <w:rPr>
          <w:b/>
          <w:sz w:val="28"/>
          <w:szCs w:val="28"/>
          <w:lang w:val="en-GB"/>
        </w:rPr>
        <w:t>Limitation of Research</w:t>
      </w:r>
      <w:bookmarkEnd w:id="90"/>
    </w:p>
    <w:p w:rsidR="000B0DDC" w:rsidRPr="006C28BE" w:rsidRDefault="000B0DDC" w:rsidP="000B0DDC">
      <w:pPr>
        <w:spacing w:line="360" w:lineRule="auto"/>
        <w:jc w:val="both"/>
        <w:rPr>
          <w:rFonts w:cs="Arial"/>
          <w:color w:val="000000"/>
          <w:lang w:val="en-GB"/>
        </w:rPr>
      </w:pPr>
      <w:r w:rsidRPr="006C28BE">
        <w:rPr>
          <w:rFonts w:cs="Arial"/>
          <w:color w:val="000000"/>
          <w:lang w:val="en-GB"/>
        </w:rPr>
        <w:t>The research is rather encompassing in terms of unravelling the socio-economic effects of dual-income households in the UK, but a few shortcomings should still be considered. These drawbacks are due to the nature of the study’s design and research approach and affect the findings’ interpretation and applicability.</w:t>
      </w:r>
    </w:p>
    <w:p w:rsidR="000B0DDC" w:rsidRPr="006C28BE" w:rsidRDefault="000B0DDC" w:rsidP="000B0DDC">
      <w:pPr>
        <w:numPr>
          <w:ilvl w:val="0"/>
          <w:numId w:val="9"/>
        </w:numPr>
        <w:spacing w:before="300" w:line="360" w:lineRule="auto"/>
        <w:jc w:val="both"/>
        <w:textAlignment w:val="baseline"/>
        <w:rPr>
          <w:rFonts w:cs="Arial"/>
          <w:color w:val="000000"/>
          <w:lang w:val="en-GB"/>
        </w:rPr>
      </w:pPr>
      <w:r w:rsidRPr="006C28BE">
        <w:rPr>
          <w:rFonts w:cs="Arial"/>
          <w:color w:val="000000"/>
          <w:lang w:val="en-GB"/>
        </w:rPr>
        <w:t>Reliance on Secondary Data: The major restriction of this research work is the fact that it is entirely based on secondary data sources. Indeed, these sources are of great historical value and they help in understanding macro-economic and social trends of the past, but they do not depict the immediacy and the subtleties of the primary data that have been collected. The secondary data may not fully represent the current impact of economic fluctuations which occurred recently or immediate outcomes of new policies which have just been put in place. These cases will lead to some findings which do not contain a full description of the current realities of dual-income households, especially when the economy is in crisis or there are major policy shifts.</w:t>
      </w:r>
    </w:p>
    <w:p w:rsidR="000B0DDC" w:rsidRPr="006C28BE" w:rsidRDefault="000B0DDC" w:rsidP="000B0DDC">
      <w:pPr>
        <w:numPr>
          <w:ilvl w:val="0"/>
          <w:numId w:val="9"/>
        </w:numPr>
        <w:spacing w:line="360" w:lineRule="auto"/>
        <w:jc w:val="both"/>
        <w:textAlignment w:val="baseline"/>
        <w:rPr>
          <w:rFonts w:cs="Arial"/>
          <w:color w:val="000000"/>
          <w:lang w:val="en-GB"/>
        </w:rPr>
      </w:pPr>
      <w:r w:rsidRPr="006C28BE">
        <w:rPr>
          <w:rFonts w:cs="Arial"/>
          <w:color w:val="000000"/>
          <w:lang w:val="en-GB"/>
        </w:rPr>
        <w:t xml:space="preserve">Urban Focus: A limitation here is that the study places emphasis on urban areas only. Therefore, this main concern was selected because these areas are the most populated and there are more possibilities of getting the data since there are more dual-income households living there. This, in turn, could be the reason for the overlooking of some unique challenges and dynamics in rural areas, where households with two income sources may face financial pressures and social dynamics that are different. For instance, the factors such as childcare, job </w:t>
      </w:r>
      <w:r w:rsidRPr="006C28BE">
        <w:rPr>
          <w:rFonts w:cs="Arial"/>
          <w:color w:val="000000"/>
          <w:lang w:val="en-GB"/>
        </w:rPr>
        <w:lastRenderedPageBreak/>
        <w:t>opportunities and housing affordability can be very different between the urban and rural settings making for different effects on dual-income households.</w:t>
      </w:r>
    </w:p>
    <w:p w:rsidR="000B0DDC" w:rsidRPr="006C28BE" w:rsidRDefault="000B0DDC" w:rsidP="000B0DDC">
      <w:pPr>
        <w:numPr>
          <w:ilvl w:val="0"/>
          <w:numId w:val="9"/>
        </w:numPr>
        <w:spacing w:line="360" w:lineRule="auto"/>
        <w:jc w:val="both"/>
        <w:textAlignment w:val="baseline"/>
        <w:rPr>
          <w:rFonts w:cs="Arial"/>
          <w:color w:val="000000"/>
          <w:lang w:val="en-GB"/>
        </w:rPr>
      </w:pPr>
      <w:r w:rsidRPr="006C28BE">
        <w:rPr>
          <w:rFonts w:cs="Arial"/>
          <w:color w:val="000000"/>
          <w:lang w:val="en-GB"/>
        </w:rPr>
        <w:t>Generalizability: As a result of the above restrictions, there might be a narrow scope of the generalizability of the research findings. The urban-based and secondary data-based findings and conclusions may not be directly applicable to dual-income households in the UK from various social classes, regions, and socioeconomic contexts. Such restriction, however, can be a sign to be careful in generalising the experiment’s outcomes without considering the local and regional variations.</w:t>
      </w:r>
    </w:p>
    <w:p w:rsidR="000B0DDC" w:rsidRPr="006C28BE" w:rsidRDefault="000B0DDC" w:rsidP="000B0DDC">
      <w:pPr>
        <w:spacing w:before="300" w:line="360" w:lineRule="auto"/>
        <w:jc w:val="both"/>
        <w:rPr>
          <w:rFonts w:cs="Arial"/>
          <w:color w:val="000000"/>
          <w:lang w:val="en-GB"/>
        </w:rPr>
      </w:pPr>
      <w:r w:rsidRPr="006C28BE">
        <w:rPr>
          <w:rFonts w:cs="Arial"/>
          <w:color w:val="000000"/>
          <w:lang w:val="en-GB"/>
        </w:rPr>
        <w:t>These restrictions show the necessity of further studies with more data being produced from primary sources and a wider geographical coverage. This research closes knowledge gaps about dual-income households, which can help with the drawing of conclusions about complex phenomena around these households, so that socio-economic policies can be more relevant and effective.</w:t>
      </w:r>
    </w:p>
    <w:p w:rsidR="000B0DDC" w:rsidRPr="002D44AB" w:rsidRDefault="000B0DDC" w:rsidP="000B0DDC">
      <w:pPr>
        <w:pStyle w:val="ListParagraph"/>
        <w:numPr>
          <w:ilvl w:val="1"/>
          <w:numId w:val="19"/>
        </w:numPr>
        <w:rPr>
          <w:b/>
          <w:sz w:val="28"/>
          <w:szCs w:val="28"/>
          <w:lang w:val="en-GB"/>
        </w:rPr>
      </w:pPr>
      <w:bookmarkStart w:id="91" w:name="_Toc166368661"/>
      <w:r w:rsidRPr="002D44AB">
        <w:rPr>
          <w:b/>
          <w:sz w:val="28"/>
          <w:szCs w:val="28"/>
          <w:lang w:val="en-GB"/>
        </w:rPr>
        <w:t>Recommendation for Future Work</w:t>
      </w:r>
      <w:bookmarkEnd w:id="91"/>
    </w:p>
    <w:p w:rsidR="000B0DDC" w:rsidRPr="006C28BE" w:rsidRDefault="000B0DDC" w:rsidP="000B0DDC">
      <w:pPr>
        <w:spacing w:line="360" w:lineRule="auto"/>
        <w:jc w:val="both"/>
        <w:rPr>
          <w:rFonts w:cs="Arial"/>
          <w:color w:val="000000"/>
          <w:lang w:val="en-GB"/>
        </w:rPr>
      </w:pPr>
      <w:r w:rsidRPr="006C28BE">
        <w:rPr>
          <w:rFonts w:cs="Arial"/>
          <w:color w:val="000000"/>
          <w:lang w:val="en-GB"/>
        </w:rPr>
        <w:t>The results of this study are a form of direction to the further research which should be guided by the goal to understand the dual-income households and provide the most effective policy insights. undefined</w:t>
      </w:r>
    </w:p>
    <w:p w:rsidR="000B0DDC" w:rsidRPr="006C28BE" w:rsidRDefault="000B0DDC" w:rsidP="000B0DDC">
      <w:pPr>
        <w:numPr>
          <w:ilvl w:val="0"/>
          <w:numId w:val="10"/>
        </w:numPr>
        <w:spacing w:before="300" w:line="360" w:lineRule="auto"/>
        <w:jc w:val="both"/>
        <w:textAlignment w:val="baseline"/>
        <w:rPr>
          <w:rFonts w:cs="Arial"/>
          <w:color w:val="000000"/>
          <w:lang w:val="en-GB"/>
        </w:rPr>
      </w:pPr>
      <w:r w:rsidRPr="006C28BE">
        <w:rPr>
          <w:rFonts w:cs="Arial"/>
          <w:color w:val="000000"/>
          <w:lang w:val="en-GB"/>
        </w:rPr>
        <w:t>Longitudinal Studies: It is also recommended that future research be conducted in the form of longitudinal studies to understand nuanced effects of dual-income households over the long-term. Hence, these studies would trail these households for prolonged periods, providing the unfolding of their economic welfare, family patterns and the influence of policy modifications on them over time. It also provides researchers with a chance to see the real-life consequences of dual-income status on things like child development, career progression, and retirement planning. Investigating the data over long periods of time will help understand how changes in the economy, including recessions or booms, influence these household types in a different way from single-income families.</w:t>
      </w:r>
    </w:p>
    <w:p w:rsidR="000B0DDC" w:rsidRPr="006C28BE" w:rsidRDefault="000B0DDC" w:rsidP="000B0DDC">
      <w:pPr>
        <w:numPr>
          <w:ilvl w:val="0"/>
          <w:numId w:val="10"/>
        </w:numPr>
        <w:spacing w:line="360" w:lineRule="auto"/>
        <w:jc w:val="both"/>
        <w:textAlignment w:val="baseline"/>
        <w:rPr>
          <w:rFonts w:cs="Arial"/>
          <w:color w:val="000000"/>
          <w:lang w:val="en-GB"/>
        </w:rPr>
      </w:pPr>
      <w:r w:rsidRPr="006C28BE">
        <w:rPr>
          <w:rFonts w:cs="Arial"/>
          <w:color w:val="000000"/>
          <w:lang w:val="en-GB"/>
        </w:rPr>
        <w:t xml:space="preserve">Qualitative Research: Although this dissertation mainly relied on quantitative data from secondary sources, there is a huge possibility to incorporate qualitative </w:t>
      </w:r>
      <w:r w:rsidRPr="006C28BE">
        <w:rPr>
          <w:rFonts w:cs="Arial"/>
          <w:color w:val="000000"/>
          <w:lang w:val="en-GB"/>
        </w:rPr>
        <w:lastRenderedPageBreak/>
        <w:t>methods to augment deeper observations. The next step for researchers should involve face-to-face interviews, focus groups, and case studies with the families of dual incomes to further explore the more in-depth personal and emotional sides that do not show up in the quantitative data. Qualitative research in addition will be helpful in taking a more detailed picture of the situation that may include the burden or satisfaction of balancing the two careers, the difficulty of handling domestic responsibilities, and personal understanding of governmental assistance.</w:t>
      </w:r>
    </w:p>
    <w:p w:rsidR="000B0DDC" w:rsidRPr="006C28BE" w:rsidRDefault="000B0DDC" w:rsidP="000B0DDC">
      <w:pPr>
        <w:numPr>
          <w:ilvl w:val="0"/>
          <w:numId w:val="10"/>
        </w:numPr>
        <w:spacing w:line="360" w:lineRule="auto"/>
        <w:jc w:val="both"/>
        <w:textAlignment w:val="baseline"/>
        <w:rPr>
          <w:rFonts w:cs="Arial"/>
          <w:color w:val="000000"/>
          <w:lang w:val="en-GB"/>
        </w:rPr>
      </w:pPr>
      <w:r w:rsidRPr="006C28BE">
        <w:rPr>
          <w:rFonts w:cs="Arial"/>
          <w:color w:val="000000"/>
          <w:lang w:val="en-GB"/>
        </w:rPr>
        <w:t>Regional Comparative Studies: This research has an urban focus therefore, in the future, it would be appropriate to compare the results with rural settings where a dual-income household may face a different set of challenges and opportunities. For example, geographical location is known to affect the economic possibilities, access to childcare, transport issues, and lifestyle preferences, and such comparative studies may bring these issues to the fore. Recognition of such variation is a key component of effective evidence-based policy creation that seeks to meet the requirements of dual income families of both urban and rural populations.</w:t>
      </w:r>
    </w:p>
    <w:p w:rsidR="000B0DDC" w:rsidRPr="006C28BE" w:rsidRDefault="000B0DDC" w:rsidP="000B0DDC">
      <w:pPr>
        <w:numPr>
          <w:ilvl w:val="0"/>
          <w:numId w:val="10"/>
        </w:numPr>
        <w:spacing w:line="360" w:lineRule="auto"/>
        <w:jc w:val="both"/>
        <w:textAlignment w:val="baseline"/>
        <w:rPr>
          <w:rFonts w:cs="Arial"/>
          <w:color w:val="000000"/>
          <w:lang w:val="en-GB"/>
        </w:rPr>
      </w:pPr>
      <w:r w:rsidRPr="006C28BE">
        <w:rPr>
          <w:rFonts w:cs="Arial"/>
          <w:color w:val="000000"/>
          <w:lang w:val="en-GB"/>
        </w:rPr>
        <w:t>Sector-Specific Studies: Furthermore, analysing the effect of dual income in different work settings might reveal those areas that help to keep the balance of work and life or those that prevent it and the economic stability of dual-income families. As an illustration, sectors like technology and finance might provide various challenges and opportunities that might be different from what is available within sectors like education and healthcare.</w:t>
      </w:r>
    </w:p>
    <w:p w:rsidR="000B0DDC" w:rsidRPr="006C28BE" w:rsidRDefault="000B0DDC" w:rsidP="000B0DDC">
      <w:pPr>
        <w:numPr>
          <w:ilvl w:val="0"/>
          <w:numId w:val="10"/>
        </w:numPr>
        <w:spacing w:line="360" w:lineRule="auto"/>
        <w:jc w:val="both"/>
        <w:textAlignment w:val="baseline"/>
        <w:rPr>
          <w:rFonts w:cs="Arial"/>
          <w:color w:val="000000"/>
          <w:lang w:val="en-GB"/>
        </w:rPr>
      </w:pPr>
      <w:r w:rsidRPr="006C28BE">
        <w:rPr>
          <w:rFonts w:cs="Arial"/>
          <w:color w:val="000000"/>
          <w:lang w:val="en-GB"/>
        </w:rPr>
        <w:t>Policy Impact Assessment: Another issue is the lack of targeted research on evaluating the efficacy of specific policy measures for dual-income support. Such research should measure the real-life impact of the current policies and provide evidence-based improvements. Here, the evaluation would be done not only for policy uptake but also for an analysis of the impact on the families’ economic stability, quality of life, and long-term financial plans.</w:t>
      </w:r>
    </w:p>
    <w:p w:rsidR="000B0DDC" w:rsidRPr="006C28BE" w:rsidRDefault="000B0DDC" w:rsidP="000B0DDC">
      <w:pPr>
        <w:spacing w:line="360" w:lineRule="auto"/>
        <w:rPr>
          <w:rFonts w:eastAsiaTheme="majorEastAsia" w:cs="Arial"/>
          <w:b/>
          <w:bCs/>
          <w:smallCaps/>
          <w:color w:val="000000" w:themeColor="text1"/>
          <w:sz w:val="36"/>
          <w:szCs w:val="36"/>
          <w:lang w:val="en-GB"/>
        </w:rPr>
      </w:pPr>
      <w:bookmarkStart w:id="92" w:name="_Toc162809016"/>
      <w:r w:rsidRPr="006C28BE">
        <w:rPr>
          <w:rFonts w:cs="Arial"/>
          <w:lang w:val="en-GB"/>
        </w:rPr>
        <w:br w:type="page"/>
      </w:r>
    </w:p>
    <w:p w:rsidR="000B0DDC" w:rsidRPr="006C28BE" w:rsidRDefault="000B0DDC" w:rsidP="000B0DDC">
      <w:pPr>
        <w:pStyle w:val="Heading1"/>
        <w:numPr>
          <w:ilvl w:val="0"/>
          <w:numId w:val="19"/>
        </w:numPr>
        <w:spacing w:line="360" w:lineRule="auto"/>
        <w:rPr>
          <w:rFonts w:cs="Arial"/>
        </w:rPr>
      </w:pPr>
      <w:bookmarkStart w:id="93" w:name="_Toc166368662"/>
      <w:r w:rsidRPr="006C28BE">
        <w:rPr>
          <w:rFonts w:cs="Arial"/>
        </w:rPr>
        <w:lastRenderedPageBreak/>
        <w:t>References</w:t>
      </w:r>
      <w:bookmarkEnd w:id="92"/>
      <w:bookmarkEnd w:id="93"/>
    </w:p>
    <w:p w:rsidR="000B0DDC" w:rsidRPr="00B5787B" w:rsidRDefault="000B0DDC" w:rsidP="000B0DDC">
      <w:pPr>
        <w:spacing w:line="360" w:lineRule="auto"/>
        <w:ind w:left="360"/>
        <w:jc w:val="both"/>
        <w:rPr>
          <w:rFonts w:cs="Arial"/>
          <w:color w:val="222222"/>
          <w:szCs w:val="24"/>
          <w:shd w:val="clear" w:color="auto" w:fill="FFFFFF"/>
          <w:lang w:val="en-IN"/>
        </w:rPr>
      </w:pPr>
      <w:r w:rsidRPr="00B5787B">
        <w:rPr>
          <w:rFonts w:cs="Arial"/>
          <w:color w:val="222222"/>
          <w:szCs w:val="24"/>
          <w:shd w:val="clear" w:color="auto" w:fill="FFFFFF"/>
          <w:lang w:val="en-GB"/>
        </w:rPr>
        <w:t>Aesanetwork.org</w:t>
      </w:r>
      <w:r w:rsidRPr="00B5787B">
        <w:rPr>
          <w:rFonts w:cs="Arial"/>
          <w:color w:val="222222"/>
          <w:szCs w:val="24"/>
          <w:shd w:val="clear" w:color="auto" w:fill="FFFFFF"/>
          <w:lang w:val="en-IN"/>
        </w:rPr>
        <w:t xml:space="preserve"> (2020) </w:t>
      </w:r>
      <w:r w:rsidRPr="00B5787B">
        <w:rPr>
          <w:rFonts w:cs="Arial"/>
          <w:i/>
          <w:iCs/>
          <w:color w:val="222222"/>
          <w:szCs w:val="24"/>
          <w:shd w:val="clear" w:color="auto" w:fill="FFFFFF"/>
          <w:lang w:val="en-IN"/>
        </w:rPr>
        <w:t>Blog 132-research onion: A systematic approach to designing research methodology</w:t>
      </w:r>
      <w:r w:rsidRPr="00B5787B">
        <w:rPr>
          <w:rFonts w:cs="Arial"/>
          <w:color w:val="222222"/>
          <w:szCs w:val="24"/>
          <w:shd w:val="clear" w:color="auto" w:fill="FFFFFF"/>
          <w:lang w:val="en-IN"/>
        </w:rPr>
        <w:t xml:space="preserve">, </w:t>
      </w:r>
      <w:r w:rsidRPr="00B5787B">
        <w:rPr>
          <w:rFonts w:cs="Arial"/>
          <w:i/>
          <w:iCs/>
          <w:color w:val="222222"/>
          <w:szCs w:val="24"/>
          <w:shd w:val="clear" w:color="auto" w:fill="FFFFFF"/>
          <w:lang w:val="en-IN"/>
        </w:rPr>
        <w:t>Welcome to AESA</w:t>
      </w:r>
      <w:r w:rsidRPr="00B5787B">
        <w:rPr>
          <w:rFonts w:cs="Arial"/>
          <w:color w:val="222222"/>
          <w:szCs w:val="24"/>
          <w:shd w:val="clear" w:color="auto" w:fill="FFFFFF"/>
          <w:lang w:val="en-IN"/>
        </w:rPr>
        <w:t xml:space="preserve">. Available at: https://www.aesanetwork.org/research-onion-a-systematic-approach-to-designing-research-methodology/ (Accessed: 12 May 2024). </w:t>
      </w:r>
    </w:p>
    <w:p w:rsidR="000B0DDC" w:rsidRPr="006C28BE" w:rsidRDefault="000B0DDC" w:rsidP="000B0DDC">
      <w:pPr>
        <w:spacing w:line="360" w:lineRule="auto"/>
        <w:ind w:left="360"/>
        <w:jc w:val="both"/>
        <w:rPr>
          <w:rFonts w:cs="Arial"/>
        </w:rPr>
      </w:pPr>
      <w:bookmarkStart w:id="94" w:name="_Hlk166323135"/>
      <w:r w:rsidRPr="006C28BE">
        <w:rPr>
          <w:rFonts w:cs="Arial"/>
        </w:rPr>
        <w:t xml:space="preserve">Ahmad (2022) </w:t>
      </w:r>
      <w:r w:rsidRPr="006C28BE">
        <w:rPr>
          <w:rFonts w:cs="Arial"/>
          <w:i/>
          <w:iCs/>
        </w:rPr>
        <w:t xml:space="preserve">Revolutionary papers: an exploration of anticolonial and anti-imperial journals, </w:t>
      </w:r>
      <w:r w:rsidRPr="006C28BE">
        <w:rPr>
          <w:rFonts w:cs="Arial"/>
        </w:rPr>
        <w:t>Lse.ac.uk</w:t>
      </w:r>
      <w:r w:rsidRPr="006C28BE">
        <w:rPr>
          <w:rFonts w:cs="Arial"/>
          <w:i/>
          <w:iCs/>
        </w:rPr>
        <w:t>.</w:t>
      </w:r>
      <w:r w:rsidRPr="006C28BE">
        <w:rPr>
          <w:rFonts w:cs="Arial"/>
        </w:rPr>
        <w:t xml:space="preserve"> Available at: </w:t>
      </w:r>
      <w:hyperlink r:id="rId13" w:tgtFrame="_new" w:history="1">
        <w:r w:rsidRPr="006C28BE">
          <w:rPr>
            <w:rStyle w:val="Hyperlink"/>
            <w:rFonts w:cs="Arial"/>
          </w:rPr>
          <w:t>https://www.lse.ac.uk/research/research-for-the-world/race-equity/revolutionary-papers-an-exploration-of-anticolonial-and-anti-imperial-journals</w:t>
        </w:r>
      </w:hyperlink>
    </w:p>
    <w:bookmarkEnd w:id="94"/>
    <w:p w:rsidR="000B0DDC" w:rsidRPr="006C28BE" w:rsidRDefault="000B0DDC" w:rsidP="000B0DDC">
      <w:pPr>
        <w:spacing w:line="360" w:lineRule="auto"/>
        <w:ind w:left="360"/>
        <w:jc w:val="both"/>
        <w:rPr>
          <w:rFonts w:cs="Arial"/>
        </w:rPr>
      </w:pPr>
      <w:r w:rsidRPr="006C28BE">
        <w:rPr>
          <w:rFonts w:cs="Arial"/>
        </w:rPr>
        <w:t xml:space="preserve">Ahmad, M. (2022) </w:t>
      </w:r>
      <w:r w:rsidRPr="006C28BE">
        <w:rPr>
          <w:rFonts w:cs="Arial"/>
          <w:i/>
          <w:iCs/>
        </w:rPr>
        <w:t xml:space="preserve">FOR THE WORLD, </w:t>
      </w:r>
      <w:r w:rsidRPr="006C28BE">
        <w:rPr>
          <w:rFonts w:cs="Arial"/>
        </w:rPr>
        <w:t xml:space="preserve">Lse.ac.uk. Available at: </w:t>
      </w:r>
      <w:hyperlink r:id="rId14" w:tgtFrame="_new" w:history="1">
        <w:r w:rsidRPr="006C28BE">
          <w:rPr>
            <w:rStyle w:val="Hyperlink"/>
            <w:rFonts w:cs="Arial"/>
          </w:rPr>
          <w:t>https://www.lse.ac.uk/research-assets/article-PDFs/revolutionary-papers.pdf</w:t>
        </w:r>
      </w:hyperlink>
    </w:p>
    <w:p w:rsidR="000B0DDC" w:rsidRPr="006C28BE" w:rsidRDefault="000B0DDC" w:rsidP="000B0DDC">
      <w:pPr>
        <w:spacing w:line="360" w:lineRule="auto"/>
        <w:ind w:left="360"/>
        <w:jc w:val="both"/>
        <w:rPr>
          <w:rFonts w:cs="Arial"/>
        </w:rPr>
      </w:pPr>
      <w:r w:rsidRPr="006C28BE">
        <w:rPr>
          <w:rFonts w:cs="Arial"/>
        </w:rPr>
        <w:t xml:space="preserve">Ansari, A. (2023) “Book Review: The Tyranny of Merit: What’s Become of the Common Good?,” </w:t>
      </w:r>
      <w:r w:rsidRPr="006C28BE">
        <w:rPr>
          <w:rFonts w:cs="Arial"/>
          <w:i/>
          <w:iCs/>
        </w:rPr>
        <w:t>Humanity &amp; society,</w:t>
      </w:r>
      <w:r w:rsidRPr="006C28BE">
        <w:rPr>
          <w:rFonts w:cs="Arial"/>
        </w:rPr>
        <w:t xml:space="preserve"> 47(4), pp. 486–488. doi: 10.1177/01605976231184885.</w:t>
      </w:r>
    </w:p>
    <w:p w:rsidR="000B0DDC" w:rsidRPr="006C28BE" w:rsidRDefault="000B0DDC" w:rsidP="000B0DDC">
      <w:pPr>
        <w:spacing w:line="360" w:lineRule="auto"/>
        <w:ind w:left="360"/>
        <w:jc w:val="both"/>
        <w:rPr>
          <w:rFonts w:cs="Arial"/>
        </w:rPr>
      </w:pPr>
      <w:r w:rsidRPr="006C28BE">
        <w:rPr>
          <w:rFonts w:cs="Arial"/>
        </w:rPr>
        <w:t xml:space="preserve">Autor, D. (2022) </w:t>
      </w:r>
      <w:r w:rsidRPr="006C28BE">
        <w:rPr>
          <w:rFonts w:cs="Arial"/>
          <w:i/>
          <w:iCs/>
        </w:rPr>
        <w:t>The Work of the Future: Building Better Jobs in an Age of Intelligent Machines,</w:t>
      </w:r>
      <w:r w:rsidRPr="006C28BE">
        <w:rPr>
          <w:rFonts w:cs="Arial"/>
        </w:rPr>
        <w:t xml:space="preserve"> Researchgate.net. Available at: </w:t>
      </w:r>
      <w:hyperlink r:id="rId15" w:tgtFrame="_new" w:history="1">
        <w:r w:rsidRPr="006C28BE">
          <w:rPr>
            <w:rStyle w:val="Hyperlink"/>
            <w:rFonts w:cs="Arial"/>
          </w:rPr>
          <w:t>https://www.researchgate.net/publication/358102602_The_Work_of_the_Future_Building_Better_Jobs_in_an_Age_of_Intelligent_Machines</w:t>
        </w:r>
      </w:hyperlink>
    </w:p>
    <w:p w:rsidR="000B0DDC" w:rsidRPr="006C28BE" w:rsidRDefault="000B0DDC" w:rsidP="000B0DDC">
      <w:pPr>
        <w:spacing w:line="360" w:lineRule="auto"/>
        <w:ind w:left="360"/>
        <w:jc w:val="both"/>
        <w:rPr>
          <w:rFonts w:cs="Arial"/>
        </w:rPr>
      </w:pPr>
      <w:r w:rsidRPr="006C28BE">
        <w:rPr>
          <w:rFonts w:cs="Arial"/>
        </w:rPr>
        <w:t xml:space="preserve">Azungah, T., 2018. Qualitative research: deductive and inductive approaches to data analysis. </w:t>
      </w:r>
      <w:r w:rsidRPr="006C28BE">
        <w:rPr>
          <w:rFonts w:cs="Arial"/>
          <w:i/>
          <w:iCs/>
        </w:rPr>
        <w:t>Qualitative research journal</w:t>
      </w:r>
      <w:r w:rsidRPr="006C28BE">
        <w:rPr>
          <w:rFonts w:cs="Arial"/>
        </w:rPr>
        <w:t xml:space="preserve">, 18(4), pp.383-400. Available at: </w:t>
      </w:r>
      <w:hyperlink r:id="rId16" w:tgtFrame="_new" w:history="1">
        <w:r w:rsidRPr="006C28BE">
          <w:rPr>
            <w:rStyle w:val="Hyperlink"/>
            <w:rFonts w:cs="Arial"/>
          </w:rPr>
          <w:t>https://www.emerald.com/insight/content/doi/10.1108/QRJ-D-18-00035/full/html</w:t>
        </w:r>
      </w:hyperlink>
    </w:p>
    <w:p w:rsidR="000B0DDC" w:rsidRPr="006C28BE" w:rsidRDefault="000B0DDC" w:rsidP="000B0DDC">
      <w:pPr>
        <w:spacing w:line="360" w:lineRule="auto"/>
        <w:ind w:left="360"/>
        <w:jc w:val="both"/>
        <w:rPr>
          <w:rFonts w:cs="Arial"/>
        </w:rPr>
      </w:pPr>
      <w:bookmarkStart w:id="95" w:name="_Hlk166323848"/>
      <w:r w:rsidRPr="006C28BE">
        <w:rPr>
          <w:rFonts w:cs="Arial"/>
        </w:rPr>
        <w:t xml:space="preserve">Bank of England. (2021) </w:t>
      </w:r>
      <w:r w:rsidRPr="006C28BE">
        <w:rPr>
          <w:rFonts w:cs="Arial"/>
          <w:i/>
          <w:iCs/>
        </w:rPr>
        <w:t>Report on Household Financial Stability</w:t>
      </w:r>
      <w:r w:rsidRPr="006C28BE">
        <w:rPr>
          <w:rFonts w:cs="Arial"/>
        </w:rPr>
        <w:t xml:space="preserve">. Available at: </w:t>
      </w:r>
      <w:hyperlink r:id="rId17" w:tgtFrame="_new" w:history="1">
        <w:r w:rsidRPr="006C28BE">
          <w:rPr>
            <w:rStyle w:val="Hyperlink"/>
            <w:rFonts w:cs="Arial"/>
          </w:rPr>
          <w:t>https://www.bankofengland.co.uk/</w:t>
        </w:r>
      </w:hyperlink>
    </w:p>
    <w:bookmarkEnd w:id="95"/>
    <w:p w:rsidR="000B0DDC" w:rsidRPr="006C28BE" w:rsidRDefault="000B0DDC" w:rsidP="000B0DDC">
      <w:pPr>
        <w:spacing w:line="360" w:lineRule="auto"/>
        <w:ind w:left="360"/>
        <w:jc w:val="both"/>
        <w:rPr>
          <w:rFonts w:cs="Arial"/>
          <w:color w:val="222222"/>
          <w:szCs w:val="24"/>
          <w:shd w:val="clear" w:color="auto" w:fill="FFFFFF"/>
        </w:rPr>
      </w:pPr>
      <w:r w:rsidRPr="006C28BE">
        <w:rPr>
          <w:rFonts w:cs="Arial"/>
          <w:color w:val="222222"/>
          <w:szCs w:val="24"/>
          <w:shd w:val="clear" w:color="auto" w:fill="FFFFFF"/>
        </w:rPr>
        <w:t>Bartels, C. and Waldenström, D., (2022). Inequality and top incomes. In </w:t>
      </w:r>
      <w:r w:rsidRPr="006C28BE">
        <w:rPr>
          <w:rFonts w:cs="Arial"/>
          <w:i/>
          <w:iCs/>
          <w:color w:val="222222"/>
          <w:szCs w:val="24"/>
          <w:shd w:val="clear" w:color="auto" w:fill="FFFFFF"/>
        </w:rPr>
        <w:t>Handbook of labor, human resources and population economics</w:t>
      </w:r>
      <w:r w:rsidRPr="006C28BE">
        <w:rPr>
          <w:rFonts w:cs="Arial"/>
          <w:color w:val="222222"/>
          <w:szCs w:val="24"/>
          <w:shd w:val="clear" w:color="auto" w:fill="FFFFFF"/>
        </w:rPr>
        <w:t> (pp. 1-28). Cham: Springer International Publishing.</w:t>
      </w:r>
    </w:p>
    <w:p w:rsidR="000B0DDC" w:rsidRPr="006C28BE" w:rsidRDefault="000B0DDC" w:rsidP="000B0DDC">
      <w:pPr>
        <w:spacing w:line="360" w:lineRule="auto"/>
        <w:ind w:left="360"/>
        <w:jc w:val="both"/>
        <w:rPr>
          <w:rFonts w:cs="Arial"/>
        </w:rPr>
      </w:pPr>
      <w:r w:rsidRPr="006C28BE">
        <w:rPr>
          <w:rFonts w:cs="Arial"/>
        </w:rPr>
        <w:t xml:space="preserve">Becker, J. (2019) </w:t>
      </w:r>
      <w:r w:rsidRPr="006C28BE">
        <w:rPr>
          <w:rFonts w:cs="Arial"/>
          <w:i/>
          <w:iCs/>
        </w:rPr>
        <w:t xml:space="preserve">Cultural backlash: </w:t>
      </w:r>
      <w:r w:rsidRPr="006C28BE">
        <w:rPr>
          <w:rFonts w:cs="Arial"/>
        </w:rPr>
        <w:t xml:space="preserve">Trump, Brexit, and authoritarian populism, Oup.com. Available at: </w:t>
      </w:r>
      <w:hyperlink r:id="rId18" w:tgtFrame="_new" w:history="1">
        <w:r w:rsidRPr="006C28BE">
          <w:rPr>
            <w:rStyle w:val="Hyperlink"/>
            <w:rFonts w:cs="Arial"/>
          </w:rPr>
          <w:t>https://academic.oup.com/ia/article-abstract/95/5/1168/5556763</w:t>
        </w:r>
      </w:hyperlink>
    </w:p>
    <w:p w:rsidR="000B0DDC" w:rsidRPr="006C28BE" w:rsidRDefault="000B0DDC" w:rsidP="000B0DDC">
      <w:pPr>
        <w:spacing w:line="360" w:lineRule="auto"/>
        <w:ind w:left="360"/>
        <w:jc w:val="both"/>
        <w:rPr>
          <w:rFonts w:cs="Arial"/>
        </w:rPr>
      </w:pPr>
      <w:r w:rsidRPr="006C28BE">
        <w:rPr>
          <w:rFonts w:cs="Arial"/>
        </w:rPr>
        <w:lastRenderedPageBreak/>
        <w:t>Bloomberg, L.D., 2022. Completing your qualitative dissertation</w:t>
      </w:r>
      <w:r w:rsidRPr="006C28BE">
        <w:rPr>
          <w:rFonts w:cs="Arial"/>
          <w:i/>
          <w:iCs/>
        </w:rPr>
        <w:t>: A road map from beginning to end</w:t>
      </w:r>
      <w:r w:rsidRPr="006C28BE">
        <w:rPr>
          <w:rFonts w:cs="Arial"/>
        </w:rPr>
        <w:t xml:space="preserve">. Available at: </w:t>
      </w:r>
      <w:hyperlink r:id="rId19" w:tgtFrame="_new" w:history="1">
        <w:r w:rsidRPr="006C28BE">
          <w:rPr>
            <w:rStyle w:val="Hyperlink"/>
            <w:rFonts w:cs="Arial"/>
          </w:rPr>
          <w:t>https://scholar.google.com/scholar?cites=10748451354312784699&amp;as_sdt=2005&amp;sciodt=0,5&amp;hl=en</w:t>
        </w:r>
      </w:hyperlink>
    </w:p>
    <w:p w:rsidR="000B0DDC" w:rsidRPr="006C28BE" w:rsidRDefault="000B0DDC" w:rsidP="000B0DDC">
      <w:pPr>
        <w:spacing w:line="360" w:lineRule="auto"/>
        <w:ind w:left="360"/>
        <w:jc w:val="both"/>
        <w:rPr>
          <w:rFonts w:cs="Arial"/>
        </w:rPr>
      </w:pPr>
      <w:r w:rsidRPr="006C28BE">
        <w:rPr>
          <w:rFonts w:cs="Arial"/>
        </w:rPr>
        <w:t xml:space="preserve">Boll, C., Leppin, J. and Reich, N. (2014) “Paternal childcare and parental leave policies: evidence from industrialized countries,” </w:t>
      </w:r>
      <w:r w:rsidRPr="006C28BE">
        <w:rPr>
          <w:rFonts w:cs="Arial"/>
          <w:i/>
          <w:iCs/>
        </w:rPr>
        <w:t>Review of economics of the household</w:t>
      </w:r>
      <w:r w:rsidRPr="006C28BE">
        <w:rPr>
          <w:rFonts w:cs="Arial"/>
        </w:rPr>
        <w:t>, 12(1), pp. 129–158. doi: 10.1007/s11150-013-9211-z.</w:t>
      </w:r>
    </w:p>
    <w:p w:rsidR="000B0DDC" w:rsidRPr="006C28BE" w:rsidRDefault="000B0DDC" w:rsidP="000B0DDC">
      <w:pPr>
        <w:spacing w:line="360" w:lineRule="auto"/>
        <w:ind w:left="360"/>
        <w:jc w:val="both"/>
        <w:rPr>
          <w:rFonts w:cs="Arial"/>
          <w:color w:val="222222"/>
          <w:szCs w:val="24"/>
          <w:shd w:val="clear" w:color="auto" w:fill="FFFFFF"/>
        </w:rPr>
      </w:pPr>
      <w:r w:rsidRPr="006C28BE">
        <w:rPr>
          <w:rFonts w:cs="Arial"/>
          <w:color w:val="222222"/>
          <w:szCs w:val="24"/>
          <w:shd w:val="clear" w:color="auto" w:fill="FFFFFF"/>
        </w:rPr>
        <w:t>Booth, P.M. and Rogobete, A., 2022. Taxing Families Fairly.</w:t>
      </w:r>
    </w:p>
    <w:p w:rsidR="000B0DDC" w:rsidRPr="006C28BE" w:rsidRDefault="000B0DDC" w:rsidP="000B0DDC">
      <w:pPr>
        <w:spacing w:line="360" w:lineRule="auto"/>
        <w:ind w:left="360"/>
        <w:jc w:val="both"/>
        <w:rPr>
          <w:rFonts w:cs="Arial"/>
          <w:color w:val="222222"/>
          <w:szCs w:val="24"/>
          <w:shd w:val="clear" w:color="auto" w:fill="FFFFFF"/>
        </w:rPr>
      </w:pPr>
      <w:r w:rsidRPr="006C28BE">
        <w:rPr>
          <w:rFonts w:cs="Arial"/>
          <w:color w:val="222222"/>
          <w:szCs w:val="24"/>
          <w:shd w:val="clear" w:color="auto" w:fill="FFFFFF"/>
        </w:rPr>
        <w:t>Brewer, M. and Gardiner, L., (2020). The initial impact of COVID-19 and policy responses on household incomes. </w:t>
      </w:r>
      <w:r w:rsidRPr="006C28BE">
        <w:rPr>
          <w:rFonts w:cs="Arial"/>
          <w:i/>
          <w:iCs/>
          <w:color w:val="222222"/>
          <w:szCs w:val="24"/>
          <w:shd w:val="clear" w:color="auto" w:fill="FFFFFF"/>
        </w:rPr>
        <w:t>Oxford Review of Economic Policy</w:t>
      </w:r>
      <w:r w:rsidRPr="006C28BE">
        <w:rPr>
          <w:rFonts w:cs="Arial"/>
          <w:color w:val="222222"/>
          <w:szCs w:val="24"/>
          <w:shd w:val="clear" w:color="auto" w:fill="FFFFFF"/>
        </w:rPr>
        <w:t>, </w:t>
      </w:r>
      <w:r w:rsidRPr="006C28BE">
        <w:rPr>
          <w:rFonts w:cs="Arial"/>
          <w:i/>
          <w:iCs/>
          <w:color w:val="222222"/>
          <w:szCs w:val="24"/>
          <w:shd w:val="clear" w:color="auto" w:fill="FFFFFF"/>
        </w:rPr>
        <w:t>36</w:t>
      </w:r>
      <w:r w:rsidRPr="006C28BE">
        <w:rPr>
          <w:rFonts w:cs="Arial"/>
          <w:color w:val="222222"/>
          <w:szCs w:val="24"/>
          <w:shd w:val="clear" w:color="auto" w:fill="FFFFFF"/>
        </w:rPr>
        <w:t>(Supplement_1), pp.S187-S199.</w:t>
      </w:r>
    </w:p>
    <w:p w:rsidR="000B0DDC" w:rsidRPr="006C28BE" w:rsidRDefault="000B0DDC" w:rsidP="000B0DDC">
      <w:pPr>
        <w:spacing w:line="360" w:lineRule="auto"/>
        <w:ind w:left="360"/>
        <w:jc w:val="both"/>
        <w:rPr>
          <w:rFonts w:cs="Arial"/>
        </w:rPr>
      </w:pPr>
      <w:r w:rsidRPr="006C28BE">
        <w:rPr>
          <w:rFonts w:cs="Arial"/>
        </w:rPr>
        <w:t xml:space="preserve">Carter, S., Andersen, C., Stagg, A. and Gaunt, L., 2023. An exploratory study: Using adapted interactive research design and contributive research method. </w:t>
      </w:r>
      <w:r w:rsidRPr="006C28BE">
        <w:rPr>
          <w:rFonts w:cs="Arial"/>
          <w:i/>
          <w:iCs/>
        </w:rPr>
        <w:t>The Journal of Academic Librarianship</w:t>
      </w:r>
      <w:r w:rsidRPr="006C28BE">
        <w:rPr>
          <w:rFonts w:cs="Arial"/>
        </w:rPr>
        <w:t>, 49(1), p.102620.</w:t>
      </w:r>
    </w:p>
    <w:p w:rsidR="000B0DDC" w:rsidRPr="006C28BE" w:rsidRDefault="000B0DDC" w:rsidP="000B0DDC">
      <w:pPr>
        <w:spacing w:line="360" w:lineRule="auto"/>
        <w:ind w:left="360"/>
        <w:jc w:val="both"/>
        <w:rPr>
          <w:rFonts w:cs="Arial"/>
        </w:rPr>
      </w:pPr>
      <w:r w:rsidRPr="006C28BE">
        <w:rPr>
          <w:rFonts w:cs="Arial"/>
        </w:rPr>
        <w:t xml:space="preserve">Chorzempa, M. (2022) </w:t>
      </w:r>
      <w:r w:rsidRPr="006C28BE">
        <w:rPr>
          <w:rFonts w:cs="Arial"/>
          <w:i/>
          <w:iCs/>
        </w:rPr>
        <w:t>The cashless revolution</w:t>
      </w:r>
      <w:r w:rsidRPr="006C28BE">
        <w:rPr>
          <w:rFonts w:cs="Arial"/>
        </w:rPr>
        <w:t>: China’s reinvention of money and the end of America’s domination of finance and technology</w:t>
      </w:r>
      <w:r w:rsidRPr="006C28BE">
        <w:rPr>
          <w:rFonts w:cs="Arial"/>
          <w:i/>
          <w:iCs/>
        </w:rPr>
        <w:t>.</w:t>
      </w:r>
      <w:r w:rsidRPr="006C28BE">
        <w:rPr>
          <w:rFonts w:cs="Arial"/>
        </w:rPr>
        <w:t xml:space="preserve"> </w:t>
      </w:r>
      <w:r w:rsidRPr="006C28BE">
        <w:rPr>
          <w:rFonts w:cs="Arial"/>
          <w:i/>
          <w:iCs/>
        </w:rPr>
        <w:t>Hachette UK</w:t>
      </w:r>
      <w:r w:rsidRPr="006C28BE">
        <w:rPr>
          <w:rFonts w:cs="Arial"/>
        </w:rPr>
        <w:t>.</w:t>
      </w:r>
    </w:p>
    <w:p w:rsidR="000B0DDC" w:rsidRPr="006C28BE" w:rsidRDefault="000B0DDC" w:rsidP="000B0DDC">
      <w:pPr>
        <w:spacing w:line="360" w:lineRule="auto"/>
        <w:ind w:left="360"/>
        <w:jc w:val="both"/>
        <w:rPr>
          <w:rFonts w:cs="Arial"/>
          <w:color w:val="222222"/>
          <w:szCs w:val="24"/>
          <w:shd w:val="clear" w:color="auto" w:fill="FFFFFF"/>
        </w:rPr>
      </w:pPr>
      <w:r w:rsidRPr="006C28BE">
        <w:rPr>
          <w:rFonts w:cs="Arial"/>
          <w:color w:val="222222"/>
          <w:szCs w:val="24"/>
          <w:shd w:val="clear" w:color="auto" w:fill="FFFFFF"/>
        </w:rPr>
        <w:t>Chung, H., Seo, H., Birkett, H. and Forbes, S., (2022). Working from Home and the Division of Childcare and Housework among Dual-Earner Parents during the Pandemic in the UK. </w:t>
      </w:r>
      <w:r w:rsidRPr="006C28BE">
        <w:rPr>
          <w:rFonts w:cs="Arial"/>
          <w:i/>
          <w:iCs/>
          <w:color w:val="222222"/>
          <w:szCs w:val="24"/>
          <w:shd w:val="clear" w:color="auto" w:fill="FFFFFF"/>
        </w:rPr>
        <w:t>Merits</w:t>
      </w:r>
      <w:r w:rsidRPr="006C28BE">
        <w:rPr>
          <w:rFonts w:cs="Arial"/>
          <w:color w:val="222222"/>
          <w:szCs w:val="24"/>
          <w:shd w:val="clear" w:color="auto" w:fill="FFFFFF"/>
        </w:rPr>
        <w:t>, </w:t>
      </w:r>
      <w:r w:rsidRPr="006C28BE">
        <w:rPr>
          <w:rFonts w:cs="Arial"/>
          <w:i/>
          <w:iCs/>
          <w:color w:val="222222"/>
          <w:szCs w:val="24"/>
          <w:shd w:val="clear" w:color="auto" w:fill="FFFFFF"/>
        </w:rPr>
        <w:t>2</w:t>
      </w:r>
      <w:r w:rsidRPr="006C28BE">
        <w:rPr>
          <w:rFonts w:cs="Arial"/>
          <w:color w:val="222222"/>
          <w:szCs w:val="24"/>
          <w:shd w:val="clear" w:color="auto" w:fill="FFFFFF"/>
        </w:rPr>
        <w:t>(4), pp.270-292.</w:t>
      </w:r>
    </w:p>
    <w:p w:rsidR="000B0DDC" w:rsidRPr="006C28BE" w:rsidRDefault="000B0DDC" w:rsidP="000B0DDC">
      <w:pPr>
        <w:spacing w:line="360" w:lineRule="auto"/>
        <w:ind w:left="360"/>
        <w:jc w:val="both"/>
        <w:rPr>
          <w:rFonts w:cs="Arial"/>
        </w:rPr>
      </w:pPr>
      <w:r w:rsidRPr="006C28BE">
        <w:rPr>
          <w:rFonts w:cs="Arial"/>
        </w:rPr>
        <w:t xml:space="preserve">Claar, V. (2019) </w:t>
      </w:r>
      <w:r w:rsidRPr="006C28BE">
        <w:rPr>
          <w:rFonts w:cs="Arial"/>
          <w:i/>
          <w:iCs/>
        </w:rPr>
        <w:t>The Keynesian Revolution and Our Empty Economy: We’re All Dead</w:t>
      </w:r>
      <w:r w:rsidRPr="006C28BE">
        <w:rPr>
          <w:rFonts w:cs="Arial"/>
        </w:rPr>
        <w:t xml:space="preserve">, Researchgate.net. Available at: </w:t>
      </w:r>
      <w:hyperlink r:id="rId20" w:tgtFrame="_new" w:history="1">
        <w:r w:rsidRPr="006C28BE">
          <w:rPr>
            <w:rStyle w:val="Hyperlink"/>
            <w:rFonts w:cs="Arial"/>
          </w:rPr>
          <w:t>https://www.researchgate.net/publication/332257275_The_Keynesian_Revolution_and_Our_Empty_Economy_We're_All_Dead</w:t>
        </w:r>
      </w:hyperlink>
    </w:p>
    <w:p w:rsidR="000B0DDC" w:rsidRPr="006C28BE" w:rsidRDefault="000B0DDC" w:rsidP="000B0DDC">
      <w:pPr>
        <w:spacing w:line="360" w:lineRule="auto"/>
        <w:ind w:left="360"/>
        <w:jc w:val="both"/>
        <w:rPr>
          <w:rFonts w:cs="Arial"/>
        </w:rPr>
      </w:pPr>
      <w:r w:rsidRPr="006C28BE">
        <w:rPr>
          <w:rFonts w:cs="Arial"/>
        </w:rPr>
        <w:t xml:space="preserve">Claar, V. V. and Forster, G. (2019) </w:t>
      </w:r>
      <w:r w:rsidRPr="006C28BE">
        <w:rPr>
          <w:rFonts w:cs="Arial"/>
          <w:i/>
          <w:iCs/>
        </w:rPr>
        <w:t>The Keynesian revolution and our empty economy: We’re all dead</w:t>
      </w:r>
      <w:r w:rsidRPr="006C28BE">
        <w:rPr>
          <w:rFonts w:cs="Arial"/>
        </w:rPr>
        <w:t>. Cham: Springer International Publishing.</w:t>
      </w:r>
    </w:p>
    <w:p w:rsidR="000B0DDC" w:rsidRPr="006C28BE" w:rsidRDefault="000B0DDC" w:rsidP="000B0DDC">
      <w:pPr>
        <w:spacing w:line="360" w:lineRule="auto"/>
        <w:ind w:left="360"/>
        <w:jc w:val="both"/>
        <w:rPr>
          <w:rFonts w:cs="Arial"/>
        </w:rPr>
      </w:pPr>
      <w:r w:rsidRPr="006C28BE">
        <w:rPr>
          <w:rFonts w:cs="Arial"/>
        </w:rPr>
        <w:t xml:space="preserve">Collier, P. and Kay, J. (2020) </w:t>
      </w:r>
      <w:r w:rsidRPr="006C28BE">
        <w:rPr>
          <w:rFonts w:cs="Arial"/>
          <w:i/>
          <w:iCs/>
        </w:rPr>
        <w:t>Greed is dead: Politics after individualism</w:t>
      </w:r>
      <w:r w:rsidRPr="006C28BE">
        <w:rPr>
          <w:rFonts w:cs="Arial"/>
        </w:rPr>
        <w:t>. Penguin UK.</w:t>
      </w:r>
    </w:p>
    <w:p w:rsidR="000B0DDC" w:rsidRPr="006C28BE" w:rsidRDefault="000B0DDC" w:rsidP="000B0DDC">
      <w:pPr>
        <w:spacing w:line="360" w:lineRule="auto"/>
        <w:ind w:left="360"/>
        <w:jc w:val="both"/>
        <w:rPr>
          <w:rFonts w:cs="Arial"/>
          <w:color w:val="222222"/>
          <w:szCs w:val="24"/>
          <w:shd w:val="clear" w:color="auto" w:fill="FFFFFF"/>
        </w:rPr>
      </w:pPr>
      <w:r w:rsidRPr="006C28BE">
        <w:rPr>
          <w:rFonts w:cs="Arial"/>
          <w:color w:val="222222"/>
          <w:szCs w:val="24"/>
          <w:shd w:val="clear" w:color="auto" w:fill="FFFFFF"/>
        </w:rPr>
        <w:t>Cooper, K. and Stewart, K., (2021). Does household income affect children’s outcomes? A systematic review of the evidence. </w:t>
      </w:r>
      <w:r w:rsidRPr="006C28BE">
        <w:rPr>
          <w:rFonts w:cs="Arial"/>
          <w:i/>
          <w:iCs/>
          <w:color w:val="222222"/>
          <w:szCs w:val="24"/>
          <w:shd w:val="clear" w:color="auto" w:fill="FFFFFF"/>
        </w:rPr>
        <w:t>Child Indicators Research</w:t>
      </w:r>
      <w:r w:rsidRPr="006C28BE">
        <w:rPr>
          <w:rFonts w:cs="Arial"/>
          <w:color w:val="222222"/>
          <w:szCs w:val="24"/>
          <w:shd w:val="clear" w:color="auto" w:fill="FFFFFF"/>
        </w:rPr>
        <w:t>, </w:t>
      </w:r>
      <w:r w:rsidRPr="006C28BE">
        <w:rPr>
          <w:rFonts w:cs="Arial"/>
          <w:i/>
          <w:iCs/>
          <w:color w:val="222222"/>
          <w:szCs w:val="24"/>
          <w:shd w:val="clear" w:color="auto" w:fill="FFFFFF"/>
        </w:rPr>
        <w:t>14</w:t>
      </w:r>
      <w:r w:rsidRPr="006C28BE">
        <w:rPr>
          <w:rFonts w:cs="Arial"/>
          <w:color w:val="222222"/>
          <w:szCs w:val="24"/>
          <w:shd w:val="clear" w:color="auto" w:fill="FFFFFF"/>
        </w:rPr>
        <w:t>(3), pp.981-1005.</w:t>
      </w:r>
    </w:p>
    <w:p w:rsidR="000B0DDC" w:rsidRPr="00401B50" w:rsidRDefault="000B0DDC" w:rsidP="000B0DDC">
      <w:pPr>
        <w:spacing w:line="360" w:lineRule="auto"/>
        <w:ind w:left="360"/>
        <w:jc w:val="both"/>
        <w:rPr>
          <w:rFonts w:cs="Arial"/>
          <w:color w:val="222222"/>
          <w:szCs w:val="24"/>
          <w:shd w:val="clear" w:color="auto" w:fill="FFFFFF"/>
          <w:lang w:val="en-IN"/>
        </w:rPr>
      </w:pPr>
      <w:r w:rsidRPr="00401B50">
        <w:rPr>
          <w:rFonts w:cs="Arial"/>
          <w:color w:val="222222"/>
          <w:szCs w:val="24"/>
          <w:shd w:val="clear" w:color="auto" w:fill="FFFFFF"/>
          <w:lang w:val="en-IN"/>
        </w:rPr>
        <w:lastRenderedPageBreak/>
        <w:t xml:space="preserve">Croal, P. (2022) </w:t>
      </w:r>
      <w:r w:rsidRPr="00401B50">
        <w:rPr>
          <w:rFonts w:cs="Arial"/>
          <w:i/>
          <w:iCs/>
          <w:color w:val="222222"/>
          <w:szCs w:val="24"/>
          <w:shd w:val="clear" w:color="auto" w:fill="FFFFFF"/>
          <w:lang w:val="en-IN"/>
        </w:rPr>
        <w:t>Average household income, UK: Financial year ending 2021</w:t>
      </w:r>
      <w:r w:rsidRPr="00401B50">
        <w:rPr>
          <w:rFonts w:cs="Arial"/>
          <w:color w:val="222222"/>
          <w:szCs w:val="24"/>
          <w:shd w:val="clear" w:color="auto" w:fill="FFFFFF"/>
          <w:lang w:val="en-IN"/>
        </w:rPr>
        <w:t xml:space="preserve">, </w:t>
      </w:r>
      <w:r w:rsidRPr="00401B50">
        <w:rPr>
          <w:rFonts w:cs="Arial"/>
          <w:i/>
          <w:iCs/>
          <w:color w:val="222222"/>
          <w:szCs w:val="24"/>
          <w:shd w:val="clear" w:color="auto" w:fill="FFFFFF"/>
          <w:lang w:val="en-IN"/>
        </w:rPr>
        <w:t>Average household income, UK - Office for National Statistics</w:t>
      </w:r>
      <w:r w:rsidRPr="00401B50">
        <w:rPr>
          <w:rFonts w:cs="Arial"/>
          <w:color w:val="222222"/>
          <w:szCs w:val="24"/>
          <w:shd w:val="clear" w:color="auto" w:fill="FFFFFF"/>
          <w:lang w:val="en-IN"/>
        </w:rPr>
        <w:t xml:space="preserve">. Available at: https://www.ons.gov.uk/peoplepopulationandcommunity/personalandhouseholdfinances/incomeandwealth/bulletins/householddisposableincomeandinequality/financialyearending2021 (Accessed: 12 May 2024). </w:t>
      </w:r>
    </w:p>
    <w:p w:rsidR="000B0DDC" w:rsidRPr="006C28BE" w:rsidRDefault="000B0DDC" w:rsidP="000B0DDC">
      <w:pPr>
        <w:spacing w:line="360" w:lineRule="auto"/>
        <w:ind w:left="360"/>
        <w:jc w:val="both"/>
        <w:rPr>
          <w:rFonts w:cs="Arial"/>
          <w:color w:val="222222"/>
          <w:szCs w:val="24"/>
          <w:shd w:val="clear" w:color="auto" w:fill="FFFFFF"/>
        </w:rPr>
      </w:pPr>
      <w:r w:rsidRPr="006C28BE">
        <w:rPr>
          <w:rFonts w:cs="Arial"/>
          <w:color w:val="222222"/>
          <w:szCs w:val="24"/>
          <w:shd w:val="clear" w:color="auto" w:fill="FFFFFF"/>
        </w:rPr>
        <w:t>Delestre, I., Kopczuk, W., Miller, H. and Smith, K., (2022). Top income inequality and tax polic</w:t>
      </w:r>
      <w:r w:rsidRPr="006C28BE">
        <w:rPr>
          <w:rFonts w:cs="Arial"/>
          <w:i/>
          <w:iCs/>
          <w:color w:val="222222"/>
          <w:szCs w:val="24"/>
          <w:shd w:val="clear" w:color="auto" w:fill="FFFFFF"/>
        </w:rPr>
        <w:t>y</w:t>
      </w:r>
      <w:r w:rsidRPr="006C28BE">
        <w:rPr>
          <w:rFonts w:cs="Arial"/>
          <w:color w:val="222222"/>
          <w:szCs w:val="24"/>
          <w:shd w:val="clear" w:color="auto" w:fill="FFFFFF"/>
        </w:rPr>
        <w:t xml:space="preserve"> (No. w30018). </w:t>
      </w:r>
      <w:r w:rsidRPr="006C28BE">
        <w:rPr>
          <w:rFonts w:cs="Arial"/>
          <w:i/>
          <w:iCs/>
          <w:color w:val="222222"/>
          <w:szCs w:val="24"/>
          <w:shd w:val="clear" w:color="auto" w:fill="FFFFFF"/>
        </w:rPr>
        <w:t>National Bureau of Economic Research</w:t>
      </w:r>
      <w:r w:rsidRPr="006C28BE">
        <w:rPr>
          <w:rFonts w:cs="Arial"/>
          <w:color w:val="222222"/>
          <w:szCs w:val="24"/>
          <w:shd w:val="clear" w:color="auto" w:fill="FFFFFF"/>
        </w:rPr>
        <w:t>.</w:t>
      </w:r>
    </w:p>
    <w:p w:rsidR="000B0DDC" w:rsidRPr="006C28BE" w:rsidRDefault="000B0DDC" w:rsidP="000B0DDC">
      <w:pPr>
        <w:spacing w:line="360" w:lineRule="auto"/>
        <w:ind w:left="360"/>
        <w:jc w:val="both"/>
        <w:rPr>
          <w:rFonts w:cs="Arial"/>
        </w:rPr>
      </w:pPr>
      <w:bookmarkStart w:id="96" w:name="_Hlk166324088"/>
      <w:r w:rsidRPr="006C28BE">
        <w:rPr>
          <w:rFonts w:cs="Arial"/>
        </w:rPr>
        <w:t xml:space="preserve">Economic Policy Institute. (2020) </w:t>
      </w:r>
      <w:r w:rsidRPr="006C28BE">
        <w:rPr>
          <w:rFonts w:cs="Arial"/>
          <w:i/>
          <w:iCs/>
        </w:rPr>
        <w:t>The Impact of Dual-Income Households on Economic Stability.</w:t>
      </w:r>
      <w:r w:rsidRPr="006C28BE">
        <w:rPr>
          <w:rFonts w:cs="Arial"/>
        </w:rPr>
        <w:t xml:space="preserve"> Available at: </w:t>
      </w:r>
      <w:hyperlink r:id="rId21" w:tgtFrame="_new" w:history="1">
        <w:r w:rsidRPr="006C28BE">
          <w:rPr>
            <w:rStyle w:val="Hyperlink"/>
            <w:rFonts w:cs="Arial"/>
          </w:rPr>
          <w:t>http://www.epi.org/</w:t>
        </w:r>
      </w:hyperlink>
    </w:p>
    <w:bookmarkEnd w:id="96"/>
    <w:p w:rsidR="000B0DDC" w:rsidRPr="006C28BE" w:rsidRDefault="000B0DDC" w:rsidP="000B0DDC">
      <w:pPr>
        <w:spacing w:line="360" w:lineRule="auto"/>
        <w:ind w:left="360"/>
        <w:jc w:val="both"/>
        <w:rPr>
          <w:rFonts w:cs="Arial"/>
        </w:rPr>
      </w:pPr>
      <w:r w:rsidRPr="006C28BE">
        <w:rPr>
          <w:rFonts w:cs="Arial"/>
        </w:rPr>
        <w:t>Equality and Human Rights Commission. (2021) Shared Parental Leave: Uptake and Impact</w:t>
      </w:r>
      <w:r w:rsidRPr="006C28BE">
        <w:rPr>
          <w:rFonts w:cs="Arial"/>
          <w:i/>
          <w:iCs/>
        </w:rPr>
        <w:t>.</w:t>
      </w:r>
      <w:r w:rsidRPr="006C28BE">
        <w:rPr>
          <w:rFonts w:cs="Arial"/>
        </w:rPr>
        <w:t xml:space="preserve"> Available at: </w:t>
      </w:r>
      <w:hyperlink r:id="rId22" w:tgtFrame="_new" w:history="1">
        <w:r w:rsidRPr="006C28BE">
          <w:rPr>
            <w:rStyle w:val="Hyperlink"/>
            <w:rFonts w:cs="Arial"/>
          </w:rPr>
          <w:t>https://www.equalityhumanrights.com/</w:t>
        </w:r>
      </w:hyperlink>
    </w:p>
    <w:p w:rsidR="000B0DDC" w:rsidRPr="006C28BE" w:rsidRDefault="000B0DDC" w:rsidP="000B0DDC">
      <w:pPr>
        <w:spacing w:line="360" w:lineRule="auto"/>
        <w:ind w:left="360"/>
        <w:jc w:val="both"/>
        <w:rPr>
          <w:rFonts w:cs="Arial"/>
        </w:rPr>
      </w:pPr>
      <w:r w:rsidRPr="006C28BE">
        <w:rPr>
          <w:rFonts w:cs="Arial"/>
        </w:rPr>
        <w:t xml:space="preserve">Ferragina, E. et al. (2023) “Understanding public attitudes during Covid-19 in France with Polanyi and Gramsci: a political economy of an epidemiological and economic disaster,” </w:t>
      </w:r>
      <w:r w:rsidRPr="006C28BE">
        <w:rPr>
          <w:rFonts w:cs="Arial"/>
          <w:i/>
          <w:iCs/>
        </w:rPr>
        <w:t>Comparative European politics</w:t>
      </w:r>
      <w:r w:rsidRPr="006C28BE">
        <w:rPr>
          <w:rFonts w:cs="Arial"/>
        </w:rPr>
        <w:t>. doi: 10.1057/s41295-023-00369-x.</w:t>
      </w:r>
    </w:p>
    <w:p w:rsidR="000B0DDC" w:rsidRPr="006C28BE" w:rsidRDefault="000B0DDC" w:rsidP="000B0DDC">
      <w:pPr>
        <w:spacing w:line="360" w:lineRule="auto"/>
        <w:ind w:left="360"/>
        <w:jc w:val="both"/>
        <w:rPr>
          <w:rFonts w:cs="Arial"/>
          <w:color w:val="222222"/>
          <w:szCs w:val="24"/>
          <w:shd w:val="clear" w:color="auto" w:fill="FFFFFF"/>
        </w:rPr>
      </w:pPr>
      <w:r w:rsidRPr="006C28BE">
        <w:rPr>
          <w:rFonts w:cs="Arial"/>
          <w:color w:val="222222"/>
          <w:szCs w:val="24"/>
          <w:shd w:val="clear" w:color="auto" w:fill="FFFFFF"/>
        </w:rPr>
        <w:t>Fischer, G. and Strauss, R. eds., (2021). </w:t>
      </w:r>
      <w:r w:rsidRPr="006C28BE">
        <w:rPr>
          <w:rFonts w:cs="Arial"/>
          <w:i/>
          <w:iCs/>
          <w:color w:val="222222"/>
          <w:szCs w:val="24"/>
          <w:shd w:val="clear" w:color="auto" w:fill="FFFFFF"/>
        </w:rPr>
        <w:t>Europe's Income, Wealth, Consumption, and Inequality</w:t>
      </w:r>
      <w:r w:rsidRPr="006C28BE">
        <w:rPr>
          <w:rFonts w:cs="Arial"/>
          <w:color w:val="222222"/>
          <w:szCs w:val="24"/>
          <w:shd w:val="clear" w:color="auto" w:fill="FFFFFF"/>
        </w:rPr>
        <w:t>. International Policy Exchange.</w:t>
      </w:r>
    </w:p>
    <w:p w:rsidR="000B0DDC" w:rsidRPr="006C28BE" w:rsidRDefault="000B0DDC" w:rsidP="000B0DDC">
      <w:pPr>
        <w:spacing w:line="360" w:lineRule="auto"/>
        <w:ind w:left="360"/>
        <w:jc w:val="both"/>
        <w:rPr>
          <w:rFonts w:cs="Arial"/>
        </w:rPr>
      </w:pPr>
      <w:r w:rsidRPr="006C28BE">
        <w:rPr>
          <w:rFonts w:cs="Arial"/>
        </w:rPr>
        <w:t xml:space="preserve">Friedline, T. (2022) “Doubling down on racial capitalism during COVID-19: Qualitative interviews with bank employees,” </w:t>
      </w:r>
      <w:r w:rsidRPr="006C28BE">
        <w:rPr>
          <w:rFonts w:cs="Arial"/>
          <w:i/>
          <w:iCs/>
        </w:rPr>
        <w:t>The annals of the American Academy of Political and Social Science</w:t>
      </w:r>
      <w:r w:rsidRPr="006C28BE">
        <w:rPr>
          <w:rFonts w:cs="Arial"/>
        </w:rPr>
        <w:t>, 698(1), pp. 163–184. doi: 10.1177/00027162211061277.</w:t>
      </w:r>
    </w:p>
    <w:p w:rsidR="000B0DDC" w:rsidRPr="006C28BE" w:rsidRDefault="000B0DDC" w:rsidP="000B0DDC">
      <w:pPr>
        <w:spacing w:line="360" w:lineRule="auto"/>
        <w:ind w:left="360"/>
        <w:jc w:val="both"/>
        <w:rPr>
          <w:rFonts w:cs="Arial"/>
        </w:rPr>
      </w:pPr>
      <w:r w:rsidRPr="006C28BE">
        <w:rPr>
          <w:rFonts w:cs="Arial"/>
        </w:rPr>
        <w:t xml:space="preserve">Friedline, T. et al. (2021) “Doubling down on racial capitalism during COVID-19: Qualitative interviews with bank employees,” </w:t>
      </w:r>
      <w:r w:rsidRPr="006C28BE">
        <w:rPr>
          <w:rFonts w:cs="Arial"/>
          <w:i/>
          <w:iCs/>
        </w:rPr>
        <w:t>The annals of the American Academy of Political and Social Science</w:t>
      </w:r>
      <w:r w:rsidRPr="006C28BE">
        <w:rPr>
          <w:rFonts w:cs="Arial"/>
        </w:rPr>
        <w:t>, 698(1), pp. 163–184. doi: 10.1177/00027162211061277.</w:t>
      </w:r>
    </w:p>
    <w:p w:rsidR="000B0DDC" w:rsidRPr="006C28BE" w:rsidRDefault="000B0DDC" w:rsidP="000B0DDC">
      <w:pPr>
        <w:spacing w:line="360" w:lineRule="auto"/>
        <w:ind w:left="360"/>
        <w:jc w:val="both"/>
        <w:rPr>
          <w:rFonts w:cs="Arial"/>
        </w:rPr>
      </w:pPr>
      <w:r w:rsidRPr="006C28BE">
        <w:rPr>
          <w:rFonts w:cs="Arial"/>
        </w:rPr>
        <w:t xml:space="preserve">Geismer (2022) </w:t>
      </w:r>
      <w:r w:rsidRPr="006C28BE">
        <w:rPr>
          <w:rFonts w:cs="Arial"/>
          <w:i/>
          <w:iCs/>
        </w:rPr>
        <w:t>Left behind: the Democrats’ failed attempt to solve inequality,</w:t>
      </w:r>
      <w:r w:rsidRPr="006C28BE">
        <w:rPr>
          <w:rFonts w:cs="Arial"/>
        </w:rPr>
        <w:t xml:space="preserve"> Wwu.edu. Available at: </w:t>
      </w:r>
      <w:hyperlink r:id="rId23" w:tgtFrame="_new" w:history="1">
        <w:r w:rsidRPr="006C28BE">
          <w:rPr>
            <w:rStyle w:val="Hyperlink"/>
            <w:rFonts w:cs="Arial"/>
          </w:rPr>
          <w:t>https://library.wwu.edu/left-behind-democrats-failed-attempt-solve-inequality</w:t>
        </w:r>
      </w:hyperlink>
    </w:p>
    <w:p w:rsidR="000B0DDC" w:rsidRPr="006C28BE" w:rsidRDefault="000B0DDC" w:rsidP="000B0DDC">
      <w:pPr>
        <w:spacing w:line="360" w:lineRule="auto"/>
        <w:ind w:left="360"/>
        <w:jc w:val="both"/>
        <w:rPr>
          <w:rFonts w:cs="Arial"/>
        </w:rPr>
      </w:pPr>
      <w:r w:rsidRPr="006C28BE">
        <w:rPr>
          <w:rFonts w:cs="Arial"/>
        </w:rPr>
        <w:t xml:space="preserve">Geronimus, A. (2023a) </w:t>
      </w:r>
      <w:r w:rsidRPr="006C28BE">
        <w:rPr>
          <w:rFonts w:cs="Arial"/>
          <w:i/>
          <w:iCs/>
        </w:rPr>
        <w:t>Weathering: The Extraordinary Stress of Ordinary Life on the Body in an Unjust Society</w:t>
      </w:r>
      <w:r w:rsidRPr="006C28BE">
        <w:rPr>
          <w:rFonts w:cs="Arial"/>
        </w:rPr>
        <w:t xml:space="preserve">, Amazon.co.uk. Available at: </w:t>
      </w:r>
      <w:hyperlink r:id="rId24" w:tgtFrame="_new" w:history="1">
        <w:r w:rsidRPr="006C28BE">
          <w:rPr>
            <w:rStyle w:val="Hyperlink"/>
            <w:rFonts w:cs="Arial"/>
          </w:rPr>
          <w:t>https://www.amazon.co.uk/Weathering-How-Injustice-Breaks-Bodies/dp/0349015163</w:t>
        </w:r>
      </w:hyperlink>
    </w:p>
    <w:p w:rsidR="000B0DDC" w:rsidRPr="006C28BE" w:rsidRDefault="000B0DDC" w:rsidP="000B0DDC">
      <w:pPr>
        <w:spacing w:line="360" w:lineRule="auto"/>
        <w:ind w:left="360"/>
        <w:jc w:val="both"/>
        <w:rPr>
          <w:rFonts w:cs="Arial"/>
        </w:rPr>
      </w:pPr>
      <w:r w:rsidRPr="006C28BE">
        <w:rPr>
          <w:rFonts w:cs="Arial"/>
        </w:rPr>
        <w:lastRenderedPageBreak/>
        <w:t xml:space="preserve">Geronimus, A. (2023b) </w:t>
      </w:r>
      <w:r w:rsidRPr="006C28BE">
        <w:rPr>
          <w:rFonts w:cs="Arial"/>
          <w:i/>
          <w:iCs/>
        </w:rPr>
        <w:t>Weathering: The extraordinary stress of ordinary life on the body in an unjust society</w:t>
      </w:r>
      <w:r w:rsidRPr="006C28BE">
        <w:rPr>
          <w:rFonts w:cs="Arial"/>
        </w:rPr>
        <w:t>. London, England: Virago Press.</w:t>
      </w:r>
    </w:p>
    <w:p w:rsidR="000B0DDC" w:rsidRPr="006C28BE" w:rsidRDefault="000B0DDC" w:rsidP="000B0DDC">
      <w:pPr>
        <w:spacing w:line="360" w:lineRule="auto"/>
        <w:ind w:left="360"/>
        <w:jc w:val="both"/>
        <w:rPr>
          <w:rFonts w:cs="Arial"/>
        </w:rPr>
      </w:pPr>
      <w:r w:rsidRPr="006C28BE">
        <w:rPr>
          <w:rFonts w:cs="Arial"/>
        </w:rPr>
        <w:t xml:space="preserve">Griffin-Gracy, M. M. (2023) Buy Miss Major Speaks: Conversations with a Black Trans Revolutionary book online at low prices in India, Amazon.in. Available at: </w:t>
      </w:r>
      <w:hyperlink r:id="rId25" w:tgtFrame="_new" w:history="1">
        <w:r w:rsidRPr="006C28BE">
          <w:rPr>
            <w:rStyle w:val="Hyperlink"/>
            <w:rFonts w:cs="Arial"/>
          </w:rPr>
          <w:t>https://www.amazon.in/Miss-Major-Speaks-Times-Revolutionary/dp/1839763345</w:t>
        </w:r>
      </w:hyperlink>
    </w:p>
    <w:p w:rsidR="000B0DDC" w:rsidRPr="006C28BE" w:rsidRDefault="000B0DDC" w:rsidP="000B0DDC">
      <w:pPr>
        <w:spacing w:line="360" w:lineRule="auto"/>
        <w:ind w:left="360"/>
        <w:jc w:val="both"/>
        <w:rPr>
          <w:rFonts w:cs="Arial"/>
          <w:color w:val="222222"/>
          <w:szCs w:val="24"/>
          <w:shd w:val="clear" w:color="auto" w:fill="FFFFFF"/>
        </w:rPr>
      </w:pPr>
      <w:r w:rsidRPr="006C28BE">
        <w:rPr>
          <w:rFonts w:cs="Arial"/>
          <w:color w:val="222222"/>
          <w:szCs w:val="24"/>
          <w:shd w:val="clear" w:color="auto" w:fill="FFFFFF"/>
        </w:rPr>
        <w:t>Grotti, R., (2020). </w:t>
      </w:r>
      <w:r w:rsidRPr="006C28BE">
        <w:rPr>
          <w:rFonts w:cs="Arial"/>
          <w:i/>
          <w:iCs/>
          <w:color w:val="222222"/>
          <w:szCs w:val="24"/>
          <w:shd w:val="clear" w:color="auto" w:fill="FFFFFF"/>
        </w:rPr>
        <w:t>Economic Inequality and the Household: Household changes and the role of welfare institutions across countries</w:t>
      </w:r>
      <w:r w:rsidRPr="006C28BE">
        <w:rPr>
          <w:rFonts w:cs="Arial"/>
          <w:color w:val="222222"/>
          <w:szCs w:val="24"/>
          <w:shd w:val="clear" w:color="auto" w:fill="FFFFFF"/>
        </w:rPr>
        <w:t>. Ledizioni.</w:t>
      </w:r>
    </w:p>
    <w:p w:rsidR="000B0DDC" w:rsidRPr="006C28BE" w:rsidRDefault="000B0DDC" w:rsidP="000B0DDC">
      <w:pPr>
        <w:spacing w:line="360" w:lineRule="auto"/>
        <w:ind w:left="360"/>
        <w:jc w:val="both"/>
        <w:rPr>
          <w:rFonts w:cs="Arial"/>
        </w:rPr>
      </w:pPr>
      <w:r w:rsidRPr="006C28BE">
        <w:rPr>
          <w:rFonts w:cs="Arial"/>
        </w:rPr>
        <w:t xml:space="preserve">Guendelsberger, E. (2019) On the clock: What Low-Wage Work Did to Me and How It Drives America Insane, Amazon.in. Available at: </w:t>
      </w:r>
      <w:hyperlink r:id="rId26" w:tgtFrame="_new" w:history="1">
        <w:r w:rsidRPr="006C28BE">
          <w:rPr>
            <w:rStyle w:val="Hyperlink"/>
            <w:rFonts w:cs="Arial"/>
          </w:rPr>
          <w:t>https://www.amazon.in/Clock-Low-Wage-Drives-America-Insane/dp/0316509000</w:t>
        </w:r>
      </w:hyperlink>
    </w:p>
    <w:p w:rsidR="000B0DDC" w:rsidRPr="006C28BE" w:rsidRDefault="000B0DDC" w:rsidP="000B0DDC">
      <w:pPr>
        <w:spacing w:line="360" w:lineRule="auto"/>
        <w:ind w:left="360"/>
        <w:jc w:val="both"/>
        <w:rPr>
          <w:rFonts w:cs="Arial"/>
          <w:color w:val="222222"/>
          <w:szCs w:val="24"/>
          <w:shd w:val="clear" w:color="auto" w:fill="FFFFFF"/>
        </w:rPr>
      </w:pPr>
      <w:r w:rsidRPr="006C28BE">
        <w:rPr>
          <w:rFonts w:cs="Arial"/>
          <w:color w:val="222222"/>
          <w:szCs w:val="24"/>
          <w:shd w:val="clear" w:color="auto" w:fill="FFFFFF"/>
        </w:rPr>
        <w:t>He, H., Li, S., Wang, S., Zhang, C. and Ma, F., (2023). Value of dual-credit policy: Evidence from green technology innovation efficiency. </w:t>
      </w:r>
      <w:r w:rsidRPr="006C28BE">
        <w:rPr>
          <w:rFonts w:cs="Arial"/>
          <w:i/>
          <w:iCs/>
          <w:color w:val="222222"/>
          <w:szCs w:val="24"/>
          <w:shd w:val="clear" w:color="auto" w:fill="FFFFFF"/>
        </w:rPr>
        <w:t>Transport Policy</w:t>
      </w:r>
      <w:r w:rsidRPr="006C28BE">
        <w:rPr>
          <w:rFonts w:cs="Arial"/>
          <w:color w:val="222222"/>
          <w:szCs w:val="24"/>
          <w:shd w:val="clear" w:color="auto" w:fill="FFFFFF"/>
        </w:rPr>
        <w:t>, </w:t>
      </w:r>
      <w:r w:rsidRPr="006C28BE">
        <w:rPr>
          <w:rFonts w:cs="Arial"/>
          <w:i/>
          <w:iCs/>
          <w:color w:val="222222"/>
          <w:szCs w:val="24"/>
          <w:shd w:val="clear" w:color="auto" w:fill="FFFFFF"/>
        </w:rPr>
        <w:t>139</w:t>
      </w:r>
      <w:r w:rsidRPr="006C28BE">
        <w:rPr>
          <w:rFonts w:cs="Arial"/>
          <w:color w:val="222222"/>
          <w:szCs w:val="24"/>
          <w:shd w:val="clear" w:color="auto" w:fill="FFFFFF"/>
        </w:rPr>
        <w:t>, pp.182-198.</w:t>
      </w:r>
    </w:p>
    <w:p w:rsidR="000B0DDC" w:rsidRPr="006C28BE" w:rsidRDefault="000B0DDC" w:rsidP="000B0DDC">
      <w:pPr>
        <w:spacing w:line="360" w:lineRule="auto"/>
        <w:ind w:left="360"/>
        <w:jc w:val="both"/>
        <w:rPr>
          <w:rFonts w:cs="Arial"/>
        </w:rPr>
      </w:pPr>
      <w:r w:rsidRPr="006C28BE">
        <w:rPr>
          <w:rFonts w:cs="Arial"/>
        </w:rPr>
        <w:t xml:space="preserve">Health and Safety Executive. (2022) Evaluation of Employee Assistance Programs. Available at: </w:t>
      </w:r>
      <w:hyperlink r:id="rId27" w:tgtFrame="_new" w:history="1">
        <w:r w:rsidRPr="006C28BE">
          <w:rPr>
            <w:rStyle w:val="Hyperlink"/>
            <w:rFonts w:cs="Arial"/>
          </w:rPr>
          <w:t>http://www.hse.gov.uk/</w:t>
        </w:r>
      </w:hyperlink>
    </w:p>
    <w:p w:rsidR="000B0DDC" w:rsidRPr="006C28BE" w:rsidRDefault="000B0DDC" w:rsidP="000B0DDC">
      <w:pPr>
        <w:spacing w:line="360" w:lineRule="auto"/>
        <w:ind w:left="360"/>
        <w:jc w:val="both"/>
        <w:rPr>
          <w:rFonts w:cs="Arial"/>
        </w:rPr>
      </w:pPr>
      <w:r w:rsidRPr="006C28BE">
        <w:rPr>
          <w:rFonts w:cs="Arial"/>
        </w:rPr>
        <w:t xml:space="preserve">Henderson, R. (2020) Reimagining Capitalism in a world on fire, Penguin.co.uk. Available at: </w:t>
      </w:r>
      <w:hyperlink r:id="rId28" w:tgtFrame="_new" w:history="1">
        <w:r w:rsidRPr="006C28BE">
          <w:rPr>
            <w:rStyle w:val="Hyperlink"/>
            <w:rFonts w:cs="Arial"/>
          </w:rPr>
          <w:t>https://www.penguin.co.uk/books/444562/reimagining-capitalism-in-a-world-on-fire-by-henderson-rebecca/9780241379684</w:t>
        </w:r>
      </w:hyperlink>
    </w:p>
    <w:p w:rsidR="000B0DDC" w:rsidRPr="006C28BE" w:rsidRDefault="000B0DDC" w:rsidP="000B0DDC">
      <w:pPr>
        <w:spacing w:line="360" w:lineRule="auto"/>
        <w:ind w:left="360"/>
        <w:jc w:val="both"/>
        <w:rPr>
          <w:rFonts w:cs="Arial"/>
        </w:rPr>
      </w:pPr>
      <w:r w:rsidRPr="006C28BE">
        <w:rPr>
          <w:rFonts w:cs="Arial"/>
        </w:rPr>
        <w:t xml:space="preserve">Hill, K. (2020) </w:t>
      </w:r>
      <w:r w:rsidRPr="006C28BE">
        <w:rPr>
          <w:rFonts w:cs="Arial"/>
          <w:i/>
          <w:iCs/>
        </w:rPr>
        <w:t>She will rise:</w:t>
      </w:r>
      <w:r w:rsidRPr="006C28BE">
        <w:rPr>
          <w:rFonts w:cs="Arial"/>
        </w:rPr>
        <w:t xml:space="preserve"> </w:t>
      </w:r>
      <w:r w:rsidRPr="006C28BE">
        <w:rPr>
          <w:rFonts w:cs="Arial"/>
          <w:i/>
          <w:iCs/>
        </w:rPr>
        <w:t>Becoming a warrior in the battle for true equality</w:t>
      </w:r>
      <w:r w:rsidRPr="006C28BE">
        <w:rPr>
          <w:rFonts w:cs="Arial"/>
        </w:rPr>
        <w:t>. Grand Central Publishing.</w:t>
      </w:r>
    </w:p>
    <w:p w:rsidR="000B0DDC" w:rsidRPr="006C28BE" w:rsidRDefault="000B0DDC" w:rsidP="000B0DDC">
      <w:pPr>
        <w:spacing w:line="360" w:lineRule="auto"/>
        <w:ind w:left="360"/>
        <w:jc w:val="both"/>
        <w:rPr>
          <w:rFonts w:cs="Arial"/>
        </w:rPr>
      </w:pPr>
      <w:r w:rsidRPr="006C28BE">
        <w:rPr>
          <w:rFonts w:cs="Arial"/>
        </w:rPr>
        <w:t xml:space="preserve">Huberfeld, N. (2023) </w:t>
      </w:r>
      <w:r w:rsidRPr="006C28BE">
        <w:rPr>
          <w:rFonts w:cs="Arial"/>
          <w:i/>
          <w:iCs/>
        </w:rPr>
        <w:t>High Stakes, Bad Odds: Health Laws and the Revived Federalism Revolution,</w:t>
      </w:r>
      <w:r w:rsidRPr="006C28BE">
        <w:rPr>
          <w:rFonts w:cs="Arial"/>
        </w:rPr>
        <w:t xml:space="preserve"> Ssrn.com. Available at: </w:t>
      </w:r>
      <w:hyperlink r:id="rId29" w:tgtFrame="_new" w:history="1">
        <w:r w:rsidRPr="006C28BE">
          <w:rPr>
            <w:rStyle w:val="Hyperlink"/>
            <w:rFonts w:cs="Arial"/>
          </w:rPr>
          <w:t>https://papers.ssrn.com/sol3/papers.cfm?abstract_id=4387667</w:t>
        </w:r>
      </w:hyperlink>
    </w:p>
    <w:p w:rsidR="000B0DDC" w:rsidRPr="006C28BE" w:rsidRDefault="000B0DDC" w:rsidP="000B0DDC">
      <w:pPr>
        <w:spacing w:line="360" w:lineRule="auto"/>
        <w:ind w:left="360"/>
        <w:jc w:val="both"/>
        <w:rPr>
          <w:rFonts w:cs="Arial"/>
        </w:rPr>
      </w:pPr>
      <w:r w:rsidRPr="006C28BE">
        <w:rPr>
          <w:rFonts w:cs="Arial"/>
        </w:rPr>
        <w:t xml:space="preserve">Institute for Fiscal Studies. (2023) </w:t>
      </w:r>
      <w:r w:rsidRPr="006C28BE">
        <w:rPr>
          <w:rFonts w:cs="Arial"/>
          <w:i/>
          <w:iCs/>
        </w:rPr>
        <w:t>Evaluation of Tax Breaks and Subsidies for Dual-Income Households.</w:t>
      </w:r>
      <w:r w:rsidRPr="006C28BE">
        <w:rPr>
          <w:rFonts w:cs="Arial"/>
        </w:rPr>
        <w:t xml:space="preserve"> Available at: </w:t>
      </w:r>
      <w:hyperlink r:id="rId30" w:tgtFrame="_new" w:history="1">
        <w:r w:rsidRPr="006C28BE">
          <w:rPr>
            <w:rStyle w:val="Hyperlink"/>
            <w:rFonts w:cs="Arial"/>
          </w:rPr>
          <w:t>https://www.ifs.org.uk/</w:t>
        </w:r>
      </w:hyperlink>
    </w:p>
    <w:p w:rsidR="000B0DDC" w:rsidRPr="006C28BE" w:rsidRDefault="000B0DDC" w:rsidP="000B0DDC">
      <w:pPr>
        <w:spacing w:line="360" w:lineRule="auto"/>
        <w:ind w:left="360"/>
        <w:jc w:val="both"/>
        <w:rPr>
          <w:rFonts w:cs="Arial"/>
          <w:i/>
          <w:iCs/>
          <w:color w:val="222222"/>
          <w:szCs w:val="24"/>
          <w:shd w:val="clear" w:color="auto" w:fill="FFFFFF"/>
        </w:rPr>
      </w:pPr>
      <w:r w:rsidRPr="006C28BE">
        <w:rPr>
          <w:rFonts w:cs="Arial"/>
          <w:color w:val="222222"/>
          <w:szCs w:val="24"/>
          <w:shd w:val="clear" w:color="auto" w:fill="FFFFFF"/>
        </w:rPr>
        <w:t>Irace, C.D.S., (2022</w:t>
      </w:r>
      <w:r w:rsidRPr="006C28BE">
        <w:rPr>
          <w:rFonts w:cs="Arial"/>
          <w:i/>
          <w:iCs/>
          <w:color w:val="222222"/>
          <w:szCs w:val="24"/>
          <w:shd w:val="clear" w:color="auto" w:fill="FFFFFF"/>
        </w:rPr>
        <w:t xml:space="preserve">). Mental health in dual-income families during COVID-19. </w:t>
      </w:r>
      <w:r w:rsidRPr="006C28BE">
        <w:rPr>
          <w:rFonts w:cs="Arial"/>
          <w:color w:val="222222"/>
          <w:szCs w:val="24"/>
          <w:shd w:val="clear" w:color="auto" w:fill="FFFFFF"/>
        </w:rPr>
        <w:t>American University.</w:t>
      </w:r>
    </w:p>
    <w:p w:rsidR="000B0DDC" w:rsidRPr="006C28BE" w:rsidRDefault="000B0DDC" w:rsidP="000B0DDC">
      <w:pPr>
        <w:spacing w:line="360" w:lineRule="auto"/>
        <w:ind w:left="360"/>
        <w:jc w:val="both"/>
        <w:rPr>
          <w:rFonts w:cs="Arial"/>
        </w:rPr>
      </w:pPr>
      <w:r w:rsidRPr="006C28BE">
        <w:rPr>
          <w:rFonts w:cs="Arial"/>
        </w:rPr>
        <w:t>Johnston, M.P., 2014. Secondary data analysis: A method of which the time has come. Qualitative and quantitative methods in libraries, 3(3), pp.619-626.</w:t>
      </w:r>
    </w:p>
    <w:p w:rsidR="000B0DDC" w:rsidRDefault="000B0DDC" w:rsidP="000B0DDC">
      <w:pPr>
        <w:spacing w:line="360" w:lineRule="auto"/>
        <w:ind w:left="360"/>
        <w:jc w:val="both"/>
        <w:rPr>
          <w:rFonts w:cs="Arial"/>
          <w:color w:val="222222"/>
          <w:szCs w:val="24"/>
          <w:shd w:val="clear" w:color="auto" w:fill="FFFFFF"/>
        </w:rPr>
      </w:pPr>
      <w:r w:rsidRPr="00E97305">
        <w:rPr>
          <w:rFonts w:cs="Arial"/>
          <w:color w:val="222222"/>
          <w:szCs w:val="24"/>
          <w:shd w:val="clear" w:color="auto" w:fill="FFFFFF"/>
        </w:rPr>
        <w:lastRenderedPageBreak/>
        <w:t xml:space="preserve">Jones, R. S., </w:t>
      </w:r>
      <w:r>
        <w:rPr>
          <w:rFonts w:cs="Arial"/>
          <w:color w:val="222222"/>
          <w:szCs w:val="24"/>
          <w:shd w:val="clear" w:color="auto" w:fill="FFFFFF"/>
        </w:rPr>
        <w:t>and</w:t>
      </w:r>
      <w:r w:rsidRPr="00E97305">
        <w:rPr>
          <w:rFonts w:cs="Arial"/>
          <w:color w:val="222222"/>
          <w:szCs w:val="24"/>
          <w:shd w:val="clear" w:color="auto" w:fill="FFFFFF"/>
        </w:rPr>
        <w:t xml:space="preserve"> Seitani, H. (2019). </w:t>
      </w:r>
      <w:r w:rsidRPr="001F28ED">
        <w:rPr>
          <w:rFonts w:cs="Arial"/>
          <w:i/>
          <w:iCs/>
          <w:color w:val="222222"/>
          <w:szCs w:val="24"/>
          <w:shd w:val="clear" w:color="auto" w:fill="FFFFFF"/>
        </w:rPr>
        <w:t>Labour market reform in Japan to cope with a shrinking and ageing population</w:t>
      </w:r>
      <w:r w:rsidRPr="00E97305">
        <w:rPr>
          <w:rFonts w:cs="Arial"/>
          <w:color w:val="222222"/>
          <w:szCs w:val="24"/>
          <w:shd w:val="clear" w:color="auto" w:fill="FFFFFF"/>
        </w:rPr>
        <w:t>.</w:t>
      </w:r>
    </w:p>
    <w:p w:rsidR="000B0DDC" w:rsidRPr="006C28BE" w:rsidRDefault="000B0DDC" w:rsidP="000B0DDC">
      <w:pPr>
        <w:spacing w:line="360" w:lineRule="auto"/>
        <w:ind w:left="360"/>
        <w:jc w:val="both"/>
        <w:rPr>
          <w:rFonts w:cs="Arial"/>
        </w:rPr>
      </w:pPr>
      <w:r w:rsidRPr="006C28BE">
        <w:rPr>
          <w:rFonts w:cs="Arial"/>
        </w:rPr>
        <w:t xml:space="preserve">Kamenetz (2022) </w:t>
      </w:r>
      <w:r w:rsidRPr="006C28BE">
        <w:rPr>
          <w:rFonts w:cs="Arial"/>
          <w:i/>
          <w:iCs/>
        </w:rPr>
        <w:t>The stolen year: how COVID changed children’s lives, and where we go now, Delta County Libraries</w:t>
      </w:r>
      <w:r w:rsidRPr="006C28BE">
        <w:rPr>
          <w:rFonts w:cs="Arial"/>
        </w:rPr>
        <w:t xml:space="preserve">. Available at: </w:t>
      </w:r>
      <w:hyperlink r:id="rId31" w:tgtFrame="_new" w:history="1">
        <w:r w:rsidRPr="006C28BE">
          <w:rPr>
            <w:rStyle w:val="Hyperlink"/>
            <w:rFonts w:cs="Arial"/>
          </w:rPr>
          <w:t>https://deltalibraries.marmot.org/GroupedWork/b2b8fe0c-9cc2-3dfa-66ad-51989b257fa0</w:t>
        </w:r>
      </w:hyperlink>
    </w:p>
    <w:p w:rsidR="000B0DDC" w:rsidRPr="006C28BE" w:rsidRDefault="000B0DDC" w:rsidP="000B0DDC">
      <w:pPr>
        <w:spacing w:line="360" w:lineRule="auto"/>
        <w:ind w:left="360"/>
        <w:jc w:val="both"/>
        <w:rPr>
          <w:rFonts w:cs="Arial"/>
        </w:rPr>
      </w:pPr>
      <w:r w:rsidRPr="006C28BE">
        <w:rPr>
          <w:rFonts w:cs="Arial"/>
        </w:rPr>
        <w:t>Kamenetz, A. (2022</w:t>
      </w:r>
      <w:r w:rsidRPr="006C28BE">
        <w:rPr>
          <w:rFonts w:cs="Arial"/>
          <w:i/>
          <w:iCs/>
        </w:rPr>
        <w:t>) The Stolen Year: How COVID Changed Children’s Lives, and Where We Go Now, Amazon.in</w:t>
      </w:r>
      <w:r w:rsidRPr="006C28BE">
        <w:rPr>
          <w:rFonts w:cs="Arial"/>
        </w:rPr>
        <w:t xml:space="preserve">. Available at: </w:t>
      </w:r>
      <w:hyperlink r:id="rId32" w:tgtFrame="_new" w:history="1">
        <w:r w:rsidRPr="006C28BE">
          <w:rPr>
            <w:rStyle w:val="Hyperlink"/>
            <w:rFonts w:cs="Arial"/>
          </w:rPr>
          <w:t>https://www.amazon.in/Stolen-Year-COVID-Changed-Childrens/dp/1541700988</w:t>
        </w:r>
      </w:hyperlink>
    </w:p>
    <w:p w:rsidR="000B0DDC" w:rsidRPr="006C28BE" w:rsidRDefault="000B0DDC" w:rsidP="000B0DDC">
      <w:pPr>
        <w:spacing w:line="360" w:lineRule="auto"/>
        <w:ind w:left="360"/>
        <w:jc w:val="both"/>
        <w:rPr>
          <w:rFonts w:cs="Arial"/>
        </w:rPr>
      </w:pPr>
      <w:r w:rsidRPr="006C28BE">
        <w:rPr>
          <w:rFonts w:cs="Arial"/>
        </w:rPr>
        <w:t xml:space="preserve">Kettell, S. (2006) </w:t>
      </w:r>
      <w:r w:rsidRPr="006C28BE">
        <w:rPr>
          <w:rFonts w:cs="Arial"/>
          <w:i/>
          <w:iCs/>
        </w:rPr>
        <w:t>In Defence of British Politics: The Past, Present and Future of the Discipline,</w:t>
      </w:r>
      <w:r w:rsidRPr="006C28BE">
        <w:rPr>
          <w:rFonts w:cs="Arial"/>
        </w:rPr>
        <w:t xml:space="preserve"> Researchgate.net. Available at: </w:t>
      </w:r>
      <w:hyperlink r:id="rId33" w:tgtFrame="_new" w:history="1">
        <w:r w:rsidRPr="006C28BE">
          <w:rPr>
            <w:rStyle w:val="Hyperlink"/>
            <w:rFonts w:cs="Arial"/>
          </w:rPr>
          <w:t>https://www.researchgate.net/publication/248876486_In_Defence_of_British_Politics_The_Past_Present_and_Future_of_the_Discipline</w:t>
        </w:r>
      </w:hyperlink>
    </w:p>
    <w:p w:rsidR="000B0DDC" w:rsidRPr="006C28BE" w:rsidRDefault="000B0DDC" w:rsidP="000B0DDC">
      <w:pPr>
        <w:spacing w:line="360" w:lineRule="auto"/>
        <w:ind w:left="360"/>
        <w:jc w:val="both"/>
        <w:rPr>
          <w:rFonts w:cs="Arial"/>
        </w:rPr>
      </w:pPr>
      <w:r w:rsidRPr="006C28BE">
        <w:rPr>
          <w:rFonts w:cs="Arial"/>
        </w:rPr>
        <w:t xml:space="preserve">Kieffer, C. E. (2023) </w:t>
      </w:r>
      <w:r w:rsidRPr="006C28BE">
        <w:rPr>
          <w:rFonts w:cs="Arial"/>
          <w:i/>
          <w:iCs/>
        </w:rPr>
        <w:t>“Left behind: The democrats’ failed attempt to solve inequality by Lily Geismer (review</w:t>
      </w:r>
      <w:r w:rsidRPr="006C28BE">
        <w:rPr>
          <w:rFonts w:cs="Arial"/>
        </w:rPr>
        <w:t xml:space="preserve">),” </w:t>
      </w:r>
      <w:r w:rsidRPr="006C28BE">
        <w:rPr>
          <w:rFonts w:cs="Arial"/>
          <w:i/>
          <w:iCs/>
        </w:rPr>
        <w:t>The Register of the Kentucky Historical Society</w:t>
      </w:r>
      <w:r w:rsidRPr="006C28BE">
        <w:rPr>
          <w:rFonts w:cs="Arial"/>
        </w:rPr>
        <w:t>, 121(3), pp. 292–294. doi: 10.1353/khs.2023.a913078.</w:t>
      </w:r>
    </w:p>
    <w:p w:rsidR="000B0DDC" w:rsidRPr="006C28BE" w:rsidRDefault="000B0DDC" w:rsidP="000B0DDC">
      <w:pPr>
        <w:spacing w:line="360" w:lineRule="auto"/>
        <w:ind w:left="360"/>
        <w:jc w:val="both"/>
        <w:rPr>
          <w:rFonts w:cs="Arial"/>
        </w:rPr>
      </w:pPr>
      <w:r w:rsidRPr="006C28BE">
        <w:rPr>
          <w:rFonts w:cs="Arial"/>
        </w:rPr>
        <w:t xml:space="preserve">Klawans, J. (2023) “The magic of forgery: Patterns of distraction in the authentication of suspicious objects,” </w:t>
      </w:r>
      <w:r w:rsidRPr="006C28BE">
        <w:rPr>
          <w:rFonts w:cs="Arial"/>
          <w:i/>
          <w:iCs/>
        </w:rPr>
        <w:t>Journal of Ancient Judaism</w:t>
      </w:r>
      <w:r w:rsidRPr="006C28BE">
        <w:rPr>
          <w:rFonts w:cs="Arial"/>
        </w:rPr>
        <w:t>, 14(2), pp. 291–320. doi: 10.30965/21967954-bja10045.</w:t>
      </w:r>
    </w:p>
    <w:p w:rsidR="000B0DDC" w:rsidRPr="006C28BE" w:rsidRDefault="000B0DDC" w:rsidP="000B0DDC">
      <w:pPr>
        <w:spacing w:line="360" w:lineRule="auto"/>
        <w:ind w:left="360"/>
        <w:jc w:val="both"/>
        <w:rPr>
          <w:rFonts w:cs="Arial"/>
        </w:rPr>
      </w:pPr>
      <w:r w:rsidRPr="006C28BE">
        <w:rPr>
          <w:rFonts w:cs="Arial"/>
        </w:rPr>
        <w:t xml:space="preserve">Kuhn, D. P. (2020) The Hardhat Riot: Nixon, New York City, and the dawn of the white working-class revolution. </w:t>
      </w:r>
      <w:r w:rsidRPr="006C28BE">
        <w:rPr>
          <w:rFonts w:cs="Arial"/>
          <w:i/>
          <w:iCs/>
        </w:rPr>
        <w:t>London, England: Oxford University Press</w:t>
      </w:r>
      <w:r w:rsidRPr="006C28BE">
        <w:rPr>
          <w:rFonts w:cs="Arial"/>
        </w:rPr>
        <w:t>.</w:t>
      </w:r>
    </w:p>
    <w:p w:rsidR="000B0DDC" w:rsidRPr="006C28BE" w:rsidRDefault="000B0DDC" w:rsidP="000B0DDC">
      <w:pPr>
        <w:spacing w:line="360" w:lineRule="auto"/>
        <w:ind w:left="360"/>
        <w:jc w:val="both"/>
        <w:rPr>
          <w:rFonts w:cs="Arial"/>
        </w:rPr>
      </w:pPr>
      <w:r w:rsidRPr="006C28BE">
        <w:rPr>
          <w:rFonts w:cs="Arial"/>
        </w:rPr>
        <w:t xml:space="preserve">Kuhn, D. P. (2021) “The Hardhat Riot: Nixon, New York City, and the Dawn of the White Working-Class Revolution. By David Paul Kuhn,” </w:t>
      </w:r>
      <w:r w:rsidRPr="006C28BE">
        <w:rPr>
          <w:rFonts w:cs="Arial"/>
          <w:i/>
          <w:iCs/>
        </w:rPr>
        <w:t>Journal of social history</w:t>
      </w:r>
      <w:r w:rsidRPr="006C28BE">
        <w:rPr>
          <w:rFonts w:cs="Arial"/>
        </w:rPr>
        <w:t>, 55(2), pp. 554–556. doi: 10.1093/jsh/shaa065.</w:t>
      </w:r>
    </w:p>
    <w:p w:rsidR="000B0DDC" w:rsidRPr="006C28BE" w:rsidRDefault="000B0DDC" w:rsidP="000B0DDC">
      <w:pPr>
        <w:spacing w:line="360" w:lineRule="auto"/>
        <w:ind w:left="360"/>
        <w:jc w:val="both"/>
        <w:rPr>
          <w:rFonts w:cs="Arial"/>
        </w:rPr>
      </w:pPr>
      <w:r w:rsidRPr="006C28BE">
        <w:rPr>
          <w:rFonts w:cs="Arial"/>
        </w:rPr>
        <w:t xml:space="preserve">Laboure, M. and Deffrennes, N. (2022) Democratizing finance: The radical promise of fintech. </w:t>
      </w:r>
      <w:r w:rsidRPr="006C28BE">
        <w:rPr>
          <w:rFonts w:cs="Arial"/>
          <w:i/>
          <w:iCs/>
        </w:rPr>
        <w:t>London, England: Harvard University Press</w:t>
      </w:r>
      <w:r w:rsidRPr="006C28BE">
        <w:rPr>
          <w:rFonts w:cs="Arial"/>
        </w:rPr>
        <w:t>.</w:t>
      </w:r>
    </w:p>
    <w:p w:rsidR="000B0DDC" w:rsidRPr="006C28BE" w:rsidRDefault="000B0DDC" w:rsidP="000B0DDC">
      <w:pPr>
        <w:spacing w:line="360" w:lineRule="auto"/>
        <w:ind w:left="360"/>
        <w:jc w:val="both"/>
        <w:rPr>
          <w:rFonts w:cs="Arial"/>
        </w:rPr>
      </w:pPr>
      <w:r w:rsidRPr="006C28BE">
        <w:rPr>
          <w:rFonts w:cs="Arial"/>
        </w:rPr>
        <w:t xml:space="preserve">Lee, C. (2024) The Impact of the Opening of the Market Economy on Education and Teachers in Cuba: An Analysis of the Special Period, Bristoluniversitypressdigital.com. Available at: </w:t>
      </w:r>
      <w:hyperlink r:id="rId34" w:tgtFrame="_new" w:history="1">
        <w:r w:rsidRPr="006C28BE">
          <w:rPr>
            <w:rStyle w:val="Hyperlink"/>
            <w:rFonts w:cs="Arial"/>
          </w:rPr>
          <w:t>https://bristoluniversitypressdigital.com/edcollchap/book/9781529231748/ch012.xml</w:t>
        </w:r>
      </w:hyperlink>
    </w:p>
    <w:p w:rsidR="000B0DDC" w:rsidRPr="006C28BE" w:rsidRDefault="000B0DDC" w:rsidP="000B0DDC">
      <w:pPr>
        <w:spacing w:line="360" w:lineRule="auto"/>
        <w:ind w:left="360"/>
        <w:jc w:val="both"/>
        <w:rPr>
          <w:rFonts w:cs="Arial"/>
        </w:rPr>
      </w:pPr>
      <w:r w:rsidRPr="006C28BE">
        <w:rPr>
          <w:rFonts w:cs="Arial"/>
        </w:rPr>
        <w:lastRenderedPageBreak/>
        <w:t xml:space="preserve">Leonce, T. E. (2020) “The inevitable rise in dual-income households and the intertemporal effects on labor markets,” </w:t>
      </w:r>
      <w:r w:rsidRPr="006C28BE">
        <w:rPr>
          <w:rFonts w:cs="Arial"/>
          <w:i/>
          <w:iCs/>
        </w:rPr>
        <w:t>Compensation and benefits review</w:t>
      </w:r>
      <w:r w:rsidRPr="006C28BE">
        <w:rPr>
          <w:rFonts w:cs="Arial"/>
        </w:rPr>
        <w:t>, 52(2), pp. 64–76. doi: 10.1177/0886368719900032.</w:t>
      </w:r>
    </w:p>
    <w:p w:rsidR="000B0DDC" w:rsidRPr="006C28BE" w:rsidRDefault="000B0DDC" w:rsidP="000B0DDC">
      <w:pPr>
        <w:spacing w:line="360" w:lineRule="auto"/>
        <w:ind w:left="360"/>
        <w:jc w:val="both"/>
        <w:rPr>
          <w:rFonts w:cs="Arial"/>
          <w:color w:val="222222"/>
          <w:szCs w:val="24"/>
          <w:shd w:val="clear" w:color="auto" w:fill="FFFFFF"/>
        </w:rPr>
      </w:pPr>
      <w:r w:rsidRPr="006C28BE">
        <w:rPr>
          <w:rFonts w:cs="Arial"/>
          <w:color w:val="222222"/>
          <w:szCs w:val="24"/>
          <w:shd w:val="clear" w:color="auto" w:fill="FFFFFF"/>
        </w:rPr>
        <w:t>Leonce, T.E., (2020). The inevitable rise in dual-income households and the intertemporal effects on labor markets. </w:t>
      </w:r>
      <w:r w:rsidRPr="006C28BE">
        <w:rPr>
          <w:rFonts w:cs="Arial"/>
          <w:i/>
          <w:iCs/>
          <w:color w:val="222222"/>
          <w:szCs w:val="24"/>
          <w:shd w:val="clear" w:color="auto" w:fill="FFFFFF"/>
        </w:rPr>
        <w:t>Compensation &amp; Benefits Review</w:t>
      </w:r>
      <w:r w:rsidRPr="006C28BE">
        <w:rPr>
          <w:rFonts w:cs="Arial"/>
          <w:color w:val="222222"/>
          <w:szCs w:val="24"/>
          <w:shd w:val="clear" w:color="auto" w:fill="FFFFFF"/>
        </w:rPr>
        <w:t>, </w:t>
      </w:r>
      <w:r w:rsidRPr="006C28BE">
        <w:rPr>
          <w:rFonts w:cs="Arial"/>
          <w:i/>
          <w:iCs/>
          <w:color w:val="222222"/>
          <w:szCs w:val="24"/>
          <w:shd w:val="clear" w:color="auto" w:fill="FFFFFF"/>
        </w:rPr>
        <w:t>52</w:t>
      </w:r>
      <w:r w:rsidRPr="006C28BE">
        <w:rPr>
          <w:rFonts w:cs="Arial"/>
          <w:color w:val="222222"/>
          <w:szCs w:val="24"/>
          <w:shd w:val="clear" w:color="auto" w:fill="FFFFFF"/>
        </w:rPr>
        <w:t>(2), pp.64-76.</w:t>
      </w:r>
    </w:p>
    <w:p w:rsidR="000B0DDC" w:rsidRPr="006C28BE" w:rsidRDefault="000B0DDC" w:rsidP="000B0DDC">
      <w:pPr>
        <w:spacing w:line="360" w:lineRule="auto"/>
        <w:ind w:left="360"/>
        <w:jc w:val="both"/>
        <w:rPr>
          <w:rFonts w:cs="Arial"/>
          <w:color w:val="222222"/>
          <w:szCs w:val="24"/>
          <w:shd w:val="clear" w:color="auto" w:fill="FFFFFF"/>
        </w:rPr>
      </w:pPr>
      <w:r w:rsidRPr="006C28BE">
        <w:rPr>
          <w:rFonts w:cs="Arial"/>
          <w:color w:val="222222"/>
          <w:szCs w:val="24"/>
          <w:shd w:val="clear" w:color="auto" w:fill="FFFFFF"/>
        </w:rPr>
        <w:t>Llanos Reynoso, L.F. and Martínez Verduzco, L., (2020). Duplicating the Number of Income Earners per Household in Mexico Does Not Reduce Inequality. </w:t>
      </w:r>
      <w:r w:rsidRPr="006C28BE">
        <w:rPr>
          <w:rFonts w:cs="Arial"/>
          <w:i/>
          <w:iCs/>
          <w:color w:val="222222"/>
          <w:szCs w:val="24"/>
          <w:shd w:val="clear" w:color="auto" w:fill="FFFFFF"/>
        </w:rPr>
        <w:t>Compensation &amp; Benefits Review</w:t>
      </w:r>
      <w:r w:rsidRPr="006C28BE">
        <w:rPr>
          <w:rFonts w:cs="Arial"/>
          <w:color w:val="222222"/>
          <w:szCs w:val="24"/>
          <w:shd w:val="clear" w:color="auto" w:fill="FFFFFF"/>
        </w:rPr>
        <w:t>, </w:t>
      </w:r>
      <w:r w:rsidRPr="006C28BE">
        <w:rPr>
          <w:rFonts w:cs="Arial"/>
          <w:i/>
          <w:iCs/>
          <w:color w:val="222222"/>
          <w:szCs w:val="24"/>
          <w:shd w:val="clear" w:color="auto" w:fill="FFFFFF"/>
        </w:rPr>
        <w:t>52</w:t>
      </w:r>
      <w:r w:rsidRPr="006C28BE">
        <w:rPr>
          <w:rFonts w:cs="Arial"/>
          <w:color w:val="222222"/>
          <w:szCs w:val="24"/>
          <w:shd w:val="clear" w:color="auto" w:fill="FFFFFF"/>
        </w:rPr>
        <w:t xml:space="preserve">(2), pp.39-52. </w:t>
      </w:r>
    </w:p>
    <w:p w:rsidR="000B0DDC" w:rsidRPr="006C28BE" w:rsidRDefault="000B0DDC" w:rsidP="000B0DDC">
      <w:pPr>
        <w:spacing w:line="360" w:lineRule="auto"/>
        <w:ind w:left="360"/>
        <w:jc w:val="both"/>
        <w:rPr>
          <w:rFonts w:cs="Arial"/>
        </w:rPr>
      </w:pPr>
      <w:r w:rsidRPr="006C28BE">
        <w:rPr>
          <w:rFonts w:cs="Arial"/>
        </w:rPr>
        <w:t xml:space="preserve">Lobel, O. (2022a) Equality Machine: Harnessing Digital Technology for a Brighter, More Inclusive Future, Amazon.in. Available at: </w:t>
      </w:r>
      <w:hyperlink r:id="rId35" w:tgtFrame="_new" w:history="1">
        <w:r w:rsidRPr="006C28BE">
          <w:rPr>
            <w:rStyle w:val="Hyperlink"/>
            <w:rFonts w:cs="Arial"/>
          </w:rPr>
          <w:t>https://www.amazon.in/Equality-Machine-Harnessing-Technology-Inclusive/dp/1541774752</w:t>
        </w:r>
      </w:hyperlink>
    </w:p>
    <w:p w:rsidR="000B0DDC" w:rsidRPr="006C28BE" w:rsidRDefault="000B0DDC" w:rsidP="000B0DDC">
      <w:pPr>
        <w:spacing w:line="360" w:lineRule="auto"/>
        <w:ind w:left="360"/>
        <w:jc w:val="both"/>
        <w:rPr>
          <w:rFonts w:cs="Arial"/>
        </w:rPr>
      </w:pPr>
      <w:r w:rsidRPr="006C28BE">
        <w:rPr>
          <w:rFonts w:cs="Arial"/>
        </w:rPr>
        <w:t xml:space="preserve">Lobel, O. (2022b) </w:t>
      </w:r>
      <w:r w:rsidRPr="006C28BE">
        <w:rPr>
          <w:rFonts w:cs="Arial"/>
          <w:i/>
          <w:iCs/>
        </w:rPr>
        <w:t xml:space="preserve">Equality machine: </w:t>
      </w:r>
      <w:r w:rsidRPr="006C28BE">
        <w:rPr>
          <w:rFonts w:cs="Arial"/>
        </w:rPr>
        <w:t>Harnessing Digital Technology for a Brighter, More Inclusive Future : Lobel, Orly: Amazon.In</w:t>
      </w:r>
      <w:r w:rsidRPr="006C28BE">
        <w:rPr>
          <w:rFonts w:cs="Arial"/>
          <w:i/>
          <w:iCs/>
        </w:rPr>
        <w:t>: Books, Amazon.in</w:t>
      </w:r>
      <w:r w:rsidRPr="006C28BE">
        <w:rPr>
          <w:rFonts w:cs="Arial"/>
        </w:rPr>
        <w:t xml:space="preserve">. Available at: </w:t>
      </w:r>
      <w:hyperlink r:id="rId36" w:tgtFrame="_new" w:history="1">
        <w:r w:rsidRPr="006C28BE">
          <w:rPr>
            <w:rStyle w:val="Hyperlink"/>
            <w:rFonts w:cs="Arial"/>
          </w:rPr>
          <w:t>https://www.amazon.in/Equality-Machine-Harnessing-Technology-Inclusive/dp/1541774752</w:t>
        </w:r>
      </w:hyperlink>
    </w:p>
    <w:p w:rsidR="000B0DDC" w:rsidRPr="006C28BE" w:rsidRDefault="000B0DDC" w:rsidP="000B0DDC">
      <w:pPr>
        <w:spacing w:line="360" w:lineRule="auto"/>
        <w:ind w:left="360"/>
        <w:jc w:val="both"/>
        <w:rPr>
          <w:rFonts w:cs="Arial"/>
          <w:color w:val="222222"/>
          <w:szCs w:val="24"/>
          <w:shd w:val="clear" w:color="auto" w:fill="FFFFFF"/>
        </w:rPr>
      </w:pPr>
      <w:r w:rsidRPr="006C28BE">
        <w:rPr>
          <w:rFonts w:cs="Arial"/>
          <w:color w:val="222222"/>
          <w:szCs w:val="24"/>
          <w:shd w:val="clear" w:color="auto" w:fill="FFFFFF"/>
        </w:rPr>
        <w:t>Martin, W.M., (2020). One Size Fits All: Do Dual-Income Couples and Families Require Different Benefits?. </w:t>
      </w:r>
      <w:r w:rsidRPr="006C28BE">
        <w:rPr>
          <w:rFonts w:cs="Arial"/>
          <w:i/>
          <w:iCs/>
          <w:color w:val="222222"/>
          <w:szCs w:val="24"/>
          <w:shd w:val="clear" w:color="auto" w:fill="FFFFFF"/>
        </w:rPr>
        <w:t>Compensation &amp; Benefits Review</w:t>
      </w:r>
      <w:r w:rsidRPr="006C28BE">
        <w:rPr>
          <w:rFonts w:cs="Arial"/>
          <w:color w:val="222222"/>
          <w:szCs w:val="24"/>
          <w:shd w:val="clear" w:color="auto" w:fill="FFFFFF"/>
        </w:rPr>
        <w:t>, </w:t>
      </w:r>
      <w:r w:rsidRPr="006C28BE">
        <w:rPr>
          <w:rFonts w:cs="Arial"/>
          <w:i/>
          <w:iCs/>
          <w:color w:val="222222"/>
          <w:szCs w:val="24"/>
          <w:shd w:val="clear" w:color="auto" w:fill="FFFFFF"/>
        </w:rPr>
        <w:t>52</w:t>
      </w:r>
      <w:r w:rsidRPr="006C28BE">
        <w:rPr>
          <w:rFonts w:cs="Arial"/>
          <w:color w:val="222222"/>
          <w:szCs w:val="24"/>
          <w:shd w:val="clear" w:color="auto" w:fill="FFFFFF"/>
        </w:rPr>
        <w:t>(2), pp.53-63.</w:t>
      </w:r>
    </w:p>
    <w:p w:rsidR="000B0DDC" w:rsidRPr="006C28BE" w:rsidRDefault="000B0DDC" w:rsidP="000B0DDC">
      <w:pPr>
        <w:spacing w:line="360" w:lineRule="auto"/>
        <w:ind w:left="360"/>
        <w:jc w:val="both"/>
        <w:rPr>
          <w:rFonts w:cs="Arial"/>
        </w:rPr>
      </w:pPr>
      <w:r w:rsidRPr="006C28BE">
        <w:rPr>
          <w:rFonts w:cs="Arial"/>
        </w:rPr>
        <w:t xml:space="preserve">Meronek (2023) </w:t>
      </w:r>
      <w:r w:rsidRPr="006C28BE">
        <w:rPr>
          <w:rFonts w:cs="Arial"/>
          <w:i/>
          <w:iCs/>
        </w:rPr>
        <w:t xml:space="preserve">Miss Major speaks: conversations with a Black trans revolutionary, </w:t>
      </w:r>
      <w:r w:rsidRPr="006C28BE">
        <w:rPr>
          <w:rFonts w:cs="Arial"/>
        </w:rPr>
        <w:t xml:space="preserve">Wwu.edu. Available at: </w:t>
      </w:r>
      <w:hyperlink r:id="rId37" w:tgtFrame="_new" w:history="1">
        <w:r w:rsidRPr="006C28BE">
          <w:rPr>
            <w:rStyle w:val="Hyperlink"/>
            <w:rFonts w:cs="Arial"/>
          </w:rPr>
          <w:t>https://library.wwu.edu/miss-major-speaks-conversations-black-trans-revolutionary</w:t>
        </w:r>
      </w:hyperlink>
    </w:p>
    <w:p w:rsidR="000B0DDC" w:rsidRPr="006C28BE" w:rsidRDefault="000B0DDC" w:rsidP="000B0DDC">
      <w:pPr>
        <w:spacing w:line="360" w:lineRule="auto"/>
        <w:ind w:left="360"/>
        <w:jc w:val="both"/>
        <w:rPr>
          <w:rFonts w:cs="Arial"/>
        </w:rPr>
      </w:pPr>
      <w:r w:rsidRPr="006C28BE">
        <w:rPr>
          <w:rFonts w:cs="Arial"/>
        </w:rPr>
        <w:t xml:space="preserve">Middleton (2023) “United Kingdom: Political developments and data in 2022: All change,” </w:t>
      </w:r>
      <w:r w:rsidRPr="006C28BE">
        <w:rPr>
          <w:rFonts w:cs="Arial"/>
          <w:i/>
          <w:iCs/>
        </w:rPr>
        <w:t>European Journal of Political Research Political Data Yearbook</w:t>
      </w:r>
      <w:r w:rsidRPr="006C28BE">
        <w:rPr>
          <w:rFonts w:cs="Arial"/>
        </w:rPr>
        <w:t>, 62(1), pp. 520–535. doi: 10.1111/2047-8852.12401.</w:t>
      </w:r>
    </w:p>
    <w:p w:rsidR="000B0DDC" w:rsidRPr="006C28BE" w:rsidRDefault="000B0DDC" w:rsidP="000B0DDC">
      <w:pPr>
        <w:spacing w:line="360" w:lineRule="auto"/>
        <w:ind w:left="360"/>
        <w:jc w:val="both"/>
        <w:rPr>
          <w:rFonts w:cs="Arial"/>
        </w:rPr>
      </w:pPr>
      <w:r w:rsidRPr="006C28BE">
        <w:rPr>
          <w:rFonts w:cs="Arial"/>
        </w:rPr>
        <w:t xml:space="preserve">Mohamed Nour, S. and Nour, S.M., 2013. Research methodology and methods of data collection. </w:t>
      </w:r>
      <w:r w:rsidRPr="006C28BE">
        <w:rPr>
          <w:rFonts w:cs="Arial"/>
          <w:i/>
          <w:iCs/>
        </w:rPr>
        <w:t>Technological Change and Skill Development in Sudan</w:t>
      </w:r>
      <w:r w:rsidRPr="006C28BE">
        <w:rPr>
          <w:rFonts w:cs="Arial"/>
        </w:rPr>
        <w:t>, pp.115-138.</w:t>
      </w:r>
    </w:p>
    <w:p w:rsidR="000B0DDC" w:rsidRPr="006C28BE" w:rsidRDefault="000B0DDC" w:rsidP="000B0DDC">
      <w:pPr>
        <w:spacing w:line="360" w:lineRule="auto"/>
        <w:ind w:left="360"/>
        <w:jc w:val="both"/>
        <w:rPr>
          <w:rFonts w:cs="Arial"/>
        </w:rPr>
      </w:pPr>
      <w:r w:rsidRPr="006C28BE">
        <w:rPr>
          <w:rFonts w:eastAsia="Times New Roman" w:cs="Arial"/>
          <w:color w:val="0D0D0D"/>
          <w:szCs w:val="24"/>
          <w:lang w:eastAsia="en-US"/>
        </w:rPr>
        <w:t xml:space="preserve"> </w:t>
      </w:r>
      <w:r w:rsidRPr="006C28BE">
        <w:rPr>
          <w:rFonts w:cs="Arial"/>
        </w:rPr>
        <w:t xml:space="preserve">Mohr, L. (2023) "Innovative approaches to integrating technology in education," </w:t>
      </w:r>
      <w:r w:rsidRPr="006C28BE">
        <w:rPr>
          <w:rFonts w:cs="Arial"/>
          <w:i/>
          <w:iCs/>
        </w:rPr>
        <w:t>Journal of Educational Technology &amp; Society</w:t>
      </w:r>
      <w:r w:rsidRPr="006C28BE">
        <w:rPr>
          <w:rFonts w:cs="Arial"/>
        </w:rPr>
        <w:t>, 26(1), pp. 345-361. doi: 10.1007/s10639-022-11072-z.</w:t>
      </w:r>
    </w:p>
    <w:p w:rsidR="000B0DDC" w:rsidRPr="006C28BE" w:rsidRDefault="000B0DDC" w:rsidP="000B0DDC">
      <w:pPr>
        <w:spacing w:line="360" w:lineRule="auto"/>
        <w:ind w:left="360"/>
        <w:jc w:val="both"/>
        <w:rPr>
          <w:rFonts w:cs="Arial"/>
        </w:rPr>
      </w:pPr>
      <w:r w:rsidRPr="006C28BE">
        <w:rPr>
          <w:rFonts w:cs="Arial"/>
        </w:rPr>
        <w:lastRenderedPageBreak/>
        <w:t xml:space="preserve">Murray, A. (2022) </w:t>
      </w:r>
      <w:r w:rsidRPr="006C28BE">
        <w:rPr>
          <w:rFonts w:cs="Arial"/>
          <w:i/>
          <w:iCs/>
        </w:rPr>
        <w:t>Tomorrow’s Capitalist: My search for the soul of business</w:t>
      </w:r>
      <w:r w:rsidRPr="006C28BE">
        <w:rPr>
          <w:rFonts w:cs="Arial"/>
        </w:rPr>
        <w:t>. New York, NY: PublicAffairs.</w:t>
      </w:r>
    </w:p>
    <w:p w:rsidR="000B0DDC" w:rsidRPr="006C28BE" w:rsidRDefault="000B0DDC" w:rsidP="000B0DDC">
      <w:pPr>
        <w:spacing w:line="360" w:lineRule="auto"/>
        <w:ind w:left="360"/>
        <w:jc w:val="both"/>
        <w:rPr>
          <w:rFonts w:cs="Arial"/>
          <w:color w:val="222222"/>
          <w:szCs w:val="24"/>
          <w:shd w:val="clear" w:color="auto" w:fill="FFFFFF"/>
        </w:rPr>
      </w:pPr>
      <w:r w:rsidRPr="006C28BE">
        <w:rPr>
          <w:rFonts w:cs="Arial"/>
          <w:color w:val="222222"/>
          <w:szCs w:val="24"/>
          <w:shd w:val="clear" w:color="auto" w:fill="FFFFFF"/>
        </w:rPr>
        <w:t>Musick, K., Bea, M.D. and Gonalons-Pons, P., (2020). His and her earnings following parenthood in the United States, Germany, and the United Kingdom. </w:t>
      </w:r>
      <w:r w:rsidRPr="006C28BE">
        <w:rPr>
          <w:rFonts w:cs="Arial"/>
          <w:i/>
          <w:iCs/>
          <w:color w:val="222222"/>
          <w:szCs w:val="24"/>
          <w:shd w:val="clear" w:color="auto" w:fill="FFFFFF"/>
        </w:rPr>
        <w:t>American Sociological Review</w:t>
      </w:r>
      <w:r w:rsidRPr="006C28BE">
        <w:rPr>
          <w:rFonts w:cs="Arial"/>
          <w:color w:val="222222"/>
          <w:szCs w:val="24"/>
          <w:shd w:val="clear" w:color="auto" w:fill="FFFFFF"/>
        </w:rPr>
        <w:t>, </w:t>
      </w:r>
      <w:r w:rsidRPr="006C28BE">
        <w:rPr>
          <w:rFonts w:cs="Arial"/>
          <w:i/>
          <w:iCs/>
          <w:color w:val="222222"/>
          <w:szCs w:val="24"/>
          <w:shd w:val="clear" w:color="auto" w:fill="FFFFFF"/>
        </w:rPr>
        <w:t>85</w:t>
      </w:r>
      <w:r w:rsidRPr="006C28BE">
        <w:rPr>
          <w:rFonts w:cs="Arial"/>
          <w:color w:val="222222"/>
          <w:szCs w:val="24"/>
          <w:shd w:val="clear" w:color="auto" w:fill="FFFFFF"/>
        </w:rPr>
        <w:t>(4), pp.639-674.</w:t>
      </w:r>
    </w:p>
    <w:p w:rsidR="000B0DDC" w:rsidRPr="006C28BE" w:rsidRDefault="000B0DDC" w:rsidP="000B0DDC">
      <w:pPr>
        <w:spacing w:line="360" w:lineRule="auto"/>
        <w:ind w:left="360"/>
        <w:jc w:val="both"/>
        <w:rPr>
          <w:rFonts w:cs="Arial"/>
        </w:rPr>
      </w:pPr>
      <w:r w:rsidRPr="006C28BE">
        <w:rPr>
          <w:rFonts w:cs="Arial"/>
        </w:rPr>
        <w:t xml:space="preserve">National Health Service. (2023) </w:t>
      </w:r>
      <w:r w:rsidRPr="006C28BE">
        <w:rPr>
          <w:rFonts w:cs="Arial"/>
          <w:i/>
          <w:iCs/>
        </w:rPr>
        <w:t>Annual Report on Mental Health Wait Times.</w:t>
      </w:r>
      <w:r w:rsidRPr="006C28BE">
        <w:rPr>
          <w:rFonts w:cs="Arial"/>
        </w:rPr>
        <w:t xml:space="preserve"> Available at: </w:t>
      </w:r>
      <w:hyperlink r:id="rId38" w:tgtFrame="_new" w:history="1">
        <w:r w:rsidRPr="006C28BE">
          <w:rPr>
            <w:rStyle w:val="Hyperlink"/>
            <w:rFonts w:cs="Arial"/>
          </w:rPr>
          <w:t>https://www.nhs.uk/</w:t>
        </w:r>
      </w:hyperlink>
    </w:p>
    <w:p w:rsidR="000B0DDC" w:rsidRPr="006C28BE" w:rsidRDefault="000B0DDC" w:rsidP="000B0DDC">
      <w:pPr>
        <w:spacing w:line="360" w:lineRule="auto"/>
        <w:ind w:left="360"/>
        <w:jc w:val="both"/>
        <w:rPr>
          <w:rFonts w:cs="Arial"/>
        </w:rPr>
      </w:pPr>
      <w:r w:rsidRPr="006C28BE">
        <w:rPr>
          <w:rFonts w:cs="Arial"/>
        </w:rPr>
        <w:t xml:space="preserve">Office for National Statistics. (2022) </w:t>
      </w:r>
      <w:r w:rsidRPr="006C28BE">
        <w:rPr>
          <w:rFonts w:cs="Arial"/>
          <w:i/>
          <w:iCs/>
        </w:rPr>
        <w:t>Annual Survey of Hours and Earnings.</w:t>
      </w:r>
      <w:r w:rsidRPr="006C28BE">
        <w:rPr>
          <w:rFonts w:cs="Arial"/>
        </w:rPr>
        <w:t xml:space="preserve"> Available at: </w:t>
      </w:r>
      <w:hyperlink r:id="rId39" w:tgtFrame="_new" w:history="1">
        <w:r w:rsidRPr="006C28BE">
          <w:rPr>
            <w:rStyle w:val="Hyperlink"/>
            <w:rFonts w:cs="Arial"/>
          </w:rPr>
          <w:t>https://www.ons.gov.uk/</w:t>
        </w:r>
      </w:hyperlink>
    </w:p>
    <w:p w:rsidR="000B0DDC" w:rsidRPr="006C28BE" w:rsidRDefault="000B0DDC" w:rsidP="000B0DDC">
      <w:pPr>
        <w:spacing w:line="360" w:lineRule="auto"/>
        <w:ind w:left="360"/>
        <w:jc w:val="both"/>
        <w:rPr>
          <w:rFonts w:cs="Arial"/>
        </w:rPr>
      </w:pPr>
      <w:bookmarkStart w:id="97" w:name="_Hlk166323631"/>
      <w:r w:rsidRPr="006C28BE">
        <w:rPr>
          <w:rFonts w:cs="Arial"/>
        </w:rPr>
        <w:t xml:space="preserve">Office for National Statistics. (2023) </w:t>
      </w:r>
      <w:r w:rsidRPr="006C28BE">
        <w:rPr>
          <w:rFonts w:cs="Arial"/>
          <w:i/>
          <w:iCs/>
        </w:rPr>
        <w:t>Housing Affordability in the UK.</w:t>
      </w:r>
      <w:r w:rsidRPr="006C28BE">
        <w:rPr>
          <w:rFonts w:cs="Arial"/>
        </w:rPr>
        <w:t xml:space="preserve"> Available at: </w:t>
      </w:r>
      <w:hyperlink r:id="rId40" w:tgtFrame="_new" w:history="1">
        <w:r w:rsidRPr="006C28BE">
          <w:rPr>
            <w:rStyle w:val="Hyperlink"/>
            <w:rFonts w:cs="Arial"/>
          </w:rPr>
          <w:t>https://www.ons.gov.uk/</w:t>
        </w:r>
      </w:hyperlink>
    </w:p>
    <w:bookmarkEnd w:id="97"/>
    <w:p w:rsidR="000B0DDC" w:rsidRPr="006C28BE" w:rsidRDefault="000B0DDC" w:rsidP="000B0DDC">
      <w:pPr>
        <w:spacing w:line="360" w:lineRule="auto"/>
        <w:ind w:left="360"/>
        <w:jc w:val="both"/>
        <w:rPr>
          <w:rFonts w:cs="Arial"/>
          <w:color w:val="222222"/>
          <w:szCs w:val="24"/>
          <w:shd w:val="clear" w:color="auto" w:fill="FFFFFF"/>
        </w:rPr>
      </w:pPr>
      <w:r w:rsidRPr="006C28BE">
        <w:rPr>
          <w:rFonts w:cs="Arial"/>
          <w:color w:val="222222"/>
          <w:szCs w:val="24"/>
          <w:shd w:val="clear" w:color="auto" w:fill="FFFFFF"/>
        </w:rPr>
        <w:t>Perry</w:t>
      </w:r>
      <w:r w:rsidRPr="006C28BE">
        <w:rPr>
          <w:rFonts w:ascii="Cambria Math" w:hAnsi="Cambria Math" w:cs="Cambria Math"/>
          <w:color w:val="222222"/>
          <w:szCs w:val="24"/>
          <w:shd w:val="clear" w:color="auto" w:fill="FFFFFF"/>
        </w:rPr>
        <w:t>‐</w:t>
      </w:r>
      <w:r w:rsidRPr="006C28BE">
        <w:rPr>
          <w:rFonts w:cs="Arial"/>
          <w:color w:val="222222"/>
          <w:szCs w:val="24"/>
          <w:shd w:val="clear" w:color="auto" w:fill="FFFFFF"/>
        </w:rPr>
        <w:t>Jenkins, M. and Gerstel, N., (2020). Work and family in the second decade of the 21st century. </w:t>
      </w:r>
      <w:r w:rsidRPr="006C28BE">
        <w:rPr>
          <w:rFonts w:cs="Arial"/>
          <w:i/>
          <w:iCs/>
          <w:color w:val="222222"/>
          <w:szCs w:val="24"/>
          <w:shd w:val="clear" w:color="auto" w:fill="FFFFFF"/>
        </w:rPr>
        <w:t>Journal of Marriage and Family</w:t>
      </w:r>
      <w:r w:rsidRPr="006C28BE">
        <w:rPr>
          <w:rFonts w:cs="Arial"/>
          <w:color w:val="222222"/>
          <w:szCs w:val="24"/>
          <w:shd w:val="clear" w:color="auto" w:fill="FFFFFF"/>
        </w:rPr>
        <w:t>, </w:t>
      </w:r>
      <w:r w:rsidRPr="006C28BE">
        <w:rPr>
          <w:rFonts w:cs="Arial"/>
          <w:i/>
          <w:iCs/>
          <w:color w:val="222222"/>
          <w:szCs w:val="24"/>
          <w:shd w:val="clear" w:color="auto" w:fill="FFFFFF"/>
        </w:rPr>
        <w:t>82</w:t>
      </w:r>
      <w:r w:rsidRPr="006C28BE">
        <w:rPr>
          <w:rFonts w:cs="Arial"/>
          <w:color w:val="222222"/>
          <w:szCs w:val="24"/>
          <w:shd w:val="clear" w:color="auto" w:fill="FFFFFF"/>
        </w:rPr>
        <w:t>(1), pp.420-453.</w:t>
      </w:r>
    </w:p>
    <w:p w:rsidR="000B0DDC" w:rsidRPr="006C28BE" w:rsidRDefault="000B0DDC" w:rsidP="000B0DDC">
      <w:pPr>
        <w:spacing w:line="360" w:lineRule="auto"/>
        <w:ind w:left="360"/>
        <w:jc w:val="both"/>
        <w:rPr>
          <w:rFonts w:cs="Arial"/>
        </w:rPr>
      </w:pPr>
      <w:r w:rsidRPr="006C28BE">
        <w:rPr>
          <w:rFonts w:cs="Arial"/>
        </w:rPr>
        <w:t xml:space="preserve">Pinker, S. (2021) </w:t>
      </w:r>
      <w:r w:rsidRPr="006C28BE">
        <w:rPr>
          <w:rFonts w:cs="Arial"/>
          <w:i/>
          <w:iCs/>
        </w:rPr>
        <w:t>“Inequality and progress,” Journal of applied corporate finance,</w:t>
      </w:r>
      <w:r w:rsidRPr="006C28BE">
        <w:rPr>
          <w:rFonts w:cs="Arial"/>
        </w:rPr>
        <w:t xml:space="preserve"> 33(3), pp. 28–41. doi: 10.1111/jacf.12463.</w:t>
      </w:r>
    </w:p>
    <w:p w:rsidR="000B0DDC" w:rsidRPr="006C28BE" w:rsidRDefault="000B0DDC" w:rsidP="000B0DDC">
      <w:pPr>
        <w:spacing w:line="360" w:lineRule="auto"/>
        <w:ind w:left="360"/>
        <w:jc w:val="both"/>
        <w:rPr>
          <w:rFonts w:cs="Arial"/>
        </w:rPr>
      </w:pPr>
      <w:r w:rsidRPr="006C28BE">
        <w:rPr>
          <w:rFonts w:cs="Arial"/>
        </w:rPr>
        <w:t xml:space="preserve">Prins, N. (2022) </w:t>
      </w:r>
      <w:r w:rsidRPr="006C28BE">
        <w:rPr>
          <w:rFonts w:cs="Arial"/>
          <w:i/>
          <w:iCs/>
        </w:rPr>
        <w:t>Permanent Distortion: How the financial markets abandoned the real economy forever.</w:t>
      </w:r>
      <w:r w:rsidRPr="006C28BE">
        <w:rPr>
          <w:rFonts w:cs="Arial"/>
        </w:rPr>
        <w:t xml:space="preserve"> New York, NY: PublicAffairs.</w:t>
      </w:r>
    </w:p>
    <w:p w:rsidR="000B0DDC" w:rsidRPr="006C28BE" w:rsidRDefault="000B0DDC" w:rsidP="000B0DDC">
      <w:pPr>
        <w:spacing w:line="360" w:lineRule="auto"/>
        <w:ind w:left="360"/>
        <w:jc w:val="both"/>
        <w:rPr>
          <w:rFonts w:cs="Arial"/>
          <w:color w:val="222222"/>
          <w:szCs w:val="24"/>
          <w:shd w:val="clear" w:color="auto" w:fill="FFFFFF"/>
        </w:rPr>
      </w:pPr>
      <w:r w:rsidRPr="006C28BE">
        <w:rPr>
          <w:rFonts w:cs="Arial"/>
          <w:color w:val="222222"/>
          <w:szCs w:val="24"/>
          <w:shd w:val="clear" w:color="auto" w:fill="FFFFFF"/>
        </w:rPr>
        <w:t>Rooney, C. and Gray, J., (2020). Changing family dynamics and in-work benefits. </w:t>
      </w:r>
      <w:r w:rsidRPr="006C28BE">
        <w:rPr>
          <w:rFonts w:cs="Arial"/>
          <w:i/>
          <w:iCs/>
          <w:color w:val="222222"/>
          <w:szCs w:val="24"/>
          <w:shd w:val="clear" w:color="auto" w:fill="FFFFFF"/>
        </w:rPr>
        <w:t>Social Policy and Society</w:t>
      </w:r>
      <w:r w:rsidRPr="006C28BE">
        <w:rPr>
          <w:rFonts w:cs="Arial"/>
          <w:color w:val="222222"/>
          <w:szCs w:val="24"/>
          <w:shd w:val="clear" w:color="auto" w:fill="FFFFFF"/>
        </w:rPr>
        <w:t>, </w:t>
      </w:r>
      <w:r w:rsidRPr="006C28BE">
        <w:rPr>
          <w:rFonts w:cs="Arial"/>
          <w:i/>
          <w:iCs/>
          <w:color w:val="222222"/>
          <w:szCs w:val="24"/>
          <w:shd w:val="clear" w:color="auto" w:fill="FFFFFF"/>
        </w:rPr>
        <w:t>19</w:t>
      </w:r>
      <w:r w:rsidRPr="006C28BE">
        <w:rPr>
          <w:rFonts w:cs="Arial"/>
          <w:color w:val="222222"/>
          <w:szCs w:val="24"/>
          <w:shd w:val="clear" w:color="auto" w:fill="FFFFFF"/>
        </w:rPr>
        <w:t>(2), pp.185-205.</w:t>
      </w:r>
    </w:p>
    <w:p w:rsidR="000B0DDC" w:rsidRPr="006C28BE" w:rsidRDefault="000B0DDC" w:rsidP="000B0DDC">
      <w:pPr>
        <w:spacing w:line="360" w:lineRule="auto"/>
        <w:ind w:left="360"/>
        <w:jc w:val="both"/>
        <w:rPr>
          <w:rFonts w:cs="Arial"/>
        </w:rPr>
      </w:pPr>
      <w:r w:rsidRPr="006C28BE">
        <w:rPr>
          <w:rFonts w:cs="Arial"/>
        </w:rPr>
        <w:t xml:space="preserve">Roubini, N. (2022) </w:t>
      </w:r>
      <w:r w:rsidRPr="006C28BE">
        <w:rPr>
          <w:rFonts w:cs="Arial"/>
          <w:i/>
          <w:iCs/>
        </w:rPr>
        <w:t>The age of megathreats, Nouriel Roubini.</w:t>
      </w:r>
      <w:r w:rsidRPr="006C28BE">
        <w:rPr>
          <w:rFonts w:cs="Arial"/>
        </w:rPr>
        <w:t xml:space="preserve"> Available at: </w:t>
      </w:r>
      <w:hyperlink r:id="rId41" w:tgtFrame="_new" w:history="1">
        <w:r w:rsidRPr="006C28BE">
          <w:rPr>
            <w:rStyle w:val="Hyperlink"/>
            <w:rFonts w:cs="Arial"/>
          </w:rPr>
          <w:t>https://nourielroubini.com/the-age-of-megathreats/</w:t>
        </w:r>
      </w:hyperlink>
    </w:p>
    <w:p w:rsidR="000B0DDC" w:rsidRPr="006C28BE" w:rsidRDefault="000B0DDC" w:rsidP="000B0DDC">
      <w:pPr>
        <w:spacing w:line="360" w:lineRule="auto"/>
        <w:ind w:left="360"/>
        <w:jc w:val="both"/>
        <w:rPr>
          <w:rFonts w:cs="Arial"/>
        </w:rPr>
      </w:pPr>
      <w:r w:rsidRPr="006C28BE">
        <w:rPr>
          <w:rFonts w:cs="Arial"/>
        </w:rPr>
        <w:t xml:space="preserve">Ryan, G., 2018. Introduction to positivism, interpretivism and critical theory. </w:t>
      </w:r>
      <w:r w:rsidRPr="006C28BE">
        <w:rPr>
          <w:rFonts w:cs="Arial"/>
          <w:i/>
          <w:iCs/>
        </w:rPr>
        <w:t>Nurse researcher, 25</w:t>
      </w:r>
      <w:r w:rsidRPr="006C28BE">
        <w:rPr>
          <w:rFonts w:cs="Arial"/>
        </w:rPr>
        <w:t xml:space="preserve">(4), pp.41-49. Available at: </w:t>
      </w:r>
      <w:hyperlink r:id="rId42" w:tgtFrame="_new" w:history="1">
        <w:r w:rsidRPr="006C28BE">
          <w:rPr>
            <w:rStyle w:val="Hyperlink"/>
            <w:rFonts w:cs="Arial"/>
          </w:rPr>
          <w:t>https://oro.open.ac.uk/49591/</w:t>
        </w:r>
      </w:hyperlink>
    </w:p>
    <w:p w:rsidR="000B0DDC" w:rsidRPr="006C28BE" w:rsidRDefault="000B0DDC" w:rsidP="000B0DDC">
      <w:pPr>
        <w:spacing w:line="360" w:lineRule="auto"/>
        <w:ind w:left="360"/>
        <w:jc w:val="both"/>
        <w:rPr>
          <w:rFonts w:cs="Arial"/>
        </w:rPr>
      </w:pPr>
      <w:r w:rsidRPr="006C28BE">
        <w:rPr>
          <w:rFonts w:cs="Arial"/>
        </w:rPr>
        <w:t>Samways, D. (2019</w:t>
      </w:r>
      <w:r w:rsidRPr="006C28BE">
        <w:rPr>
          <w:rFonts w:cs="Arial"/>
          <w:i/>
          <w:iCs/>
        </w:rPr>
        <w:t>) “Empty Planet: the Shock of Global Population Decline” by Darell Bricker and John Ibbitson,</w:t>
      </w:r>
      <w:r w:rsidRPr="006C28BE">
        <w:rPr>
          <w:rFonts w:cs="Arial"/>
        </w:rPr>
        <w:t xml:space="preserve"> Researchgate.net. Available at: </w:t>
      </w:r>
      <w:hyperlink r:id="rId43" w:tgtFrame="_new" w:history="1">
        <w:r w:rsidRPr="006C28BE">
          <w:rPr>
            <w:rStyle w:val="Hyperlink"/>
            <w:rFonts w:cs="Arial"/>
          </w:rPr>
          <w:t>https://www.researchgate.net/publication/353944097_'Empty_Planet_the_Shock_of_Global_Population_Decline'_by_Darell_Bricker_and_John_Ibbitson</w:t>
        </w:r>
      </w:hyperlink>
    </w:p>
    <w:p w:rsidR="000B0DDC" w:rsidRPr="006C28BE" w:rsidRDefault="000B0DDC" w:rsidP="000B0DDC">
      <w:pPr>
        <w:spacing w:line="360" w:lineRule="auto"/>
        <w:ind w:left="360"/>
        <w:jc w:val="both"/>
        <w:rPr>
          <w:rFonts w:cs="Arial"/>
          <w:color w:val="222222"/>
          <w:szCs w:val="24"/>
          <w:shd w:val="clear" w:color="auto" w:fill="FFFFFF"/>
        </w:rPr>
      </w:pPr>
      <w:r w:rsidRPr="006C28BE">
        <w:rPr>
          <w:rFonts w:cs="Arial"/>
          <w:color w:val="222222"/>
          <w:szCs w:val="24"/>
          <w:shd w:val="clear" w:color="auto" w:fill="FFFFFF"/>
        </w:rPr>
        <w:lastRenderedPageBreak/>
        <w:t>Sauer, P., Rehm, M. and Mader, K., (2020). Gender and income inequality. </w:t>
      </w:r>
      <w:r w:rsidRPr="006C28BE">
        <w:rPr>
          <w:rFonts w:cs="Arial"/>
          <w:i/>
          <w:iCs/>
          <w:color w:val="222222"/>
          <w:szCs w:val="24"/>
          <w:shd w:val="clear" w:color="auto" w:fill="FFFFFF"/>
        </w:rPr>
        <w:t>Handbook of labor, human resources and population economics</w:t>
      </w:r>
      <w:r w:rsidRPr="006C28BE">
        <w:rPr>
          <w:rFonts w:cs="Arial"/>
          <w:color w:val="222222"/>
          <w:szCs w:val="24"/>
          <w:shd w:val="clear" w:color="auto" w:fill="FFFFFF"/>
        </w:rPr>
        <w:t>, pp.1-24.</w:t>
      </w:r>
    </w:p>
    <w:p w:rsidR="000B0DDC" w:rsidRPr="006C28BE" w:rsidRDefault="000B0DDC" w:rsidP="000B0DDC">
      <w:pPr>
        <w:spacing w:line="360" w:lineRule="auto"/>
        <w:ind w:left="360"/>
        <w:jc w:val="both"/>
        <w:rPr>
          <w:rFonts w:cs="Arial"/>
        </w:rPr>
      </w:pPr>
      <w:r w:rsidRPr="006C28BE">
        <w:rPr>
          <w:rFonts w:cs="Arial"/>
        </w:rPr>
        <w:t xml:space="preserve">Statistics Sweden. (2022) </w:t>
      </w:r>
      <w:r w:rsidRPr="006C28BE">
        <w:rPr>
          <w:rFonts w:cs="Arial"/>
          <w:i/>
          <w:iCs/>
        </w:rPr>
        <w:t>Annual Report on Housing Prices and Inflation</w:t>
      </w:r>
      <w:r w:rsidRPr="006C28BE">
        <w:rPr>
          <w:rFonts w:cs="Arial"/>
        </w:rPr>
        <w:t xml:space="preserve">. Available at: </w:t>
      </w:r>
      <w:hyperlink r:id="rId44" w:tgtFrame="_new" w:history="1">
        <w:r w:rsidRPr="006C28BE">
          <w:rPr>
            <w:rStyle w:val="Hyperlink"/>
            <w:rFonts w:cs="Arial"/>
          </w:rPr>
          <w:t>https://www.scb.se/</w:t>
        </w:r>
      </w:hyperlink>
    </w:p>
    <w:p w:rsidR="000B0DDC" w:rsidRPr="006C28BE" w:rsidRDefault="000B0DDC" w:rsidP="000B0DDC">
      <w:pPr>
        <w:spacing w:line="360" w:lineRule="auto"/>
        <w:ind w:left="360"/>
        <w:jc w:val="both"/>
        <w:rPr>
          <w:rFonts w:cs="Arial"/>
        </w:rPr>
      </w:pPr>
      <w:r w:rsidRPr="006C28BE">
        <w:rPr>
          <w:rFonts w:cs="Arial"/>
        </w:rPr>
        <w:t xml:space="preserve">Stress Management Society. (2021) </w:t>
      </w:r>
      <w:r w:rsidRPr="006C28BE">
        <w:rPr>
          <w:rFonts w:cs="Arial"/>
          <w:i/>
          <w:iCs/>
        </w:rPr>
        <w:t>Survey on Work-Related Stress in Dual-Income Families.</w:t>
      </w:r>
      <w:r w:rsidRPr="006C28BE">
        <w:rPr>
          <w:rFonts w:cs="Arial"/>
        </w:rPr>
        <w:t xml:space="preserve"> Available at: </w:t>
      </w:r>
      <w:hyperlink r:id="rId45" w:tgtFrame="_new" w:history="1">
        <w:r w:rsidRPr="006C28BE">
          <w:rPr>
            <w:rStyle w:val="Hyperlink"/>
            <w:rFonts w:cs="Arial"/>
          </w:rPr>
          <w:t>https://www.stress.org.uk/</w:t>
        </w:r>
      </w:hyperlink>
    </w:p>
    <w:p w:rsidR="000B0DDC" w:rsidRPr="006C28BE" w:rsidRDefault="000B0DDC" w:rsidP="000B0DDC">
      <w:pPr>
        <w:spacing w:line="360" w:lineRule="auto"/>
        <w:ind w:left="360"/>
        <w:jc w:val="both"/>
        <w:rPr>
          <w:rFonts w:cs="Arial"/>
          <w:szCs w:val="24"/>
        </w:rPr>
      </w:pPr>
      <w:r w:rsidRPr="006C28BE">
        <w:rPr>
          <w:rFonts w:cs="Arial"/>
          <w:color w:val="222222"/>
          <w:szCs w:val="24"/>
          <w:shd w:val="clear" w:color="auto" w:fill="FFFFFF"/>
        </w:rPr>
        <w:t>Syrda, J., (2023). Gendered housework: Spousal relative income, parenthood and traditional gender identity norms. </w:t>
      </w:r>
      <w:r w:rsidRPr="006C28BE">
        <w:rPr>
          <w:rFonts w:cs="Arial"/>
          <w:i/>
          <w:iCs/>
          <w:color w:val="222222"/>
          <w:szCs w:val="24"/>
          <w:shd w:val="clear" w:color="auto" w:fill="FFFFFF"/>
        </w:rPr>
        <w:t>Work, Employment and Society</w:t>
      </w:r>
      <w:r w:rsidRPr="006C28BE">
        <w:rPr>
          <w:rFonts w:cs="Arial"/>
          <w:color w:val="222222"/>
          <w:szCs w:val="24"/>
          <w:shd w:val="clear" w:color="auto" w:fill="FFFFFF"/>
        </w:rPr>
        <w:t>, </w:t>
      </w:r>
      <w:r w:rsidRPr="006C28BE">
        <w:rPr>
          <w:rFonts w:cs="Arial"/>
          <w:i/>
          <w:iCs/>
          <w:color w:val="222222"/>
          <w:szCs w:val="24"/>
          <w:shd w:val="clear" w:color="auto" w:fill="FFFFFF"/>
        </w:rPr>
        <w:t>37</w:t>
      </w:r>
      <w:r w:rsidRPr="006C28BE">
        <w:rPr>
          <w:rFonts w:cs="Arial"/>
          <w:color w:val="222222"/>
          <w:szCs w:val="24"/>
          <w:shd w:val="clear" w:color="auto" w:fill="FFFFFF"/>
        </w:rPr>
        <w:t>(3), pp.794-813.</w:t>
      </w:r>
    </w:p>
    <w:p w:rsidR="000B0DDC" w:rsidRPr="006C28BE" w:rsidRDefault="000B0DDC" w:rsidP="000B0DDC">
      <w:pPr>
        <w:spacing w:line="360" w:lineRule="auto"/>
        <w:ind w:left="360"/>
        <w:jc w:val="both"/>
        <w:rPr>
          <w:rFonts w:cs="Arial"/>
          <w:color w:val="222222"/>
          <w:szCs w:val="24"/>
          <w:shd w:val="clear" w:color="auto" w:fill="FFFFFF"/>
        </w:rPr>
      </w:pPr>
      <w:r w:rsidRPr="006C28BE">
        <w:rPr>
          <w:rFonts w:cs="Arial"/>
          <w:color w:val="222222"/>
          <w:szCs w:val="24"/>
          <w:shd w:val="clear" w:color="auto" w:fill="FFFFFF"/>
        </w:rPr>
        <w:t>Thomson, R.M., Igelström, E., Purba, A.K., Shimonovich, M., Thomson, H., McCartney, G., Reeves, A., Leyland, A., Pearce, A. and Katikireddi, S.V., (2022). How do income changes impact on mental health and wellbeing for working-age adults? A systematic review and meta-analysis. </w:t>
      </w:r>
      <w:r w:rsidRPr="006C28BE">
        <w:rPr>
          <w:rFonts w:cs="Arial"/>
          <w:i/>
          <w:iCs/>
          <w:color w:val="222222"/>
          <w:szCs w:val="24"/>
          <w:shd w:val="clear" w:color="auto" w:fill="FFFFFF"/>
        </w:rPr>
        <w:t>The Lancet Public Health</w:t>
      </w:r>
      <w:r w:rsidRPr="006C28BE">
        <w:rPr>
          <w:rFonts w:cs="Arial"/>
          <w:color w:val="222222"/>
          <w:szCs w:val="24"/>
          <w:shd w:val="clear" w:color="auto" w:fill="FFFFFF"/>
        </w:rPr>
        <w:t>, </w:t>
      </w:r>
      <w:r w:rsidRPr="006C28BE">
        <w:rPr>
          <w:rFonts w:cs="Arial"/>
          <w:i/>
          <w:iCs/>
          <w:color w:val="222222"/>
          <w:szCs w:val="24"/>
          <w:shd w:val="clear" w:color="auto" w:fill="FFFFFF"/>
        </w:rPr>
        <w:t>7</w:t>
      </w:r>
      <w:r w:rsidRPr="006C28BE">
        <w:rPr>
          <w:rFonts w:cs="Arial"/>
          <w:color w:val="222222"/>
          <w:szCs w:val="24"/>
          <w:shd w:val="clear" w:color="auto" w:fill="FFFFFF"/>
        </w:rPr>
        <w:t>(6), pp.e515-e528.</w:t>
      </w:r>
    </w:p>
    <w:p w:rsidR="000B0DDC" w:rsidRPr="006C28BE" w:rsidRDefault="000B0DDC" w:rsidP="000B0DDC">
      <w:pPr>
        <w:spacing w:line="360" w:lineRule="auto"/>
        <w:ind w:left="360"/>
        <w:jc w:val="both"/>
        <w:rPr>
          <w:rFonts w:cs="Arial"/>
        </w:rPr>
      </w:pPr>
      <w:r w:rsidRPr="006C28BE">
        <w:rPr>
          <w:rFonts w:cs="Arial"/>
        </w:rPr>
        <w:t xml:space="preserve">UK Government. (2022) </w:t>
      </w:r>
      <w:r w:rsidRPr="006C28BE">
        <w:rPr>
          <w:rFonts w:cs="Arial"/>
          <w:i/>
          <w:iCs/>
        </w:rPr>
        <w:t>Tax-Free Childcare Uptake Report.</w:t>
      </w:r>
      <w:r w:rsidRPr="006C28BE">
        <w:rPr>
          <w:rFonts w:cs="Arial"/>
        </w:rPr>
        <w:t xml:space="preserve"> Available at: </w:t>
      </w:r>
      <w:hyperlink r:id="rId46" w:tgtFrame="_new" w:history="1">
        <w:r w:rsidRPr="006C28BE">
          <w:rPr>
            <w:rStyle w:val="Hyperlink"/>
            <w:rFonts w:cs="Arial"/>
          </w:rPr>
          <w:t>https://www.gov.uk/</w:t>
        </w:r>
      </w:hyperlink>
    </w:p>
    <w:p w:rsidR="000B0DDC" w:rsidRPr="006C28BE" w:rsidRDefault="000B0DDC" w:rsidP="000B0DDC">
      <w:pPr>
        <w:spacing w:line="360" w:lineRule="auto"/>
        <w:ind w:left="360"/>
        <w:jc w:val="both"/>
        <w:rPr>
          <w:rFonts w:cs="Arial"/>
        </w:rPr>
      </w:pPr>
      <w:r w:rsidRPr="006C28BE">
        <w:rPr>
          <w:rFonts w:cs="Arial"/>
        </w:rPr>
        <w:t xml:space="preserve">Wachowiak, J. (2020) </w:t>
      </w:r>
      <w:r w:rsidRPr="006C28BE">
        <w:rPr>
          <w:rFonts w:cs="Arial"/>
          <w:i/>
          <w:iCs/>
        </w:rPr>
        <w:t>The bigger picture: The impact of COVID-19 on the EU-UK relationship,</w:t>
      </w:r>
      <w:r w:rsidRPr="006C28BE">
        <w:rPr>
          <w:rFonts w:cs="Arial"/>
        </w:rPr>
        <w:t xml:space="preserve"> </w:t>
      </w:r>
      <w:r w:rsidRPr="006C28BE">
        <w:rPr>
          <w:rFonts w:cs="Arial"/>
          <w:i/>
          <w:iCs/>
        </w:rPr>
        <w:t>Epc.eu</w:t>
      </w:r>
      <w:r w:rsidRPr="006C28BE">
        <w:rPr>
          <w:rFonts w:cs="Arial"/>
        </w:rPr>
        <w:t xml:space="preserve">. Available at: </w:t>
      </w:r>
      <w:hyperlink r:id="rId47" w:tgtFrame="_new" w:history="1">
        <w:r w:rsidRPr="006C28BE">
          <w:rPr>
            <w:rStyle w:val="Hyperlink"/>
            <w:rFonts w:cs="Arial"/>
          </w:rPr>
          <w:t>https://www.epc.eu/content/PDF/2020/1_The_bigger_picture.pdf</w:t>
        </w:r>
      </w:hyperlink>
    </w:p>
    <w:p w:rsidR="000B0DDC" w:rsidRPr="006C28BE" w:rsidRDefault="000B0DDC" w:rsidP="000B0DDC">
      <w:pPr>
        <w:spacing w:line="360" w:lineRule="auto"/>
        <w:ind w:left="360"/>
        <w:jc w:val="both"/>
        <w:rPr>
          <w:rFonts w:cs="Arial"/>
        </w:rPr>
      </w:pPr>
      <w:r w:rsidRPr="006C28BE">
        <w:rPr>
          <w:rFonts w:cs="Arial"/>
        </w:rPr>
        <w:t>Wiltshire, D. A. (2013) The dissolution of first unions and women’s economic activity in the UK. University of Southampton.</w:t>
      </w:r>
    </w:p>
    <w:p w:rsidR="000B0DDC" w:rsidRDefault="000B0DDC" w:rsidP="000B0DDC">
      <w:pPr>
        <w:spacing w:line="360" w:lineRule="auto"/>
        <w:ind w:left="360"/>
        <w:jc w:val="both"/>
        <w:rPr>
          <w:rFonts w:cs="Arial"/>
          <w:color w:val="222222"/>
          <w:szCs w:val="24"/>
          <w:shd w:val="clear" w:color="auto" w:fill="FFFFFF"/>
        </w:rPr>
      </w:pPr>
      <w:r w:rsidRPr="006C28BE">
        <w:rPr>
          <w:rFonts w:cs="Arial"/>
          <w:color w:val="222222"/>
          <w:szCs w:val="24"/>
          <w:shd w:val="clear" w:color="auto" w:fill="FFFFFF"/>
        </w:rPr>
        <w:t>Zoeller, D., (2023). </w:t>
      </w:r>
      <w:r w:rsidRPr="006C28BE">
        <w:rPr>
          <w:rFonts w:cs="Arial"/>
          <w:i/>
          <w:iCs/>
          <w:color w:val="222222"/>
          <w:szCs w:val="24"/>
          <w:shd w:val="clear" w:color="auto" w:fill="FFFFFF"/>
        </w:rPr>
        <w:t>Splitting the" Second Shift" Among Dual Income Couples: A Consensual Qualitative Design</w:t>
      </w:r>
      <w:r w:rsidRPr="006C28BE">
        <w:rPr>
          <w:rFonts w:cs="Arial"/>
          <w:color w:val="222222"/>
          <w:szCs w:val="24"/>
          <w:shd w:val="clear" w:color="auto" w:fill="FFFFFF"/>
        </w:rPr>
        <w:t>.</w:t>
      </w:r>
    </w:p>
    <w:p w:rsidR="000B0DDC" w:rsidRDefault="000B0DDC" w:rsidP="000B0DDC">
      <w:pPr>
        <w:spacing w:line="360" w:lineRule="auto"/>
        <w:ind w:left="360"/>
        <w:jc w:val="both"/>
        <w:rPr>
          <w:rFonts w:cs="Arial"/>
          <w:color w:val="222222"/>
          <w:szCs w:val="24"/>
          <w:shd w:val="clear" w:color="auto" w:fill="FFFFFF"/>
        </w:rPr>
      </w:pPr>
    </w:p>
    <w:p w:rsidR="000B0DDC" w:rsidRDefault="000B0DDC" w:rsidP="000B0DDC">
      <w:pPr>
        <w:rPr>
          <w:rFonts w:cs="Arial"/>
          <w:color w:val="222222"/>
          <w:szCs w:val="24"/>
          <w:shd w:val="clear" w:color="auto" w:fill="FFFFFF"/>
        </w:rPr>
      </w:pPr>
      <w:r>
        <w:rPr>
          <w:rFonts w:cs="Arial"/>
          <w:color w:val="222222"/>
          <w:szCs w:val="24"/>
          <w:shd w:val="clear" w:color="auto" w:fill="FFFFFF"/>
        </w:rPr>
        <w:br w:type="page"/>
      </w:r>
    </w:p>
    <w:p w:rsidR="000B0DDC" w:rsidRDefault="000B0DDC" w:rsidP="000B0DDC">
      <w:pPr>
        <w:pStyle w:val="Heading1"/>
        <w:numPr>
          <w:ilvl w:val="0"/>
          <w:numId w:val="19"/>
        </w:numPr>
        <w:rPr>
          <w:shd w:val="clear" w:color="auto" w:fill="FFFFFF"/>
        </w:rPr>
      </w:pPr>
      <w:bookmarkStart w:id="98" w:name="_Toc166368663"/>
      <w:r>
        <w:rPr>
          <w:shd w:val="clear" w:color="auto" w:fill="FFFFFF"/>
        </w:rPr>
        <w:lastRenderedPageBreak/>
        <w:t>Appendix</w:t>
      </w:r>
      <w:bookmarkEnd w:id="98"/>
    </w:p>
    <w:p w:rsidR="000B0DDC" w:rsidRDefault="000B0DDC" w:rsidP="000B0DDC">
      <w:r>
        <w:fldChar w:fldCharType="begin"/>
      </w:r>
      <w:r>
        <w:instrText xml:space="preserve"> INCLUDEPICTURE "https://qph.cf2.quoracdn.net/main-qimg-c31d82f7f85d3a4b9f251fdaed62c46e-pjlq" \* MERGEFORMATINET </w:instrText>
      </w:r>
      <w:r>
        <w:fldChar w:fldCharType="separate"/>
      </w:r>
      <w:r>
        <w:rPr>
          <w:noProof/>
          <w:lang w:val="en-IN" w:eastAsia="en-IN"/>
        </w:rPr>
        <w:drawing>
          <wp:inline distT="0" distB="0" distL="0" distR="0" wp14:anchorId="3631A4EA" wp14:editId="2990678C">
            <wp:extent cx="5943600" cy="4072890"/>
            <wp:effectExtent l="0" t="0" r="0" b="3810"/>
            <wp:docPr id="1769167609" name="Picture 1" descr="Why are salaries in the US approximately double the salary offered in the UK  for a comparable position?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y are salaries in the US approximately double the salary offered in the UK  for a comparable position? - Quora"/>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943600" cy="4072890"/>
                    </a:xfrm>
                    <a:prstGeom prst="rect">
                      <a:avLst/>
                    </a:prstGeom>
                    <a:noFill/>
                    <a:ln>
                      <a:noFill/>
                    </a:ln>
                  </pic:spPr>
                </pic:pic>
              </a:graphicData>
            </a:graphic>
          </wp:inline>
        </w:drawing>
      </w:r>
      <w:r>
        <w:fldChar w:fldCharType="end"/>
      </w:r>
    </w:p>
    <w:p w:rsidR="000B0DDC" w:rsidRDefault="000B0DDC" w:rsidP="000B0DDC">
      <w:pPr>
        <w:jc w:val="center"/>
      </w:pPr>
      <w:r>
        <w:t xml:space="preserve">(Source: </w:t>
      </w:r>
      <w:hyperlink r:id="rId49" w:history="1">
        <w:r w:rsidRPr="007C48D1">
          <w:rPr>
            <w:rStyle w:val="Hyperlink"/>
          </w:rPr>
          <w:t>https://www.quora.com/Why-are-salaries-in-the-US-approximately-double-the-salary-offered-in-the-UK-for-a-comparable-position</w:t>
        </w:r>
      </w:hyperlink>
      <w:r>
        <w:t>)</w:t>
      </w:r>
    </w:p>
    <w:p w:rsidR="000B0DDC" w:rsidRPr="003C11D6" w:rsidRDefault="000B0DDC" w:rsidP="000B0DDC">
      <w:pPr>
        <w:jc w:val="center"/>
      </w:pPr>
      <w:r>
        <w:rPr>
          <w:noProof/>
          <w:lang w:val="en-IN" w:eastAsia="en-IN"/>
        </w:rPr>
        <w:lastRenderedPageBreak/>
        <w:drawing>
          <wp:inline distT="0" distB="0" distL="0" distR="0" wp14:anchorId="23E124BA" wp14:editId="0F4AB643">
            <wp:extent cx="5943600" cy="4303395"/>
            <wp:effectExtent l="0" t="0" r="0" b="1905"/>
            <wp:docPr id="14776434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643476" name="Picture 1477643476"/>
                    <pic:cNvPicPr/>
                  </pic:nvPicPr>
                  <pic:blipFill>
                    <a:blip r:embed="rId50">
                      <a:extLst>
                        <a:ext uri="{28A0092B-C50C-407E-A947-70E740481C1C}">
                          <a14:useLocalDpi xmlns:a14="http://schemas.microsoft.com/office/drawing/2010/main" val="0"/>
                        </a:ext>
                      </a:extLst>
                    </a:blip>
                    <a:stretch>
                      <a:fillRect/>
                    </a:stretch>
                  </pic:blipFill>
                  <pic:spPr>
                    <a:xfrm>
                      <a:off x="0" y="0"/>
                      <a:ext cx="5943600" cy="4303395"/>
                    </a:xfrm>
                    <a:prstGeom prst="rect">
                      <a:avLst/>
                    </a:prstGeom>
                  </pic:spPr>
                </pic:pic>
              </a:graphicData>
            </a:graphic>
          </wp:inline>
        </w:drawing>
      </w:r>
    </w:p>
    <w:p w:rsidR="000B0DDC" w:rsidRPr="003C11D6" w:rsidRDefault="000B0DDC" w:rsidP="000B0DDC"/>
    <w:p w:rsidR="000B0DDC" w:rsidRDefault="000B0DDC" w:rsidP="000B0DDC">
      <w:pPr>
        <w:spacing w:line="360" w:lineRule="auto"/>
        <w:rPr>
          <w:rFonts w:cs="Arial"/>
          <w:lang w:val="en-GB"/>
        </w:rPr>
      </w:pPr>
    </w:p>
    <w:p w:rsidR="000B0DDC" w:rsidRDefault="000B0DDC" w:rsidP="000B0DDC">
      <w:pPr>
        <w:spacing w:line="360" w:lineRule="auto"/>
        <w:jc w:val="center"/>
        <w:rPr>
          <w:rFonts w:cs="Arial"/>
          <w:lang w:val="en-GB"/>
        </w:rPr>
      </w:pPr>
      <w:r>
        <w:rPr>
          <w:rFonts w:cs="Arial"/>
          <w:lang w:val="en-GB"/>
        </w:rPr>
        <w:t xml:space="preserve">(Source: </w:t>
      </w:r>
      <w:hyperlink r:id="rId51" w:history="1">
        <w:r w:rsidRPr="007C48D1">
          <w:rPr>
            <w:rStyle w:val="Hyperlink"/>
            <w:rFonts w:cs="Arial"/>
            <w:lang w:val="en-GB"/>
          </w:rPr>
          <w:t>https://www.theguardian.com/world/2023/apr/05/women-paid-less-than-men-four-out-of-five-employers-uk-gender-pay-gap</w:t>
        </w:r>
      </w:hyperlink>
      <w:r>
        <w:rPr>
          <w:rFonts w:cs="Arial"/>
          <w:lang w:val="en-GB"/>
        </w:rPr>
        <w:t>)</w:t>
      </w:r>
    </w:p>
    <w:p w:rsidR="000B0DDC" w:rsidRDefault="000B0DDC" w:rsidP="000B0DDC">
      <w:pPr>
        <w:spacing w:line="360" w:lineRule="auto"/>
        <w:jc w:val="center"/>
        <w:rPr>
          <w:rFonts w:cs="Arial"/>
          <w:lang w:val="en-GB"/>
        </w:rPr>
      </w:pPr>
      <w:r>
        <w:rPr>
          <w:rFonts w:cs="Arial"/>
          <w:noProof/>
          <w:lang w:val="en-IN" w:eastAsia="en-IN"/>
        </w:rPr>
        <w:lastRenderedPageBreak/>
        <w:drawing>
          <wp:inline distT="0" distB="0" distL="0" distR="0" wp14:anchorId="403ECEC7" wp14:editId="448F891A">
            <wp:extent cx="5943600" cy="4758690"/>
            <wp:effectExtent l="0" t="0" r="0" b="3810"/>
            <wp:docPr id="7236720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672054" name="Picture 723672054"/>
                    <pic:cNvPicPr/>
                  </pic:nvPicPr>
                  <pic:blipFill>
                    <a:blip r:embed="rId52">
                      <a:extLst>
                        <a:ext uri="{28A0092B-C50C-407E-A947-70E740481C1C}">
                          <a14:useLocalDpi xmlns:a14="http://schemas.microsoft.com/office/drawing/2010/main" val="0"/>
                        </a:ext>
                      </a:extLst>
                    </a:blip>
                    <a:stretch>
                      <a:fillRect/>
                    </a:stretch>
                  </pic:blipFill>
                  <pic:spPr>
                    <a:xfrm>
                      <a:off x="0" y="0"/>
                      <a:ext cx="5943600" cy="4758690"/>
                    </a:xfrm>
                    <a:prstGeom prst="rect">
                      <a:avLst/>
                    </a:prstGeom>
                  </pic:spPr>
                </pic:pic>
              </a:graphicData>
            </a:graphic>
          </wp:inline>
        </w:drawing>
      </w:r>
    </w:p>
    <w:p w:rsidR="000B0DDC" w:rsidRDefault="000B0DDC" w:rsidP="000B0DDC">
      <w:pPr>
        <w:spacing w:line="360" w:lineRule="auto"/>
        <w:jc w:val="center"/>
        <w:rPr>
          <w:rFonts w:cs="Arial"/>
          <w:lang w:val="en-GB"/>
        </w:rPr>
      </w:pPr>
      <w:r>
        <w:rPr>
          <w:rFonts w:cs="Arial"/>
          <w:lang w:val="en-GB"/>
        </w:rPr>
        <w:t xml:space="preserve">(Source: </w:t>
      </w:r>
      <w:hyperlink r:id="rId53" w:history="1">
        <w:r w:rsidRPr="007C48D1">
          <w:rPr>
            <w:rStyle w:val="Hyperlink"/>
            <w:rFonts w:cs="Arial"/>
            <w:lang w:val="en-GB"/>
          </w:rPr>
          <w:t>https://www.theguardian.com/world/2023/apr/05/women-paid-less-than-men-four-out-of-five-employers-uk-gender-pay-gap</w:t>
        </w:r>
      </w:hyperlink>
      <w:r>
        <w:rPr>
          <w:rFonts w:cs="Arial"/>
          <w:lang w:val="en-GB"/>
        </w:rPr>
        <w:t>)</w:t>
      </w:r>
    </w:p>
    <w:p w:rsidR="000B0DDC" w:rsidRDefault="000B0DDC" w:rsidP="000B0DDC">
      <w:pPr>
        <w:spacing w:line="360" w:lineRule="auto"/>
        <w:jc w:val="center"/>
        <w:rPr>
          <w:rFonts w:cs="Arial"/>
          <w:lang w:val="en-GB"/>
        </w:rPr>
      </w:pPr>
      <w:r>
        <w:rPr>
          <w:rFonts w:cs="Arial"/>
          <w:noProof/>
          <w:lang w:val="en-IN" w:eastAsia="en-IN"/>
        </w:rPr>
        <w:lastRenderedPageBreak/>
        <w:drawing>
          <wp:inline distT="0" distB="0" distL="0" distR="0" wp14:anchorId="518B77FF" wp14:editId="6E874B66">
            <wp:extent cx="5943600" cy="3559175"/>
            <wp:effectExtent l="0" t="0" r="0" b="0"/>
            <wp:docPr id="1117753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753496" name="Picture 1117753496"/>
                    <pic:cNvPicPr/>
                  </pic:nvPicPr>
                  <pic:blipFill>
                    <a:blip r:embed="rId54">
                      <a:extLst>
                        <a:ext uri="{28A0092B-C50C-407E-A947-70E740481C1C}">
                          <a14:useLocalDpi xmlns:a14="http://schemas.microsoft.com/office/drawing/2010/main" val="0"/>
                        </a:ext>
                      </a:extLst>
                    </a:blip>
                    <a:stretch>
                      <a:fillRect/>
                    </a:stretch>
                  </pic:blipFill>
                  <pic:spPr>
                    <a:xfrm>
                      <a:off x="0" y="0"/>
                      <a:ext cx="5943600" cy="3559175"/>
                    </a:xfrm>
                    <a:prstGeom prst="rect">
                      <a:avLst/>
                    </a:prstGeom>
                  </pic:spPr>
                </pic:pic>
              </a:graphicData>
            </a:graphic>
          </wp:inline>
        </w:drawing>
      </w:r>
    </w:p>
    <w:p w:rsidR="000B0DDC" w:rsidRDefault="000B0DDC" w:rsidP="000B0DDC">
      <w:pPr>
        <w:spacing w:line="360" w:lineRule="auto"/>
        <w:jc w:val="center"/>
        <w:rPr>
          <w:rFonts w:cs="Arial"/>
          <w:lang w:val="en-GB"/>
        </w:rPr>
      </w:pPr>
      <w:r>
        <w:rPr>
          <w:rFonts w:cs="Arial"/>
          <w:lang w:val="en-GB"/>
        </w:rPr>
        <w:t xml:space="preserve">(Source: </w:t>
      </w:r>
      <w:hyperlink r:id="rId55" w:history="1">
        <w:r w:rsidRPr="007C48D1">
          <w:rPr>
            <w:rStyle w:val="Hyperlink"/>
            <w:rFonts w:cs="Arial"/>
            <w:lang w:val="en-GB"/>
          </w:rPr>
          <w:t>https://webapps.ilo.org/wcmsp5/groups/public/---ed_protect/---protrav/---migrant/documents/publication/wcms_763803.pdf</w:t>
        </w:r>
      </w:hyperlink>
      <w:r>
        <w:rPr>
          <w:rFonts w:cs="Arial"/>
          <w:lang w:val="en-GB"/>
        </w:rPr>
        <w:t>)</w:t>
      </w:r>
    </w:p>
    <w:p w:rsidR="000B0DDC" w:rsidRPr="006C28BE" w:rsidRDefault="000B0DDC" w:rsidP="000B0DDC">
      <w:pPr>
        <w:spacing w:line="360" w:lineRule="auto"/>
        <w:jc w:val="center"/>
        <w:rPr>
          <w:rFonts w:cs="Arial"/>
          <w:lang w:val="en-GB"/>
        </w:rPr>
      </w:pPr>
    </w:p>
    <w:p w:rsidR="000B0DDC" w:rsidRDefault="000B0DDC" w:rsidP="000B0DDC"/>
    <w:p w:rsidR="000A21DD" w:rsidRDefault="000A21DD"/>
    <w:sectPr w:rsidR="000A21DD" w:rsidSect="00E351FB">
      <w:footerReference w:type="default" r:id="rId56"/>
      <w:pgSz w:w="11906" w:h="16838"/>
      <w:pgMar w:top="1440" w:right="1106"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B3B59" w:rsidRDefault="00EB3B59">
      <w:pPr>
        <w:spacing w:after="0" w:line="240" w:lineRule="auto"/>
      </w:pPr>
      <w:r>
        <w:separator/>
      </w:r>
    </w:p>
  </w:endnote>
  <w:endnote w:type="continuationSeparator" w:id="0">
    <w:p w:rsidR="00EB3B59" w:rsidRDefault="00EB3B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charset w:val="86"/>
    <w:family w:val="auto"/>
    <w:pitch w:val="variable"/>
    <w:sig w:usb0="A00002BF" w:usb1="38CF7CFA" w:usb2="00000016" w:usb3="00000000" w:csb0="0004000F" w:csb1="00000000"/>
  </w:font>
  <w:font w:name="Aptos">
    <w:altName w:val="Arial"/>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97204667"/>
      <w:docPartObj>
        <w:docPartGallery w:val="Page Numbers (Bottom of Page)"/>
        <w:docPartUnique/>
      </w:docPartObj>
    </w:sdtPr>
    <w:sdtEndPr>
      <w:rPr>
        <w:noProof/>
      </w:rPr>
    </w:sdtEndPr>
    <w:sdtContent>
      <w:p w:rsidR="000D673A" w:rsidRDefault="000B0DDC">
        <w:pPr>
          <w:pStyle w:val="Footer"/>
          <w:jc w:val="center"/>
        </w:pPr>
        <w:r>
          <w:fldChar w:fldCharType="begin"/>
        </w:r>
        <w:r>
          <w:instrText xml:space="preserve"> PAGE   \* MERGEFORMAT </w:instrText>
        </w:r>
        <w:r>
          <w:fldChar w:fldCharType="separate"/>
        </w:r>
        <w:r w:rsidR="0024335B">
          <w:rPr>
            <w:noProof/>
          </w:rPr>
          <w:t>100</w:t>
        </w:r>
        <w:r>
          <w:rPr>
            <w:noProof/>
          </w:rPr>
          <w:fldChar w:fldCharType="end"/>
        </w:r>
      </w:p>
    </w:sdtContent>
  </w:sdt>
  <w:p w:rsidR="000D673A" w:rsidRDefault="00EB3B5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B3B59" w:rsidRDefault="00EB3B59">
      <w:pPr>
        <w:spacing w:after="0" w:line="240" w:lineRule="auto"/>
      </w:pPr>
      <w:r>
        <w:separator/>
      </w:r>
    </w:p>
  </w:footnote>
  <w:footnote w:type="continuationSeparator" w:id="0">
    <w:p w:rsidR="00EB3B59" w:rsidRDefault="00EB3B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4658FC"/>
    <w:multiLevelType w:val="multilevel"/>
    <w:tmpl w:val="1B864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7E4A32"/>
    <w:multiLevelType w:val="multilevel"/>
    <w:tmpl w:val="2F3C9D12"/>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135F4A4C"/>
    <w:multiLevelType w:val="multilevel"/>
    <w:tmpl w:val="2688AE16"/>
    <w:lvl w:ilvl="0">
      <w:start w:val="3"/>
      <w:numFmt w:val="decimal"/>
      <w:lvlText w:val="%1"/>
      <w:lvlJc w:val="left"/>
      <w:pPr>
        <w:ind w:left="540" w:hanging="540"/>
      </w:pPr>
      <w:rPr>
        <w:rFonts w:hint="default"/>
      </w:rPr>
    </w:lvl>
    <w:lvl w:ilvl="1">
      <w:start w:val="7"/>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309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17612C52"/>
    <w:multiLevelType w:val="multilevel"/>
    <w:tmpl w:val="EC2E2420"/>
    <w:lvl w:ilvl="0">
      <w:start w:val="2"/>
      <w:numFmt w:val="decimal"/>
      <w:lvlText w:val="%1"/>
      <w:lvlJc w:val="left"/>
      <w:pPr>
        <w:ind w:left="540" w:hanging="540"/>
      </w:pPr>
      <w:rPr>
        <w:rFonts w:hint="default"/>
      </w:rPr>
    </w:lvl>
    <w:lvl w:ilvl="1">
      <w:start w:val="4"/>
      <w:numFmt w:val="decimal"/>
      <w:lvlText w:val="%1.%2"/>
      <w:lvlJc w:val="left"/>
      <w:pPr>
        <w:ind w:left="540" w:hanging="54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8A518EE"/>
    <w:multiLevelType w:val="hybridMultilevel"/>
    <w:tmpl w:val="2BFA6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B0689B"/>
    <w:multiLevelType w:val="multilevel"/>
    <w:tmpl w:val="7CD2E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E75B00"/>
    <w:multiLevelType w:val="multilevel"/>
    <w:tmpl w:val="0809001D"/>
    <w:styleLink w:val="CurrentList1"/>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306D725C"/>
    <w:multiLevelType w:val="multilevel"/>
    <w:tmpl w:val="F0CEA9B4"/>
    <w:lvl w:ilvl="0">
      <w:start w:val="2"/>
      <w:numFmt w:val="decimal"/>
      <w:lvlText w:val="%1"/>
      <w:lvlJc w:val="left"/>
      <w:pPr>
        <w:ind w:left="540" w:hanging="540"/>
      </w:pPr>
      <w:rPr>
        <w:rFonts w:hint="default"/>
      </w:rPr>
    </w:lvl>
    <w:lvl w:ilvl="1">
      <w:start w:val="3"/>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15D7EB3"/>
    <w:multiLevelType w:val="multilevel"/>
    <w:tmpl w:val="A4664716"/>
    <w:lvl w:ilvl="0">
      <w:start w:val="3"/>
      <w:numFmt w:val="decimal"/>
      <w:lvlText w:val="%1"/>
      <w:lvlJc w:val="left"/>
      <w:pPr>
        <w:ind w:left="384" w:hanging="384"/>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3516567C"/>
    <w:multiLevelType w:val="hybridMultilevel"/>
    <w:tmpl w:val="56101D5A"/>
    <w:lvl w:ilvl="0" w:tplc="52944EBE">
      <w:start w:val="1"/>
      <w:numFmt w:val="bullet"/>
      <w:lvlRestart w:val="0"/>
      <w:lvlText w:val=""/>
      <w:lvlJc w:val="left"/>
      <w:pPr>
        <w:tabs>
          <w:tab w:val="num" w:pos="0"/>
        </w:tabs>
        <w:ind w:left="720" w:hanging="360"/>
      </w:pPr>
      <w:rPr>
        <w:rFonts w:ascii="Symbol" w:hAnsi="Symbol" w:hint="default"/>
      </w:rPr>
    </w:lvl>
    <w:lvl w:ilvl="1" w:tplc="4DA4054A">
      <w:start w:val="1"/>
      <w:numFmt w:val="bullet"/>
      <w:lvlText w:val="o"/>
      <w:lvlJc w:val="left"/>
      <w:pPr>
        <w:tabs>
          <w:tab w:val="num" w:pos="0"/>
        </w:tabs>
        <w:ind w:left="1440" w:hanging="360"/>
      </w:pPr>
      <w:rPr>
        <w:rFonts w:ascii="Courier New" w:hAnsi="Courier New" w:cs="Courier New" w:hint="default"/>
      </w:rPr>
    </w:lvl>
    <w:lvl w:ilvl="2" w:tplc="3EA81C48">
      <w:start w:val="1"/>
      <w:numFmt w:val="bullet"/>
      <w:lvlText w:val=""/>
      <w:lvlJc w:val="left"/>
      <w:pPr>
        <w:tabs>
          <w:tab w:val="num" w:pos="0"/>
        </w:tabs>
        <w:ind w:left="2160" w:hanging="360"/>
      </w:pPr>
      <w:rPr>
        <w:rFonts w:ascii="Wingdings" w:hAnsi="Wingdings" w:hint="default"/>
      </w:rPr>
    </w:lvl>
    <w:lvl w:ilvl="3" w:tplc="80A003BA">
      <w:start w:val="1"/>
      <w:numFmt w:val="bullet"/>
      <w:lvlText w:val=""/>
      <w:lvlJc w:val="left"/>
      <w:pPr>
        <w:tabs>
          <w:tab w:val="num" w:pos="0"/>
        </w:tabs>
        <w:ind w:left="2880" w:hanging="360"/>
      </w:pPr>
      <w:rPr>
        <w:rFonts w:ascii="Symbol" w:hAnsi="Symbol" w:hint="default"/>
      </w:rPr>
    </w:lvl>
    <w:lvl w:ilvl="4" w:tplc="6CCE9C48">
      <w:start w:val="1"/>
      <w:numFmt w:val="bullet"/>
      <w:lvlText w:val="o"/>
      <w:lvlJc w:val="left"/>
      <w:pPr>
        <w:tabs>
          <w:tab w:val="num" w:pos="0"/>
        </w:tabs>
        <w:ind w:left="3600" w:hanging="360"/>
      </w:pPr>
      <w:rPr>
        <w:rFonts w:ascii="Courier New" w:hAnsi="Courier New" w:cs="Courier New" w:hint="default"/>
      </w:rPr>
    </w:lvl>
    <w:lvl w:ilvl="5" w:tplc="0072634C">
      <w:start w:val="1"/>
      <w:numFmt w:val="bullet"/>
      <w:lvlText w:val=""/>
      <w:lvlJc w:val="left"/>
      <w:pPr>
        <w:tabs>
          <w:tab w:val="num" w:pos="0"/>
        </w:tabs>
        <w:ind w:left="4320" w:hanging="360"/>
      </w:pPr>
      <w:rPr>
        <w:rFonts w:ascii="Wingdings" w:hAnsi="Wingdings" w:hint="default"/>
      </w:rPr>
    </w:lvl>
    <w:lvl w:ilvl="6" w:tplc="DD98D298">
      <w:start w:val="1"/>
      <w:numFmt w:val="bullet"/>
      <w:lvlText w:val=""/>
      <w:lvlJc w:val="left"/>
      <w:pPr>
        <w:tabs>
          <w:tab w:val="num" w:pos="0"/>
        </w:tabs>
        <w:ind w:left="5040" w:hanging="360"/>
      </w:pPr>
      <w:rPr>
        <w:rFonts w:ascii="Symbol" w:hAnsi="Symbol" w:hint="default"/>
      </w:rPr>
    </w:lvl>
    <w:lvl w:ilvl="7" w:tplc="938AAD44">
      <w:start w:val="1"/>
      <w:numFmt w:val="bullet"/>
      <w:lvlText w:val="o"/>
      <w:lvlJc w:val="left"/>
      <w:pPr>
        <w:tabs>
          <w:tab w:val="num" w:pos="0"/>
        </w:tabs>
        <w:ind w:left="5760" w:hanging="360"/>
      </w:pPr>
      <w:rPr>
        <w:rFonts w:ascii="Courier New" w:hAnsi="Courier New" w:cs="Courier New" w:hint="default"/>
      </w:rPr>
    </w:lvl>
    <w:lvl w:ilvl="8" w:tplc="93FA64DC">
      <w:start w:val="1"/>
      <w:numFmt w:val="bullet"/>
      <w:lvlText w:val=""/>
      <w:lvlJc w:val="left"/>
      <w:pPr>
        <w:tabs>
          <w:tab w:val="num" w:pos="0"/>
        </w:tabs>
        <w:ind w:left="6480" w:hanging="360"/>
      </w:pPr>
      <w:rPr>
        <w:rFonts w:ascii="Wingdings" w:hAnsi="Wingdings" w:hint="default"/>
      </w:rPr>
    </w:lvl>
  </w:abstractNum>
  <w:abstractNum w:abstractNumId="11" w15:restartNumberingAfterBreak="0">
    <w:nsid w:val="39CB54E5"/>
    <w:multiLevelType w:val="multilevel"/>
    <w:tmpl w:val="2D441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BB4718"/>
    <w:multiLevelType w:val="multilevel"/>
    <w:tmpl w:val="5E0E9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026466"/>
    <w:multiLevelType w:val="multilevel"/>
    <w:tmpl w:val="DD581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FD6FA8"/>
    <w:multiLevelType w:val="multilevel"/>
    <w:tmpl w:val="8B92E036"/>
    <w:lvl w:ilvl="0">
      <w:start w:val="1"/>
      <w:numFmt w:val="bullet"/>
      <w:lvlRestart w:val="0"/>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B06154"/>
    <w:multiLevelType w:val="multilevel"/>
    <w:tmpl w:val="44E45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1C6382"/>
    <w:multiLevelType w:val="hybridMultilevel"/>
    <w:tmpl w:val="7A72C8C8"/>
    <w:lvl w:ilvl="0" w:tplc="ED183B5E">
      <w:start w:val="1"/>
      <w:numFmt w:val="bullet"/>
      <w:lvlRestart w:val="0"/>
      <w:lvlText w:val=""/>
      <w:lvlJc w:val="left"/>
      <w:pPr>
        <w:tabs>
          <w:tab w:val="num" w:pos="0"/>
        </w:tabs>
        <w:ind w:left="720" w:hanging="360"/>
      </w:pPr>
      <w:rPr>
        <w:rFonts w:ascii="Symbol" w:hAnsi="Symbol" w:hint="default"/>
      </w:rPr>
    </w:lvl>
    <w:lvl w:ilvl="1" w:tplc="161EEE74">
      <w:start w:val="1"/>
      <w:numFmt w:val="bullet"/>
      <w:lvlText w:val="o"/>
      <w:lvlJc w:val="left"/>
      <w:pPr>
        <w:tabs>
          <w:tab w:val="num" w:pos="0"/>
        </w:tabs>
        <w:ind w:left="1440" w:hanging="360"/>
      </w:pPr>
      <w:rPr>
        <w:rFonts w:ascii="Courier New" w:hAnsi="Courier New" w:cs="Courier New" w:hint="default"/>
      </w:rPr>
    </w:lvl>
    <w:lvl w:ilvl="2" w:tplc="927C1D28">
      <w:start w:val="1"/>
      <w:numFmt w:val="bullet"/>
      <w:lvlText w:val=""/>
      <w:lvlJc w:val="left"/>
      <w:pPr>
        <w:tabs>
          <w:tab w:val="num" w:pos="0"/>
        </w:tabs>
        <w:ind w:left="2160" w:hanging="360"/>
      </w:pPr>
      <w:rPr>
        <w:rFonts w:ascii="Wingdings" w:hAnsi="Wingdings" w:hint="default"/>
      </w:rPr>
    </w:lvl>
    <w:lvl w:ilvl="3" w:tplc="D638BD02">
      <w:start w:val="1"/>
      <w:numFmt w:val="bullet"/>
      <w:lvlText w:val=""/>
      <w:lvlJc w:val="left"/>
      <w:pPr>
        <w:tabs>
          <w:tab w:val="num" w:pos="0"/>
        </w:tabs>
        <w:ind w:left="2880" w:hanging="360"/>
      </w:pPr>
      <w:rPr>
        <w:rFonts w:ascii="Symbol" w:hAnsi="Symbol" w:hint="default"/>
      </w:rPr>
    </w:lvl>
    <w:lvl w:ilvl="4" w:tplc="79F2D620">
      <w:start w:val="1"/>
      <w:numFmt w:val="bullet"/>
      <w:lvlText w:val="o"/>
      <w:lvlJc w:val="left"/>
      <w:pPr>
        <w:tabs>
          <w:tab w:val="num" w:pos="0"/>
        </w:tabs>
        <w:ind w:left="3600" w:hanging="360"/>
      </w:pPr>
      <w:rPr>
        <w:rFonts w:ascii="Courier New" w:hAnsi="Courier New" w:cs="Courier New" w:hint="default"/>
      </w:rPr>
    </w:lvl>
    <w:lvl w:ilvl="5" w:tplc="118461A8">
      <w:start w:val="1"/>
      <w:numFmt w:val="bullet"/>
      <w:lvlText w:val=""/>
      <w:lvlJc w:val="left"/>
      <w:pPr>
        <w:tabs>
          <w:tab w:val="num" w:pos="0"/>
        </w:tabs>
        <w:ind w:left="4320" w:hanging="360"/>
      </w:pPr>
      <w:rPr>
        <w:rFonts w:ascii="Wingdings" w:hAnsi="Wingdings" w:hint="default"/>
      </w:rPr>
    </w:lvl>
    <w:lvl w:ilvl="6" w:tplc="D50CE532">
      <w:start w:val="1"/>
      <w:numFmt w:val="bullet"/>
      <w:lvlText w:val=""/>
      <w:lvlJc w:val="left"/>
      <w:pPr>
        <w:tabs>
          <w:tab w:val="num" w:pos="0"/>
        </w:tabs>
        <w:ind w:left="5040" w:hanging="360"/>
      </w:pPr>
      <w:rPr>
        <w:rFonts w:ascii="Symbol" w:hAnsi="Symbol" w:hint="default"/>
      </w:rPr>
    </w:lvl>
    <w:lvl w:ilvl="7" w:tplc="50E62268">
      <w:start w:val="1"/>
      <w:numFmt w:val="bullet"/>
      <w:lvlText w:val="o"/>
      <w:lvlJc w:val="left"/>
      <w:pPr>
        <w:tabs>
          <w:tab w:val="num" w:pos="0"/>
        </w:tabs>
        <w:ind w:left="5760" w:hanging="360"/>
      </w:pPr>
      <w:rPr>
        <w:rFonts w:ascii="Courier New" w:hAnsi="Courier New" w:cs="Courier New" w:hint="default"/>
      </w:rPr>
    </w:lvl>
    <w:lvl w:ilvl="8" w:tplc="6D9201D0">
      <w:start w:val="1"/>
      <w:numFmt w:val="bullet"/>
      <w:lvlText w:val=""/>
      <w:lvlJc w:val="left"/>
      <w:pPr>
        <w:tabs>
          <w:tab w:val="num" w:pos="0"/>
        </w:tabs>
        <w:ind w:left="6480" w:hanging="360"/>
      </w:pPr>
      <w:rPr>
        <w:rFonts w:ascii="Wingdings" w:hAnsi="Wingdings" w:hint="default"/>
      </w:rPr>
    </w:lvl>
  </w:abstractNum>
  <w:abstractNum w:abstractNumId="17" w15:restartNumberingAfterBreak="0">
    <w:nsid w:val="5E400F33"/>
    <w:multiLevelType w:val="multilevel"/>
    <w:tmpl w:val="A4664716"/>
    <w:lvl w:ilvl="0">
      <w:start w:val="5"/>
      <w:numFmt w:val="decimal"/>
      <w:lvlText w:val="%1"/>
      <w:lvlJc w:val="left"/>
      <w:pPr>
        <w:ind w:left="384" w:hanging="38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6AAE6DFF"/>
    <w:multiLevelType w:val="hybridMultilevel"/>
    <w:tmpl w:val="E8B4C9F4"/>
    <w:lvl w:ilvl="0" w:tplc="4009000F">
      <w:start w:val="1"/>
      <w:numFmt w:val="decimal"/>
      <w:lvlText w:val="%1."/>
      <w:lvlJc w:val="left"/>
      <w:pPr>
        <w:ind w:left="780" w:hanging="360"/>
      </w:pPr>
    </w:lvl>
    <w:lvl w:ilvl="1" w:tplc="40090019" w:tentative="1">
      <w:start w:val="1"/>
      <w:numFmt w:val="lowerLetter"/>
      <w:lvlText w:val="%2."/>
      <w:lvlJc w:val="left"/>
      <w:pPr>
        <w:ind w:left="1500" w:hanging="360"/>
      </w:pPr>
    </w:lvl>
    <w:lvl w:ilvl="2" w:tplc="4009001B" w:tentative="1">
      <w:start w:val="1"/>
      <w:numFmt w:val="lowerRoman"/>
      <w:lvlText w:val="%3."/>
      <w:lvlJc w:val="right"/>
      <w:pPr>
        <w:ind w:left="2220" w:hanging="180"/>
      </w:pPr>
    </w:lvl>
    <w:lvl w:ilvl="3" w:tplc="4009000F" w:tentative="1">
      <w:start w:val="1"/>
      <w:numFmt w:val="decimal"/>
      <w:lvlText w:val="%4."/>
      <w:lvlJc w:val="left"/>
      <w:pPr>
        <w:ind w:left="2940" w:hanging="360"/>
      </w:pPr>
    </w:lvl>
    <w:lvl w:ilvl="4" w:tplc="40090019" w:tentative="1">
      <w:start w:val="1"/>
      <w:numFmt w:val="lowerLetter"/>
      <w:lvlText w:val="%5."/>
      <w:lvlJc w:val="left"/>
      <w:pPr>
        <w:ind w:left="3660" w:hanging="360"/>
      </w:pPr>
    </w:lvl>
    <w:lvl w:ilvl="5" w:tplc="4009001B" w:tentative="1">
      <w:start w:val="1"/>
      <w:numFmt w:val="lowerRoman"/>
      <w:lvlText w:val="%6."/>
      <w:lvlJc w:val="right"/>
      <w:pPr>
        <w:ind w:left="4380" w:hanging="180"/>
      </w:pPr>
    </w:lvl>
    <w:lvl w:ilvl="6" w:tplc="4009000F" w:tentative="1">
      <w:start w:val="1"/>
      <w:numFmt w:val="decimal"/>
      <w:lvlText w:val="%7."/>
      <w:lvlJc w:val="left"/>
      <w:pPr>
        <w:ind w:left="5100" w:hanging="360"/>
      </w:pPr>
    </w:lvl>
    <w:lvl w:ilvl="7" w:tplc="40090019" w:tentative="1">
      <w:start w:val="1"/>
      <w:numFmt w:val="lowerLetter"/>
      <w:lvlText w:val="%8."/>
      <w:lvlJc w:val="left"/>
      <w:pPr>
        <w:ind w:left="5820" w:hanging="360"/>
      </w:pPr>
    </w:lvl>
    <w:lvl w:ilvl="8" w:tplc="4009001B" w:tentative="1">
      <w:start w:val="1"/>
      <w:numFmt w:val="lowerRoman"/>
      <w:lvlText w:val="%9."/>
      <w:lvlJc w:val="right"/>
      <w:pPr>
        <w:ind w:left="6540" w:hanging="180"/>
      </w:pPr>
    </w:lvl>
  </w:abstractNum>
  <w:abstractNum w:abstractNumId="19" w15:restartNumberingAfterBreak="0">
    <w:nsid w:val="6CC3530F"/>
    <w:multiLevelType w:val="multilevel"/>
    <w:tmpl w:val="70AAB898"/>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6DDE285D"/>
    <w:multiLevelType w:val="multilevel"/>
    <w:tmpl w:val="414C4B8A"/>
    <w:lvl w:ilvl="0">
      <w:start w:val="5"/>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73F42040"/>
    <w:multiLevelType w:val="multilevel"/>
    <w:tmpl w:val="BF4A0E4C"/>
    <w:lvl w:ilvl="0">
      <w:start w:val="4"/>
      <w:numFmt w:val="decimal"/>
      <w:lvlText w:val="%1"/>
      <w:lvlJc w:val="left"/>
      <w:pPr>
        <w:ind w:left="540" w:hanging="540"/>
      </w:pPr>
      <w:rPr>
        <w:rFonts w:hint="default"/>
      </w:rPr>
    </w:lvl>
    <w:lvl w:ilvl="1">
      <w:start w:val="3"/>
      <w:numFmt w:val="decimal"/>
      <w:lvlText w:val="%1.%2"/>
      <w:lvlJc w:val="left"/>
      <w:pPr>
        <w:ind w:left="720" w:hanging="54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22" w15:restartNumberingAfterBreak="0">
    <w:nsid w:val="78BC2620"/>
    <w:multiLevelType w:val="multilevel"/>
    <w:tmpl w:val="8F623E34"/>
    <w:lvl w:ilvl="0">
      <w:start w:val="2"/>
      <w:numFmt w:val="decimal"/>
      <w:lvlText w:val="%1"/>
      <w:lvlJc w:val="left"/>
      <w:pPr>
        <w:ind w:left="540" w:hanging="540"/>
      </w:pPr>
      <w:rPr>
        <w:rFonts w:hint="default"/>
      </w:rPr>
    </w:lvl>
    <w:lvl w:ilvl="1">
      <w:start w:val="3"/>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AE0321D"/>
    <w:multiLevelType w:val="multilevel"/>
    <w:tmpl w:val="78946454"/>
    <w:lvl w:ilvl="0">
      <w:start w:val="4"/>
      <w:numFmt w:val="decimal"/>
      <w:lvlText w:val="%1"/>
      <w:lvlJc w:val="left"/>
      <w:pPr>
        <w:ind w:left="540" w:hanging="540"/>
      </w:pPr>
      <w:rPr>
        <w:rFonts w:hint="default"/>
      </w:rPr>
    </w:lvl>
    <w:lvl w:ilvl="1">
      <w:start w:val="2"/>
      <w:numFmt w:val="decimal"/>
      <w:lvlText w:val="%1.%2"/>
      <w:lvlJc w:val="left"/>
      <w:pPr>
        <w:ind w:left="720" w:hanging="54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24" w15:restartNumberingAfterBreak="0">
    <w:nsid w:val="7F7579A0"/>
    <w:multiLevelType w:val="hybridMultilevel"/>
    <w:tmpl w:val="789C6D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7FC90F00"/>
    <w:multiLevelType w:val="hybridMultilevel"/>
    <w:tmpl w:val="07BAC14C"/>
    <w:lvl w:ilvl="0" w:tplc="EF1E1A8C">
      <w:start w:val="1"/>
      <w:numFmt w:val="bullet"/>
      <w:lvlRestart w:val="0"/>
      <w:lvlText w:val=""/>
      <w:lvlJc w:val="left"/>
      <w:pPr>
        <w:tabs>
          <w:tab w:val="num" w:pos="0"/>
        </w:tabs>
        <w:ind w:left="720" w:hanging="360"/>
      </w:pPr>
      <w:rPr>
        <w:rFonts w:ascii="Symbol" w:hAnsi="Symbol" w:hint="default"/>
      </w:rPr>
    </w:lvl>
    <w:lvl w:ilvl="1" w:tplc="F5CE64E6">
      <w:start w:val="1"/>
      <w:numFmt w:val="bullet"/>
      <w:lvlText w:val="o"/>
      <w:lvlJc w:val="left"/>
      <w:pPr>
        <w:tabs>
          <w:tab w:val="num" w:pos="0"/>
        </w:tabs>
        <w:ind w:left="1440" w:hanging="360"/>
      </w:pPr>
      <w:rPr>
        <w:rFonts w:ascii="Courier New" w:hAnsi="Courier New" w:cs="Courier New" w:hint="default"/>
      </w:rPr>
    </w:lvl>
    <w:lvl w:ilvl="2" w:tplc="6BB0D282">
      <w:start w:val="1"/>
      <w:numFmt w:val="bullet"/>
      <w:lvlText w:val=""/>
      <w:lvlJc w:val="left"/>
      <w:pPr>
        <w:tabs>
          <w:tab w:val="num" w:pos="0"/>
        </w:tabs>
        <w:ind w:left="2160" w:hanging="360"/>
      </w:pPr>
      <w:rPr>
        <w:rFonts w:ascii="Wingdings" w:hAnsi="Wingdings" w:hint="default"/>
      </w:rPr>
    </w:lvl>
    <w:lvl w:ilvl="3" w:tplc="858CC0E8">
      <w:start w:val="1"/>
      <w:numFmt w:val="bullet"/>
      <w:lvlText w:val=""/>
      <w:lvlJc w:val="left"/>
      <w:pPr>
        <w:tabs>
          <w:tab w:val="num" w:pos="0"/>
        </w:tabs>
        <w:ind w:left="2880" w:hanging="360"/>
      </w:pPr>
      <w:rPr>
        <w:rFonts w:ascii="Symbol" w:hAnsi="Symbol" w:hint="default"/>
      </w:rPr>
    </w:lvl>
    <w:lvl w:ilvl="4" w:tplc="11AAEAAC">
      <w:start w:val="1"/>
      <w:numFmt w:val="bullet"/>
      <w:lvlText w:val="o"/>
      <w:lvlJc w:val="left"/>
      <w:pPr>
        <w:tabs>
          <w:tab w:val="num" w:pos="0"/>
        </w:tabs>
        <w:ind w:left="3600" w:hanging="360"/>
      </w:pPr>
      <w:rPr>
        <w:rFonts w:ascii="Courier New" w:hAnsi="Courier New" w:cs="Courier New" w:hint="default"/>
      </w:rPr>
    </w:lvl>
    <w:lvl w:ilvl="5" w:tplc="704EEC58">
      <w:start w:val="1"/>
      <w:numFmt w:val="bullet"/>
      <w:lvlText w:val=""/>
      <w:lvlJc w:val="left"/>
      <w:pPr>
        <w:tabs>
          <w:tab w:val="num" w:pos="0"/>
        </w:tabs>
        <w:ind w:left="4320" w:hanging="360"/>
      </w:pPr>
      <w:rPr>
        <w:rFonts w:ascii="Wingdings" w:hAnsi="Wingdings" w:hint="default"/>
      </w:rPr>
    </w:lvl>
    <w:lvl w:ilvl="6" w:tplc="AF6EC2BE">
      <w:start w:val="1"/>
      <w:numFmt w:val="bullet"/>
      <w:lvlText w:val=""/>
      <w:lvlJc w:val="left"/>
      <w:pPr>
        <w:tabs>
          <w:tab w:val="num" w:pos="0"/>
        </w:tabs>
        <w:ind w:left="5040" w:hanging="360"/>
      </w:pPr>
      <w:rPr>
        <w:rFonts w:ascii="Symbol" w:hAnsi="Symbol" w:hint="default"/>
      </w:rPr>
    </w:lvl>
    <w:lvl w:ilvl="7" w:tplc="9C4C8D76">
      <w:start w:val="1"/>
      <w:numFmt w:val="bullet"/>
      <w:lvlText w:val="o"/>
      <w:lvlJc w:val="left"/>
      <w:pPr>
        <w:tabs>
          <w:tab w:val="num" w:pos="0"/>
        </w:tabs>
        <w:ind w:left="5760" w:hanging="360"/>
      </w:pPr>
      <w:rPr>
        <w:rFonts w:ascii="Courier New" w:hAnsi="Courier New" w:cs="Courier New" w:hint="default"/>
      </w:rPr>
    </w:lvl>
    <w:lvl w:ilvl="8" w:tplc="6ABE851C">
      <w:start w:val="1"/>
      <w:numFmt w:val="bullet"/>
      <w:lvlText w:val=""/>
      <w:lvlJc w:val="left"/>
      <w:pPr>
        <w:tabs>
          <w:tab w:val="num" w:pos="0"/>
        </w:tabs>
        <w:ind w:left="6480" w:hanging="360"/>
      </w:pPr>
      <w:rPr>
        <w:rFonts w:ascii="Wingdings" w:hAnsi="Wingdings" w:hint="default"/>
      </w:rPr>
    </w:lvl>
  </w:abstractNum>
  <w:num w:numId="1">
    <w:abstractNumId w:val="25"/>
  </w:num>
  <w:num w:numId="2">
    <w:abstractNumId w:val="16"/>
  </w:num>
  <w:num w:numId="3">
    <w:abstractNumId w:val="10"/>
  </w:num>
  <w:num w:numId="4">
    <w:abstractNumId w:val="14"/>
  </w:num>
  <w:num w:numId="5">
    <w:abstractNumId w:val="11"/>
  </w:num>
  <w:num w:numId="6">
    <w:abstractNumId w:val="15"/>
  </w:num>
  <w:num w:numId="7">
    <w:abstractNumId w:val="0"/>
  </w:num>
  <w:num w:numId="8">
    <w:abstractNumId w:val="12"/>
  </w:num>
  <w:num w:numId="9">
    <w:abstractNumId w:val="6"/>
  </w:num>
  <w:num w:numId="10">
    <w:abstractNumId w:val="13"/>
  </w:num>
  <w:num w:numId="11">
    <w:abstractNumId w:val="5"/>
  </w:num>
  <w:num w:numId="12">
    <w:abstractNumId w:val="3"/>
  </w:num>
  <w:num w:numId="13">
    <w:abstractNumId w:val="1"/>
  </w:num>
  <w:num w:numId="14">
    <w:abstractNumId w:val="7"/>
  </w:num>
  <w:num w:numId="15">
    <w:abstractNumId w:val="19"/>
  </w:num>
  <w:num w:numId="16">
    <w:abstractNumId w:val="22"/>
  </w:num>
  <w:num w:numId="17">
    <w:abstractNumId w:val="4"/>
  </w:num>
  <w:num w:numId="18">
    <w:abstractNumId w:val="20"/>
  </w:num>
  <w:num w:numId="19">
    <w:abstractNumId w:val="17"/>
  </w:num>
  <w:num w:numId="20">
    <w:abstractNumId w:val="9"/>
  </w:num>
  <w:num w:numId="21">
    <w:abstractNumId w:val="2"/>
  </w:num>
  <w:num w:numId="22">
    <w:abstractNumId w:val="23"/>
  </w:num>
  <w:num w:numId="23">
    <w:abstractNumId w:val="21"/>
  </w:num>
  <w:num w:numId="24">
    <w:abstractNumId w:val="18"/>
  </w:num>
  <w:num w:numId="25">
    <w:abstractNumId w:val="8"/>
  </w:num>
  <w:num w:numId="2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0DDC"/>
    <w:rsid w:val="000A21DD"/>
    <w:rsid w:val="000B0DDC"/>
    <w:rsid w:val="0024335B"/>
    <w:rsid w:val="003E01E1"/>
    <w:rsid w:val="004421FC"/>
    <w:rsid w:val="00B664F2"/>
    <w:rsid w:val="00EB3B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DAA56"/>
  <w15:chartTrackingRefBased/>
  <w15:docId w15:val="{DF2EFEA0-10BA-4CF4-8076-E0ABB22F1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0DDC"/>
    <w:rPr>
      <w:rFonts w:ascii="Arial" w:eastAsiaTheme="minorEastAsia" w:hAnsi="Arial"/>
      <w:sz w:val="24"/>
      <w:lang w:val="en-US" w:eastAsia="zh-CN"/>
    </w:rPr>
  </w:style>
  <w:style w:type="paragraph" w:styleId="Heading1">
    <w:name w:val="heading 1"/>
    <w:basedOn w:val="Normal"/>
    <w:next w:val="Normal"/>
    <w:link w:val="Heading1Char"/>
    <w:uiPriority w:val="9"/>
    <w:qFormat/>
    <w:rsid w:val="000B0DDC"/>
    <w:pPr>
      <w:keepNext/>
      <w:keepLines/>
      <w:numPr>
        <w:numId w:val="12"/>
      </w:numPr>
      <w:pBdr>
        <w:bottom w:val="single" w:sz="4" w:space="1" w:color="595959" w:themeColor="text1" w:themeTint="A6"/>
      </w:pBdr>
      <w:spacing w:before="360"/>
      <w:outlineLvl w:val="0"/>
    </w:pPr>
    <w:rPr>
      <w:rFonts w:eastAsiaTheme="majorEastAsia" w:cstheme="majorBidi"/>
      <w:b/>
      <w:bCs/>
      <w:smallCaps/>
      <w:color w:val="000000" w:themeColor="text1"/>
      <w:sz w:val="28"/>
      <w:szCs w:val="36"/>
    </w:rPr>
  </w:style>
  <w:style w:type="paragraph" w:styleId="Heading2">
    <w:name w:val="heading 2"/>
    <w:basedOn w:val="Normal"/>
    <w:next w:val="Normal"/>
    <w:link w:val="Heading2Char"/>
    <w:uiPriority w:val="9"/>
    <w:unhideWhenUsed/>
    <w:qFormat/>
    <w:rsid w:val="000B0DDC"/>
    <w:pPr>
      <w:keepNext/>
      <w:keepLines/>
      <w:numPr>
        <w:ilvl w:val="1"/>
        <w:numId w:val="12"/>
      </w:numPr>
      <w:spacing w:before="360" w:after="0"/>
      <w:ind w:left="576"/>
      <w:outlineLvl w:val="1"/>
    </w:pPr>
    <w:rPr>
      <w:rFonts w:eastAsiaTheme="majorEastAsia" w:cstheme="majorBidi"/>
      <w:b/>
      <w:bCs/>
      <w:smallCaps/>
      <w:color w:val="000000" w:themeColor="text1"/>
      <w:sz w:val="26"/>
      <w:szCs w:val="28"/>
    </w:rPr>
  </w:style>
  <w:style w:type="paragraph" w:styleId="Heading3">
    <w:name w:val="heading 3"/>
    <w:basedOn w:val="Normal"/>
    <w:next w:val="Normal"/>
    <w:link w:val="Heading3Char"/>
    <w:uiPriority w:val="9"/>
    <w:unhideWhenUsed/>
    <w:qFormat/>
    <w:rsid w:val="000B0DDC"/>
    <w:pPr>
      <w:keepNext/>
      <w:keepLines/>
      <w:numPr>
        <w:ilvl w:val="2"/>
        <w:numId w:val="12"/>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0B0DDC"/>
    <w:pPr>
      <w:keepNext/>
      <w:keepLines/>
      <w:numPr>
        <w:ilvl w:val="3"/>
        <w:numId w:val="12"/>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0B0DDC"/>
    <w:pPr>
      <w:keepNext/>
      <w:keepLines/>
      <w:numPr>
        <w:ilvl w:val="4"/>
        <w:numId w:val="12"/>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0B0DDC"/>
    <w:pPr>
      <w:keepNext/>
      <w:keepLines/>
      <w:numPr>
        <w:ilvl w:val="5"/>
        <w:numId w:val="12"/>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unhideWhenUsed/>
    <w:qFormat/>
    <w:rsid w:val="000B0DDC"/>
    <w:pPr>
      <w:keepNext/>
      <w:keepLines/>
      <w:spacing w:before="200" w:after="0" w:line="360" w:lineRule="auto"/>
      <w:jc w:val="center"/>
      <w:outlineLvl w:val="6"/>
    </w:pPr>
    <w:rPr>
      <w:rFonts w:eastAsiaTheme="majorEastAsia" w:cstheme="majorBidi"/>
      <w:b/>
      <w:iCs/>
    </w:rPr>
  </w:style>
  <w:style w:type="paragraph" w:styleId="Heading8">
    <w:name w:val="heading 8"/>
    <w:basedOn w:val="Normal"/>
    <w:next w:val="Normal"/>
    <w:link w:val="Heading8Char"/>
    <w:uiPriority w:val="9"/>
    <w:unhideWhenUsed/>
    <w:qFormat/>
    <w:rsid w:val="000B0DDC"/>
    <w:pPr>
      <w:keepNext/>
      <w:keepLines/>
      <w:numPr>
        <w:ilvl w:val="7"/>
        <w:numId w:val="12"/>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unhideWhenUsed/>
    <w:qFormat/>
    <w:rsid w:val="000B0DDC"/>
    <w:pPr>
      <w:keepNext/>
      <w:keepLines/>
      <w:numPr>
        <w:ilvl w:val="8"/>
        <w:numId w:val="12"/>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0DDC"/>
    <w:rPr>
      <w:rFonts w:ascii="Arial" w:eastAsiaTheme="majorEastAsia" w:hAnsi="Arial" w:cstheme="majorBidi"/>
      <w:b/>
      <w:bCs/>
      <w:smallCaps/>
      <w:color w:val="000000" w:themeColor="text1"/>
      <w:sz w:val="28"/>
      <w:szCs w:val="36"/>
      <w:lang w:val="en-US" w:eastAsia="zh-CN"/>
    </w:rPr>
  </w:style>
  <w:style w:type="character" w:customStyle="1" w:styleId="Heading2Char">
    <w:name w:val="Heading 2 Char"/>
    <w:basedOn w:val="DefaultParagraphFont"/>
    <w:link w:val="Heading2"/>
    <w:uiPriority w:val="9"/>
    <w:rsid w:val="000B0DDC"/>
    <w:rPr>
      <w:rFonts w:ascii="Arial" w:eastAsiaTheme="majorEastAsia" w:hAnsi="Arial" w:cstheme="majorBidi"/>
      <w:b/>
      <w:bCs/>
      <w:smallCaps/>
      <w:color w:val="000000" w:themeColor="text1"/>
      <w:sz w:val="26"/>
      <w:szCs w:val="28"/>
      <w:lang w:val="en-US" w:eastAsia="zh-CN"/>
    </w:rPr>
  </w:style>
  <w:style w:type="character" w:customStyle="1" w:styleId="Heading3Char">
    <w:name w:val="Heading 3 Char"/>
    <w:basedOn w:val="DefaultParagraphFont"/>
    <w:link w:val="Heading3"/>
    <w:uiPriority w:val="9"/>
    <w:rsid w:val="000B0DDC"/>
    <w:rPr>
      <w:rFonts w:asciiTheme="majorHAnsi" w:eastAsiaTheme="majorEastAsia" w:hAnsiTheme="majorHAnsi" w:cstheme="majorBidi"/>
      <w:b/>
      <w:bCs/>
      <w:color w:val="000000" w:themeColor="text1"/>
      <w:sz w:val="24"/>
      <w:lang w:val="en-US" w:eastAsia="zh-CN"/>
    </w:rPr>
  </w:style>
  <w:style w:type="character" w:customStyle="1" w:styleId="Heading4Char">
    <w:name w:val="Heading 4 Char"/>
    <w:basedOn w:val="DefaultParagraphFont"/>
    <w:link w:val="Heading4"/>
    <w:uiPriority w:val="9"/>
    <w:semiHidden/>
    <w:rsid w:val="000B0DDC"/>
    <w:rPr>
      <w:rFonts w:asciiTheme="majorHAnsi" w:eastAsiaTheme="majorEastAsia" w:hAnsiTheme="majorHAnsi" w:cstheme="majorBidi"/>
      <w:b/>
      <w:bCs/>
      <w:i/>
      <w:iCs/>
      <w:color w:val="000000" w:themeColor="text1"/>
      <w:sz w:val="24"/>
      <w:lang w:val="en-US" w:eastAsia="zh-CN"/>
    </w:rPr>
  </w:style>
  <w:style w:type="character" w:customStyle="1" w:styleId="Heading5Char">
    <w:name w:val="Heading 5 Char"/>
    <w:basedOn w:val="DefaultParagraphFont"/>
    <w:link w:val="Heading5"/>
    <w:uiPriority w:val="9"/>
    <w:semiHidden/>
    <w:rsid w:val="000B0DDC"/>
    <w:rPr>
      <w:rFonts w:asciiTheme="majorHAnsi" w:eastAsiaTheme="majorEastAsia" w:hAnsiTheme="majorHAnsi" w:cstheme="majorBidi"/>
      <w:color w:val="323E4F" w:themeColor="text2" w:themeShade="BF"/>
      <w:sz w:val="24"/>
      <w:lang w:val="en-US" w:eastAsia="zh-CN"/>
    </w:rPr>
  </w:style>
  <w:style w:type="character" w:customStyle="1" w:styleId="Heading6Char">
    <w:name w:val="Heading 6 Char"/>
    <w:basedOn w:val="DefaultParagraphFont"/>
    <w:link w:val="Heading6"/>
    <w:uiPriority w:val="9"/>
    <w:semiHidden/>
    <w:rsid w:val="000B0DDC"/>
    <w:rPr>
      <w:rFonts w:asciiTheme="majorHAnsi" w:eastAsiaTheme="majorEastAsia" w:hAnsiTheme="majorHAnsi" w:cstheme="majorBidi"/>
      <w:i/>
      <w:iCs/>
      <w:color w:val="323E4F" w:themeColor="text2" w:themeShade="BF"/>
      <w:sz w:val="24"/>
      <w:lang w:val="en-US" w:eastAsia="zh-CN"/>
    </w:rPr>
  </w:style>
  <w:style w:type="character" w:customStyle="1" w:styleId="Heading7Char">
    <w:name w:val="Heading 7 Char"/>
    <w:basedOn w:val="DefaultParagraphFont"/>
    <w:link w:val="Heading7"/>
    <w:uiPriority w:val="9"/>
    <w:rsid w:val="000B0DDC"/>
    <w:rPr>
      <w:rFonts w:ascii="Arial" w:eastAsiaTheme="majorEastAsia" w:hAnsi="Arial" w:cstheme="majorBidi"/>
      <w:b/>
      <w:iCs/>
      <w:sz w:val="24"/>
      <w:lang w:val="en-US" w:eastAsia="zh-CN"/>
    </w:rPr>
  </w:style>
  <w:style w:type="character" w:customStyle="1" w:styleId="Heading8Char">
    <w:name w:val="Heading 8 Char"/>
    <w:basedOn w:val="DefaultParagraphFont"/>
    <w:link w:val="Heading8"/>
    <w:uiPriority w:val="9"/>
    <w:rsid w:val="000B0DDC"/>
    <w:rPr>
      <w:rFonts w:asciiTheme="majorHAnsi" w:eastAsiaTheme="majorEastAsia" w:hAnsiTheme="majorHAnsi" w:cstheme="majorBidi"/>
      <w:color w:val="404040" w:themeColor="text1" w:themeTint="BF"/>
      <w:sz w:val="20"/>
      <w:szCs w:val="20"/>
      <w:lang w:val="en-US" w:eastAsia="zh-CN"/>
    </w:rPr>
  </w:style>
  <w:style w:type="character" w:customStyle="1" w:styleId="Heading9Char">
    <w:name w:val="Heading 9 Char"/>
    <w:basedOn w:val="DefaultParagraphFont"/>
    <w:link w:val="Heading9"/>
    <w:uiPriority w:val="9"/>
    <w:rsid w:val="000B0DDC"/>
    <w:rPr>
      <w:rFonts w:asciiTheme="majorHAnsi" w:eastAsiaTheme="majorEastAsia" w:hAnsiTheme="majorHAnsi" w:cstheme="majorBidi"/>
      <w:i/>
      <w:iCs/>
      <w:color w:val="404040" w:themeColor="text1" w:themeTint="BF"/>
      <w:sz w:val="20"/>
      <w:szCs w:val="20"/>
      <w:lang w:val="en-US" w:eastAsia="zh-CN"/>
    </w:rPr>
  </w:style>
  <w:style w:type="paragraph" w:styleId="Title">
    <w:name w:val="Title"/>
    <w:basedOn w:val="Normal"/>
    <w:next w:val="Normal"/>
    <w:link w:val="TitleChar"/>
    <w:uiPriority w:val="10"/>
    <w:qFormat/>
    <w:rsid w:val="000B0DDC"/>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0B0DDC"/>
    <w:rPr>
      <w:rFonts w:asciiTheme="majorHAnsi" w:eastAsiaTheme="majorEastAsia" w:hAnsiTheme="majorHAnsi" w:cstheme="majorBidi"/>
      <w:color w:val="000000" w:themeColor="text1"/>
      <w:sz w:val="56"/>
      <w:szCs w:val="56"/>
      <w:lang w:val="en-US" w:eastAsia="zh-CN"/>
    </w:rPr>
  </w:style>
  <w:style w:type="paragraph" w:styleId="Subtitle">
    <w:name w:val="Subtitle"/>
    <w:basedOn w:val="Normal"/>
    <w:next w:val="Normal"/>
    <w:link w:val="SubtitleChar"/>
    <w:uiPriority w:val="11"/>
    <w:qFormat/>
    <w:rsid w:val="000B0DDC"/>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0B0DDC"/>
    <w:rPr>
      <w:rFonts w:ascii="Arial" w:eastAsiaTheme="minorEastAsia" w:hAnsi="Arial"/>
      <w:color w:val="5A5A5A" w:themeColor="text1" w:themeTint="A5"/>
      <w:spacing w:val="10"/>
      <w:sz w:val="24"/>
      <w:lang w:val="en-US" w:eastAsia="zh-CN"/>
    </w:rPr>
  </w:style>
  <w:style w:type="paragraph" w:customStyle="1" w:styleId="Quote1">
    <w:name w:val="Quote1"/>
    <w:basedOn w:val="Normal"/>
    <w:next w:val="Normal"/>
    <w:rsid w:val="000B0DDC"/>
    <w:pPr>
      <w:spacing w:before="160"/>
      <w:jc w:val="center"/>
    </w:pPr>
    <w:rPr>
      <w:i/>
      <w:iCs/>
      <w:color w:val="404040"/>
    </w:rPr>
  </w:style>
  <w:style w:type="paragraph" w:customStyle="1" w:styleId="ListParagraph1">
    <w:name w:val="List Paragraph1"/>
    <w:basedOn w:val="Normal"/>
    <w:rsid w:val="000B0DDC"/>
    <w:pPr>
      <w:ind w:left="720"/>
      <w:contextualSpacing/>
    </w:pPr>
  </w:style>
  <w:style w:type="character" w:customStyle="1" w:styleId="IntenseEmphasis1">
    <w:name w:val="Intense Emphasis1"/>
    <w:basedOn w:val="DefaultParagraphFont"/>
    <w:rsid w:val="000B0DDC"/>
    <w:rPr>
      <w:i/>
      <w:iCs/>
      <w:color w:val="0F4761"/>
    </w:rPr>
  </w:style>
  <w:style w:type="paragraph" w:customStyle="1" w:styleId="IntenseQuote1">
    <w:name w:val="Intense Quote1"/>
    <w:basedOn w:val="Normal"/>
    <w:next w:val="Normal"/>
    <w:rsid w:val="000B0DDC"/>
    <w:pPr>
      <w:pBdr>
        <w:top w:val="single" w:sz="4" w:space="10" w:color="0F4761"/>
        <w:bottom w:val="single" w:sz="4" w:space="10" w:color="0F4761"/>
      </w:pBdr>
      <w:spacing w:before="360" w:after="360"/>
      <w:ind w:left="864" w:right="864"/>
      <w:jc w:val="center"/>
    </w:pPr>
    <w:rPr>
      <w:i/>
      <w:iCs/>
      <w:color w:val="0F4761"/>
    </w:rPr>
  </w:style>
  <w:style w:type="character" w:customStyle="1" w:styleId="IntenseReference1">
    <w:name w:val="Intense Reference1"/>
    <w:basedOn w:val="DefaultParagraphFont"/>
    <w:rsid w:val="000B0DDC"/>
    <w:rPr>
      <w:b/>
      <w:bCs/>
      <w:caps w:val="0"/>
      <w:smallCaps/>
      <w:color w:val="0F4761"/>
      <w:spacing w:val="5"/>
    </w:rPr>
  </w:style>
  <w:style w:type="paragraph" w:styleId="NormalWeb">
    <w:name w:val="Normal (Web)"/>
    <w:basedOn w:val="Normal"/>
    <w:uiPriority w:val="99"/>
    <w:rsid w:val="000B0DDC"/>
    <w:pPr>
      <w:spacing w:before="100" w:beforeAutospacing="1" w:after="100" w:afterAutospacing="1"/>
    </w:pPr>
  </w:style>
  <w:style w:type="paragraph" w:styleId="Header">
    <w:name w:val="header"/>
    <w:basedOn w:val="Normal"/>
    <w:link w:val="HeaderChar"/>
    <w:rsid w:val="000B0DDC"/>
    <w:pPr>
      <w:tabs>
        <w:tab w:val="center" w:pos="4680"/>
        <w:tab w:val="right" w:pos="9360"/>
      </w:tabs>
    </w:pPr>
  </w:style>
  <w:style w:type="character" w:customStyle="1" w:styleId="HeaderChar">
    <w:name w:val="Header Char"/>
    <w:basedOn w:val="DefaultParagraphFont"/>
    <w:link w:val="Header"/>
    <w:rsid w:val="000B0DDC"/>
    <w:rPr>
      <w:rFonts w:ascii="Arial" w:eastAsiaTheme="minorEastAsia" w:hAnsi="Arial"/>
      <w:sz w:val="24"/>
      <w:lang w:val="en-US" w:eastAsia="zh-CN"/>
    </w:rPr>
  </w:style>
  <w:style w:type="paragraph" w:styleId="Footer">
    <w:name w:val="footer"/>
    <w:basedOn w:val="Normal"/>
    <w:link w:val="FooterChar"/>
    <w:uiPriority w:val="99"/>
    <w:rsid w:val="000B0DDC"/>
    <w:pPr>
      <w:tabs>
        <w:tab w:val="center" w:pos="4680"/>
        <w:tab w:val="right" w:pos="9360"/>
      </w:tabs>
    </w:pPr>
  </w:style>
  <w:style w:type="character" w:customStyle="1" w:styleId="FooterChar">
    <w:name w:val="Footer Char"/>
    <w:basedOn w:val="DefaultParagraphFont"/>
    <w:link w:val="Footer"/>
    <w:uiPriority w:val="99"/>
    <w:rsid w:val="000B0DDC"/>
    <w:rPr>
      <w:rFonts w:ascii="Arial" w:eastAsiaTheme="minorEastAsia" w:hAnsi="Arial"/>
      <w:sz w:val="24"/>
      <w:lang w:val="en-US" w:eastAsia="zh-CN"/>
    </w:rPr>
  </w:style>
  <w:style w:type="character" w:styleId="Hyperlink">
    <w:name w:val="Hyperlink"/>
    <w:basedOn w:val="DefaultParagraphFont"/>
    <w:uiPriority w:val="99"/>
    <w:rsid w:val="000B0DDC"/>
    <w:rPr>
      <w:color w:val="467886"/>
      <w:u w:val="single"/>
    </w:rPr>
  </w:style>
  <w:style w:type="character" w:customStyle="1" w:styleId="UnresolvedMention1">
    <w:name w:val="Unresolved Mention1"/>
    <w:basedOn w:val="DefaultParagraphFont"/>
    <w:rsid w:val="000B0DDC"/>
    <w:rPr>
      <w:color w:val="605E5C"/>
      <w:shd w:val="clear" w:color="auto" w:fill="E1DFDD"/>
    </w:rPr>
  </w:style>
  <w:style w:type="paragraph" w:styleId="Caption">
    <w:name w:val="caption"/>
    <w:basedOn w:val="Normal"/>
    <w:next w:val="Normal"/>
    <w:uiPriority w:val="35"/>
    <w:unhideWhenUsed/>
    <w:qFormat/>
    <w:rsid w:val="000B0DDC"/>
    <w:pPr>
      <w:spacing w:after="200" w:line="240" w:lineRule="auto"/>
    </w:pPr>
    <w:rPr>
      <w:i/>
      <w:iCs/>
      <w:color w:val="44546A" w:themeColor="text2"/>
      <w:sz w:val="18"/>
      <w:szCs w:val="18"/>
    </w:rPr>
  </w:style>
  <w:style w:type="character" w:customStyle="1" w:styleId="text-with-replacments">
    <w:name w:val="text-with-replacments"/>
    <w:basedOn w:val="DefaultParagraphFont"/>
    <w:rsid w:val="000B0DDC"/>
  </w:style>
  <w:style w:type="paragraph" w:customStyle="1" w:styleId="TOCHeading1">
    <w:name w:val="TOC Heading1"/>
    <w:basedOn w:val="Heading1"/>
    <w:next w:val="Normal"/>
    <w:rsid w:val="000B0DDC"/>
    <w:pPr>
      <w:spacing w:before="240" w:after="0"/>
      <w:outlineLvl w:val="9"/>
    </w:pPr>
    <w:rPr>
      <w:rFonts w:eastAsia="DengXian Light"/>
      <w:b w:val="0"/>
      <w:color w:val="0F4761"/>
      <w:szCs w:val="32"/>
    </w:rPr>
  </w:style>
  <w:style w:type="paragraph" w:styleId="TOC1">
    <w:name w:val="toc 1"/>
    <w:basedOn w:val="Normal"/>
    <w:next w:val="Normal"/>
    <w:autoRedefine/>
    <w:uiPriority w:val="39"/>
    <w:rsid w:val="000B0DDC"/>
    <w:pPr>
      <w:spacing w:after="100"/>
    </w:pPr>
  </w:style>
  <w:style w:type="paragraph" w:styleId="TOC2">
    <w:name w:val="toc 2"/>
    <w:basedOn w:val="Normal"/>
    <w:next w:val="Normal"/>
    <w:autoRedefine/>
    <w:uiPriority w:val="39"/>
    <w:rsid w:val="000B0DDC"/>
    <w:pPr>
      <w:spacing w:after="100"/>
      <w:ind w:left="220"/>
    </w:pPr>
  </w:style>
  <w:style w:type="paragraph" w:styleId="TOC3">
    <w:name w:val="toc 3"/>
    <w:basedOn w:val="Normal"/>
    <w:next w:val="Normal"/>
    <w:autoRedefine/>
    <w:uiPriority w:val="39"/>
    <w:rsid w:val="000B0DDC"/>
    <w:pPr>
      <w:spacing w:after="100"/>
      <w:ind w:left="440"/>
    </w:pPr>
  </w:style>
  <w:style w:type="character" w:styleId="Strong">
    <w:name w:val="Strong"/>
    <w:basedOn w:val="DefaultParagraphFont"/>
    <w:uiPriority w:val="22"/>
    <w:qFormat/>
    <w:rsid w:val="000B0DDC"/>
    <w:rPr>
      <w:b/>
      <w:bCs/>
      <w:color w:val="000000" w:themeColor="text1"/>
    </w:rPr>
  </w:style>
  <w:style w:type="character" w:customStyle="1" w:styleId="UnresolvedMention2">
    <w:name w:val="Unresolved Mention2"/>
    <w:basedOn w:val="DefaultParagraphFont"/>
    <w:rsid w:val="000B0DDC"/>
    <w:rPr>
      <w:color w:val="605E5C"/>
      <w:shd w:val="clear" w:color="auto" w:fill="E1DFDD"/>
    </w:rPr>
  </w:style>
  <w:style w:type="character" w:customStyle="1" w:styleId="UnresolvedMention">
    <w:name w:val="Unresolved Mention"/>
    <w:basedOn w:val="DefaultParagraphFont"/>
    <w:uiPriority w:val="99"/>
    <w:semiHidden/>
    <w:unhideWhenUsed/>
    <w:rsid w:val="000B0DDC"/>
    <w:rPr>
      <w:color w:val="605E5C"/>
      <w:shd w:val="clear" w:color="auto" w:fill="E1DFDD"/>
    </w:rPr>
  </w:style>
  <w:style w:type="paragraph" w:styleId="TOCHeading">
    <w:name w:val="TOC Heading"/>
    <w:basedOn w:val="Heading1"/>
    <w:next w:val="Normal"/>
    <w:uiPriority w:val="39"/>
    <w:unhideWhenUsed/>
    <w:qFormat/>
    <w:rsid w:val="000B0DDC"/>
    <w:pPr>
      <w:outlineLvl w:val="9"/>
    </w:pPr>
  </w:style>
  <w:style w:type="table" w:styleId="GridTable6Colorful-Accent2">
    <w:name w:val="Grid Table 6 Colorful Accent 2"/>
    <w:basedOn w:val="TableNormal"/>
    <w:uiPriority w:val="51"/>
    <w:rsid w:val="000B0DDC"/>
    <w:rPr>
      <w:rFonts w:eastAsiaTheme="minorEastAsia"/>
      <w:color w:val="C45911" w:themeColor="accent2" w:themeShade="BF"/>
      <w:lang w:val="en-US" w:eastAsia="zh-CN"/>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1Light-Accent2">
    <w:name w:val="List Table 1 Light Accent 2"/>
    <w:basedOn w:val="TableNormal"/>
    <w:uiPriority w:val="46"/>
    <w:rsid w:val="000B0DDC"/>
    <w:rPr>
      <w:rFonts w:eastAsiaTheme="minorEastAsia"/>
      <w:lang w:val="en-US" w:eastAsia="zh-CN"/>
    </w:rPr>
    <w:tblPr>
      <w:tblStyleRowBandSize w:val="1"/>
      <w:tblStyleColBandSize w:val="1"/>
    </w:tblPr>
    <w:tblStylePr w:type="firstRow">
      <w:rPr>
        <w:b/>
        <w:bCs/>
      </w:rPr>
      <w:tblPr/>
      <w:tcPr>
        <w:tcBorders>
          <w:bottom w:val="single" w:sz="4" w:space="0" w:color="F4B083" w:themeColor="accent2" w:themeTint="99"/>
        </w:tcBorders>
      </w:tcPr>
    </w:tblStylePr>
    <w:tblStylePr w:type="lastRow">
      <w:rPr>
        <w:b/>
        <w:bCs/>
      </w:rPr>
      <w:tblPr/>
      <w:tcPr>
        <w:tcBorders>
          <w:top w:val="sing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NoSpacing">
    <w:name w:val="No Spacing"/>
    <w:link w:val="NoSpacingChar"/>
    <w:uiPriority w:val="1"/>
    <w:qFormat/>
    <w:rsid w:val="000B0DDC"/>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0B0DDC"/>
    <w:rPr>
      <w:rFonts w:eastAsiaTheme="minorEastAsia"/>
      <w:lang w:val="en-US" w:eastAsia="zh-CN"/>
    </w:rPr>
  </w:style>
  <w:style w:type="paragraph" w:styleId="TableofFigures">
    <w:name w:val="table of figures"/>
    <w:basedOn w:val="Normal"/>
    <w:next w:val="Normal"/>
    <w:uiPriority w:val="99"/>
    <w:unhideWhenUsed/>
    <w:rsid w:val="000B0DDC"/>
  </w:style>
  <w:style w:type="paragraph" w:styleId="ListParagraph">
    <w:name w:val="List Paragraph"/>
    <w:basedOn w:val="Normal"/>
    <w:uiPriority w:val="34"/>
    <w:qFormat/>
    <w:rsid w:val="000B0DDC"/>
    <w:pPr>
      <w:ind w:left="720"/>
      <w:contextualSpacing/>
    </w:pPr>
  </w:style>
  <w:style w:type="character" w:styleId="Emphasis">
    <w:name w:val="Emphasis"/>
    <w:basedOn w:val="DefaultParagraphFont"/>
    <w:uiPriority w:val="20"/>
    <w:qFormat/>
    <w:rsid w:val="000B0DDC"/>
    <w:rPr>
      <w:i/>
      <w:iCs/>
      <w:color w:val="auto"/>
    </w:rPr>
  </w:style>
  <w:style w:type="paragraph" w:styleId="Quote">
    <w:name w:val="Quote"/>
    <w:basedOn w:val="Normal"/>
    <w:next w:val="Normal"/>
    <w:link w:val="QuoteChar"/>
    <w:uiPriority w:val="29"/>
    <w:qFormat/>
    <w:rsid w:val="000B0DDC"/>
    <w:pPr>
      <w:spacing w:before="160"/>
      <w:ind w:left="720" w:right="720"/>
    </w:pPr>
    <w:rPr>
      <w:i/>
      <w:iCs/>
      <w:color w:val="000000" w:themeColor="text1"/>
    </w:rPr>
  </w:style>
  <w:style w:type="character" w:customStyle="1" w:styleId="QuoteChar">
    <w:name w:val="Quote Char"/>
    <w:basedOn w:val="DefaultParagraphFont"/>
    <w:link w:val="Quote"/>
    <w:uiPriority w:val="29"/>
    <w:rsid w:val="000B0DDC"/>
    <w:rPr>
      <w:rFonts w:ascii="Arial" w:eastAsiaTheme="minorEastAsia" w:hAnsi="Arial"/>
      <w:i/>
      <w:iCs/>
      <w:color w:val="000000" w:themeColor="text1"/>
      <w:sz w:val="24"/>
      <w:lang w:val="en-US" w:eastAsia="zh-CN"/>
    </w:rPr>
  </w:style>
  <w:style w:type="paragraph" w:styleId="IntenseQuote">
    <w:name w:val="Intense Quote"/>
    <w:basedOn w:val="Normal"/>
    <w:next w:val="Normal"/>
    <w:link w:val="IntenseQuoteChar"/>
    <w:uiPriority w:val="30"/>
    <w:qFormat/>
    <w:rsid w:val="000B0DDC"/>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0B0DDC"/>
    <w:rPr>
      <w:rFonts w:ascii="Arial" w:eastAsiaTheme="minorEastAsia" w:hAnsi="Arial"/>
      <w:color w:val="000000" w:themeColor="text1"/>
      <w:sz w:val="24"/>
      <w:shd w:val="clear" w:color="auto" w:fill="F2F2F2" w:themeFill="background1" w:themeFillShade="F2"/>
      <w:lang w:val="en-US" w:eastAsia="zh-CN"/>
    </w:rPr>
  </w:style>
  <w:style w:type="character" w:styleId="SubtleEmphasis">
    <w:name w:val="Subtle Emphasis"/>
    <w:basedOn w:val="DefaultParagraphFont"/>
    <w:uiPriority w:val="19"/>
    <w:qFormat/>
    <w:rsid w:val="000B0DDC"/>
    <w:rPr>
      <w:i/>
      <w:iCs/>
      <w:color w:val="404040" w:themeColor="text1" w:themeTint="BF"/>
    </w:rPr>
  </w:style>
  <w:style w:type="character" w:styleId="IntenseEmphasis">
    <w:name w:val="Intense Emphasis"/>
    <w:basedOn w:val="DefaultParagraphFont"/>
    <w:uiPriority w:val="21"/>
    <w:qFormat/>
    <w:rsid w:val="000B0DDC"/>
    <w:rPr>
      <w:b/>
      <w:bCs/>
      <w:i/>
      <w:iCs/>
      <w:caps/>
    </w:rPr>
  </w:style>
  <w:style w:type="character" w:styleId="SubtleReference">
    <w:name w:val="Subtle Reference"/>
    <w:basedOn w:val="DefaultParagraphFont"/>
    <w:uiPriority w:val="31"/>
    <w:qFormat/>
    <w:rsid w:val="000B0DD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B0DDC"/>
    <w:rPr>
      <w:b/>
      <w:bCs/>
      <w:smallCaps/>
      <w:u w:val="single"/>
    </w:rPr>
  </w:style>
  <w:style w:type="character" w:styleId="BookTitle">
    <w:name w:val="Book Title"/>
    <w:basedOn w:val="DefaultParagraphFont"/>
    <w:uiPriority w:val="33"/>
    <w:qFormat/>
    <w:rsid w:val="000B0DDC"/>
    <w:rPr>
      <w:b w:val="0"/>
      <w:bCs w:val="0"/>
      <w:smallCaps/>
      <w:spacing w:val="5"/>
    </w:rPr>
  </w:style>
  <w:style w:type="table" w:styleId="PlainTable4">
    <w:name w:val="Plain Table 4"/>
    <w:basedOn w:val="TableNormal"/>
    <w:uiPriority w:val="44"/>
    <w:rsid w:val="000B0DDC"/>
    <w:pPr>
      <w:spacing w:after="0" w:line="240" w:lineRule="auto"/>
    </w:pPr>
    <w:rPr>
      <w:rFonts w:eastAsiaTheme="minorEastAsia"/>
      <w:lang w:val="en-US" w:eastAsia="zh-CN"/>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1">
    <w:name w:val="Plain Table 1"/>
    <w:basedOn w:val="TableNormal"/>
    <w:uiPriority w:val="41"/>
    <w:rsid w:val="000B0DDC"/>
    <w:pPr>
      <w:spacing w:after="0" w:line="240" w:lineRule="auto"/>
    </w:pPr>
    <w:rPr>
      <w:rFonts w:eastAsiaTheme="minorEastAsia"/>
      <w:lang w:val="en-US" w:eastAsia="zh-CN"/>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2">
    <w:name w:val="Grid Table 4 Accent 2"/>
    <w:basedOn w:val="TableNormal"/>
    <w:uiPriority w:val="49"/>
    <w:rsid w:val="000B0DDC"/>
    <w:pPr>
      <w:spacing w:after="0" w:line="240" w:lineRule="auto"/>
    </w:pPr>
    <w:rPr>
      <w:rFonts w:eastAsiaTheme="minorEastAsia"/>
      <w:lang w:val="en-US" w:eastAsia="zh-CN"/>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PlainTable3">
    <w:name w:val="Plain Table 3"/>
    <w:basedOn w:val="TableNormal"/>
    <w:uiPriority w:val="43"/>
    <w:rsid w:val="000B0DDC"/>
    <w:pPr>
      <w:spacing w:after="0" w:line="240" w:lineRule="auto"/>
    </w:pPr>
    <w:rPr>
      <w:rFonts w:eastAsiaTheme="minorEastAsia"/>
      <w:lang w:val="en-US" w:eastAsia="zh-CN"/>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cursor-pointer">
    <w:name w:val="cursor-pointer"/>
    <w:basedOn w:val="DefaultParagraphFont"/>
    <w:rsid w:val="000B0DDC"/>
  </w:style>
  <w:style w:type="table" w:styleId="TableGrid">
    <w:name w:val="Table Grid"/>
    <w:basedOn w:val="TableNormal"/>
    <w:uiPriority w:val="39"/>
    <w:rsid w:val="000B0D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2">
    <w:name w:val="Grid Table 2 Accent 2"/>
    <w:basedOn w:val="TableNormal"/>
    <w:uiPriority w:val="47"/>
    <w:rsid w:val="000B0DDC"/>
    <w:pPr>
      <w:spacing w:after="0" w:line="240" w:lineRule="auto"/>
    </w:pPr>
    <w:rPr>
      <w:rFonts w:eastAsiaTheme="minorEastAsia"/>
      <w:lang w:val="en-US" w:eastAsia="zh-CN"/>
    </w:r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numbering" w:customStyle="1" w:styleId="CurrentList1">
    <w:name w:val="Current List1"/>
    <w:uiPriority w:val="99"/>
    <w:rsid w:val="000B0DDC"/>
    <w:pPr>
      <w:numPr>
        <w:numId w:val="14"/>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se.ac.uk/research/research-for-the-world/race-equity/revolutionary-papers-an-exploration-of-anticolonial-and-anti-imperial-journals" TargetMode="External"/><Relationship Id="rId18" Type="http://schemas.openxmlformats.org/officeDocument/2006/relationships/hyperlink" Target="https://academic.oup.com/ia/article-abstract/95/5/1168/5556763" TargetMode="External"/><Relationship Id="rId26" Type="http://schemas.openxmlformats.org/officeDocument/2006/relationships/hyperlink" Target="https://www.amazon.in/Clock-Low-Wage-Drives-America-Insane/dp/0316509000" TargetMode="External"/><Relationship Id="rId39" Type="http://schemas.openxmlformats.org/officeDocument/2006/relationships/hyperlink" Target="https://www.ons.gov.uk/" TargetMode="External"/><Relationship Id="rId21" Type="http://schemas.openxmlformats.org/officeDocument/2006/relationships/hyperlink" Target="http://www.epi.org/" TargetMode="External"/><Relationship Id="rId34" Type="http://schemas.openxmlformats.org/officeDocument/2006/relationships/hyperlink" Target="https://bristoluniversitypressdigital.com/edcollchap/book/9781529231748/ch012.xml" TargetMode="External"/><Relationship Id="rId42" Type="http://schemas.openxmlformats.org/officeDocument/2006/relationships/hyperlink" Target="https://oro.open.ac.uk/49591/" TargetMode="External"/><Relationship Id="rId47" Type="http://schemas.openxmlformats.org/officeDocument/2006/relationships/hyperlink" Target="https://www.epc.eu/content/PDF/2020/1_The_bigger_picture.pdf" TargetMode="External"/><Relationship Id="rId50" Type="http://schemas.openxmlformats.org/officeDocument/2006/relationships/image" Target="media/image7.png"/><Relationship Id="rId55" Type="http://schemas.openxmlformats.org/officeDocument/2006/relationships/hyperlink" Target="https://webapps.ilo.org/wcmsp5/groups/public/---ed_protect/---protrav/---migrant/documents/publication/wcms_763803.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merald.com/insight/content/doi/10.1108/QRJ-D-18-00035/full/html" TargetMode="External"/><Relationship Id="rId29" Type="http://schemas.openxmlformats.org/officeDocument/2006/relationships/hyperlink" Target="https://papers.ssrn.com/sol3/papers.cfm?abstract_id=4387667" TargetMode="External"/><Relationship Id="rId11" Type="http://schemas.openxmlformats.org/officeDocument/2006/relationships/image" Target="media/image4.png"/><Relationship Id="rId24" Type="http://schemas.openxmlformats.org/officeDocument/2006/relationships/hyperlink" Target="https://www.amazon.co.uk/Weathering-How-Injustice-Breaks-Bodies/dp/0349015163" TargetMode="External"/><Relationship Id="rId32" Type="http://schemas.openxmlformats.org/officeDocument/2006/relationships/hyperlink" Target="https://www.amazon.in/Stolen-Year-COVID-Changed-Childrens/dp/1541700988" TargetMode="External"/><Relationship Id="rId37" Type="http://schemas.openxmlformats.org/officeDocument/2006/relationships/hyperlink" Target="https://library.wwu.edu/miss-major-speaks-conversations-black-trans-revolutionary" TargetMode="External"/><Relationship Id="rId40" Type="http://schemas.openxmlformats.org/officeDocument/2006/relationships/hyperlink" Target="https://www.ons.gov.uk/" TargetMode="External"/><Relationship Id="rId45" Type="http://schemas.openxmlformats.org/officeDocument/2006/relationships/hyperlink" Target="https://www.stress.org.uk/" TargetMode="External"/><Relationship Id="rId53" Type="http://schemas.openxmlformats.org/officeDocument/2006/relationships/hyperlink" Target="https://www.theguardian.com/world/2023/apr/05/women-paid-less-than-men-four-out-of-five-employers-uk-gender-pay-gap"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scholar.google.com/scholar?cites=10748451354312784699&amp;as_sdt=2005&amp;sciodt=0,5&amp;hl=e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lse.ac.uk/research-assets/article-PDFs/revolutionary-papers.pdf" TargetMode="External"/><Relationship Id="rId22" Type="http://schemas.openxmlformats.org/officeDocument/2006/relationships/hyperlink" Target="https://www.equalityhumanrights.com/" TargetMode="External"/><Relationship Id="rId27" Type="http://schemas.openxmlformats.org/officeDocument/2006/relationships/hyperlink" Target="http://www.hse.gov.uk/" TargetMode="External"/><Relationship Id="rId30" Type="http://schemas.openxmlformats.org/officeDocument/2006/relationships/hyperlink" Target="https://www.ifs.org.uk/" TargetMode="External"/><Relationship Id="rId35" Type="http://schemas.openxmlformats.org/officeDocument/2006/relationships/hyperlink" Target="https://www.amazon.in/Equality-Machine-Harnessing-Technology-Inclusive/dp/1541774752" TargetMode="External"/><Relationship Id="rId43" Type="http://schemas.openxmlformats.org/officeDocument/2006/relationships/hyperlink" Target="https://www.researchgate.net/publication/353944097_'Empty_Planet_the_Shock_of_Global_Population_Decline'_by_Darell_Bricker_and_John_Ibbitson" TargetMode="External"/><Relationship Id="rId48" Type="http://schemas.openxmlformats.org/officeDocument/2006/relationships/image" Target="media/image6.jpeg"/><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www.theguardian.com/world/2023/apr/05/women-paid-less-than-men-four-out-of-five-employers-uk-gender-pay-gap"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bankofengland.co.uk/" TargetMode="External"/><Relationship Id="rId25" Type="http://schemas.openxmlformats.org/officeDocument/2006/relationships/hyperlink" Target="https://www.amazon.in/Miss-Major-Speaks-Times-Revolutionary/dp/1839763345" TargetMode="External"/><Relationship Id="rId33" Type="http://schemas.openxmlformats.org/officeDocument/2006/relationships/hyperlink" Target="https://www.researchgate.net/publication/248876486_In_Defence_of_British_Politics_The_Past_Present_and_Future_of_the_Discipline" TargetMode="External"/><Relationship Id="rId38" Type="http://schemas.openxmlformats.org/officeDocument/2006/relationships/hyperlink" Target="https://www.nhs.uk/" TargetMode="External"/><Relationship Id="rId46" Type="http://schemas.openxmlformats.org/officeDocument/2006/relationships/hyperlink" Target="https://www.gov.uk/" TargetMode="External"/><Relationship Id="rId20" Type="http://schemas.openxmlformats.org/officeDocument/2006/relationships/hyperlink" Target="https://www.researchgate.net/publication/332257275_The_Keynesian_Revolution_and_Our_Empty_Economy_We're_All_Dead" TargetMode="External"/><Relationship Id="rId41" Type="http://schemas.openxmlformats.org/officeDocument/2006/relationships/hyperlink" Target="https://nourielroubini.com/the-age-of-megathreats/" TargetMode="External"/><Relationship Id="rId54"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researchgate.net/publication/358102602_The_Work_of_the_Future_Building_Better_Jobs_in_an_Age_of_Intelligent_Machines" TargetMode="External"/><Relationship Id="rId23" Type="http://schemas.openxmlformats.org/officeDocument/2006/relationships/hyperlink" Target="https://library.wwu.edu/left-behind-democrats-failed-attempt-solve-inequality" TargetMode="External"/><Relationship Id="rId28" Type="http://schemas.openxmlformats.org/officeDocument/2006/relationships/hyperlink" Target="https://www.penguin.co.uk/books/444562/reimagining-capitalism-in-a-world-on-fire-by-henderson-rebecca/9780241379684" TargetMode="External"/><Relationship Id="rId36" Type="http://schemas.openxmlformats.org/officeDocument/2006/relationships/hyperlink" Target="https://www.amazon.in/Equality-Machine-Harnessing-Technology-Inclusive/dp/1541774752" TargetMode="External"/><Relationship Id="rId49" Type="http://schemas.openxmlformats.org/officeDocument/2006/relationships/hyperlink" Target="https://www.quora.com/Why-are-salaries-in-the-US-approximately-double-the-salary-offered-in-the-UK-for-a-comparable-position" TargetMode="External"/><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deltalibraries.marmot.org/GroupedWork/b2b8fe0c-9cc2-3dfa-66ad-51989b257fa0" TargetMode="External"/><Relationship Id="rId44" Type="http://schemas.openxmlformats.org/officeDocument/2006/relationships/hyperlink" Target="https://www.scb.se/" TargetMode="External"/><Relationship Id="rId52"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01D518-0599-4C8F-B479-1EA8462D92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21477</Words>
  <Characters>122424</Characters>
  <Application>Microsoft Office Word</Application>
  <DocSecurity>0</DocSecurity>
  <Lines>1020</Lines>
  <Paragraphs>287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Admin</cp:lastModifiedBy>
  <cp:revision>3</cp:revision>
  <dcterms:created xsi:type="dcterms:W3CDTF">2024-05-12T14:22:00Z</dcterms:created>
  <dcterms:modified xsi:type="dcterms:W3CDTF">2024-05-12T14:22:00Z</dcterms:modified>
</cp:coreProperties>
</file>