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eastAsiaTheme="minorHAnsi" w:hAnsiTheme="minorHAnsi" w:cstheme="minorBidi"/>
          <w:color w:val="auto"/>
          <w:kern w:val="2"/>
          <w:sz w:val="22"/>
          <w:szCs w:val="22"/>
          <w14:ligatures w14:val="standardContextual"/>
        </w:rPr>
        <w:id w:val="-242108062"/>
        <w:docPartObj>
          <w:docPartGallery w:val="Table of Contents"/>
          <w:docPartUnique/>
        </w:docPartObj>
      </w:sdtPr>
      <w:sdtEndPr>
        <w:rPr>
          <w:b/>
          <w:bCs/>
          <w:noProof/>
        </w:rPr>
      </w:sdtEndPr>
      <w:sdtContent>
        <w:p w14:paraId="387DFF50" w14:textId="33C3C780" w:rsidR="00BE2C65" w:rsidRDefault="00BE2C65">
          <w:pPr>
            <w:pStyle w:val="TOCHeading"/>
          </w:pPr>
          <w:r>
            <w:t>Contents</w:t>
          </w:r>
        </w:p>
        <w:p w14:paraId="386782FB" w14:textId="461CD8FB" w:rsidR="005B769B" w:rsidRDefault="00BE2C6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65335133" w:history="1">
            <w:r w:rsidR="005B769B" w:rsidRPr="0002529C">
              <w:rPr>
                <w:rStyle w:val="Hyperlink"/>
                <w:b/>
                <w:bCs/>
                <w:noProof/>
              </w:rPr>
              <w:t>Introduction</w:t>
            </w:r>
            <w:r w:rsidR="005B769B">
              <w:rPr>
                <w:noProof/>
                <w:webHidden/>
              </w:rPr>
              <w:tab/>
            </w:r>
            <w:r w:rsidR="005B769B">
              <w:rPr>
                <w:noProof/>
                <w:webHidden/>
              </w:rPr>
              <w:fldChar w:fldCharType="begin"/>
            </w:r>
            <w:r w:rsidR="005B769B">
              <w:rPr>
                <w:noProof/>
                <w:webHidden/>
              </w:rPr>
              <w:instrText xml:space="preserve"> PAGEREF _Toc165335133 \h </w:instrText>
            </w:r>
            <w:r w:rsidR="005B769B">
              <w:rPr>
                <w:noProof/>
                <w:webHidden/>
              </w:rPr>
            </w:r>
            <w:r w:rsidR="005B769B">
              <w:rPr>
                <w:noProof/>
                <w:webHidden/>
              </w:rPr>
              <w:fldChar w:fldCharType="separate"/>
            </w:r>
            <w:r w:rsidR="005B769B">
              <w:rPr>
                <w:noProof/>
                <w:webHidden/>
              </w:rPr>
              <w:t>3</w:t>
            </w:r>
            <w:r w:rsidR="005B769B">
              <w:rPr>
                <w:noProof/>
                <w:webHidden/>
              </w:rPr>
              <w:fldChar w:fldCharType="end"/>
            </w:r>
          </w:hyperlink>
        </w:p>
        <w:p w14:paraId="76189A17" w14:textId="6E2D7A4F" w:rsidR="005B769B" w:rsidRDefault="00FE1658">
          <w:pPr>
            <w:pStyle w:val="TOC1"/>
            <w:tabs>
              <w:tab w:val="right" w:leader="dot" w:pos="9350"/>
            </w:tabs>
            <w:rPr>
              <w:rFonts w:eastAsiaTheme="minorEastAsia"/>
              <w:noProof/>
            </w:rPr>
          </w:pPr>
          <w:hyperlink w:anchor="_Toc165335134" w:history="1">
            <w:r w:rsidR="005B769B" w:rsidRPr="0002529C">
              <w:rPr>
                <w:rStyle w:val="Hyperlink"/>
                <w:b/>
                <w:bCs/>
                <w:noProof/>
              </w:rPr>
              <w:t>Main Body</w:t>
            </w:r>
            <w:r w:rsidR="005B769B">
              <w:rPr>
                <w:noProof/>
                <w:webHidden/>
              </w:rPr>
              <w:tab/>
            </w:r>
            <w:r w:rsidR="005B769B">
              <w:rPr>
                <w:noProof/>
                <w:webHidden/>
              </w:rPr>
              <w:fldChar w:fldCharType="begin"/>
            </w:r>
            <w:r w:rsidR="005B769B">
              <w:rPr>
                <w:noProof/>
                <w:webHidden/>
              </w:rPr>
              <w:instrText xml:space="preserve"> PAGEREF _Toc165335134 \h </w:instrText>
            </w:r>
            <w:r w:rsidR="005B769B">
              <w:rPr>
                <w:noProof/>
                <w:webHidden/>
              </w:rPr>
            </w:r>
            <w:r w:rsidR="005B769B">
              <w:rPr>
                <w:noProof/>
                <w:webHidden/>
              </w:rPr>
              <w:fldChar w:fldCharType="separate"/>
            </w:r>
            <w:r w:rsidR="005B769B">
              <w:rPr>
                <w:noProof/>
                <w:webHidden/>
              </w:rPr>
              <w:t>3</w:t>
            </w:r>
            <w:r w:rsidR="005B769B">
              <w:rPr>
                <w:noProof/>
                <w:webHidden/>
              </w:rPr>
              <w:fldChar w:fldCharType="end"/>
            </w:r>
          </w:hyperlink>
        </w:p>
        <w:p w14:paraId="28DC6C6D" w14:textId="3DD8F48D" w:rsidR="005B769B" w:rsidRDefault="00FE1658">
          <w:pPr>
            <w:pStyle w:val="TOC1"/>
            <w:tabs>
              <w:tab w:val="right" w:leader="dot" w:pos="9350"/>
            </w:tabs>
            <w:rPr>
              <w:rFonts w:eastAsiaTheme="minorEastAsia"/>
              <w:noProof/>
            </w:rPr>
          </w:pPr>
          <w:hyperlink w:anchor="_Toc165335135" w:history="1">
            <w:r w:rsidR="005B769B" w:rsidRPr="0002529C">
              <w:rPr>
                <w:rStyle w:val="Hyperlink"/>
                <w:b/>
                <w:bCs/>
                <w:noProof/>
              </w:rPr>
              <w:t>Part 1</w:t>
            </w:r>
            <w:r w:rsidR="005B769B">
              <w:rPr>
                <w:noProof/>
                <w:webHidden/>
              </w:rPr>
              <w:tab/>
            </w:r>
            <w:r w:rsidR="005B769B">
              <w:rPr>
                <w:noProof/>
                <w:webHidden/>
              </w:rPr>
              <w:fldChar w:fldCharType="begin"/>
            </w:r>
            <w:r w:rsidR="005B769B">
              <w:rPr>
                <w:noProof/>
                <w:webHidden/>
              </w:rPr>
              <w:instrText xml:space="preserve"> PAGEREF _Toc165335135 \h </w:instrText>
            </w:r>
            <w:r w:rsidR="005B769B">
              <w:rPr>
                <w:noProof/>
                <w:webHidden/>
              </w:rPr>
            </w:r>
            <w:r w:rsidR="005B769B">
              <w:rPr>
                <w:noProof/>
                <w:webHidden/>
              </w:rPr>
              <w:fldChar w:fldCharType="separate"/>
            </w:r>
            <w:r w:rsidR="005B769B">
              <w:rPr>
                <w:noProof/>
                <w:webHidden/>
              </w:rPr>
              <w:t>3</w:t>
            </w:r>
            <w:r w:rsidR="005B769B">
              <w:rPr>
                <w:noProof/>
                <w:webHidden/>
              </w:rPr>
              <w:fldChar w:fldCharType="end"/>
            </w:r>
          </w:hyperlink>
        </w:p>
        <w:p w14:paraId="2B38660B" w14:textId="4C368897" w:rsidR="005B769B" w:rsidRDefault="00FE1658">
          <w:pPr>
            <w:pStyle w:val="TOC2"/>
            <w:tabs>
              <w:tab w:val="right" w:leader="dot" w:pos="9350"/>
            </w:tabs>
            <w:rPr>
              <w:rFonts w:eastAsiaTheme="minorEastAsia"/>
              <w:noProof/>
            </w:rPr>
          </w:pPr>
          <w:hyperlink w:anchor="_Toc165335136" w:history="1">
            <w:r w:rsidR="005B769B" w:rsidRPr="0002529C">
              <w:rPr>
                <w:rStyle w:val="Hyperlink"/>
                <w:noProof/>
              </w:rPr>
              <w:t>Pinterest Overview:</w:t>
            </w:r>
            <w:r w:rsidR="005B769B">
              <w:rPr>
                <w:noProof/>
                <w:webHidden/>
              </w:rPr>
              <w:tab/>
            </w:r>
            <w:r w:rsidR="005B769B">
              <w:rPr>
                <w:noProof/>
                <w:webHidden/>
              </w:rPr>
              <w:fldChar w:fldCharType="begin"/>
            </w:r>
            <w:r w:rsidR="005B769B">
              <w:rPr>
                <w:noProof/>
                <w:webHidden/>
              </w:rPr>
              <w:instrText xml:space="preserve"> PAGEREF _Toc165335136 \h </w:instrText>
            </w:r>
            <w:r w:rsidR="005B769B">
              <w:rPr>
                <w:noProof/>
                <w:webHidden/>
              </w:rPr>
            </w:r>
            <w:r w:rsidR="005B769B">
              <w:rPr>
                <w:noProof/>
                <w:webHidden/>
              </w:rPr>
              <w:fldChar w:fldCharType="separate"/>
            </w:r>
            <w:r w:rsidR="005B769B">
              <w:rPr>
                <w:noProof/>
                <w:webHidden/>
              </w:rPr>
              <w:t>3</w:t>
            </w:r>
            <w:r w:rsidR="005B769B">
              <w:rPr>
                <w:noProof/>
                <w:webHidden/>
              </w:rPr>
              <w:fldChar w:fldCharType="end"/>
            </w:r>
          </w:hyperlink>
        </w:p>
        <w:p w14:paraId="2DAF82AC" w14:textId="7A53085F" w:rsidR="005B769B" w:rsidRDefault="00FE1658">
          <w:pPr>
            <w:pStyle w:val="TOC2"/>
            <w:tabs>
              <w:tab w:val="right" w:leader="dot" w:pos="9350"/>
            </w:tabs>
            <w:rPr>
              <w:rFonts w:eastAsiaTheme="minorEastAsia"/>
              <w:noProof/>
            </w:rPr>
          </w:pPr>
          <w:hyperlink w:anchor="_Toc165335137" w:history="1">
            <w:r w:rsidR="005B769B" w:rsidRPr="0002529C">
              <w:rPr>
                <w:rStyle w:val="Hyperlink"/>
                <w:noProof/>
                <w:shd w:val="clear" w:color="auto" w:fill="FFFFFF"/>
              </w:rPr>
              <w:t>Business Model:</w:t>
            </w:r>
            <w:r w:rsidR="005B769B">
              <w:rPr>
                <w:noProof/>
                <w:webHidden/>
              </w:rPr>
              <w:tab/>
            </w:r>
            <w:r w:rsidR="005B769B">
              <w:rPr>
                <w:noProof/>
                <w:webHidden/>
              </w:rPr>
              <w:fldChar w:fldCharType="begin"/>
            </w:r>
            <w:r w:rsidR="005B769B">
              <w:rPr>
                <w:noProof/>
                <w:webHidden/>
              </w:rPr>
              <w:instrText xml:space="preserve"> PAGEREF _Toc165335137 \h </w:instrText>
            </w:r>
            <w:r w:rsidR="005B769B">
              <w:rPr>
                <w:noProof/>
                <w:webHidden/>
              </w:rPr>
            </w:r>
            <w:r w:rsidR="005B769B">
              <w:rPr>
                <w:noProof/>
                <w:webHidden/>
              </w:rPr>
              <w:fldChar w:fldCharType="separate"/>
            </w:r>
            <w:r w:rsidR="005B769B">
              <w:rPr>
                <w:noProof/>
                <w:webHidden/>
              </w:rPr>
              <w:t>4</w:t>
            </w:r>
            <w:r w:rsidR="005B769B">
              <w:rPr>
                <w:noProof/>
                <w:webHidden/>
              </w:rPr>
              <w:fldChar w:fldCharType="end"/>
            </w:r>
          </w:hyperlink>
        </w:p>
        <w:p w14:paraId="4134CFAF" w14:textId="44D7110A" w:rsidR="005B769B" w:rsidRDefault="00FE1658">
          <w:pPr>
            <w:pStyle w:val="TOC2"/>
            <w:tabs>
              <w:tab w:val="right" w:leader="dot" w:pos="9350"/>
            </w:tabs>
            <w:rPr>
              <w:rFonts w:eastAsiaTheme="minorEastAsia"/>
              <w:noProof/>
            </w:rPr>
          </w:pPr>
          <w:hyperlink w:anchor="_Toc165335138" w:history="1">
            <w:r w:rsidR="005B769B" w:rsidRPr="0002529C">
              <w:rPr>
                <w:rStyle w:val="Hyperlink"/>
                <w:noProof/>
              </w:rPr>
              <w:t>Target Market:</w:t>
            </w:r>
            <w:r w:rsidR="005B769B">
              <w:rPr>
                <w:noProof/>
                <w:webHidden/>
              </w:rPr>
              <w:tab/>
            </w:r>
            <w:r w:rsidR="005B769B">
              <w:rPr>
                <w:noProof/>
                <w:webHidden/>
              </w:rPr>
              <w:fldChar w:fldCharType="begin"/>
            </w:r>
            <w:r w:rsidR="005B769B">
              <w:rPr>
                <w:noProof/>
                <w:webHidden/>
              </w:rPr>
              <w:instrText xml:space="preserve"> PAGEREF _Toc165335138 \h </w:instrText>
            </w:r>
            <w:r w:rsidR="005B769B">
              <w:rPr>
                <w:noProof/>
                <w:webHidden/>
              </w:rPr>
            </w:r>
            <w:r w:rsidR="005B769B">
              <w:rPr>
                <w:noProof/>
                <w:webHidden/>
              </w:rPr>
              <w:fldChar w:fldCharType="separate"/>
            </w:r>
            <w:r w:rsidR="005B769B">
              <w:rPr>
                <w:noProof/>
                <w:webHidden/>
              </w:rPr>
              <w:t>4</w:t>
            </w:r>
            <w:r w:rsidR="005B769B">
              <w:rPr>
                <w:noProof/>
                <w:webHidden/>
              </w:rPr>
              <w:fldChar w:fldCharType="end"/>
            </w:r>
          </w:hyperlink>
        </w:p>
        <w:p w14:paraId="22104631" w14:textId="7F5E45F9" w:rsidR="005B769B" w:rsidRDefault="00FE1658">
          <w:pPr>
            <w:pStyle w:val="TOC2"/>
            <w:tabs>
              <w:tab w:val="right" w:leader="dot" w:pos="9350"/>
            </w:tabs>
            <w:rPr>
              <w:rFonts w:eastAsiaTheme="minorEastAsia"/>
              <w:noProof/>
            </w:rPr>
          </w:pPr>
          <w:hyperlink w:anchor="_Toc165335139" w:history="1">
            <w:r w:rsidR="005B769B" w:rsidRPr="0002529C">
              <w:rPr>
                <w:rStyle w:val="Hyperlink"/>
                <w:noProof/>
              </w:rPr>
              <w:t>Unique Selling Proposition (USP):</w:t>
            </w:r>
            <w:r w:rsidR="005B769B">
              <w:rPr>
                <w:noProof/>
                <w:webHidden/>
              </w:rPr>
              <w:tab/>
            </w:r>
            <w:r w:rsidR="005B769B">
              <w:rPr>
                <w:noProof/>
                <w:webHidden/>
              </w:rPr>
              <w:fldChar w:fldCharType="begin"/>
            </w:r>
            <w:r w:rsidR="005B769B">
              <w:rPr>
                <w:noProof/>
                <w:webHidden/>
              </w:rPr>
              <w:instrText xml:space="preserve"> PAGEREF _Toc165335139 \h </w:instrText>
            </w:r>
            <w:r w:rsidR="005B769B">
              <w:rPr>
                <w:noProof/>
                <w:webHidden/>
              </w:rPr>
            </w:r>
            <w:r w:rsidR="005B769B">
              <w:rPr>
                <w:noProof/>
                <w:webHidden/>
              </w:rPr>
              <w:fldChar w:fldCharType="separate"/>
            </w:r>
            <w:r w:rsidR="005B769B">
              <w:rPr>
                <w:noProof/>
                <w:webHidden/>
              </w:rPr>
              <w:t>5</w:t>
            </w:r>
            <w:r w:rsidR="005B769B">
              <w:rPr>
                <w:noProof/>
                <w:webHidden/>
              </w:rPr>
              <w:fldChar w:fldCharType="end"/>
            </w:r>
          </w:hyperlink>
        </w:p>
        <w:p w14:paraId="65618291" w14:textId="2790E5BA" w:rsidR="005B769B" w:rsidRDefault="00FE1658">
          <w:pPr>
            <w:pStyle w:val="TOC2"/>
            <w:tabs>
              <w:tab w:val="right" w:leader="dot" w:pos="9350"/>
            </w:tabs>
            <w:rPr>
              <w:rFonts w:eastAsiaTheme="minorEastAsia"/>
              <w:noProof/>
            </w:rPr>
          </w:pPr>
          <w:hyperlink w:anchor="_Toc165335140" w:history="1">
            <w:r w:rsidR="005B769B" w:rsidRPr="0002529C">
              <w:rPr>
                <w:rStyle w:val="Hyperlink"/>
                <w:noProof/>
              </w:rPr>
              <w:t>Reasons for Going Public:</w:t>
            </w:r>
            <w:r w:rsidR="005B769B">
              <w:rPr>
                <w:noProof/>
                <w:webHidden/>
              </w:rPr>
              <w:tab/>
            </w:r>
            <w:r w:rsidR="005B769B">
              <w:rPr>
                <w:noProof/>
                <w:webHidden/>
              </w:rPr>
              <w:fldChar w:fldCharType="begin"/>
            </w:r>
            <w:r w:rsidR="005B769B">
              <w:rPr>
                <w:noProof/>
                <w:webHidden/>
              </w:rPr>
              <w:instrText xml:space="preserve"> PAGEREF _Toc165335140 \h </w:instrText>
            </w:r>
            <w:r w:rsidR="005B769B">
              <w:rPr>
                <w:noProof/>
                <w:webHidden/>
              </w:rPr>
            </w:r>
            <w:r w:rsidR="005B769B">
              <w:rPr>
                <w:noProof/>
                <w:webHidden/>
              </w:rPr>
              <w:fldChar w:fldCharType="separate"/>
            </w:r>
            <w:r w:rsidR="005B769B">
              <w:rPr>
                <w:noProof/>
                <w:webHidden/>
              </w:rPr>
              <w:t>5</w:t>
            </w:r>
            <w:r w:rsidR="005B769B">
              <w:rPr>
                <w:noProof/>
                <w:webHidden/>
              </w:rPr>
              <w:fldChar w:fldCharType="end"/>
            </w:r>
          </w:hyperlink>
        </w:p>
        <w:p w14:paraId="68DADA6D" w14:textId="61CF0967" w:rsidR="005B769B" w:rsidRDefault="00FE1658">
          <w:pPr>
            <w:pStyle w:val="TOC2"/>
            <w:tabs>
              <w:tab w:val="right" w:leader="dot" w:pos="9350"/>
            </w:tabs>
            <w:rPr>
              <w:rFonts w:eastAsiaTheme="minorEastAsia"/>
              <w:noProof/>
            </w:rPr>
          </w:pPr>
          <w:hyperlink w:anchor="_Toc165335141" w:history="1">
            <w:r w:rsidR="005B769B" w:rsidRPr="0002529C">
              <w:rPr>
                <w:rStyle w:val="Hyperlink"/>
                <w:noProof/>
              </w:rPr>
              <w:t>Key Risks from Pinterest's S-1 and Proposed Valuation:</w:t>
            </w:r>
            <w:r w:rsidR="005B769B">
              <w:rPr>
                <w:noProof/>
                <w:webHidden/>
              </w:rPr>
              <w:tab/>
            </w:r>
            <w:r w:rsidR="005B769B">
              <w:rPr>
                <w:noProof/>
                <w:webHidden/>
              </w:rPr>
              <w:fldChar w:fldCharType="begin"/>
            </w:r>
            <w:r w:rsidR="005B769B">
              <w:rPr>
                <w:noProof/>
                <w:webHidden/>
              </w:rPr>
              <w:instrText xml:space="preserve"> PAGEREF _Toc165335141 \h </w:instrText>
            </w:r>
            <w:r w:rsidR="005B769B">
              <w:rPr>
                <w:noProof/>
                <w:webHidden/>
              </w:rPr>
            </w:r>
            <w:r w:rsidR="005B769B">
              <w:rPr>
                <w:noProof/>
                <w:webHidden/>
              </w:rPr>
              <w:fldChar w:fldCharType="separate"/>
            </w:r>
            <w:r w:rsidR="005B769B">
              <w:rPr>
                <w:noProof/>
                <w:webHidden/>
              </w:rPr>
              <w:t>5</w:t>
            </w:r>
            <w:r w:rsidR="005B769B">
              <w:rPr>
                <w:noProof/>
                <w:webHidden/>
              </w:rPr>
              <w:fldChar w:fldCharType="end"/>
            </w:r>
          </w:hyperlink>
        </w:p>
        <w:p w14:paraId="2EFA7B10" w14:textId="21AD0320" w:rsidR="005B769B" w:rsidRDefault="00FE1658">
          <w:pPr>
            <w:pStyle w:val="TOC1"/>
            <w:tabs>
              <w:tab w:val="right" w:leader="dot" w:pos="9350"/>
            </w:tabs>
            <w:rPr>
              <w:rFonts w:eastAsiaTheme="minorEastAsia"/>
              <w:noProof/>
            </w:rPr>
          </w:pPr>
          <w:hyperlink w:anchor="_Toc165335142" w:history="1">
            <w:r w:rsidR="005B769B" w:rsidRPr="0002529C">
              <w:rPr>
                <w:rStyle w:val="Hyperlink"/>
                <w:b/>
                <w:bCs/>
                <w:noProof/>
              </w:rPr>
              <w:t>Part 2</w:t>
            </w:r>
            <w:r w:rsidR="005B769B">
              <w:rPr>
                <w:noProof/>
                <w:webHidden/>
              </w:rPr>
              <w:tab/>
            </w:r>
            <w:r w:rsidR="005B769B">
              <w:rPr>
                <w:noProof/>
                <w:webHidden/>
              </w:rPr>
              <w:fldChar w:fldCharType="begin"/>
            </w:r>
            <w:r w:rsidR="005B769B">
              <w:rPr>
                <w:noProof/>
                <w:webHidden/>
              </w:rPr>
              <w:instrText xml:space="preserve"> PAGEREF _Toc165335142 \h </w:instrText>
            </w:r>
            <w:r w:rsidR="005B769B">
              <w:rPr>
                <w:noProof/>
                <w:webHidden/>
              </w:rPr>
            </w:r>
            <w:r w:rsidR="005B769B">
              <w:rPr>
                <w:noProof/>
                <w:webHidden/>
              </w:rPr>
              <w:fldChar w:fldCharType="separate"/>
            </w:r>
            <w:r w:rsidR="005B769B">
              <w:rPr>
                <w:noProof/>
                <w:webHidden/>
              </w:rPr>
              <w:t>6</w:t>
            </w:r>
            <w:r w:rsidR="005B769B">
              <w:rPr>
                <w:noProof/>
                <w:webHidden/>
              </w:rPr>
              <w:fldChar w:fldCharType="end"/>
            </w:r>
          </w:hyperlink>
        </w:p>
        <w:p w14:paraId="5A4FEB21" w14:textId="5A3CE85C" w:rsidR="005B769B" w:rsidRDefault="00FE1658">
          <w:pPr>
            <w:pStyle w:val="TOC2"/>
            <w:tabs>
              <w:tab w:val="right" w:leader="dot" w:pos="9350"/>
            </w:tabs>
            <w:rPr>
              <w:rFonts w:eastAsiaTheme="minorEastAsia"/>
              <w:noProof/>
            </w:rPr>
          </w:pPr>
          <w:hyperlink w:anchor="_Toc165335143" w:history="1">
            <w:r w:rsidR="005B769B" w:rsidRPr="0002529C">
              <w:rPr>
                <w:rStyle w:val="Hyperlink"/>
                <w:noProof/>
              </w:rPr>
              <w:t>CAGR</w:t>
            </w:r>
            <w:r w:rsidR="005B769B">
              <w:rPr>
                <w:noProof/>
                <w:webHidden/>
              </w:rPr>
              <w:tab/>
            </w:r>
            <w:r w:rsidR="005B769B">
              <w:rPr>
                <w:noProof/>
                <w:webHidden/>
              </w:rPr>
              <w:fldChar w:fldCharType="begin"/>
            </w:r>
            <w:r w:rsidR="005B769B">
              <w:rPr>
                <w:noProof/>
                <w:webHidden/>
              </w:rPr>
              <w:instrText xml:space="preserve"> PAGEREF _Toc165335143 \h </w:instrText>
            </w:r>
            <w:r w:rsidR="005B769B">
              <w:rPr>
                <w:noProof/>
                <w:webHidden/>
              </w:rPr>
            </w:r>
            <w:r w:rsidR="005B769B">
              <w:rPr>
                <w:noProof/>
                <w:webHidden/>
              </w:rPr>
              <w:fldChar w:fldCharType="separate"/>
            </w:r>
            <w:r w:rsidR="005B769B">
              <w:rPr>
                <w:noProof/>
                <w:webHidden/>
              </w:rPr>
              <w:t>6</w:t>
            </w:r>
            <w:r w:rsidR="005B769B">
              <w:rPr>
                <w:noProof/>
                <w:webHidden/>
              </w:rPr>
              <w:fldChar w:fldCharType="end"/>
            </w:r>
          </w:hyperlink>
        </w:p>
        <w:p w14:paraId="46FC346B" w14:textId="184103A3" w:rsidR="005B769B" w:rsidRDefault="00FE1658">
          <w:pPr>
            <w:pStyle w:val="TOC2"/>
            <w:tabs>
              <w:tab w:val="right" w:leader="dot" w:pos="9350"/>
            </w:tabs>
            <w:rPr>
              <w:rFonts w:eastAsiaTheme="minorEastAsia"/>
              <w:noProof/>
            </w:rPr>
          </w:pPr>
          <w:hyperlink w:anchor="_Toc165335144" w:history="1">
            <w:r w:rsidR="005B769B" w:rsidRPr="0002529C">
              <w:rPr>
                <w:rStyle w:val="Hyperlink"/>
                <w:noProof/>
              </w:rPr>
              <w:t>Sharpe and Treynor ratio</w:t>
            </w:r>
            <w:r w:rsidR="005B769B">
              <w:rPr>
                <w:noProof/>
                <w:webHidden/>
              </w:rPr>
              <w:tab/>
            </w:r>
            <w:r w:rsidR="005B769B">
              <w:rPr>
                <w:noProof/>
                <w:webHidden/>
              </w:rPr>
              <w:fldChar w:fldCharType="begin"/>
            </w:r>
            <w:r w:rsidR="005B769B">
              <w:rPr>
                <w:noProof/>
                <w:webHidden/>
              </w:rPr>
              <w:instrText xml:space="preserve"> PAGEREF _Toc165335144 \h </w:instrText>
            </w:r>
            <w:r w:rsidR="005B769B">
              <w:rPr>
                <w:noProof/>
                <w:webHidden/>
              </w:rPr>
            </w:r>
            <w:r w:rsidR="005B769B">
              <w:rPr>
                <w:noProof/>
                <w:webHidden/>
              </w:rPr>
              <w:fldChar w:fldCharType="separate"/>
            </w:r>
            <w:r w:rsidR="005B769B">
              <w:rPr>
                <w:noProof/>
                <w:webHidden/>
              </w:rPr>
              <w:t>7</w:t>
            </w:r>
            <w:r w:rsidR="005B769B">
              <w:rPr>
                <w:noProof/>
                <w:webHidden/>
              </w:rPr>
              <w:fldChar w:fldCharType="end"/>
            </w:r>
          </w:hyperlink>
        </w:p>
        <w:p w14:paraId="5473C822" w14:textId="14B90797" w:rsidR="005B769B" w:rsidRDefault="00FE1658">
          <w:pPr>
            <w:pStyle w:val="TOC1"/>
            <w:tabs>
              <w:tab w:val="right" w:leader="dot" w:pos="9350"/>
            </w:tabs>
            <w:rPr>
              <w:rFonts w:eastAsiaTheme="minorEastAsia"/>
              <w:noProof/>
            </w:rPr>
          </w:pPr>
          <w:hyperlink w:anchor="_Toc165335145" w:history="1">
            <w:r w:rsidR="005B769B" w:rsidRPr="0002529C">
              <w:rPr>
                <w:rStyle w:val="Hyperlink"/>
                <w:rFonts w:eastAsia="Times New Roman"/>
                <w:b/>
                <w:bCs/>
                <w:noProof/>
              </w:rPr>
              <w:t>Part 3</w:t>
            </w:r>
            <w:r w:rsidR="005B769B">
              <w:rPr>
                <w:noProof/>
                <w:webHidden/>
              </w:rPr>
              <w:tab/>
            </w:r>
            <w:r w:rsidR="005B769B">
              <w:rPr>
                <w:noProof/>
                <w:webHidden/>
              </w:rPr>
              <w:fldChar w:fldCharType="begin"/>
            </w:r>
            <w:r w:rsidR="005B769B">
              <w:rPr>
                <w:noProof/>
                <w:webHidden/>
              </w:rPr>
              <w:instrText xml:space="preserve"> PAGEREF _Toc165335145 \h </w:instrText>
            </w:r>
            <w:r w:rsidR="005B769B">
              <w:rPr>
                <w:noProof/>
                <w:webHidden/>
              </w:rPr>
            </w:r>
            <w:r w:rsidR="005B769B">
              <w:rPr>
                <w:noProof/>
                <w:webHidden/>
              </w:rPr>
              <w:fldChar w:fldCharType="separate"/>
            </w:r>
            <w:r w:rsidR="005B769B">
              <w:rPr>
                <w:noProof/>
                <w:webHidden/>
              </w:rPr>
              <w:t>9</w:t>
            </w:r>
            <w:r w:rsidR="005B769B">
              <w:rPr>
                <w:noProof/>
                <w:webHidden/>
              </w:rPr>
              <w:fldChar w:fldCharType="end"/>
            </w:r>
          </w:hyperlink>
        </w:p>
        <w:p w14:paraId="78D1A354" w14:textId="668A253E" w:rsidR="005B769B" w:rsidRDefault="00FE1658">
          <w:pPr>
            <w:pStyle w:val="TOC2"/>
            <w:tabs>
              <w:tab w:val="right" w:leader="dot" w:pos="9350"/>
            </w:tabs>
            <w:rPr>
              <w:rFonts w:eastAsiaTheme="minorEastAsia"/>
              <w:noProof/>
            </w:rPr>
          </w:pPr>
          <w:hyperlink w:anchor="_Toc165335146" w:history="1">
            <w:r w:rsidR="005B769B" w:rsidRPr="0002529C">
              <w:rPr>
                <w:rStyle w:val="Hyperlink"/>
                <w:noProof/>
              </w:rPr>
              <w:t>Money Call Option</w:t>
            </w:r>
            <w:r w:rsidR="005B769B">
              <w:rPr>
                <w:noProof/>
                <w:webHidden/>
              </w:rPr>
              <w:tab/>
            </w:r>
            <w:r w:rsidR="005B769B">
              <w:rPr>
                <w:noProof/>
                <w:webHidden/>
              </w:rPr>
              <w:fldChar w:fldCharType="begin"/>
            </w:r>
            <w:r w:rsidR="005B769B">
              <w:rPr>
                <w:noProof/>
                <w:webHidden/>
              </w:rPr>
              <w:instrText xml:space="preserve"> PAGEREF _Toc165335146 \h </w:instrText>
            </w:r>
            <w:r w:rsidR="005B769B">
              <w:rPr>
                <w:noProof/>
                <w:webHidden/>
              </w:rPr>
            </w:r>
            <w:r w:rsidR="005B769B">
              <w:rPr>
                <w:noProof/>
                <w:webHidden/>
              </w:rPr>
              <w:fldChar w:fldCharType="separate"/>
            </w:r>
            <w:r w:rsidR="005B769B">
              <w:rPr>
                <w:noProof/>
                <w:webHidden/>
              </w:rPr>
              <w:t>9</w:t>
            </w:r>
            <w:r w:rsidR="005B769B">
              <w:rPr>
                <w:noProof/>
                <w:webHidden/>
              </w:rPr>
              <w:fldChar w:fldCharType="end"/>
            </w:r>
          </w:hyperlink>
        </w:p>
        <w:p w14:paraId="1D73CBB3" w14:textId="57A30AFA" w:rsidR="005B769B" w:rsidRDefault="00FE1658">
          <w:pPr>
            <w:pStyle w:val="TOC2"/>
            <w:tabs>
              <w:tab w:val="right" w:leader="dot" w:pos="9350"/>
            </w:tabs>
            <w:rPr>
              <w:rFonts w:eastAsiaTheme="minorEastAsia"/>
              <w:noProof/>
            </w:rPr>
          </w:pPr>
          <w:hyperlink w:anchor="_Toc165335147" w:history="1">
            <w:r w:rsidR="005B769B" w:rsidRPr="0002529C">
              <w:rPr>
                <w:rStyle w:val="Hyperlink"/>
                <w:noProof/>
              </w:rPr>
              <w:t>Money Put Option</w:t>
            </w:r>
            <w:r w:rsidR="005B769B">
              <w:rPr>
                <w:noProof/>
                <w:webHidden/>
              </w:rPr>
              <w:tab/>
            </w:r>
            <w:r w:rsidR="005B769B">
              <w:rPr>
                <w:noProof/>
                <w:webHidden/>
              </w:rPr>
              <w:fldChar w:fldCharType="begin"/>
            </w:r>
            <w:r w:rsidR="005B769B">
              <w:rPr>
                <w:noProof/>
                <w:webHidden/>
              </w:rPr>
              <w:instrText xml:space="preserve"> PAGEREF _Toc165335147 \h </w:instrText>
            </w:r>
            <w:r w:rsidR="005B769B">
              <w:rPr>
                <w:noProof/>
                <w:webHidden/>
              </w:rPr>
            </w:r>
            <w:r w:rsidR="005B769B">
              <w:rPr>
                <w:noProof/>
                <w:webHidden/>
              </w:rPr>
              <w:fldChar w:fldCharType="separate"/>
            </w:r>
            <w:r w:rsidR="005B769B">
              <w:rPr>
                <w:noProof/>
                <w:webHidden/>
              </w:rPr>
              <w:t>11</w:t>
            </w:r>
            <w:r w:rsidR="005B769B">
              <w:rPr>
                <w:noProof/>
                <w:webHidden/>
              </w:rPr>
              <w:fldChar w:fldCharType="end"/>
            </w:r>
          </w:hyperlink>
        </w:p>
        <w:p w14:paraId="7E5A4101" w14:textId="6F6EBEEA" w:rsidR="005B769B" w:rsidRDefault="00FE1658">
          <w:pPr>
            <w:pStyle w:val="TOC2"/>
            <w:tabs>
              <w:tab w:val="right" w:leader="dot" w:pos="9350"/>
            </w:tabs>
            <w:rPr>
              <w:rFonts w:eastAsiaTheme="minorEastAsia"/>
              <w:noProof/>
            </w:rPr>
          </w:pPr>
          <w:hyperlink w:anchor="_Toc165335148" w:history="1">
            <w:r w:rsidR="005B769B" w:rsidRPr="0002529C">
              <w:rPr>
                <w:rStyle w:val="Hyperlink"/>
                <w:noProof/>
              </w:rPr>
              <w:t>Strangle</w:t>
            </w:r>
            <w:r w:rsidR="005B769B">
              <w:rPr>
                <w:noProof/>
                <w:webHidden/>
              </w:rPr>
              <w:tab/>
            </w:r>
            <w:r w:rsidR="005B769B">
              <w:rPr>
                <w:noProof/>
                <w:webHidden/>
              </w:rPr>
              <w:fldChar w:fldCharType="begin"/>
            </w:r>
            <w:r w:rsidR="005B769B">
              <w:rPr>
                <w:noProof/>
                <w:webHidden/>
              </w:rPr>
              <w:instrText xml:space="preserve"> PAGEREF _Toc165335148 \h </w:instrText>
            </w:r>
            <w:r w:rsidR="005B769B">
              <w:rPr>
                <w:noProof/>
                <w:webHidden/>
              </w:rPr>
            </w:r>
            <w:r w:rsidR="005B769B">
              <w:rPr>
                <w:noProof/>
                <w:webHidden/>
              </w:rPr>
              <w:fldChar w:fldCharType="separate"/>
            </w:r>
            <w:r w:rsidR="005B769B">
              <w:rPr>
                <w:noProof/>
                <w:webHidden/>
              </w:rPr>
              <w:t>12</w:t>
            </w:r>
            <w:r w:rsidR="005B769B">
              <w:rPr>
                <w:noProof/>
                <w:webHidden/>
              </w:rPr>
              <w:fldChar w:fldCharType="end"/>
            </w:r>
          </w:hyperlink>
        </w:p>
        <w:p w14:paraId="677CBF4B" w14:textId="723436AD" w:rsidR="005B769B" w:rsidRDefault="00FE1658">
          <w:pPr>
            <w:pStyle w:val="TOC1"/>
            <w:tabs>
              <w:tab w:val="right" w:leader="dot" w:pos="9350"/>
            </w:tabs>
            <w:rPr>
              <w:rFonts w:eastAsiaTheme="minorEastAsia"/>
              <w:noProof/>
            </w:rPr>
          </w:pPr>
          <w:hyperlink w:anchor="_Toc165335149" w:history="1">
            <w:r w:rsidR="005B769B" w:rsidRPr="0002529C">
              <w:rPr>
                <w:rStyle w:val="Hyperlink"/>
                <w:rFonts w:eastAsia="Times New Roman"/>
                <w:b/>
                <w:bCs/>
                <w:noProof/>
              </w:rPr>
              <w:t>Part 4</w:t>
            </w:r>
            <w:r w:rsidR="005B769B">
              <w:rPr>
                <w:noProof/>
                <w:webHidden/>
              </w:rPr>
              <w:tab/>
            </w:r>
            <w:r w:rsidR="005B769B">
              <w:rPr>
                <w:noProof/>
                <w:webHidden/>
              </w:rPr>
              <w:fldChar w:fldCharType="begin"/>
            </w:r>
            <w:r w:rsidR="005B769B">
              <w:rPr>
                <w:noProof/>
                <w:webHidden/>
              </w:rPr>
              <w:instrText xml:space="preserve"> PAGEREF _Toc165335149 \h </w:instrText>
            </w:r>
            <w:r w:rsidR="005B769B">
              <w:rPr>
                <w:noProof/>
                <w:webHidden/>
              </w:rPr>
            </w:r>
            <w:r w:rsidR="005B769B">
              <w:rPr>
                <w:noProof/>
                <w:webHidden/>
              </w:rPr>
              <w:fldChar w:fldCharType="separate"/>
            </w:r>
            <w:r w:rsidR="005B769B">
              <w:rPr>
                <w:noProof/>
                <w:webHidden/>
              </w:rPr>
              <w:t>14</w:t>
            </w:r>
            <w:r w:rsidR="005B769B">
              <w:rPr>
                <w:noProof/>
                <w:webHidden/>
              </w:rPr>
              <w:fldChar w:fldCharType="end"/>
            </w:r>
          </w:hyperlink>
        </w:p>
        <w:p w14:paraId="37C38ADF" w14:textId="6A294349" w:rsidR="005B769B" w:rsidRDefault="00FE1658">
          <w:pPr>
            <w:pStyle w:val="TOC2"/>
            <w:tabs>
              <w:tab w:val="right" w:leader="dot" w:pos="9350"/>
            </w:tabs>
            <w:rPr>
              <w:rFonts w:eastAsiaTheme="minorEastAsia"/>
              <w:noProof/>
            </w:rPr>
          </w:pPr>
          <w:hyperlink w:anchor="_Toc165335150" w:history="1">
            <w:r w:rsidR="005B769B" w:rsidRPr="0002529C">
              <w:rPr>
                <w:rStyle w:val="Hyperlink"/>
                <w:noProof/>
              </w:rPr>
              <w:t>10Y Note</w:t>
            </w:r>
            <w:r w:rsidR="005B769B">
              <w:rPr>
                <w:noProof/>
                <w:webHidden/>
              </w:rPr>
              <w:tab/>
            </w:r>
            <w:r w:rsidR="005B769B">
              <w:rPr>
                <w:noProof/>
                <w:webHidden/>
              </w:rPr>
              <w:fldChar w:fldCharType="begin"/>
            </w:r>
            <w:r w:rsidR="005B769B">
              <w:rPr>
                <w:noProof/>
                <w:webHidden/>
              </w:rPr>
              <w:instrText xml:space="preserve"> PAGEREF _Toc165335150 \h </w:instrText>
            </w:r>
            <w:r w:rsidR="005B769B">
              <w:rPr>
                <w:noProof/>
                <w:webHidden/>
              </w:rPr>
            </w:r>
            <w:r w:rsidR="005B769B">
              <w:rPr>
                <w:noProof/>
                <w:webHidden/>
              </w:rPr>
              <w:fldChar w:fldCharType="separate"/>
            </w:r>
            <w:r w:rsidR="005B769B">
              <w:rPr>
                <w:noProof/>
                <w:webHidden/>
              </w:rPr>
              <w:t>14</w:t>
            </w:r>
            <w:r w:rsidR="005B769B">
              <w:rPr>
                <w:noProof/>
                <w:webHidden/>
              </w:rPr>
              <w:fldChar w:fldCharType="end"/>
            </w:r>
          </w:hyperlink>
        </w:p>
        <w:p w14:paraId="63B352B1" w14:textId="0F9E76D0" w:rsidR="005B769B" w:rsidRDefault="00FE1658">
          <w:pPr>
            <w:pStyle w:val="TOC1"/>
            <w:tabs>
              <w:tab w:val="right" w:leader="dot" w:pos="9350"/>
            </w:tabs>
            <w:rPr>
              <w:rFonts w:eastAsiaTheme="minorEastAsia"/>
              <w:noProof/>
            </w:rPr>
          </w:pPr>
          <w:hyperlink w:anchor="_Toc165335151" w:history="1">
            <w:r w:rsidR="005B769B" w:rsidRPr="0002529C">
              <w:rPr>
                <w:rStyle w:val="Hyperlink"/>
                <w:b/>
                <w:bCs/>
                <w:noProof/>
              </w:rPr>
              <w:t>Conclusions:</w:t>
            </w:r>
            <w:r w:rsidR="005B769B">
              <w:rPr>
                <w:noProof/>
                <w:webHidden/>
              </w:rPr>
              <w:tab/>
            </w:r>
            <w:r w:rsidR="005B769B">
              <w:rPr>
                <w:noProof/>
                <w:webHidden/>
              </w:rPr>
              <w:fldChar w:fldCharType="begin"/>
            </w:r>
            <w:r w:rsidR="005B769B">
              <w:rPr>
                <w:noProof/>
                <w:webHidden/>
              </w:rPr>
              <w:instrText xml:space="preserve"> PAGEREF _Toc165335151 \h </w:instrText>
            </w:r>
            <w:r w:rsidR="005B769B">
              <w:rPr>
                <w:noProof/>
                <w:webHidden/>
              </w:rPr>
            </w:r>
            <w:r w:rsidR="005B769B">
              <w:rPr>
                <w:noProof/>
                <w:webHidden/>
              </w:rPr>
              <w:fldChar w:fldCharType="separate"/>
            </w:r>
            <w:r w:rsidR="005B769B">
              <w:rPr>
                <w:noProof/>
                <w:webHidden/>
              </w:rPr>
              <w:t>15</w:t>
            </w:r>
            <w:r w:rsidR="005B769B">
              <w:rPr>
                <w:noProof/>
                <w:webHidden/>
              </w:rPr>
              <w:fldChar w:fldCharType="end"/>
            </w:r>
          </w:hyperlink>
        </w:p>
        <w:p w14:paraId="71784DA7" w14:textId="032CE622" w:rsidR="005B769B" w:rsidRDefault="00FE1658">
          <w:pPr>
            <w:pStyle w:val="TOC1"/>
            <w:tabs>
              <w:tab w:val="right" w:leader="dot" w:pos="9350"/>
            </w:tabs>
            <w:rPr>
              <w:rFonts w:eastAsiaTheme="minorEastAsia"/>
              <w:noProof/>
            </w:rPr>
          </w:pPr>
          <w:hyperlink w:anchor="_Toc165335152" w:history="1">
            <w:r w:rsidR="005B769B" w:rsidRPr="0002529C">
              <w:rPr>
                <w:rStyle w:val="Hyperlink"/>
                <w:b/>
                <w:bCs/>
                <w:noProof/>
              </w:rPr>
              <w:t>References:</w:t>
            </w:r>
            <w:r w:rsidR="005B769B">
              <w:rPr>
                <w:noProof/>
                <w:webHidden/>
              </w:rPr>
              <w:tab/>
            </w:r>
            <w:r w:rsidR="005B769B">
              <w:rPr>
                <w:noProof/>
                <w:webHidden/>
              </w:rPr>
              <w:fldChar w:fldCharType="begin"/>
            </w:r>
            <w:r w:rsidR="005B769B">
              <w:rPr>
                <w:noProof/>
                <w:webHidden/>
              </w:rPr>
              <w:instrText xml:space="preserve"> PAGEREF _Toc165335152 \h </w:instrText>
            </w:r>
            <w:r w:rsidR="005B769B">
              <w:rPr>
                <w:noProof/>
                <w:webHidden/>
              </w:rPr>
            </w:r>
            <w:r w:rsidR="005B769B">
              <w:rPr>
                <w:noProof/>
                <w:webHidden/>
              </w:rPr>
              <w:fldChar w:fldCharType="separate"/>
            </w:r>
            <w:r w:rsidR="005B769B">
              <w:rPr>
                <w:noProof/>
                <w:webHidden/>
              </w:rPr>
              <w:t>16</w:t>
            </w:r>
            <w:r w:rsidR="005B769B">
              <w:rPr>
                <w:noProof/>
                <w:webHidden/>
              </w:rPr>
              <w:fldChar w:fldCharType="end"/>
            </w:r>
          </w:hyperlink>
        </w:p>
        <w:p w14:paraId="54B869DE" w14:textId="2F47FB73" w:rsidR="00BE2C65" w:rsidRDefault="00BE2C65">
          <w:r>
            <w:rPr>
              <w:b/>
              <w:bCs/>
              <w:noProof/>
            </w:rPr>
            <w:fldChar w:fldCharType="end"/>
          </w:r>
        </w:p>
      </w:sdtContent>
    </w:sdt>
    <w:p w14:paraId="12FAB165" w14:textId="77777777" w:rsidR="00BE2C65" w:rsidRDefault="00BE2C65" w:rsidP="00BE2C65"/>
    <w:p w14:paraId="4326887F" w14:textId="77777777" w:rsidR="00BE2C65" w:rsidRDefault="00BE2C65">
      <w:pPr>
        <w:rPr>
          <w:b/>
          <w:bCs/>
        </w:rPr>
      </w:pPr>
    </w:p>
    <w:p w14:paraId="51F30EBA" w14:textId="77777777" w:rsidR="00BE2C65" w:rsidRDefault="00BE2C65">
      <w:pPr>
        <w:rPr>
          <w:b/>
          <w:bCs/>
        </w:rPr>
      </w:pPr>
      <w:r>
        <w:rPr>
          <w:b/>
          <w:bCs/>
        </w:rPr>
        <w:br w:type="page"/>
      </w:r>
    </w:p>
    <w:p w14:paraId="6968D004" w14:textId="3694035C" w:rsidR="004475FB" w:rsidRDefault="004475FB">
      <w:pPr>
        <w:pStyle w:val="TableofFigures"/>
        <w:tabs>
          <w:tab w:val="right" w:leader="dot" w:pos="9350"/>
        </w:tabs>
        <w:rPr>
          <w:rFonts w:eastAsiaTheme="minorEastAsia"/>
          <w:noProof/>
        </w:rPr>
      </w:pPr>
      <w:r>
        <w:rPr>
          <w:b/>
          <w:bCs/>
        </w:rPr>
        <w:lastRenderedPageBreak/>
        <w:fldChar w:fldCharType="begin"/>
      </w:r>
      <w:r>
        <w:rPr>
          <w:b/>
          <w:bCs/>
        </w:rPr>
        <w:instrText xml:space="preserve"> TOC \h \z \c "Figure" </w:instrText>
      </w:r>
      <w:r>
        <w:rPr>
          <w:b/>
          <w:bCs/>
        </w:rPr>
        <w:fldChar w:fldCharType="separate"/>
      </w:r>
      <w:hyperlink w:anchor="_Toc165338144" w:history="1">
        <w:r w:rsidRPr="00A16DB5">
          <w:rPr>
            <w:rStyle w:val="Hyperlink"/>
            <w:noProof/>
          </w:rPr>
          <w:t>Figure 1: Business model of Pinterest</w:t>
        </w:r>
        <w:r>
          <w:rPr>
            <w:noProof/>
            <w:webHidden/>
          </w:rPr>
          <w:tab/>
        </w:r>
        <w:r>
          <w:rPr>
            <w:noProof/>
            <w:webHidden/>
          </w:rPr>
          <w:fldChar w:fldCharType="begin"/>
        </w:r>
        <w:r>
          <w:rPr>
            <w:noProof/>
            <w:webHidden/>
          </w:rPr>
          <w:instrText xml:space="preserve"> PAGEREF _Toc165338144 \h </w:instrText>
        </w:r>
        <w:r>
          <w:rPr>
            <w:noProof/>
            <w:webHidden/>
          </w:rPr>
        </w:r>
        <w:r>
          <w:rPr>
            <w:noProof/>
            <w:webHidden/>
          </w:rPr>
          <w:fldChar w:fldCharType="separate"/>
        </w:r>
        <w:r>
          <w:rPr>
            <w:noProof/>
            <w:webHidden/>
          </w:rPr>
          <w:t>4</w:t>
        </w:r>
        <w:r>
          <w:rPr>
            <w:noProof/>
            <w:webHidden/>
          </w:rPr>
          <w:fldChar w:fldCharType="end"/>
        </w:r>
      </w:hyperlink>
    </w:p>
    <w:p w14:paraId="0583F173" w14:textId="75012396" w:rsidR="00425918" w:rsidRDefault="004475FB">
      <w:pPr>
        <w:rPr>
          <w:b/>
          <w:bCs/>
        </w:rPr>
      </w:pPr>
      <w:r>
        <w:rPr>
          <w:b/>
          <w:bCs/>
        </w:rPr>
        <w:fldChar w:fldCharType="end"/>
      </w:r>
    </w:p>
    <w:p w14:paraId="4C10BDE4" w14:textId="7B6B977B" w:rsidR="004475FB" w:rsidRDefault="004475FB">
      <w:pPr>
        <w:pStyle w:val="TableofFigures"/>
        <w:tabs>
          <w:tab w:val="right" w:leader="dot" w:pos="9350"/>
        </w:tabs>
        <w:rPr>
          <w:rFonts w:eastAsiaTheme="minorEastAsia"/>
          <w:noProof/>
        </w:rPr>
      </w:pPr>
      <w:r>
        <w:rPr>
          <w:b/>
          <w:bCs/>
        </w:rPr>
        <w:fldChar w:fldCharType="begin"/>
      </w:r>
      <w:r>
        <w:rPr>
          <w:b/>
          <w:bCs/>
        </w:rPr>
        <w:instrText xml:space="preserve"> TOC \h \z \c "Graph" </w:instrText>
      </w:r>
      <w:r>
        <w:rPr>
          <w:b/>
          <w:bCs/>
        </w:rPr>
        <w:fldChar w:fldCharType="separate"/>
      </w:r>
      <w:hyperlink w:anchor="_Toc165338154" w:history="1">
        <w:r w:rsidRPr="001C058C">
          <w:rPr>
            <w:rStyle w:val="Hyperlink"/>
            <w:noProof/>
          </w:rPr>
          <w:t>Graph 1: CAGR of Pinterest and Nasdaq Composite Index</w:t>
        </w:r>
        <w:r>
          <w:rPr>
            <w:noProof/>
            <w:webHidden/>
          </w:rPr>
          <w:tab/>
        </w:r>
        <w:r>
          <w:rPr>
            <w:noProof/>
            <w:webHidden/>
          </w:rPr>
          <w:fldChar w:fldCharType="begin"/>
        </w:r>
        <w:r>
          <w:rPr>
            <w:noProof/>
            <w:webHidden/>
          </w:rPr>
          <w:instrText xml:space="preserve"> PAGEREF _Toc165338154 \h </w:instrText>
        </w:r>
        <w:r>
          <w:rPr>
            <w:noProof/>
            <w:webHidden/>
          </w:rPr>
        </w:r>
        <w:r>
          <w:rPr>
            <w:noProof/>
            <w:webHidden/>
          </w:rPr>
          <w:fldChar w:fldCharType="separate"/>
        </w:r>
        <w:r>
          <w:rPr>
            <w:noProof/>
            <w:webHidden/>
          </w:rPr>
          <w:t>7</w:t>
        </w:r>
        <w:r>
          <w:rPr>
            <w:noProof/>
            <w:webHidden/>
          </w:rPr>
          <w:fldChar w:fldCharType="end"/>
        </w:r>
      </w:hyperlink>
    </w:p>
    <w:p w14:paraId="3951AA5F" w14:textId="53FE05CA" w:rsidR="004475FB" w:rsidRDefault="00FE1658">
      <w:pPr>
        <w:pStyle w:val="TableofFigures"/>
        <w:tabs>
          <w:tab w:val="right" w:leader="dot" w:pos="9350"/>
        </w:tabs>
        <w:rPr>
          <w:rFonts w:eastAsiaTheme="minorEastAsia"/>
          <w:noProof/>
        </w:rPr>
      </w:pPr>
      <w:hyperlink w:anchor="_Toc165338155" w:history="1">
        <w:r w:rsidR="004475FB" w:rsidRPr="001C058C">
          <w:rPr>
            <w:rStyle w:val="Hyperlink"/>
            <w:noProof/>
          </w:rPr>
          <w:t>Graph 2: S</w:t>
        </w:r>
        <w:r w:rsidR="00075D45">
          <w:rPr>
            <w:rStyle w:val="Hyperlink"/>
            <w:noProof/>
          </w:rPr>
          <w:t>h</w:t>
        </w:r>
        <w:r w:rsidR="004475FB" w:rsidRPr="001C058C">
          <w:rPr>
            <w:rStyle w:val="Hyperlink"/>
            <w:noProof/>
          </w:rPr>
          <w:t>arpe and Treynor ratio of Pinterest and Nasdaq Composite Index</w:t>
        </w:r>
        <w:r w:rsidR="004475FB">
          <w:rPr>
            <w:noProof/>
            <w:webHidden/>
          </w:rPr>
          <w:tab/>
        </w:r>
        <w:r w:rsidR="004475FB">
          <w:rPr>
            <w:noProof/>
            <w:webHidden/>
          </w:rPr>
          <w:fldChar w:fldCharType="begin"/>
        </w:r>
        <w:r w:rsidR="004475FB">
          <w:rPr>
            <w:noProof/>
            <w:webHidden/>
          </w:rPr>
          <w:instrText xml:space="preserve"> PAGEREF _Toc165338155 \h </w:instrText>
        </w:r>
        <w:r w:rsidR="004475FB">
          <w:rPr>
            <w:noProof/>
            <w:webHidden/>
          </w:rPr>
        </w:r>
        <w:r w:rsidR="004475FB">
          <w:rPr>
            <w:noProof/>
            <w:webHidden/>
          </w:rPr>
          <w:fldChar w:fldCharType="separate"/>
        </w:r>
        <w:r w:rsidR="004475FB">
          <w:rPr>
            <w:noProof/>
            <w:webHidden/>
          </w:rPr>
          <w:t>8</w:t>
        </w:r>
        <w:r w:rsidR="004475FB">
          <w:rPr>
            <w:noProof/>
            <w:webHidden/>
          </w:rPr>
          <w:fldChar w:fldCharType="end"/>
        </w:r>
      </w:hyperlink>
    </w:p>
    <w:p w14:paraId="0D01D07D" w14:textId="13ED2543" w:rsidR="004475FB" w:rsidRDefault="00FE1658">
      <w:pPr>
        <w:pStyle w:val="TableofFigures"/>
        <w:tabs>
          <w:tab w:val="right" w:leader="dot" w:pos="9350"/>
        </w:tabs>
        <w:rPr>
          <w:rFonts w:eastAsiaTheme="minorEastAsia"/>
          <w:noProof/>
        </w:rPr>
      </w:pPr>
      <w:hyperlink w:anchor="_Toc165338156" w:history="1">
        <w:r w:rsidR="004475FB" w:rsidRPr="001C058C">
          <w:rPr>
            <w:rStyle w:val="Hyperlink"/>
            <w:noProof/>
          </w:rPr>
          <w:t>Graph 3: Call Option Payoffs</w:t>
        </w:r>
        <w:r w:rsidR="004475FB">
          <w:rPr>
            <w:noProof/>
            <w:webHidden/>
          </w:rPr>
          <w:tab/>
        </w:r>
        <w:r w:rsidR="004475FB">
          <w:rPr>
            <w:noProof/>
            <w:webHidden/>
          </w:rPr>
          <w:fldChar w:fldCharType="begin"/>
        </w:r>
        <w:r w:rsidR="004475FB">
          <w:rPr>
            <w:noProof/>
            <w:webHidden/>
          </w:rPr>
          <w:instrText xml:space="preserve"> PAGEREF _Toc165338156 \h </w:instrText>
        </w:r>
        <w:r w:rsidR="004475FB">
          <w:rPr>
            <w:noProof/>
            <w:webHidden/>
          </w:rPr>
        </w:r>
        <w:r w:rsidR="004475FB">
          <w:rPr>
            <w:noProof/>
            <w:webHidden/>
          </w:rPr>
          <w:fldChar w:fldCharType="separate"/>
        </w:r>
        <w:r w:rsidR="004475FB">
          <w:rPr>
            <w:noProof/>
            <w:webHidden/>
          </w:rPr>
          <w:t>11</w:t>
        </w:r>
        <w:r w:rsidR="004475FB">
          <w:rPr>
            <w:noProof/>
            <w:webHidden/>
          </w:rPr>
          <w:fldChar w:fldCharType="end"/>
        </w:r>
      </w:hyperlink>
    </w:p>
    <w:p w14:paraId="19A7F3F3" w14:textId="613C5297" w:rsidR="004475FB" w:rsidRDefault="00FE1658">
      <w:pPr>
        <w:pStyle w:val="TableofFigures"/>
        <w:tabs>
          <w:tab w:val="right" w:leader="dot" w:pos="9350"/>
        </w:tabs>
        <w:rPr>
          <w:rFonts w:eastAsiaTheme="minorEastAsia"/>
          <w:noProof/>
        </w:rPr>
      </w:pPr>
      <w:hyperlink w:anchor="_Toc165338157" w:history="1">
        <w:r w:rsidR="004475FB" w:rsidRPr="001C058C">
          <w:rPr>
            <w:rStyle w:val="Hyperlink"/>
            <w:noProof/>
          </w:rPr>
          <w:t>Graph 4: Put Option Payoffs</w:t>
        </w:r>
        <w:r w:rsidR="004475FB">
          <w:rPr>
            <w:noProof/>
            <w:webHidden/>
          </w:rPr>
          <w:tab/>
        </w:r>
        <w:r w:rsidR="004475FB">
          <w:rPr>
            <w:noProof/>
            <w:webHidden/>
          </w:rPr>
          <w:fldChar w:fldCharType="begin"/>
        </w:r>
        <w:r w:rsidR="004475FB">
          <w:rPr>
            <w:noProof/>
            <w:webHidden/>
          </w:rPr>
          <w:instrText xml:space="preserve"> PAGEREF _Toc165338157 \h </w:instrText>
        </w:r>
        <w:r w:rsidR="004475FB">
          <w:rPr>
            <w:noProof/>
            <w:webHidden/>
          </w:rPr>
        </w:r>
        <w:r w:rsidR="004475FB">
          <w:rPr>
            <w:noProof/>
            <w:webHidden/>
          </w:rPr>
          <w:fldChar w:fldCharType="separate"/>
        </w:r>
        <w:r w:rsidR="004475FB">
          <w:rPr>
            <w:noProof/>
            <w:webHidden/>
          </w:rPr>
          <w:t>12</w:t>
        </w:r>
        <w:r w:rsidR="004475FB">
          <w:rPr>
            <w:noProof/>
            <w:webHidden/>
          </w:rPr>
          <w:fldChar w:fldCharType="end"/>
        </w:r>
      </w:hyperlink>
    </w:p>
    <w:p w14:paraId="467481BA" w14:textId="5B466F04" w:rsidR="004475FB" w:rsidRDefault="004475FB">
      <w:pPr>
        <w:rPr>
          <w:b/>
          <w:bCs/>
        </w:rPr>
      </w:pPr>
      <w:r>
        <w:rPr>
          <w:b/>
          <w:bCs/>
        </w:rPr>
        <w:fldChar w:fldCharType="end"/>
      </w:r>
    </w:p>
    <w:p w14:paraId="336360DE" w14:textId="32ED590B" w:rsidR="004475FB" w:rsidRDefault="004475FB">
      <w:pPr>
        <w:pStyle w:val="TableofFigures"/>
        <w:tabs>
          <w:tab w:val="right" w:leader="dot" w:pos="9350"/>
        </w:tabs>
        <w:rPr>
          <w:rFonts w:eastAsiaTheme="minorEastAsia"/>
          <w:noProof/>
        </w:rPr>
      </w:pPr>
      <w:r>
        <w:rPr>
          <w:b/>
          <w:bCs/>
        </w:rPr>
        <w:fldChar w:fldCharType="begin"/>
      </w:r>
      <w:r>
        <w:rPr>
          <w:b/>
          <w:bCs/>
        </w:rPr>
        <w:instrText xml:space="preserve"> TOC \h \z \c "Table" </w:instrText>
      </w:r>
      <w:r>
        <w:rPr>
          <w:b/>
          <w:bCs/>
        </w:rPr>
        <w:fldChar w:fldCharType="separate"/>
      </w:r>
      <w:hyperlink w:anchor="_Toc165338161" w:history="1">
        <w:r w:rsidRPr="0097613C">
          <w:rPr>
            <w:rStyle w:val="Hyperlink"/>
            <w:noProof/>
          </w:rPr>
          <w:t>Table 1: CAGR of Pinterest</w:t>
        </w:r>
        <w:r>
          <w:rPr>
            <w:noProof/>
            <w:webHidden/>
          </w:rPr>
          <w:tab/>
        </w:r>
        <w:r>
          <w:rPr>
            <w:noProof/>
            <w:webHidden/>
          </w:rPr>
          <w:fldChar w:fldCharType="begin"/>
        </w:r>
        <w:r>
          <w:rPr>
            <w:noProof/>
            <w:webHidden/>
          </w:rPr>
          <w:instrText xml:space="preserve"> PAGEREF _Toc165338161 \h </w:instrText>
        </w:r>
        <w:r>
          <w:rPr>
            <w:noProof/>
            <w:webHidden/>
          </w:rPr>
        </w:r>
        <w:r>
          <w:rPr>
            <w:noProof/>
            <w:webHidden/>
          </w:rPr>
          <w:fldChar w:fldCharType="separate"/>
        </w:r>
        <w:r>
          <w:rPr>
            <w:noProof/>
            <w:webHidden/>
          </w:rPr>
          <w:t>7</w:t>
        </w:r>
        <w:r>
          <w:rPr>
            <w:noProof/>
            <w:webHidden/>
          </w:rPr>
          <w:fldChar w:fldCharType="end"/>
        </w:r>
      </w:hyperlink>
    </w:p>
    <w:p w14:paraId="0687FF77" w14:textId="22598C22" w:rsidR="004475FB" w:rsidRDefault="00FE1658">
      <w:pPr>
        <w:pStyle w:val="TableofFigures"/>
        <w:tabs>
          <w:tab w:val="right" w:leader="dot" w:pos="9350"/>
        </w:tabs>
        <w:rPr>
          <w:rFonts w:eastAsiaTheme="minorEastAsia"/>
          <w:noProof/>
        </w:rPr>
      </w:pPr>
      <w:hyperlink w:anchor="_Toc165338162" w:history="1">
        <w:r w:rsidR="004475FB" w:rsidRPr="0097613C">
          <w:rPr>
            <w:rStyle w:val="Hyperlink"/>
            <w:noProof/>
          </w:rPr>
          <w:t>Table 1: CAGR of Nasdaq Composite Index</w:t>
        </w:r>
        <w:r w:rsidR="004475FB">
          <w:rPr>
            <w:noProof/>
            <w:webHidden/>
          </w:rPr>
          <w:tab/>
        </w:r>
        <w:r w:rsidR="004475FB">
          <w:rPr>
            <w:noProof/>
            <w:webHidden/>
          </w:rPr>
          <w:fldChar w:fldCharType="begin"/>
        </w:r>
        <w:r w:rsidR="004475FB">
          <w:rPr>
            <w:noProof/>
            <w:webHidden/>
          </w:rPr>
          <w:instrText xml:space="preserve"> PAGEREF _Toc165338162 \h </w:instrText>
        </w:r>
        <w:r w:rsidR="004475FB">
          <w:rPr>
            <w:noProof/>
            <w:webHidden/>
          </w:rPr>
        </w:r>
        <w:r w:rsidR="004475FB">
          <w:rPr>
            <w:noProof/>
            <w:webHidden/>
          </w:rPr>
          <w:fldChar w:fldCharType="separate"/>
        </w:r>
        <w:r w:rsidR="004475FB">
          <w:rPr>
            <w:noProof/>
            <w:webHidden/>
          </w:rPr>
          <w:t>8</w:t>
        </w:r>
        <w:r w:rsidR="004475FB">
          <w:rPr>
            <w:noProof/>
            <w:webHidden/>
          </w:rPr>
          <w:fldChar w:fldCharType="end"/>
        </w:r>
      </w:hyperlink>
    </w:p>
    <w:p w14:paraId="2A603167" w14:textId="5266FB77" w:rsidR="004475FB" w:rsidRDefault="00FE1658">
      <w:pPr>
        <w:pStyle w:val="TableofFigures"/>
        <w:tabs>
          <w:tab w:val="right" w:leader="dot" w:pos="9350"/>
        </w:tabs>
        <w:rPr>
          <w:rFonts w:eastAsiaTheme="minorEastAsia"/>
          <w:noProof/>
        </w:rPr>
      </w:pPr>
      <w:hyperlink w:anchor="_Toc165338163" w:history="1">
        <w:r w:rsidR="004475FB" w:rsidRPr="0097613C">
          <w:rPr>
            <w:rStyle w:val="Hyperlink"/>
            <w:noProof/>
          </w:rPr>
          <w:t>Table 2: Sharpe and Treynor Ratios of Pinterest and Nasdaq Composite Index</w:t>
        </w:r>
        <w:r w:rsidR="004475FB">
          <w:rPr>
            <w:noProof/>
            <w:webHidden/>
          </w:rPr>
          <w:tab/>
        </w:r>
        <w:r w:rsidR="004475FB">
          <w:rPr>
            <w:noProof/>
            <w:webHidden/>
          </w:rPr>
          <w:fldChar w:fldCharType="begin"/>
        </w:r>
        <w:r w:rsidR="004475FB">
          <w:rPr>
            <w:noProof/>
            <w:webHidden/>
          </w:rPr>
          <w:instrText xml:space="preserve"> PAGEREF _Toc165338163 \h </w:instrText>
        </w:r>
        <w:r w:rsidR="004475FB">
          <w:rPr>
            <w:noProof/>
            <w:webHidden/>
          </w:rPr>
        </w:r>
        <w:r w:rsidR="004475FB">
          <w:rPr>
            <w:noProof/>
            <w:webHidden/>
          </w:rPr>
          <w:fldChar w:fldCharType="separate"/>
        </w:r>
        <w:r w:rsidR="004475FB">
          <w:rPr>
            <w:noProof/>
            <w:webHidden/>
          </w:rPr>
          <w:t>8</w:t>
        </w:r>
        <w:r w:rsidR="004475FB">
          <w:rPr>
            <w:noProof/>
            <w:webHidden/>
          </w:rPr>
          <w:fldChar w:fldCharType="end"/>
        </w:r>
      </w:hyperlink>
    </w:p>
    <w:p w14:paraId="4CED113A" w14:textId="47540699" w:rsidR="004475FB" w:rsidRDefault="004475FB">
      <w:pPr>
        <w:rPr>
          <w:b/>
          <w:bCs/>
        </w:rPr>
      </w:pPr>
      <w:r>
        <w:rPr>
          <w:b/>
          <w:bCs/>
        </w:rPr>
        <w:fldChar w:fldCharType="end"/>
      </w:r>
    </w:p>
    <w:p w14:paraId="23CE93C2" w14:textId="5CD245EC" w:rsidR="00BE2C65" w:rsidRDefault="00BE2C65">
      <w:pPr>
        <w:rPr>
          <w:rFonts w:asciiTheme="majorHAnsi" w:eastAsiaTheme="majorEastAsia" w:hAnsiTheme="majorHAnsi" w:cstheme="majorBidi"/>
          <w:b/>
          <w:bCs/>
          <w:color w:val="2F5496" w:themeColor="accent1" w:themeShade="BF"/>
          <w:sz w:val="32"/>
          <w:szCs w:val="32"/>
        </w:rPr>
      </w:pPr>
      <w:r>
        <w:rPr>
          <w:b/>
          <w:bCs/>
        </w:rPr>
        <w:br w:type="page"/>
      </w:r>
    </w:p>
    <w:p w14:paraId="6F71EDA7" w14:textId="3674397F" w:rsidR="004656E9" w:rsidRDefault="004656E9" w:rsidP="004656E9">
      <w:pPr>
        <w:pStyle w:val="Heading1"/>
        <w:spacing w:line="360" w:lineRule="auto"/>
        <w:rPr>
          <w:b/>
          <w:bCs/>
        </w:rPr>
      </w:pPr>
      <w:bookmarkStart w:id="0" w:name="_Toc165335133"/>
      <w:r w:rsidRPr="004656E9">
        <w:rPr>
          <w:b/>
          <w:bCs/>
        </w:rPr>
        <w:lastRenderedPageBreak/>
        <w:t>Introduction</w:t>
      </w:r>
      <w:bookmarkEnd w:id="0"/>
      <w:r w:rsidRPr="004656E9">
        <w:rPr>
          <w:b/>
          <w:bCs/>
        </w:rPr>
        <w:t xml:space="preserve"> </w:t>
      </w:r>
    </w:p>
    <w:p w14:paraId="4BD001DD" w14:textId="66981B18" w:rsidR="004656E9" w:rsidRPr="004656E9" w:rsidRDefault="004656E9" w:rsidP="004656E9">
      <w:pPr>
        <w:jc w:val="both"/>
        <w:rPr>
          <w:rFonts w:ascii="Times New Roman" w:hAnsi="Times New Roman" w:cs="Times New Roman"/>
          <w:sz w:val="24"/>
          <w:szCs w:val="24"/>
        </w:rPr>
      </w:pPr>
      <w:r w:rsidRPr="004656E9">
        <w:rPr>
          <w:rFonts w:ascii="Times New Roman" w:hAnsi="Times New Roman" w:cs="Times New Roman"/>
          <w:sz w:val="24"/>
          <w:szCs w:val="24"/>
        </w:rPr>
        <w:t>Pinterest, a social networking service that enables users to explore and arrange ideas visually, is the subject of this scholarly investigation. In the first half of this article, we will discuss the causes that led to the initial public offering (IPO) of Pinterest, as well as the characteristics that set it apart from other similar services. There is also an assessment of the risks associated with the value of Pinterest, which include competition, dependence on advertising, and limitations on user data. Next, in the second phase, a comprehensive analysis of Pinterest's Compound Annual Growth Rate (CAGR) in comparison to the Nasdaq Composite Index is carried out. Despite the fact that both the Nasdaq and Pinterest had significant growth, it has been noticed that the Nasdaq performed far better than Pinterest. In the next step, the Sharpe and Treynor Ratios are used in order to assess the risk-adjusted returns of both of the firms. Within the context of this particular scenario, it is found that Pinterest has a higher Sharpe Ratio, which indicates that it offers better returns in comparison to risk. Option strategies for Pinterest stock are discussed in the last section, which also includes strangleholds, long and short calls and puts, and other options. Last but not least, the relationship between the yield on 10-year Treasury notes and the economy is discussed.  A number of factors, including economic growth, the cost of borrowing money, and investor confidence, have been seen to be influenced by the yield.</w:t>
      </w:r>
    </w:p>
    <w:p w14:paraId="2163982A" w14:textId="121E7C32" w:rsidR="004656E9" w:rsidRDefault="004656E9" w:rsidP="004656E9">
      <w:pPr>
        <w:pStyle w:val="Heading1"/>
        <w:spacing w:line="240" w:lineRule="auto"/>
        <w:rPr>
          <w:b/>
          <w:bCs/>
        </w:rPr>
      </w:pPr>
      <w:bookmarkStart w:id="1" w:name="_Toc165335134"/>
      <w:r w:rsidRPr="004656E9">
        <w:rPr>
          <w:b/>
          <w:bCs/>
        </w:rPr>
        <w:t>Main Body</w:t>
      </w:r>
      <w:bookmarkEnd w:id="1"/>
    </w:p>
    <w:p w14:paraId="60C294E6" w14:textId="7B0FDECF" w:rsidR="004656E9" w:rsidRPr="004656E9" w:rsidRDefault="004656E9" w:rsidP="004656E9">
      <w:pPr>
        <w:pStyle w:val="Heading1"/>
        <w:rPr>
          <w:b/>
          <w:bCs/>
        </w:rPr>
      </w:pPr>
      <w:bookmarkStart w:id="2" w:name="_Toc165335135"/>
      <w:r w:rsidRPr="004656E9">
        <w:rPr>
          <w:b/>
          <w:bCs/>
        </w:rPr>
        <w:t>Part 1</w:t>
      </w:r>
      <w:bookmarkEnd w:id="2"/>
    </w:p>
    <w:p w14:paraId="2EDC0D81" w14:textId="2DD69FD2" w:rsidR="00E6066F" w:rsidRPr="004656E9" w:rsidRDefault="004656E9" w:rsidP="004656E9">
      <w:pPr>
        <w:pStyle w:val="Heading2"/>
        <w:rPr>
          <w:color w:val="4472C4" w:themeColor="accent1"/>
          <w:sz w:val="28"/>
          <w:szCs w:val="28"/>
        </w:rPr>
      </w:pPr>
      <w:bookmarkStart w:id="3" w:name="_Toc165335136"/>
      <w:r w:rsidRPr="004656E9">
        <w:rPr>
          <w:color w:val="4472C4" w:themeColor="accent1"/>
          <w:sz w:val="28"/>
          <w:szCs w:val="28"/>
        </w:rPr>
        <w:t>Pinterest</w:t>
      </w:r>
      <w:r w:rsidR="00E6066F" w:rsidRPr="004656E9">
        <w:rPr>
          <w:color w:val="4472C4" w:themeColor="accent1"/>
          <w:sz w:val="28"/>
          <w:szCs w:val="28"/>
        </w:rPr>
        <w:t xml:space="preserve"> Overview</w:t>
      </w:r>
      <w:r w:rsidR="00991CA9">
        <w:rPr>
          <w:color w:val="4472C4" w:themeColor="accent1"/>
          <w:sz w:val="28"/>
          <w:szCs w:val="28"/>
        </w:rPr>
        <w:t>:</w:t>
      </w:r>
      <w:bookmarkEnd w:id="3"/>
    </w:p>
    <w:p w14:paraId="41348885" w14:textId="69776F9D" w:rsidR="005869D8" w:rsidRDefault="005869D8" w:rsidP="005869D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5869D8">
        <w:rPr>
          <w:rFonts w:ascii="Times New Roman" w:eastAsia="Times New Roman" w:hAnsi="Times New Roman" w:cs="Times New Roman"/>
          <w:kern w:val="0"/>
          <w:sz w:val="24"/>
          <w:szCs w:val="24"/>
          <w14:ligatures w14:val="none"/>
        </w:rPr>
        <w:t>There is a unique kind of website known as Pinterest that blends search capabilities with social networking capabilities. Users (known to as "Pinners") search for and organize ideas (referred to as "Pins") on virtual boards, therefore generating a visual blueprint for their objectives. Pinterest is distinguished from other social media platforms and search engines by the "discovery" feature that it offers (SECURITIES AND EXCHANGE COMMISSION, 2019).</w:t>
      </w:r>
    </w:p>
    <w:p w14:paraId="702C01B8" w14:textId="77777777" w:rsidR="00425918" w:rsidRPr="00425918" w:rsidRDefault="00425918" w:rsidP="0042591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425918">
        <w:rPr>
          <w:rFonts w:ascii="Times New Roman" w:eastAsia="Times New Roman" w:hAnsi="Times New Roman" w:cs="Times New Roman"/>
          <w:kern w:val="0"/>
          <w:sz w:val="24"/>
          <w:szCs w:val="24"/>
          <w14:ligatures w14:val="none"/>
        </w:rPr>
        <w:t>Ben Silbermann and Paul Sciarra launched the initial iteration of Pinterest in December 2009, which marks the beginning of the site's development. Because the first draft was too simplistic, Silbermann and Sciarra continued to work on it until it was ready for publication. Pinterest achieved that stage by March 2010 and made it public, however at that time access to the site required acceptance of an invitation or request. By December 2010, as the globe started to appreciate the new startup, Pinterest already had up to 10,000 users. In 2011, Pinterest had such remarkable popularity and download volume that Time magazine included it in their list of the "50 Best Websites of 2011." Pinterest changed its policy on August 10, 2012, allowing anybody to join without an invitation or request, which prompted more users to establish personal accounts. Pinterest launched business accounts that same October.</w:t>
      </w:r>
    </w:p>
    <w:p w14:paraId="2D452DFD" w14:textId="4D1B7DD9" w:rsidR="00991CA9" w:rsidRDefault="00425918" w:rsidP="005869D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425918">
        <w:rPr>
          <w:rFonts w:ascii="Times New Roman" w:eastAsia="Times New Roman" w:hAnsi="Times New Roman" w:cs="Times New Roman"/>
          <w:kern w:val="0"/>
          <w:sz w:val="24"/>
          <w:szCs w:val="24"/>
          <w14:ligatures w14:val="none"/>
        </w:rPr>
        <w:t xml:space="preserve">Being both the CEO and the biggest individual stakeholder of this publicly listed business, Ben Silbermann is the owner of Pinterest. Up to $50.83 million worth of Silbermann shares. Given </w:t>
      </w:r>
      <w:r w:rsidRPr="00425918">
        <w:rPr>
          <w:rFonts w:ascii="Times New Roman" w:eastAsia="Times New Roman" w:hAnsi="Times New Roman" w:cs="Times New Roman"/>
          <w:kern w:val="0"/>
          <w:sz w:val="24"/>
          <w:szCs w:val="24"/>
          <w14:ligatures w14:val="none"/>
        </w:rPr>
        <w:lastRenderedPageBreak/>
        <w:t>Pinterest's origin narrative, one may assume that Paul Sciarra remains a co-owner of the business. Nevertheless, Sciarra quit Pinterest in 2012 to work for a completely other organization. According to Pereira (2023), Silbermann is the only CEO of Pinterest at the moment.</w:t>
      </w:r>
    </w:p>
    <w:p w14:paraId="009047D8" w14:textId="2A2533F6" w:rsidR="00991CA9" w:rsidRDefault="00991CA9" w:rsidP="00425918">
      <w:pPr>
        <w:pStyle w:val="Heading2"/>
        <w:rPr>
          <w:color w:val="4472C4" w:themeColor="accent1"/>
          <w:sz w:val="28"/>
          <w:szCs w:val="28"/>
          <w:shd w:val="clear" w:color="auto" w:fill="FFFFFF"/>
        </w:rPr>
      </w:pPr>
      <w:bookmarkStart w:id="4" w:name="_Toc165335137"/>
      <w:r w:rsidRPr="00425918">
        <w:rPr>
          <w:color w:val="4472C4" w:themeColor="accent1"/>
          <w:sz w:val="28"/>
          <w:szCs w:val="28"/>
          <w:shd w:val="clear" w:color="auto" w:fill="FFFFFF"/>
        </w:rPr>
        <w:t>Business Model</w:t>
      </w:r>
      <w:r w:rsidR="00425918">
        <w:rPr>
          <w:color w:val="4472C4" w:themeColor="accent1"/>
          <w:sz w:val="28"/>
          <w:szCs w:val="28"/>
          <w:shd w:val="clear" w:color="auto" w:fill="FFFFFF"/>
        </w:rPr>
        <w:t>:</w:t>
      </w:r>
      <w:bookmarkEnd w:id="4"/>
    </w:p>
    <w:p w14:paraId="7286F435" w14:textId="77777777" w:rsidR="00425918" w:rsidRPr="00425918" w:rsidRDefault="00425918" w:rsidP="00425918">
      <w:pPr>
        <w:jc w:val="both"/>
        <w:rPr>
          <w:rFonts w:ascii="Times New Roman" w:hAnsi="Times New Roman" w:cs="Times New Roman"/>
          <w:sz w:val="24"/>
          <w:szCs w:val="24"/>
          <w:shd w:val="clear" w:color="auto" w:fill="FFFFFF"/>
        </w:rPr>
      </w:pPr>
      <w:r w:rsidRPr="00425918">
        <w:rPr>
          <w:rFonts w:ascii="Times New Roman" w:hAnsi="Times New Roman" w:cs="Times New Roman"/>
          <w:sz w:val="24"/>
          <w:szCs w:val="24"/>
          <w:shd w:val="clear" w:color="auto" w:fill="FFFFFF"/>
        </w:rPr>
        <w:t>Pinterest has its own unique economic approach, which allows it to differentiate itself from other websites that share photos. Users create personal pinboards that include photos that have been posted by friends, strangers, and corporations in the past. This serves as an alternative to directly sharing photographs with other group members. In addition, users have the ability to upload and pin their own photographs to pinboards, which are essentially digital portfolios.</w:t>
      </w:r>
    </w:p>
    <w:p w14:paraId="3E5394A2" w14:textId="07AD9423" w:rsidR="00425918" w:rsidRPr="00425918" w:rsidRDefault="00425918" w:rsidP="00425918">
      <w:pPr>
        <w:jc w:val="both"/>
        <w:rPr>
          <w:rFonts w:ascii="Times New Roman" w:hAnsi="Times New Roman" w:cs="Times New Roman"/>
          <w:sz w:val="24"/>
          <w:szCs w:val="24"/>
          <w:shd w:val="clear" w:color="auto" w:fill="FFFFFF"/>
        </w:rPr>
      </w:pPr>
      <w:r w:rsidRPr="00425918">
        <w:rPr>
          <w:rFonts w:ascii="Times New Roman" w:hAnsi="Times New Roman" w:cs="Times New Roman"/>
          <w:sz w:val="24"/>
          <w:szCs w:val="24"/>
          <w:shd w:val="clear" w:color="auto" w:fill="FFFFFF"/>
        </w:rPr>
        <w:t>Registered users have access to the ability to handle images and other forms of media assets. These users may also organize, save, and manage movies under their account. Not only does this provide clients with a customized experience, but it also enables their friends to see their own pinboards and see what they are doing.</w:t>
      </w:r>
    </w:p>
    <w:p w14:paraId="23345521" w14:textId="20A05E5A" w:rsidR="00425918" w:rsidRPr="00425918" w:rsidRDefault="00425918" w:rsidP="00425918">
      <w:pPr>
        <w:jc w:val="both"/>
        <w:rPr>
          <w:rFonts w:ascii="Times New Roman" w:hAnsi="Times New Roman" w:cs="Times New Roman"/>
          <w:sz w:val="24"/>
          <w:szCs w:val="24"/>
          <w:shd w:val="clear" w:color="auto" w:fill="FFFFFF"/>
        </w:rPr>
      </w:pPr>
      <w:r w:rsidRPr="00425918">
        <w:rPr>
          <w:rFonts w:ascii="Times New Roman" w:hAnsi="Times New Roman" w:cs="Times New Roman"/>
          <w:sz w:val="24"/>
          <w:szCs w:val="24"/>
          <w:shd w:val="clear" w:color="auto" w:fill="FFFFFF"/>
        </w:rPr>
        <w:t>The company calls itself a "visual discovery engine," and it helps clients when it comes to creating plans for the future by allowing them to choose individual photographs or groups of photographs. According to Tarver (2019), one of the most popular demographic groups on Pinterest is comprising women who are in charge of wedding planning.</w:t>
      </w:r>
    </w:p>
    <w:p w14:paraId="0756D16C" w14:textId="01B7FD42" w:rsidR="00991CA9" w:rsidRDefault="00075D45" w:rsidP="00991CA9">
      <w:pPr>
        <w:spacing w:before="100" w:beforeAutospacing="1" w:after="100" w:afterAutospacing="1" w:line="240" w:lineRule="auto"/>
        <w:jc w:val="both"/>
        <w:rPr>
          <w:rFonts w:ascii="Open Sans" w:hAnsi="Open Sans" w:cs="Open Sans"/>
          <w:color w:val="000000"/>
          <w:sz w:val="27"/>
          <w:szCs w:val="27"/>
          <w:shd w:val="clear" w:color="auto" w:fill="FFFFFF"/>
        </w:rPr>
      </w:pPr>
      <w:r>
        <w:rPr>
          <w:rFonts w:ascii="Open Sans" w:hAnsi="Open Sans" w:cs="Open Sans"/>
          <w:noProof/>
          <w:color w:val="000000"/>
          <w:sz w:val="27"/>
          <w:szCs w:val="27"/>
          <w:shd w:val="clear" w:color="auto" w:fill="FFFFFF"/>
        </w:rPr>
        <w:drawing>
          <wp:anchor distT="0" distB="0" distL="114300" distR="114300" simplePos="0" relativeHeight="251658240" behindDoc="0" locked="0" layoutInCell="1" allowOverlap="1" wp14:anchorId="48A2F335" wp14:editId="138FEE95">
            <wp:simplePos x="0" y="0"/>
            <wp:positionH relativeFrom="margin">
              <wp:align>center</wp:align>
            </wp:positionH>
            <wp:positionV relativeFrom="margin">
              <wp:posOffset>4029075</wp:posOffset>
            </wp:positionV>
            <wp:extent cx="5133975" cy="2952750"/>
            <wp:effectExtent l="0" t="0" r="9525" b="0"/>
            <wp:wrapSquare wrapText="bothSides"/>
            <wp:docPr id="1611206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5560" r="6301" b="9881"/>
                    <a:stretch/>
                  </pic:blipFill>
                  <pic:spPr bwMode="auto">
                    <a:xfrm>
                      <a:off x="0" y="0"/>
                      <a:ext cx="5133975" cy="2952750"/>
                    </a:xfrm>
                    <a:prstGeom prst="rect">
                      <a:avLst/>
                    </a:prstGeom>
                    <a:noFill/>
                    <a:ln>
                      <a:noFill/>
                    </a:ln>
                    <a:extLst>
                      <a:ext uri="{53640926-AAD7-44D8-BBD7-CCE9431645EC}">
                        <a14:shadowObscured xmlns:a14="http://schemas.microsoft.com/office/drawing/2010/main"/>
                      </a:ext>
                    </a:extLst>
                  </pic:spPr>
                </pic:pic>
              </a:graphicData>
            </a:graphic>
          </wp:anchor>
        </w:drawing>
      </w:r>
    </w:p>
    <w:p w14:paraId="49CAAEC4" w14:textId="7D6E0B64" w:rsidR="00991CA9" w:rsidRDefault="00425918" w:rsidP="00425918">
      <w:pPr>
        <w:pStyle w:val="Caption"/>
      </w:pPr>
      <w:bookmarkStart w:id="5" w:name="_Toc165138683"/>
      <w:bookmarkStart w:id="6" w:name="_Toc165338144"/>
      <w:r>
        <w:t xml:space="preserve">Figure </w:t>
      </w:r>
      <w:r>
        <w:fldChar w:fldCharType="begin"/>
      </w:r>
      <w:r>
        <w:instrText xml:space="preserve"> SEQ Figure \* ARABIC </w:instrText>
      </w:r>
      <w:r>
        <w:fldChar w:fldCharType="separate"/>
      </w:r>
      <w:r>
        <w:rPr>
          <w:noProof/>
        </w:rPr>
        <w:t>1</w:t>
      </w:r>
      <w:r>
        <w:fldChar w:fldCharType="end"/>
      </w:r>
      <w:r>
        <w:t>: Business model of Pinterest</w:t>
      </w:r>
      <w:bookmarkEnd w:id="5"/>
      <w:bookmarkEnd w:id="6"/>
    </w:p>
    <w:p w14:paraId="312928F4" w14:textId="6373AAE3" w:rsidR="00425918" w:rsidRPr="00425918" w:rsidRDefault="00425918" w:rsidP="00425918">
      <w:r>
        <w:t xml:space="preserve">Source: </w:t>
      </w:r>
      <w:r w:rsidRPr="00425918">
        <w:t>(Pereira, 2023)</w:t>
      </w:r>
    </w:p>
    <w:p w14:paraId="5C40423A" w14:textId="77777777" w:rsidR="00075D45" w:rsidRDefault="00075D45" w:rsidP="00991CA9">
      <w:pPr>
        <w:pStyle w:val="Heading2"/>
        <w:rPr>
          <w:color w:val="4472C4" w:themeColor="accent1"/>
          <w:sz w:val="28"/>
          <w:szCs w:val="28"/>
        </w:rPr>
      </w:pPr>
      <w:bookmarkStart w:id="7" w:name="_Toc165335138"/>
    </w:p>
    <w:p w14:paraId="440B3507" w14:textId="77777777" w:rsidR="00075D45" w:rsidRDefault="00075D45" w:rsidP="00991CA9">
      <w:pPr>
        <w:pStyle w:val="Heading2"/>
        <w:rPr>
          <w:color w:val="4472C4" w:themeColor="accent1"/>
          <w:sz w:val="28"/>
          <w:szCs w:val="28"/>
        </w:rPr>
      </w:pPr>
    </w:p>
    <w:p w14:paraId="70648961" w14:textId="283994B9" w:rsidR="00991CA9" w:rsidRPr="00991CA9" w:rsidRDefault="00991CA9" w:rsidP="00991CA9">
      <w:pPr>
        <w:pStyle w:val="Heading2"/>
        <w:rPr>
          <w:color w:val="4472C4" w:themeColor="accent1"/>
          <w:sz w:val="28"/>
          <w:szCs w:val="28"/>
        </w:rPr>
      </w:pPr>
      <w:r w:rsidRPr="00991CA9">
        <w:rPr>
          <w:color w:val="4472C4" w:themeColor="accent1"/>
          <w:sz w:val="28"/>
          <w:szCs w:val="28"/>
        </w:rPr>
        <w:lastRenderedPageBreak/>
        <w:t xml:space="preserve">Target </w:t>
      </w:r>
      <w:r w:rsidR="005869D8" w:rsidRPr="00991CA9">
        <w:rPr>
          <w:color w:val="4472C4" w:themeColor="accent1"/>
          <w:sz w:val="28"/>
          <w:szCs w:val="28"/>
        </w:rPr>
        <w:t>Market</w:t>
      </w:r>
      <w:r w:rsidRPr="00991CA9">
        <w:rPr>
          <w:color w:val="4472C4" w:themeColor="accent1"/>
          <w:sz w:val="28"/>
          <w:szCs w:val="28"/>
        </w:rPr>
        <w:t>:</w:t>
      </w:r>
      <w:bookmarkEnd w:id="7"/>
    </w:p>
    <w:p w14:paraId="03715805" w14:textId="467778DD" w:rsidR="005869D8" w:rsidRDefault="005869D8" w:rsidP="004656E9">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5869D8">
        <w:rPr>
          <w:rFonts w:ascii="Times New Roman" w:eastAsia="Times New Roman" w:hAnsi="Times New Roman" w:cs="Times New Roman"/>
          <w:kern w:val="0"/>
          <w:sz w:val="24"/>
          <w:szCs w:val="24"/>
          <w14:ligatures w14:val="none"/>
        </w:rPr>
        <w:t>Despite the fact that Pinterest caters to a diverse group of users who are seeking for ideas, the platform is particularly geared towards individuals who are interested in planning and visual planning. Travelers, interior designers, hobbyists, and anybody else who is planning a project are all beneficiaries of this.</w:t>
      </w:r>
    </w:p>
    <w:p w14:paraId="73D38BC2" w14:textId="2B58A9A8" w:rsidR="00E6066F" w:rsidRPr="004656E9" w:rsidRDefault="00E6066F" w:rsidP="004656E9">
      <w:pPr>
        <w:pStyle w:val="Heading2"/>
        <w:rPr>
          <w:color w:val="4472C4" w:themeColor="accent1"/>
          <w:sz w:val="28"/>
          <w:szCs w:val="28"/>
        </w:rPr>
      </w:pPr>
      <w:bookmarkStart w:id="8" w:name="_Toc165335139"/>
      <w:r w:rsidRPr="004656E9">
        <w:rPr>
          <w:color w:val="4472C4" w:themeColor="accent1"/>
          <w:sz w:val="28"/>
          <w:szCs w:val="28"/>
        </w:rPr>
        <w:t>Unique Selling Proposition (USP):</w:t>
      </w:r>
      <w:bookmarkEnd w:id="8"/>
    </w:p>
    <w:p w14:paraId="03A7DAD5" w14:textId="038CD6E3" w:rsidR="005869D8" w:rsidRPr="005869D8" w:rsidRDefault="005869D8" w:rsidP="005869D8">
      <w:pPr>
        <w:pStyle w:val="ListParagraph"/>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5869D8">
        <w:rPr>
          <w:rFonts w:ascii="Times New Roman" w:eastAsia="Times New Roman" w:hAnsi="Times New Roman" w:cs="Times New Roman"/>
          <w:kern w:val="0"/>
          <w:sz w:val="24"/>
          <w:szCs w:val="24"/>
          <w14:ligatures w14:val="none"/>
        </w:rPr>
        <w:t>Rich Media Utility: Pinterest's rich media utility helps connect the links between ideas and outcomes, which is a significant benefit. These materials may be put into effect and are relevant to the concepts that users are looking for (SECURITIES AND EXCHANGE COMMISSION, 2019). Users can also find ideas that are related to those concepts.</w:t>
      </w:r>
    </w:p>
    <w:p w14:paraId="5982DDE4" w14:textId="12339D8D" w:rsidR="005869D8" w:rsidRPr="005869D8" w:rsidRDefault="005869D8" w:rsidP="005869D8">
      <w:pPr>
        <w:pStyle w:val="ListParagraph"/>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5869D8">
        <w:rPr>
          <w:rFonts w:ascii="Times New Roman" w:eastAsia="Times New Roman" w:hAnsi="Times New Roman" w:cs="Times New Roman"/>
          <w:kern w:val="0"/>
          <w:sz w:val="24"/>
          <w:szCs w:val="24"/>
          <w14:ligatures w14:val="none"/>
        </w:rPr>
        <w:t>Empowering Environment: An atmosphere That Is Empowering: In contrast to many other social media sites, Pinterest fosters an atmosphere that is both positive and inventive for both users and businesses (SECURITIES AND EXCHANGE COMMISSION, 2019).</w:t>
      </w:r>
    </w:p>
    <w:p w14:paraId="35E0F842" w14:textId="70472C25" w:rsidR="00E6066F" w:rsidRPr="004656E9" w:rsidRDefault="00E6066F" w:rsidP="004656E9">
      <w:pPr>
        <w:pStyle w:val="Heading2"/>
        <w:rPr>
          <w:color w:val="4472C4" w:themeColor="accent1"/>
          <w:sz w:val="28"/>
          <w:szCs w:val="28"/>
        </w:rPr>
      </w:pPr>
      <w:bookmarkStart w:id="9" w:name="_Toc165335140"/>
      <w:r w:rsidRPr="004656E9">
        <w:rPr>
          <w:color w:val="4472C4" w:themeColor="accent1"/>
          <w:sz w:val="28"/>
          <w:szCs w:val="28"/>
        </w:rPr>
        <w:t>Reasons for Going Public</w:t>
      </w:r>
      <w:r w:rsidR="00425918">
        <w:rPr>
          <w:color w:val="4472C4" w:themeColor="accent1"/>
          <w:sz w:val="28"/>
          <w:szCs w:val="28"/>
        </w:rPr>
        <w:t>:</w:t>
      </w:r>
      <w:bookmarkEnd w:id="9"/>
    </w:p>
    <w:p w14:paraId="46485364" w14:textId="77777777"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It is likely that Pinterest's choice to go public was likely influenced by the following factors:</w:t>
      </w:r>
    </w:p>
    <w:p w14:paraId="5FB400E9" w14:textId="180439D0" w:rsidR="00B7713F" w:rsidRPr="00B7713F" w:rsidRDefault="00B7713F" w:rsidP="00B7713F">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Growth finance: Having access to a larger pool of financing via public markets makes it easier to create new products and increase future growth efforts.</w:t>
      </w:r>
    </w:p>
    <w:p w14:paraId="25D36F95" w14:textId="789F2CD1" w:rsidR="00B7713F" w:rsidRPr="00B7713F" w:rsidRDefault="00B7713F" w:rsidP="00B7713F">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Increased Brand Recognition: An initial public offering (IPO) has the potential to increase the exposure of a firm and attract new customers and business partners, as stated by Islam, Ali, and Ahmad (2010).</w:t>
      </w:r>
    </w:p>
    <w:p w14:paraId="607B6A12" w14:textId="177E392C" w:rsidR="00B7713F" w:rsidRPr="00B7713F" w:rsidRDefault="00B7713F" w:rsidP="00B7713F">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Investor Liquidity: Taking a company public offers an exit strategy to early investors and staff members who already hold shares of the company. This is referred to as investor liquidity.</w:t>
      </w:r>
    </w:p>
    <w:p w14:paraId="23F7534C" w14:textId="75758817" w:rsidR="00E6066F" w:rsidRPr="004656E9" w:rsidRDefault="00E6066F" w:rsidP="004656E9">
      <w:pPr>
        <w:pStyle w:val="Heading2"/>
        <w:rPr>
          <w:color w:val="4472C4" w:themeColor="accent1"/>
          <w:sz w:val="28"/>
          <w:szCs w:val="28"/>
        </w:rPr>
      </w:pPr>
      <w:bookmarkStart w:id="10" w:name="_Toc165335141"/>
      <w:r w:rsidRPr="004656E9">
        <w:rPr>
          <w:color w:val="4472C4" w:themeColor="accent1"/>
          <w:sz w:val="28"/>
          <w:szCs w:val="28"/>
        </w:rPr>
        <w:t>Key Risks from Pinterest's S-1 and Proposed Valuation</w:t>
      </w:r>
      <w:r w:rsidR="00425918">
        <w:rPr>
          <w:color w:val="4472C4" w:themeColor="accent1"/>
          <w:sz w:val="28"/>
          <w:szCs w:val="28"/>
        </w:rPr>
        <w:t>:</w:t>
      </w:r>
      <w:bookmarkEnd w:id="10"/>
    </w:p>
    <w:p w14:paraId="028764E0" w14:textId="2B74EB7A" w:rsid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The S-1 filing that Pinterest has made exposes the company to three key risks, each of which has the potential to influence the value that has been suggested:</w:t>
      </w:r>
    </w:p>
    <w:p w14:paraId="208E7F9E" w14:textId="77777777" w:rsidR="00B7713F" w:rsidRDefault="00B7713F" w:rsidP="00B7713F">
      <w:pPr>
        <w:pStyle w:val="ListParagraph"/>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There is a great deal of rivalry in the fields of social media and discovery. It is possible that new competitors or current companies, such as Facebook or Instagram, might copy the key aspects of Pinterest, which would hinder the growth of users and their engagement with the platform (SECURITIES AND EXCHANGE COMMISSION, 2019).</w:t>
      </w:r>
    </w:p>
    <w:p w14:paraId="3D1F0E45" w14:textId="77777777" w:rsidR="00B7713F" w:rsidRDefault="00B7713F" w:rsidP="00E6066F">
      <w:pPr>
        <w:pStyle w:val="ListParagraph"/>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This is the method of making money. Advertising is the primary source of revenue for Pinterest, which is why the company is dependent on advertising. According to the Securities and Exchange Commission (2019), changes in user behavior or economic downturns have the potential to have a negative impact on advertising expenditures.</w:t>
      </w:r>
    </w:p>
    <w:p w14:paraId="2B8F36A2" w14:textId="01A1F420" w:rsidR="00B7713F" w:rsidRPr="00B7713F" w:rsidRDefault="00B7713F" w:rsidP="00E6066F">
      <w:pPr>
        <w:pStyle w:val="ListParagraph"/>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 xml:space="preserve">The capacity of Pinterest to collect and exploit user data for targeted advertising may be limited due to stricter government limitations or user concerns about data privacy (SECURITIES AND </w:t>
      </w:r>
      <w:r w:rsidRPr="00B7713F">
        <w:rPr>
          <w:rFonts w:ascii="Times New Roman" w:eastAsia="Times New Roman" w:hAnsi="Times New Roman" w:cs="Times New Roman"/>
          <w:kern w:val="0"/>
          <w:sz w:val="24"/>
          <w:szCs w:val="24"/>
          <w14:ligatures w14:val="none"/>
        </w:rPr>
        <w:lastRenderedPageBreak/>
        <w:t>EXCHANGE COMMISSION, 2019). Pinterest's ability to acquire and exploit user data for purpose of targeted advertising may be constrained.</w:t>
      </w:r>
    </w:p>
    <w:p w14:paraId="060AF2A4" w14:textId="76F5FA81" w:rsidR="005869D8" w:rsidRPr="00B7713F" w:rsidRDefault="00B7713F" w:rsidP="00B7713F">
      <w:pPr>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In view of these potential risks, it could be prudent to approach the recommended value that Pinterest provides with caution. Particularly, the severe danger to competitiveness is a matter that requires careful consideration. (Babar and Habib, 2020) Research conducted by academics indicates that companies that are subjected to intense competition tend to have relatively lower valuations.</w:t>
      </w:r>
    </w:p>
    <w:p w14:paraId="60BEFF42" w14:textId="77777777" w:rsidR="005869D8" w:rsidRDefault="005869D8">
      <w:pPr>
        <w:rPr>
          <w:rFonts w:ascii="Times New Roman" w:eastAsia="Times New Roman" w:hAnsi="Times New Roman" w:cs="Times New Roman"/>
          <w:b/>
          <w:bCs/>
          <w:kern w:val="0"/>
          <w:sz w:val="24"/>
          <w:szCs w:val="24"/>
          <w14:ligatures w14:val="none"/>
        </w:rPr>
      </w:pPr>
    </w:p>
    <w:p w14:paraId="0BC5B389" w14:textId="3C96742C" w:rsidR="007B7569" w:rsidRPr="004656E9" w:rsidRDefault="00FD1113" w:rsidP="004656E9">
      <w:pPr>
        <w:pStyle w:val="Heading1"/>
        <w:rPr>
          <w:b/>
          <w:bCs/>
        </w:rPr>
      </w:pPr>
      <w:bookmarkStart w:id="11" w:name="_Toc165335142"/>
      <w:r w:rsidRPr="004656E9">
        <w:rPr>
          <w:b/>
          <w:bCs/>
        </w:rPr>
        <w:t>P</w:t>
      </w:r>
      <w:r w:rsidR="004656E9" w:rsidRPr="004656E9">
        <w:rPr>
          <w:b/>
          <w:bCs/>
        </w:rPr>
        <w:t xml:space="preserve">art </w:t>
      </w:r>
      <w:r w:rsidRPr="004656E9">
        <w:rPr>
          <w:b/>
          <w:bCs/>
        </w:rPr>
        <w:t>2</w:t>
      </w:r>
      <w:bookmarkEnd w:id="11"/>
    </w:p>
    <w:p w14:paraId="6FEF28A2" w14:textId="5D5AB09C" w:rsidR="00FD1113" w:rsidRPr="004656E9" w:rsidRDefault="00FD1113" w:rsidP="004656E9">
      <w:pPr>
        <w:pStyle w:val="Heading2"/>
        <w:rPr>
          <w:color w:val="4472C4" w:themeColor="accent1"/>
          <w:sz w:val="28"/>
          <w:szCs w:val="28"/>
        </w:rPr>
      </w:pPr>
      <w:bookmarkStart w:id="12" w:name="_Toc165335143"/>
      <w:r w:rsidRPr="004656E9">
        <w:rPr>
          <w:color w:val="4472C4" w:themeColor="accent1"/>
          <w:sz w:val="28"/>
          <w:szCs w:val="28"/>
        </w:rPr>
        <w:t>CAGR</w:t>
      </w:r>
      <w:bookmarkEnd w:id="12"/>
      <w:r w:rsidRPr="004656E9">
        <w:rPr>
          <w:color w:val="4472C4" w:themeColor="accent1"/>
          <w:sz w:val="28"/>
          <w:szCs w:val="28"/>
        </w:rPr>
        <w:t xml:space="preserve"> </w:t>
      </w:r>
    </w:p>
    <w:p w14:paraId="383EAD4F" w14:textId="0E46C762" w:rsid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Graph 1 displays the Nasdaq Composite Index as well as Pinterest's Compound Annual Growth Rate (CAGR) during the period of 2019 to 2023.</w:t>
      </w:r>
    </w:p>
    <w:p w14:paraId="6D2BDF5D" w14:textId="158C08EA" w:rsidR="00FD1113" w:rsidRPr="00FD1113" w:rsidRDefault="00FD1113"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FD1113">
        <w:rPr>
          <w:rFonts w:ascii="Times New Roman" w:eastAsia="Times New Roman" w:hAnsi="Times New Roman" w:cs="Times New Roman"/>
          <w:b/>
          <w:bCs/>
          <w:kern w:val="0"/>
          <w:sz w:val="24"/>
          <w:szCs w:val="24"/>
          <w14:ligatures w14:val="none"/>
        </w:rPr>
        <w:t>Key observations:</w:t>
      </w:r>
    </w:p>
    <w:p w14:paraId="6F907706" w14:textId="77777777"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The positive compound annual growth rate (CAGR) data demonstrate that both Pinterest and the Nasdaq Composite Index have had positive growth over the course of the time period in question.</w:t>
      </w:r>
    </w:p>
    <w:p w14:paraId="60CC17CB" w14:textId="77711B97"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Nasdaq Composite Index performed much better than Pinterest in terms of compound annual growth rate. The compound annual growth rate (CAGR) of Pinterest is about twenty percent over the course of five years, but the CAGR of the Nasdaq Composite Index is more than thirty-five percent.</w:t>
      </w:r>
    </w:p>
    <w:p w14:paraId="357E72D1" w14:textId="552753F1" w:rsidR="00FD1113" w:rsidRDefault="00FD1113" w:rsidP="00FD1113">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FD1113">
        <w:rPr>
          <w:rFonts w:ascii="Times New Roman" w:eastAsia="Times New Roman" w:hAnsi="Times New Roman" w:cs="Times New Roman"/>
          <w:b/>
          <w:bCs/>
          <w:kern w:val="0"/>
          <w:sz w:val="24"/>
          <w:szCs w:val="24"/>
          <w14:ligatures w14:val="none"/>
        </w:rPr>
        <w:t>Year-by-Year Performance:</w:t>
      </w:r>
    </w:p>
    <w:p w14:paraId="0CD51524" w14:textId="3B1C0F18"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It would seem that both organizations had a healthy compound annual growth rate (CAGR) to begin with. In 2019, it seems that the compound annual growth rate (CAGR) of the Nasdaq Composite Index is higher than that of Pinterest.</w:t>
      </w:r>
    </w:p>
    <w:p w14:paraId="1AE0AF27" w14:textId="13EA91DF" w:rsidR="008B70F8" w:rsidRDefault="00B7713F"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When compared to 2019, Pinterest's compound annual growth rate (CAGR) seems to have increased significantly. It's possible that this is the outcome of a noticeable increase in user activity or a specific trend in the market. Despite Pinterest's growth, the Nasdaq Composite Index seems to have retained its position as the leader in terms of compound annual growth rate.</w:t>
      </w:r>
    </w:p>
    <w:p w14:paraId="72C59EC7" w14:textId="77777777" w:rsidR="00075D45" w:rsidRDefault="00075D45"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39335743" w14:textId="77777777" w:rsidR="00075D45" w:rsidRDefault="00075D45"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702EB850" w14:textId="77777777" w:rsidR="00075D45" w:rsidRDefault="00075D45"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65110DC6" w14:textId="77777777" w:rsidR="00075D45" w:rsidRPr="008B70F8" w:rsidRDefault="00075D45"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tbl>
      <w:tblPr>
        <w:tblStyle w:val="GridTable1Light-Accent21"/>
        <w:tblW w:w="7260" w:type="dxa"/>
        <w:jc w:val="center"/>
        <w:tblInd w:w="0" w:type="dxa"/>
        <w:tblLook w:val="04A0" w:firstRow="1" w:lastRow="0" w:firstColumn="1" w:lastColumn="0" w:noHBand="0" w:noVBand="1"/>
      </w:tblPr>
      <w:tblGrid>
        <w:gridCol w:w="1900"/>
        <w:gridCol w:w="2680"/>
        <w:gridCol w:w="2680"/>
      </w:tblGrid>
      <w:tr w:rsidR="00075D45" w:rsidRPr="00075D45" w14:paraId="59F0552B" w14:textId="77777777" w:rsidTr="00075D45">
        <w:trPr>
          <w:cnfStyle w:val="100000000000" w:firstRow="1" w:lastRow="0" w:firstColumn="0" w:lastColumn="0" w:oddVBand="0" w:evenVBand="0" w:oddHBand="0"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right w:val="single" w:sz="4" w:space="0" w:color="F7CAAC" w:themeColor="accent2" w:themeTint="66"/>
            </w:tcBorders>
            <w:noWrap/>
            <w:hideMark/>
          </w:tcPr>
          <w:p w14:paraId="58DA5936" w14:textId="77777777" w:rsidR="00075D45" w:rsidRPr="00075D45" w:rsidRDefault="00075D45" w:rsidP="00075D45">
            <w:pPr>
              <w:spacing w:after="0" w:line="240" w:lineRule="auto"/>
              <w:jc w:val="center"/>
              <w:rPr>
                <w:rFonts w:ascii="Calibri" w:eastAsia="Times New Roman" w:hAnsi="Calibri" w:cs="Calibri"/>
                <w:color w:val="000000"/>
                <w:kern w:val="0"/>
                <w14:ligatures w14:val="none"/>
              </w:rPr>
            </w:pPr>
            <w:bookmarkStart w:id="13" w:name="_Toc165077259"/>
            <w:bookmarkStart w:id="14" w:name="_Toc165138696"/>
            <w:bookmarkStart w:id="15" w:name="_Toc165338161"/>
            <w:r w:rsidRPr="00075D45">
              <w:rPr>
                <w:rFonts w:ascii="Calibri" w:eastAsia="Times New Roman" w:hAnsi="Calibri" w:cs="Calibri"/>
                <w:color w:val="000000"/>
                <w:kern w:val="0"/>
                <w14:ligatures w14:val="none"/>
              </w:rPr>
              <w:lastRenderedPageBreak/>
              <w:t>Year</w:t>
            </w:r>
          </w:p>
        </w:tc>
        <w:tc>
          <w:tcPr>
            <w:tcW w:w="2680" w:type="dxa"/>
            <w:tcBorders>
              <w:top w:val="single" w:sz="4" w:space="0" w:color="F7CAAC" w:themeColor="accent2" w:themeTint="66"/>
              <w:left w:val="single" w:sz="4" w:space="0" w:color="F7CAAC" w:themeColor="accent2" w:themeTint="66"/>
              <w:right w:val="single" w:sz="4" w:space="0" w:color="F7CAAC" w:themeColor="accent2" w:themeTint="66"/>
            </w:tcBorders>
            <w:noWrap/>
            <w:hideMark/>
          </w:tcPr>
          <w:p w14:paraId="4B9D6268" w14:textId="77777777" w:rsidR="00075D45" w:rsidRPr="00075D45" w:rsidRDefault="00075D45" w:rsidP="00075D45">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Millions of US $ (Pinterest)</w:t>
            </w:r>
          </w:p>
        </w:tc>
        <w:tc>
          <w:tcPr>
            <w:tcW w:w="2680" w:type="dxa"/>
            <w:tcBorders>
              <w:top w:val="single" w:sz="4" w:space="0" w:color="F7CAAC" w:themeColor="accent2" w:themeTint="66"/>
              <w:left w:val="single" w:sz="4" w:space="0" w:color="F7CAAC" w:themeColor="accent2" w:themeTint="66"/>
              <w:right w:val="single" w:sz="4" w:space="0" w:color="F7CAAC" w:themeColor="accent2" w:themeTint="66"/>
            </w:tcBorders>
            <w:hideMark/>
          </w:tcPr>
          <w:p w14:paraId="6FD50366" w14:textId="77777777" w:rsidR="00075D45" w:rsidRPr="00075D45" w:rsidRDefault="00075D45" w:rsidP="00075D45">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Millions of US $ (Nasdaq Composite Index)</w:t>
            </w:r>
          </w:p>
        </w:tc>
      </w:tr>
      <w:tr w:rsidR="00075D45" w:rsidRPr="00075D45" w14:paraId="4BE2FFEA"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740028DC"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2019</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452C82BF"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1,143</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57A0B8EB"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4,258</w:t>
            </w:r>
          </w:p>
        </w:tc>
      </w:tr>
      <w:tr w:rsidR="00075D45" w:rsidRPr="00075D45" w14:paraId="0A885698"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5E80871A"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2020</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03CBDB26"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1,693</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3EA2E718"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5,625</w:t>
            </w:r>
          </w:p>
        </w:tc>
      </w:tr>
      <w:tr w:rsidR="00075D45" w:rsidRPr="00075D45" w14:paraId="103EFC21"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2B6EB4A6"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2021</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51151D52"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2,578</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3212A489"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5,886</w:t>
            </w:r>
          </w:p>
        </w:tc>
      </w:tr>
      <w:tr w:rsidR="00075D45" w:rsidRPr="00075D45" w14:paraId="1AB5C82A"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5B5B4817"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2022</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57E98CD8"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2,803</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35CD294A"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6,226</w:t>
            </w:r>
          </w:p>
        </w:tc>
      </w:tr>
      <w:tr w:rsidR="00075D45" w:rsidRPr="00075D45" w14:paraId="53ACF3F2"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4ACCA349"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2023</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27A111EB"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3,055</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69393B83"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6,064</w:t>
            </w:r>
          </w:p>
        </w:tc>
      </w:tr>
      <w:tr w:rsidR="00075D45" w:rsidRPr="00075D45" w14:paraId="215CCC71"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2D175F36"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CAGR</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74AC5B5A"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28%</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13398981"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9%</w:t>
            </w:r>
          </w:p>
        </w:tc>
      </w:tr>
      <w:tr w:rsidR="00075D45" w:rsidRPr="00075D45" w14:paraId="628BE9AF"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001BD5D5"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RRI</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46E70A7F"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28%</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288A73DF"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9%</w:t>
            </w:r>
          </w:p>
        </w:tc>
      </w:tr>
    </w:tbl>
    <w:p w14:paraId="741AA3C3" w14:textId="77777777" w:rsidR="00075D45" w:rsidRDefault="00075D45" w:rsidP="008B70F8">
      <w:pPr>
        <w:pStyle w:val="Caption"/>
        <w:keepNext/>
      </w:pPr>
    </w:p>
    <w:p w14:paraId="53FFF5AE" w14:textId="4FF244D1" w:rsidR="008B70F8" w:rsidRDefault="008B70F8" w:rsidP="008B70F8">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w:t>
      </w:r>
      <w:bookmarkEnd w:id="13"/>
      <w:bookmarkEnd w:id="14"/>
      <w:bookmarkEnd w:id="15"/>
      <w:r w:rsidR="00075D45">
        <w:rPr>
          <w:kern w:val="0"/>
          <w14:ligatures w14:val="none"/>
        </w:rPr>
        <w:t>CAGR of Pinterest and Nasdaq Composite Index</w:t>
      </w:r>
    </w:p>
    <w:p w14:paraId="1D8107E7" w14:textId="77777777" w:rsidR="008B70F8" w:rsidRDefault="008B70F8" w:rsidP="008B70F8">
      <w:r>
        <w:t xml:space="preserve">Source (the data is taken from Yahoo finance): </w:t>
      </w:r>
      <w:r w:rsidRPr="00425918">
        <w:t>(Yahoo Finance, n.d.)</w:t>
      </w:r>
    </w:p>
    <w:p w14:paraId="2F134E42" w14:textId="77777777"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In the year 2021, Pinterest's compound annual growth rate seems to have remained robust, although maybe seeing a decline from the previous year, 2020. The compound annual growth rate (CAGR) of the Nasdaq Composite Index is still higher than that of Pinterest, despite the fact that it seems to have drastically decreased after 2020.</w:t>
      </w:r>
    </w:p>
    <w:p w14:paraId="4D6BEDA1" w14:textId="11764EE1"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In 2022, the Nasdaq Composite Index and Pinterest seem to have had a decrease in their compound annual growth rate, which is in contrast to the growth rates witnessed in earlier years. However, Pinterest's compound annual growth rate (CAGR) was still lower than that of the Nasdaq Composite Index.</w:t>
      </w:r>
    </w:p>
    <w:p w14:paraId="438EE9DD" w14:textId="39773F03" w:rsidR="00B7713F" w:rsidRPr="00B7713F" w:rsidRDefault="00B7713F"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The Nasdaq Composite Index continues to have a little lead over the other entity, but the compound annual growth rate (CAGR) for both seems to be equivalent after the year 2023.</w:t>
      </w:r>
    </w:p>
    <w:p w14:paraId="1C70D2A5" w14:textId="78FB93B2" w:rsidR="00BE2C65" w:rsidRDefault="00FD1113" w:rsidP="00FE1658">
      <w:pPr>
        <w:jc w:val="center"/>
      </w:pPr>
      <w:r>
        <w:rPr>
          <w:noProof/>
        </w:rPr>
        <w:drawing>
          <wp:inline distT="0" distB="0" distL="0" distR="0" wp14:anchorId="3452665A" wp14:editId="73F88D66">
            <wp:extent cx="4572000" cy="2581275"/>
            <wp:effectExtent l="0" t="0" r="0" b="9525"/>
            <wp:docPr id="333765623" name="Chart 1">
              <a:extLst xmlns:a="http://schemas.openxmlformats.org/drawingml/2006/main">
                <a:ext uri="{FF2B5EF4-FFF2-40B4-BE49-F238E27FC236}">
                  <a16:creationId xmlns:a16="http://schemas.microsoft.com/office/drawing/2014/main" id="{EAFB1EEA-2438-03A1-5FE8-D6AD128F03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2AE5780" w14:textId="36BD8FB0" w:rsidR="00BE2C65" w:rsidRDefault="00BE2C65" w:rsidP="00FE1658">
      <w:pPr>
        <w:pStyle w:val="Caption"/>
        <w:jc w:val="center"/>
      </w:pPr>
      <w:bookmarkStart w:id="16" w:name="_Toc165077169"/>
      <w:bookmarkStart w:id="17" w:name="_Toc165138690"/>
      <w:bookmarkStart w:id="18" w:name="_Toc165338154"/>
      <w:r>
        <w:t xml:space="preserve">Graph </w:t>
      </w:r>
      <w:r>
        <w:fldChar w:fldCharType="begin"/>
      </w:r>
      <w:r>
        <w:instrText xml:space="preserve"> SEQ Graph \* ARABIC </w:instrText>
      </w:r>
      <w:r>
        <w:fldChar w:fldCharType="separate"/>
      </w:r>
      <w:r>
        <w:rPr>
          <w:noProof/>
        </w:rPr>
        <w:t>1</w:t>
      </w:r>
      <w:r>
        <w:fldChar w:fldCharType="end"/>
      </w:r>
      <w:r>
        <w:t>: CAGR of Pinterest and Nasdaq Composite Index</w:t>
      </w:r>
      <w:bookmarkEnd w:id="16"/>
      <w:bookmarkEnd w:id="17"/>
      <w:bookmarkEnd w:id="18"/>
    </w:p>
    <w:p w14:paraId="3F4A2E33" w14:textId="7CFE33BE" w:rsidR="004475FB" w:rsidRPr="00425918" w:rsidRDefault="00BE2C65" w:rsidP="00FE1658">
      <w:pPr>
        <w:jc w:val="center"/>
      </w:pPr>
      <w:r>
        <w:t>Source: Self-generated</w:t>
      </w:r>
    </w:p>
    <w:p w14:paraId="46A19235" w14:textId="329E72DB" w:rsidR="00FD1113" w:rsidRPr="004656E9" w:rsidRDefault="007D3C04" w:rsidP="004656E9">
      <w:pPr>
        <w:pStyle w:val="Heading2"/>
        <w:rPr>
          <w:color w:val="4472C4" w:themeColor="accent1"/>
          <w:sz w:val="28"/>
          <w:szCs w:val="28"/>
        </w:rPr>
      </w:pPr>
      <w:bookmarkStart w:id="19" w:name="_Toc165335144"/>
      <w:r w:rsidRPr="004656E9">
        <w:rPr>
          <w:color w:val="4472C4" w:themeColor="accent1"/>
          <w:sz w:val="28"/>
          <w:szCs w:val="28"/>
        </w:rPr>
        <w:lastRenderedPageBreak/>
        <w:t>Sharpe and Treynor ratio</w:t>
      </w:r>
      <w:bookmarkEnd w:id="19"/>
    </w:p>
    <w:tbl>
      <w:tblPr>
        <w:tblStyle w:val="GridTable1Light-Accent2"/>
        <w:tblW w:w="4258" w:type="dxa"/>
        <w:jc w:val="center"/>
        <w:tblLook w:val="04A0" w:firstRow="1" w:lastRow="0" w:firstColumn="1" w:lastColumn="0" w:noHBand="0" w:noVBand="1"/>
      </w:tblPr>
      <w:tblGrid>
        <w:gridCol w:w="2022"/>
        <w:gridCol w:w="1155"/>
        <w:gridCol w:w="1081"/>
      </w:tblGrid>
      <w:tr w:rsidR="00CA6965" w:rsidRPr="00CA6965" w14:paraId="6D63FC7F" w14:textId="77777777" w:rsidTr="00CA6965">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2022" w:type="dxa"/>
            <w:noWrap/>
            <w:hideMark/>
          </w:tcPr>
          <w:p w14:paraId="1F0CFC01" w14:textId="77777777" w:rsidR="00CA6965" w:rsidRPr="00CA6965" w:rsidRDefault="00CA6965" w:rsidP="00CA6965">
            <w:pPr>
              <w:rPr>
                <w:rFonts w:ascii="Times New Roman" w:eastAsia="Times New Roman" w:hAnsi="Times New Roman" w:cs="Times New Roman"/>
                <w:kern w:val="0"/>
                <w:sz w:val="24"/>
                <w:szCs w:val="24"/>
                <w14:ligatures w14:val="none"/>
              </w:rPr>
            </w:pPr>
          </w:p>
        </w:tc>
        <w:tc>
          <w:tcPr>
            <w:tcW w:w="1155" w:type="dxa"/>
            <w:noWrap/>
            <w:hideMark/>
          </w:tcPr>
          <w:p w14:paraId="502C6C22" w14:textId="77777777" w:rsidR="00CA6965" w:rsidRPr="00CA6965" w:rsidRDefault="00CA6965" w:rsidP="00CA696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Pinterest</w:t>
            </w:r>
          </w:p>
        </w:tc>
        <w:tc>
          <w:tcPr>
            <w:tcW w:w="1081" w:type="dxa"/>
            <w:noWrap/>
            <w:hideMark/>
          </w:tcPr>
          <w:p w14:paraId="533D2FEA" w14:textId="77777777" w:rsidR="00CA6965" w:rsidRPr="00CA6965" w:rsidRDefault="00CA6965" w:rsidP="00CA696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Nasdaq</w:t>
            </w:r>
          </w:p>
        </w:tc>
      </w:tr>
      <w:tr w:rsidR="00CA6965" w:rsidRPr="00CA6965" w14:paraId="3269B75E" w14:textId="77777777" w:rsidTr="00CA6965">
        <w:trPr>
          <w:trHeight w:val="366"/>
          <w:jc w:val="center"/>
        </w:trPr>
        <w:tc>
          <w:tcPr>
            <w:cnfStyle w:val="001000000000" w:firstRow="0" w:lastRow="0" w:firstColumn="1" w:lastColumn="0" w:oddVBand="0" w:evenVBand="0" w:oddHBand="0" w:evenHBand="0" w:firstRowFirstColumn="0" w:firstRowLastColumn="0" w:lastRowFirstColumn="0" w:lastRowLastColumn="0"/>
            <w:tcW w:w="2022" w:type="dxa"/>
            <w:noWrap/>
            <w:hideMark/>
          </w:tcPr>
          <w:p w14:paraId="2FDA81D5" w14:textId="77777777" w:rsidR="00CA6965" w:rsidRPr="00CA6965" w:rsidRDefault="00CA6965" w:rsidP="00CA6965">
            <w:pPr>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Sharpe Ratio</w:t>
            </w:r>
          </w:p>
        </w:tc>
        <w:tc>
          <w:tcPr>
            <w:tcW w:w="1155" w:type="dxa"/>
            <w:noWrap/>
            <w:hideMark/>
          </w:tcPr>
          <w:p w14:paraId="6CB39F38" w14:textId="77777777" w:rsidR="00CA6965" w:rsidRPr="00CA6965" w:rsidRDefault="00CA6965" w:rsidP="00CA6965">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7%</w:t>
            </w:r>
          </w:p>
        </w:tc>
        <w:tc>
          <w:tcPr>
            <w:tcW w:w="1081" w:type="dxa"/>
            <w:noWrap/>
            <w:hideMark/>
          </w:tcPr>
          <w:p w14:paraId="41F01530" w14:textId="77777777" w:rsidR="00CA6965" w:rsidRPr="00CA6965" w:rsidRDefault="00CA6965" w:rsidP="00CA6965">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1%</w:t>
            </w:r>
          </w:p>
        </w:tc>
      </w:tr>
      <w:tr w:rsidR="00CA6965" w:rsidRPr="00CA6965" w14:paraId="76470845" w14:textId="77777777" w:rsidTr="00CA6965">
        <w:trPr>
          <w:trHeight w:val="366"/>
          <w:jc w:val="center"/>
        </w:trPr>
        <w:tc>
          <w:tcPr>
            <w:cnfStyle w:val="001000000000" w:firstRow="0" w:lastRow="0" w:firstColumn="1" w:lastColumn="0" w:oddVBand="0" w:evenVBand="0" w:oddHBand="0" w:evenHBand="0" w:firstRowFirstColumn="0" w:firstRowLastColumn="0" w:lastRowFirstColumn="0" w:lastRowLastColumn="0"/>
            <w:tcW w:w="2022" w:type="dxa"/>
            <w:noWrap/>
            <w:hideMark/>
          </w:tcPr>
          <w:p w14:paraId="1CAC5E54" w14:textId="77777777" w:rsidR="00CA6965" w:rsidRPr="00CA6965" w:rsidRDefault="00CA6965" w:rsidP="00CA6965">
            <w:pPr>
              <w:rPr>
                <w:rFonts w:ascii="Calibri" w:eastAsia="Times New Roman" w:hAnsi="Calibri" w:cs="Calibri"/>
                <w:b w:val="0"/>
                <w:bCs w:val="0"/>
                <w:color w:val="000000"/>
                <w:kern w:val="0"/>
                <w14:ligatures w14:val="none"/>
              </w:rPr>
            </w:pPr>
            <w:r w:rsidRPr="00CA6965">
              <w:rPr>
                <w:rFonts w:ascii="Calibri" w:eastAsia="Times New Roman" w:hAnsi="Calibri" w:cs="Calibri"/>
                <w:b w:val="0"/>
                <w:bCs w:val="0"/>
                <w:color w:val="000000"/>
                <w:kern w:val="0"/>
                <w14:ligatures w14:val="none"/>
              </w:rPr>
              <w:t>Treynor Ratio</w:t>
            </w:r>
          </w:p>
        </w:tc>
        <w:tc>
          <w:tcPr>
            <w:tcW w:w="1155" w:type="dxa"/>
            <w:noWrap/>
            <w:hideMark/>
          </w:tcPr>
          <w:p w14:paraId="1BAB7371" w14:textId="77777777" w:rsidR="00CA6965" w:rsidRPr="00CA6965" w:rsidRDefault="00CA6965" w:rsidP="00CA6965">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14%</w:t>
            </w:r>
          </w:p>
        </w:tc>
        <w:tc>
          <w:tcPr>
            <w:tcW w:w="1081" w:type="dxa"/>
            <w:noWrap/>
            <w:hideMark/>
          </w:tcPr>
          <w:p w14:paraId="1B786F00" w14:textId="77777777" w:rsidR="00CA6965" w:rsidRPr="00CA6965" w:rsidRDefault="00CA6965" w:rsidP="00CA6965">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4%</w:t>
            </w:r>
          </w:p>
        </w:tc>
      </w:tr>
    </w:tbl>
    <w:p w14:paraId="61968C87" w14:textId="77777777" w:rsidR="00BE2C65" w:rsidRDefault="00BE2C65" w:rsidP="00BE2C65">
      <w:pPr>
        <w:pStyle w:val="Caption"/>
      </w:pPr>
    </w:p>
    <w:p w14:paraId="658696B7" w14:textId="66BE62AC" w:rsidR="00CA6965" w:rsidRDefault="00BE2C65" w:rsidP="00075D45">
      <w:pPr>
        <w:pStyle w:val="Caption"/>
        <w:jc w:val="center"/>
      </w:pPr>
      <w:bookmarkStart w:id="20" w:name="_Toc165077260"/>
      <w:bookmarkStart w:id="21" w:name="_Toc165138697"/>
      <w:bookmarkStart w:id="22" w:name="_Toc165338163"/>
      <w:r>
        <w:t xml:space="preserve">Table </w:t>
      </w:r>
      <w:r>
        <w:fldChar w:fldCharType="begin"/>
      </w:r>
      <w:r>
        <w:instrText xml:space="preserve"> SEQ Table \* ARABIC </w:instrText>
      </w:r>
      <w:r>
        <w:fldChar w:fldCharType="separate"/>
      </w:r>
      <w:r>
        <w:rPr>
          <w:noProof/>
        </w:rPr>
        <w:t>2</w:t>
      </w:r>
      <w:r>
        <w:fldChar w:fldCharType="end"/>
      </w:r>
      <w:r>
        <w:t>: Sharpe and Treynor Ratios of Pinterest and Nasdaq Composite Index</w:t>
      </w:r>
      <w:bookmarkEnd w:id="20"/>
      <w:bookmarkEnd w:id="21"/>
      <w:bookmarkEnd w:id="22"/>
    </w:p>
    <w:p w14:paraId="5B04F5EC" w14:textId="5F7B4809" w:rsidR="00425918" w:rsidRPr="00425918" w:rsidRDefault="00425918" w:rsidP="00075D45">
      <w:pPr>
        <w:jc w:val="center"/>
      </w:pPr>
      <w:r w:rsidRPr="00425918">
        <w:t>Source (the data is taken from Yahoo finance): (Yahoo Finance, n.d.)</w:t>
      </w:r>
    </w:p>
    <w:p w14:paraId="40B16DAC" w14:textId="4CEF89D4" w:rsidR="00BE2C65" w:rsidRDefault="00BE2C65" w:rsidP="00075D45">
      <w:pPr>
        <w:jc w:val="center"/>
      </w:pPr>
      <w:r>
        <w:rPr>
          <w:noProof/>
        </w:rPr>
        <w:drawing>
          <wp:inline distT="0" distB="0" distL="0" distR="0" wp14:anchorId="1C8763EF" wp14:editId="11117A1B">
            <wp:extent cx="4572000" cy="2743200"/>
            <wp:effectExtent l="0" t="0" r="0" b="0"/>
            <wp:docPr id="2822098" name="Chart 1">
              <a:extLst xmlns:a="http://schemas.openxmlformats.org/drawingml/2006/main">
                <a:ext uri="{FF2B5EF4-FFF2-40B4-BE49-F238E27FC236}">
                  <a16:creationId xmlns:a16="http://schemas.microsoft.com/office/drawing/2014/main" id="{BC9FA398-F406-0C72-C3C7-1D4E9BDCE3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A529967" w14:textId="7153F751" w:rsidR="00BE2C65" w:rsidRDefault="00BE2C65" w:rsidP="00075D45">
      <w:pPr>
        <w:pStyle w:val="Caption"/>
        <w:jc w:val="center"/>
      </w:pPr>
      <w:bookmarkStart w:id="23" w:name="_Toc165077170"/>
      <w:bookmarkStart w:id="24" w:name="_Toc165138691"/>
      <w:bookmarkStart w:id="25" w:name="_Toc165338155"/>
      <w:r>
        <w:t xml:space="preserve">Graph </w:t>
      </w:r>
      <w:r>
        <w:fldChar w:fldCharType="begin"/>
      </w:r>
      <w:r>
        <w:instrText xml:space="preserve"> SEQ Graph \* ARABIC </w:instrText>
      </w:r>
      <w:r>
        <w:fldChar w:fldCharType="separate"/>
      </w:r>
      <w:r>
        <w:rPr>
          <w:noProof/>
        </w:rPr>
        <w:t>2</w:t>
      </w:r>
      <w:r>
        <w:fldChar w:fldCharType="end"/>
      </w:r>
      <w:r>
        <w:t>: Sarpe and Treynor ratio of Pinterest and Nasdaq Composite Index</w:t>
      </w:r>
      <w:bookmarkEnd w:id="23"/>
      <w:bookmarkEnd w:id="24"/>
      <w:bookmarkEnd w:id="25"/>
    </w:p>
    <w:p w14:paraId="558F540C" w14:textId="76983609" w:rsidR="00BE2C65" w:rsidRPr="00BE2C65" w:rsidRDefault="00BE2C65" w:rsidP="00075D45">
      <w:pPr>
        <w:jc w:val="center"/>
      </w:pPr>
      <w:r>
        <w:t>Source: Self-generated</w:t>
      </w:r>
    </w:p>
    <w:p w14:paraId="15A153F9" w14:textId="77777777" w:rsidR="00B7713F" w:rsidRDefault="00B7713F" w:rsidP="00B7713F">
      <w:pPr>
        <w:pStyle w:val="NormalWeb"/>
      </w:pPr>
      <w:r>
        <w:t>The Treynor and Sharpe ratios for the Nasdaq and Pinterest are contrasted in the graph.</w:t>
      </w:r>
    </w:p>
    <w:p w14:paraId="46CEF42D" w14:textId="286364E8" w:rsidR="00B7713F" w:rsidRDefault="00B7713F" w:rsidP="004656E9">
      <w:pPr>
        <w:pStyle w:val="NormalWeb"/>
        <w:jc w:val="both"/>
      </w:pPr>
      <w:r>
        <w:t>The risk-adjusted return on an investment is computed using the Sharpe Ratio. It compares the average return of an investment with its volatility</w:t>
      </w:r>
      <w:r w:rsidR="00DD794C">
        <w:t xml:space="preserve"> </w:t>
      </w:r>
      <w:r w:rsidR="00DD794C" w:rsidRPr="00DD794C">
        <w:t>(Dyk, Vuuren and Heymans, 2014)</w:t>
      </w:r>
      <w:r>
        <w:t>. The Treynor Ratio measures the return on investment for each unit of risk, especially market volatility. A higher Treynor Ratio indicates an improved return compared to risk. A higher Treynor Ratio indicates a higher return relative to market risk</w:t>
      </w:r>
      <w:r w:rsidR="00DD794C">
        <w:t xml:space="preserve"> </w:t>
      </w:r>
      <w:r w:rsidR="00DD794C" w:rsidRPr="00DD794C">
        <w:t>(Scholz and Wilkens, 2004)</w:t>
      </w:r>
      <w:r>
        <w:t>.</w:t>
      </w:r>
    </w:p>
    <w:p w14:paraId="743A422C" w14:textId="2314CFAF" w:rsidR="00DD794C" w:rsidRPr="005B769B" w:rsidRDefault="00DD794C" w:rsidP="005B769B">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5B769B">
        <w:rPr>
          <w:rFonts w:ascii="Times New Roman" w:eastAsia="Times New Roman" w:hAnsi="Times New Roman" w:cs="Times New Roman"/>
          <w:kern w:val="0"/>
          <w:sz w:val="24"/>
          <w:szCs w:val="24"/>
          <w14:ligatures w14:val="none"/>
        </w:rPr>
        <w:t>The following is a breakdown of the ratios, along with some potential interpretations:</w:t>
      </w:r>
    </w:p>
    <w:p w14:paraId="5C510C26" w14:textId="38294A51" w:rsidR="00DD794C" w:rsidRPr="00DD794C" w:rsidRDefault="00DD794C" w:rsidP="00DD794C">
      <w:pPr>
        <w:pStyle w:val="ListParagraph"/>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 xml:space="preserve">The Sharpe Ratio is a method for calculating return after taking into account the impact of risk. By comparing the average return on an investment to the risk-free rate of return, which is often derived by looking at the yield on government treasury notes, it is possible to assess the investment's overall performance. When the Sharpe Ratio is higher, it indicates that the return offered is larger in comparison to the risk. Pinterest seems to have higher returns in comparison </w:t>
      </w:r>
      <w:r w:rsidRPr="00DD794C">
        <w:rPr>
          <w:rFonts w:ascii="Times New Roman" w:eastAsia="Times New Roman" w:hAnsi="Times New Roman" w:cs="Times New Roman"/>
          <w:kern w:val="0"/>
          <w:sz w:val="24"/>
          <w:szCs w:val="24"/>
          <w14:ligatures w14:val="none"/>
        </w:rPr>
        <w:lastRenderedPageBreak/>
        <w:t>to the risk that is taken, as seen by its Sharpe Ratio of 7% in the image, in contrast to the Nasdaq's ratio of 1%. This is based on the statistics presented here.</w:t>
      </w:r>
    </w:p>
    <w:p w14:paraId="1313EA01" w14:textId="0C39341A" w:rsidR="00DD794C" w:rsidRPr="00DD794C" w:rsidRDefault="00DD794C" w:rsidP="00CA6965">
      <w:pPr>
        <w:pStyle w:val="ListParagraph"/>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return that is received for each unit of market risk is stated as a ratio, and this is what the Treynor Ratio is. There is a comparison made between the excess return of an investment and the beta of the market. Beta is a unit of measurement that is used to determine how volatile a particular stock is in comparison to the overall market price. If a stock has a beta of one, it indicates that its volatility is the same as that of the market. On the other hand, if the stock has a beta that is more than one, it indicates that the stock's volatility is greater than that of the market. In this particular instance, the Treynor Ratio of Pinterest is 14%, which is higher than the 4% that the Nasdaq has, which indicates that Pinterest may be earning more money per unit of market risk.</w:t>
      </w:r>
    </w:p>
    <w:p w14:paraId="05C47D9A" w14:textId="1264E6A7" w:rsidR="00DD794C" w:rsidRP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following are some other factors that should be taken into consideration when comparing the performance of Pinterest and the Nasdaq:</w:t>
      </w:r>
    </w:p>
    <w:p w14:paraId="5E133404" w14:textId="77777777" w:rsidR="00DD794C" w:rsidRPr="00DD794C" w:rsidRDefault="00DD794C" w:rsidP="00DD794C">
      <w:pPr>
        <w:pStyle w:val="ListParagraph"/>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performance of the Nasdaq and Pinterest may be affected by the general market circumstances, which are a potentially significant factor. In the event that the stock market is experiencing growth, for example, Pinterest and the Nasdaq are likely to see an increase in their relative stock values. On the other side, if the stock market itself is experiencing a downturn, it is probable that the stock prices of Pinterest and the Nasdaq will also see a decrease.</w:t>
      </w:r>
    </w:p>
    <w:p w14:paraId="41B49771" w14:textId="3F0A8A35" w:rsidR="00DD794C" w:rsidRPr="00DD794C" w:rsidRDefault="00DD794C" w:rsidP="00DD794C">
      <w:pPr>
        <w:pStyle w:val="ListParagraph"/>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Aspects that are unique to the company: The profitability of a firm, its financial stability, and its position in the competitive landscape are just a few examples of the many company-specific variables that have the potential to influence the performance of a stock. As an example, if a firm is doing well financially, it is anticipated that the stock price of the company would improve. On the other side, if a firm is experiencing financial problems, it is probable that the stock price of that company would decline.</w:t>
      </w:r>
    </w:p>
    <w:p w14:paraId="1B67BD45" w14:textId="2C2100AD" w:rsid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In the absence of taking these factors into consideration, it is impossible to tell with absolute confidence if the company is functioning more efficiently. The graphic that you showed to me indicates that Pinterest has a better risk-adjusted return than Nasdaq does, despite the fact that Nasdaq has a larger return in proportion to market risk.</w:t>
      </w:r>
    </w:p>
    <w:p w14:paraId="3FCDCE75" w14:textId="77777777" w:rsidR="004656E9" w:rsidRDefault="004656E9"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75614967" w14:textId="77777777" w:rsidR="00075D45" w:rsidRDefault="00075D45"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73DC83C3" w14:textId="77777777" w:rsidR="00075D45" w:rsidRDefault="00075D45"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034EE81F" w14:textId="19B1C6E5" w:rsidR="00CA6965" w:rsidRPr="004656E9" w:rsidRDefault="004656E9" w:rsidP="004656E9">
      <w:pPr>
        <w:pStyle w:val="Heading1"/>
        <w:spacing w:line="360" w:lineRule="auto"/>
        <w:rPr>
          <w:rFonts w:eastAsia="Times New Roman"/>
          <w:b/>
          <w:bCs/>
        </w:rPr>
      </w:pPr>
      <w:bookmarkStart w:id="26" w:name="_Toc165335145"/>
      <w:r w:rsidRPr="004656E9">
        <w:rPr>
          <w:rFonts w:eastAsia="Times New Roman"/>
          <w:b/>
          <w:bCs/>
        </w:rPr>
        <w:t>Part 3</w:t>
      </w:r>
      <w:bookmarkEnd w:id="26"/>
    </w:p>
    <w:p w14:paraId="7123887A" w14:textId="60AEC132" w:rsidR="00CA6965" w:rsidRPr="004656E9" w:rsidRDefault="00CA6965" w:rsidP="004656E9">
      <w:pPr>
        <w:pStyle w:val="Heading2"/>
        <w:rPr>
          <w:color w:val="4472C4" w:themeColor="accent1"/>
          <w:sz w:val="28"/>
          <w:szCs w:val="28"/>
        </w:rPr>
      </w:pPr>
      <w:bookmarkStart w:id="27" w:name="_Toc165335146"/>
      <w:r w:rsidRPr="004656E9">
        <w:rPr>
          <w:color w:val="4472C4" w:themeColor="accent1"/>
          <w:sz w:val="28"/>
          <w:szCs w:val="28"/>
        </w:rPr>
        <w:t xml:space="preserve">Money </w:t>
      </w:r>
      <w:r w:rsidR="005B769B">
        <w:rPr>
          <w:color w:val="4472C4" w:themeColor="accent1"/>
          <w:sz w:val="28"/>
          <w:szCs w:val="28"/>
        </w:rPr>
        <w:t>C</w:t>
      </w:r>
      <w:r w:rsidRPr="004656E9">
        <w:rPr>
          <w:color w:val="4472C4" w:themeColor="accent1"/>
          <w:sz w:val="28"/>
          <w:szCs w:val="28"/>
        </w:rPr>
        <w:t xml:space="preserve">all </w:t>
      </w:r>
      <w:r w:rsidR="005B769B">
        <w:rPr>
          <w:color w:val="4472C4" w:themeColor="accent1"/>
          <w:sz w:val="28"/>
          <w:szCs w:val="28"/>
        </w:rPr>
        <w:t>O</w:t>
      </w:r>
      <w:r w:rsidRPr="004656E9">
        <w:rPr>
          <w:color w:val="4472C4" w:themeColor="accent1"/>
          <w:sz w:val="28"/>
          <w:szCs w:val="28"/>
        </w:rPr>
        <w:t>ption</w:t>
      </w:r>
      <w:bookmarkEnd w:id="27"/>
    </w:p>
    <w:p w14:paraId="7BA72CFD" w14:textId="79B0BF17" w:rsid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lastRenderedPageBreak/>
        <w:t>When purchasing a long call or selling a short call, the graph depicts the potential profit or loss that an investor may experience dependent on the movement of the underlying stock price. This may apply to either buying or selling a call option.</w:t>
      </w:r>
    </w:p>
    <w:p w14:paraId="451AED92" w14:textId="3C00897C" w:rsidR="006052D1" w:rsidRPr="006052D1" w:rsidRDefault="006052D1" w:rsidP="006052D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52D1">
        <w:rPr>
          <w:rFonts w:ascii="Times New Roman" w:eastAsia="Times New Roman" w:hAnsi="Times New Roman" w:cs="Times New Roman"/>
          <w:b/>
          <w:bCs/>
          <w:kern w:val="0"/>
          <w:sz w:val="24"/>
          <w:szCs w:val="24"/>
          <w14:ligatures w14:val="none"/>
        </w:rPr>
        <w:t>Long Call Profit</w:t>
      </w:r>
    </w:p>
    <w:p w14:paraId="2FC86962" w14:textId="77777777" w:rsidR="00DD794C" w:rsidRP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long call profit side of the graph illustrates the possible benefit that an option holder may get in the event that the stock price saw an increase. On this graph, the x-axis represents the stock price, while the y-axis represents the profit throughout the period of time.</w:t>
      </w:r>
    </w:p>
    <w:p w14:paraId="367FAF57" w14:textId="77777777" w:rsidR="00DD794C" w:rsidRPr="00DD794C" w:rsidRDefault="00DD794C" w:rsidP="00DD794C">
      <w:pPr>
        <w:pStyle w:val="ListParagraph"/>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If the stock price continues to be lower than the strike price, which in this instance is $110, the long call option will expire worthless, and the investor will lose the whole premium that was paid for the option, which was ten dollars. On the left side of the graph, the line that reads -$10 illustrates this point.</w:t>
      </w:r>
    </w:p>
    <w:p w14:paraId="61AAAE3D" w14:textId="2DB4E349" w:rsidR="00DD794C" w:rsidRPr="00DD794C" w:rsidRDefault="00DD794C" w:rsidP="00DD794C">
      <w:pPr>
        <w:pStyle w:val="ListParagraph"/>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long call option will also expire worthless if the stock price is exactly at the strike price ($110), but the investor will still receive their money back since the option will be exercised and they will be able to acquire the shares at the strike price. Both of these scenarios are possible. At the point on the graph that is ($110, $0), this is represented.</w:t>
      </w:r>
    </w:p>
    <w:p w14:paraId="7160E917" w14:textId="56B16D66" w:rsidR="00DD794C" w:rsidRPr="00DD794C" w:rsidRDefault="00DD794C" w:rsidP="006052D1">
      <w:pPr>
        <w:pStyle w:val="ListParagraph"/>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long call option will provide a profit if the stock price climbs over the strike price. This is the condition under which the option is considered valuable. Whenever there is an increase in the stock price, the option will become more profitable. This may be seen shown by the line that slopes upwards on the right side of the graph. When a long call option is purchased, the maximum profit that may be made is equal to the difference between the stock price and the strike price of the option, minus the option premium that is paid.</w:t>
      </w:r>
    </w:p>
    <w:p w14:paraId="6084A783" w14:textId="04DEC60F" w:rsidR="006052D1" w:rsidRDefault="006052D1" w:rsidP="006052D1">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052D1">
        <w:rPr>
          <w:rFonts w:ascii="Times New Roman" w:eastAsia="Times New Roman" w:hAnsi="Times New Roman" w:cs="Times New Roman"/>
          <w:b/>
          <w:bCs/>
          <w:kern w:val="0"/>
          <w:sz w:val="24"/>
          <w:szCs w:val="24"/>
          <w14:ligatures w14:val="none"/>
        </w:rPr>
        <w:t>Short Call Profit</w:t>
      </w:r>
    </w:p>
    <w:p w14:paraId="00092D6C" w14:textId="6FBEBDD7" w:rsidR="00DD794C" w:rsidRP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short call profit side of the graph illustrates the possible gains that might be made by a seller of a short call, also known as a call option. When compared to the calculation of a long call option, the profit and loss might be computed in a different manner.</w:t>
      </w:r>
    </w:p>
    <w:p w14:paraId="7B202F0B" w14:textId="7748F579" w:rsidR="00DD794C" w:rsidRPr="00DD794C" w:rsidRDefault="00DD794C" w:rsidP="00DD794C">
      <w:pPr>
        <w:pStyle w:val="ListParagraph"/>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If the stock price continues to be lower than the strike price, the short call option will expire worthless. The seller will keep the whole premium, which in this example is $10, that the option buyer paid for the option. The line that sits at $10 on the right side of the graph illustrates this point.</w:t>
      </w:r>
    </w:p>
    <w:p w14:paraId="0023AC3A" w14:textId="1CEAD062" w:rsidR="00DD794C" w:rsidRPr="00DD794C" w:rsidRDefault="00DD794C" w:rsidP="00DD794C">
      <w:pPr>
        <w:pStyle w:val="ListParagraph"/>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In the case that the stock price is exactly at the strike price ($110), the seller will be entitled to keep the premium paid for the short call option when it expires. However, in the event that the buyer exercises the option, the seller will also be required to sell the shares at the strike price. At the point on the graph that is ($110, $0), this is represented.</w:t>
      </w:r>
    </w:p>
    <w:p w14:paraId="7392CCE9" w14:textId="77777777" w:rsidR="00DD794C" w:rsidRPr="00DD794C" w:rsidRDefault="00DD794C" w:rsidP="00DD794C">
      <w:pPr>
        <w:pStyle w:val="ListParagraph"/>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If the stock price increases over the strike price, the seller of the short call option will incur a loss of capital. This occurs when the strike price is exceeded. When the stock price goes up, the seller will suffer a greater loss of money. The line that slopes downward and is located on the left side of the graph is a representation of this. The maximum loss that may be incurred from a short call option is equal to the difference between the current stock price and the strike price, less the premium that is acquired by the seller.</w:t>
      </w:r>
    </w:p>
    <w:p w14:paraId="066EA982" w14:textId="77777777" w:rsidR="00DD794C" w:rsidRPr="006052D1"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52C4C0A2" w14:textId="6E0F8FA6" w:rsidR="006052D1" w:rsidRDefault="006052D1" w:rsidP="00FE1658">
      <w:pPr>
        <w:spacing w:before="100" w:beforeAutospacing="1" w:after="100" w:afterAutospacing="1" w:line="240" w:lineRule="auto"/>
        <w:jc w:val="center"/>
      </w:pPr>
      <w:r>
        <w:rPr>
          <w:noProof/>
        </w:rPr>
        <w:drawing>
          <wp:inline distT="0" distB="0" distL="0" distR="0" wp14:anchorId="36D5355E" wp14:editId="2C6D2A9F">
            <wp:extent cx="4572000" cy="2743200"/>
            <wp:effectExtent l="0" t="0" r="0" b="0"/>
            <wp:docPr id="472279632" name="Chart 1">
              <a:extLst xmlns:a="http://schemas.openxmlformats.org/drawingml/2006/main">
                <a:ext uri="{FF2B5EF4-FFF2-40B4-BE49-F238E27FC236}">
                  <a16:creationId xmlns:a16="http://schemas.microsoft.com/office/drawing/2014/main" id="{DAC1E11E-ED85-E630-CCF9-50F4805FF4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9C7A7C" w14:textId="6D362042" w:rsidR="00DD794C" w:rsidRDefault="00BE2C65" w:rsidP="00FE1658">
      <w:pPr>
        <w:pStyle w:val="Caption"/>
        <w:jc w:val="center"/>
      </w:pPr>
      <w:bookmarkStart w:id="28" w:name="_Toc165077171"/>
      <w:bookmarkStart w:id="29" w:name="_Toc165138692"/>
      <w:bookmarkStart w:id="30" w:name="_Toc165338156"/>
      <w:r>
        <w:t xml:space="preserve">Graph </w:t>
      </w:r>
      <w:r>
        <w:fldChar w:fldCharType="begin"/>
      </w:r>
      <w:r>
        <w:instrText xml:space="preserve"> SEQ Graph \* ARABIC </w:instrText>
      </w:r>
      <w:r>
        <w:fldChar w:fldCharType="separate"/>
      </w:r>
      <w:r>
        <w:rPr>
          <w:noProof/>
        </w:rPr>
        <w:t>3</w:t>
      </w:r>
      <w:r>
        <w:fldChar w:fldCharType="end"/>
      </w:r>
      <w:r>
        <w:t>: Call Option Payoffs</w:t>
      </w:r>
      <w:bookmarkEnd w:id="28"/>
      <w:bookmarkEnd w:id="29"/>
      <w:bookmarkEnd w:id="30"/>
    </w:p>
    <w:p w14:paraId="53899001" w14:textId="44FF9C2B" w:rsidR="00BE2C65" w:rsidRPr="00BE2C65" w:rsidRDefault="00BE2C65" w:rsidP="00FE1658">
      <w:pPr>
        <w:jc w:val="center"/>
      </w:pPr>
      <w:r>
        <w:t>Source: Self-generated</w:t>
      </w:r>
    </w:p>
    <w:p w14:paraId="1ED9BB54" w14:textId="77777777" w:rsidR="00DD794C" w:rsidRDefault="00DD794C" w:rsidP="006052D1">
      <w:pPr>
        <w:spacing w:before="100" w:beforeAutospacing="1" w:after="100" w:afterAutospacing="1" w:line="240" w:lineRule="auto"/>
        <w:jc w:val="center"/>
      </w:pPr>
    </w:p>
    <w:p w14:paraId="2E8298D6" w14:textId="0D814680" w:rsidR="006052D1" w:rsidRPr="004656E9" w:rsidRDefault="006052D1" w:rsidP="004656E9">
      <w:pPr>
        <w:pStyle w:val="Heading2"/>
        <w:rPr>
          <w:color w:val="4472C4" w:themeColor="accent1"/>
          <w:sz w:val="28"/>
          <w:szCs w:val="28"/>
        </w:rPr>
      </w:pPr>
      <w:bookmarkStart w:id="31" w:name="_Toc165335147"/>
      <w:r w:rsidRPr="004656E9">
        <w:rPr>
          <w:color w:val="4472C4" w:themeColor="accent1"/>
          <w:sz w:val="28"/>
          <w:szCs w:val="28"/>
        </w:rPr>
        <w:t>Money Put Option</w:t>
      </w:r>
      <w:bookmarkEnd w:id="31"/>
    </w:p>
    <w:p w14:paraId="61AA107F" w14:textId="77777777" w:rsidR="00EE2F3C" w:rsidRPr="00EE2F3C" w:rsidRDefault="00EE2F3C" w:rsidP="00EE2F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2F3C">
        <w:rPr>
          <w:rFonts w:ascii="Times New Roman" w:eastAsia="Times New Roman" w:hAnsi="Times New Roman" w:cs="Times New Roman"/>
          <w:b/>
          <w:bCs/>
          <w:kern w:val="0"/>
          <w:sz w:val="24"/>
          <w:szCs w:val="24"/>
          <w14:ligatures w14:val="none"/>
        </w:rPr>
        <w:t>Long Put Profit</w:t>
      </w:r>
    </w:p>
    <w:p w14:paraId="3AFEED26" w14:textId="7D2EE708" w:rsidR="00DD794C" w:rsidRP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long-put profit side of the graph depicts the potential profit that has the potential to be obtained by an option holder in the event that the stock price drops. On this graph, the x-axis represents the stock price, while the y-axis represents the profit throughout the period of time.</w:t>
      </w:r>
    </w:p>
    <w:p w14:paraId="60DC9E59" w14:textId="27F07FE8" w:rsidR="00DD794C" w:rsidRPr="00DD794C" w:rsidRDefault="00DD794C" w:rsidP="00DD794C">
      <w:pPr>
        <w:pStyle w:val="ListParagraph"/>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In the event that the stock price continues to be higher than the strike price, which in this instance is $100, the long-put option will expire worthless, and the investor will be required to give up the whole premium. On the left side of the graph, the line that reads -$10 illustrates this point.</w:t>
      </w:r>
    </w:p>
    <w:p w14:paraId="761209CA" w14:textId="32668D9D" w:rsidR="00DD794C" w:rsidRPr="00DD794C" w:rsidRDefault="00DD794C" w:rsidP="00DD794C">
      <w:pPr>
        <w:pStyle w:val="ListParagraph"/>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long-put option will also expire worthless if the stock price is exactly at the strike price ($100), but the investor will still receive their money back since the option will be executed and they will be able to sell the shares at the strike price. This is because the option will be executed. The point on the graph that is located at ($100, $0) symbolizes this.</w:t>
      </w:r>
    </w:p>
    <w:p w14:paraId="2FC821CC" w14:textId="2AABCB81" w:rsidR="00DD794C" w:rsidRPr="00DD794C" w:rsidRDefault="00DD794C" w:rsidP="00EE2F3C">
      <w:pPr>
        <w:pStyle w:val="ListParagraph"/>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A long-put option will provide a profit if the stock price falls below the strike price. This is the case if the stock price falls below the strike price. A decrease in the stock price will result in an increase in the option's potential profitability. This may be seen shown by the line that slopes upwards on the right side of the graph. When buying a long-put option, the maximum profit is calculated by subtracting the option premium from the difference between the strike price and the stock price. This formula is used to find the maximum profit.</w:t>
      </w:r>
    </w:p>
    <w:p w14:paraId="7428FD33" w14:textId="65D8231E" w:rsidR="00EE2F3C" w:rsidRPr="00EE2F3C" w:rsidRDefault="00EE2F3C" w:rsidP="00EE2F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2F3C">
        <w:rPr>
          <w:rFonts w:ascii="Times New Roman" w:eastAsia="Times New Roman" w:hAnsi="Times New Roman" w:cs="Times New Roman"/>
          <w:b/>
          <w:bCs/>
          <w:kern w:val="0"/>
          <w:sz w:val="24"/>
          <w:szCs w:val="24"/>
          <w14:ligatures w14:val="none"/>
        </w:rPr>
        <w:lastRenderedPageBreak/>
        <w:t>Short Put Profit</w:t>
      </w:r>
    </w:p>
    <w:p w14:paraId="1CD7611D" w14:textId="0A992531" w:rsidR="00DD794C" w:rsidRP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short put profit side of the graph illustrates the possible profits that might be made by a seller of a put option, also known as a short put. It is important to note that the profit and loss is calculated differently when compared to a long-put option.</w:t>
      </w:r>
    </w:p>
    <w:p w14:paraId="0DB55F1E" w14:textId="6925FABD" w:rsidR="00DD794C" w:rsidRPr="00DD794C" w:rsidRDefault="00DD794C" w:rsidP="00DD794C">
      <w:pPr>
        <w:pStyle w:val="ListParagraph"/>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Above the strike price: If the stock price continues to be higher than the strike price by the time the short put option expires, the seller will keep the entire premium that the option buyer paid, which in this example is ten dollars. The line that sits at $10 on the right side of the graph illustrates this point.</w:t>
      </w:r>
    </w:p>
    <w:p w14:paraId="5A2B6C7A" w14:textId="031B35DB" w:rsidR="00DD794C" w:rsidRPr="00DD794C" w:rsidRDefault="00DD794C" w:rsidP="00DD794C">
      <w:pPr>
        <w:pStyle w:val="ListParagraph"/>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In the event that the stock price is precisely at the striking price of $100, the short put option will expire, and the seller will keep the premium. This occurs when the stock price is exactly at the strike price. On the other hand, if the buyer decides to exercise the option, they will be required to acquire the shares at the price defined by the strike. The point on the graph that is located at ($100, $0) symbolizes this.</w:t>
      </w:r>
    </w:p>
    <w:p w14:paraId="7B1F1B1D" w14:textId="25F9225A" w:rsidR="00DD794C" w:rsidRDefault="00DD794C" w:rsidP="00DD794C">
      <w:pPr>
        <w:pStyle w:val="ListParagraph"/>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seller of the short put option will incur a loss of capital if the stock price falls below the strike price. This occurs when the stock price falls below the strike price. As the stock price continues to fall, the seller will suffer a greater loss of capital. The line that slopes downward and is located on the left side of the graph is a representation of this. The maximum loss with short put options is equal to the difference between the strike price and the stock price, less the premium that the seller gets. This is the greatest loss that may occur with short put options.</w:t>
      </w:r>
    </w:p>
    <w:p w14:paraId="12741A52" w14:textId="47AB3AB3" w:rsidR="00BE2C65" w:rsidRDefault="00BE2C65" w:rsidP="00FE1658">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Pr>
          <w:noProof/>
        </w:rPr>
        <w:drawing>
          <wp:inline distT="0" distB="0" distL="0" distR="0" wp14:anchorId="0EF7AFBC" wp14:editId="2B74298D">
            <wp:extent cx="4572000" cy="2743200"/>
            <wp:effectExtent l="0" t="0" r="0" b="0"/>
            <wp:docPr id="1922258196" name="Chart 1">
              <a:extLst xmlns:a="http://schemas.openxmlformats.org/drawingml/2006/main">
                <a:ext uri="{FF2B5EF4-FFF2-40B4-BE49-F238E27FC236}">
                  <a16:creationId xmlns:a16="http://schemas.microsoft.com/office/drawing/2014/main" id="{A54E73E2-338A-FB6C-E626-C22263DFEE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46F5D08" w14:textId="504B1A51" w:rsidR="00BE2C65" w:rsidRDefault="00BE2C65" w:rsidP="00FE1658">
      <w:pPr>
        <w:pStyle w:val="Caption"/>
        <w:jc w:val="center"/>
      </w:pPr>
      <w:bookmarkStart w:id="32" w:name="_Toc165077172"/>
      <w:bookmarkStart w:id="33" w:name="_Toc165138693"/>
      <w:bookmarkStart w:id="34" w:name="_Toc165338157"/>
      <w:r>
        <w:t xml:space="preserve">Graph </w:t>
      </w:r>
      <w:r>
        <w:fldChar w:fldCharType="begin"/>
      </w:r>
      <w:r>
        <w:instrText xml:space="preserve"> SEQ Graph \* ARABIC </w:instrText>
      </w:r>
      <w:r>
        <w:fldChar w:fldCharType="separate"/>
      </w:r>
      <w:r>
        <w:rPr>
          <w:noProof/>
        </w:rPr>
        <w:t>4</w:t>
      </w:r>
      <w:r>
        <w:fldChar w:fldCharType="end"/>
      </w:r>
      <w:r>
        <w:t>: Put Option Payoffs</w:t>
      </w:r>
      <w:bookmarkEnd w:id="32"/>
      <w:bookmarkEnd w:id="33"/>
      <w:bookmarkEnd w:id="34"/>
    </w:p>
    <w:p w14:paraId="65DA93D4" w14:textId="2F3A0C6E" w:rsidR="00BE2C65" w:rsidRPr="00BE2C65" w:rsidRDefault="00BE2C65" w:rsidP="00FE1658">
      <w:pPr>
        <w:jc w:val="center"/>
      </w:pPr>
      <w:r>
        <w:t>Source: Self-generated</w:t>
      </w:r>
    </w:p>
    <w:p w14:paraId="4BE6E3B6" w14:textId="77777777" w:rsidR="00DD794C" w:rsidRDefault="00DD794C" w:rsidP="006052D1">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8C41516" w14:textId="77777777" w:rsidR="00075D45" w:rsidRDefault="00075D45" w:rsidP="006052D1">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9129C31" w14:textId="10FDFEA8" w:rsidR="006052D1" w:rsidRPr="004656E9" w:rsidRDefault="00EE2F3C" w:rsidP="004656E9">
      <w:pPr>
        <w:pStyle w:val="Heading2"/>
        <w:rPr>
          <w:color w:val="4472C4" w:themeColor="accent1"/>
          <w:sz w:val="28"/>
          <w:szCs w:val="28"/>
        </w:rPr>
      </w:pPr>
      <w:bookmarkStart w:id="35" w:name="_Toc165335148"/>
      <w:r w:rsidRPr="004656E9">
        <w:rPr>
          <w:color w:val="4472C4" w:themeColor="accent1"/>
          <w:sz w:val="28"/>
          <w:szCs w:val="28"/>
        </w:rPr>
        <w:lastRenderedPageBreak/>
        <w:t>Strangle</w:t>
      </w:r>
      <w:bookmarkEnd w:id="35"/>
    </w:p>
    <w:p w14:paraId="6445564E" w14:textId="089FE909" w:rsidR="007E0135" w:rsidRPr="007E0135" w:rsidRDefault="007E0135"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In the world of options trading, the term "strangling" refers to the phenomenon of purchasing a put option and a call option on the same underlying stock at the same expiration date, but with different strike prices</w:t>
      </w:r>
      <w:r w:rsidR="004656E9">
        <w:rPr>
          <w:rFonts w:ascii="Times New Roman" w:eastAsia="Times New Roman" w:hAnsi="Times New Roman" w:cs="Times New Roman"/>
          <w:kern w:val="0"/>
          <w:sz w:val="24"/>
          <w:szCs w:val="24"/>
          <w14:ligatures w14:val="none"/>
        </w:rPr>
        <w:t xml:space="preserve"> </w:t>
      </w:r>
      <w:r w:rsidR="004656E9" w:rsidRPr="004656E9">
        <w:rPr>
          <w:rFonts w:ascii="Times New Roman" w:eastAsia="Times New Roman" w:hAnsi="Times New Roman" w:cs="Times New Roman"/>
          <w:kern w:val="0"/>
          <w:sz w:val="24"/>
          <w:szCs w:val="24"/>
          <w14:ligatures w14:val="none"/>
        </w:rPr>
        <w:t>(Alam, 2022)</w:t>
      </w:r>
      <w:r w:rsidRPr="007E0135">
        <w:rPr>
          <w:rFonts w:ascii="Times New Roman" w:eastAsia="Times New Roman" w:hAnsi="Times New Roman" w:cs="Times New Roman"/>
          <w:kern w:val="0"/>
          <w:sz w:val="24"/>
          <w:szCs w:val="24"/>
          <w14:ligatures w14:val="none"/>
        </w:rPr>
        <w:t>.</w:t>
      </w:r>
    </w:p>
    <w:p w14:paraId="1B2EDC33" w14:textId="2EAC97F4" w:rsidR="00EE2F3C" w:rsidRPr="00EE2F3C" w:rsidRDefault="007E0135"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We might construct a stranglehold for Pinterest in the following manner:</w:t>
      </w:r>
    </w:p>
    <w:p w14:paraId="6FC24679" w14:textId="1B9F0D7B" w:rsidR="00EE2F3C" w:rsidRPr="00EE2F3C" w:rsidRDefault="00EE2F3C" w:rsidP="00EE2F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2F3C">
        <w:rPr>
          <w:rFonts w:ascii="Times New Roman" w:eastAsia="Times New Roman" w:hAnsi="Times New Roman" w:cs="Times New Roman"/>
          <w:b/>
          <w:bCs/>
          <w:kern w:val="0"/>
          <w:sz w:val="24"/>
          <w:szCs w:val="24"/>
          <w14:ligatures w14:val="none"/>
        </w:rPr>
        <w:t>Choosing Strike Prices:</w:t>
      </w:r>
    </w:p>
    <w:p w14:paraId="31C50A65" w14:textId="4F712704" w:rsidR="007E0135" w:rsidRPr="007E0135" w:rsidRDefault="007E0135"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Put Option: The strike price of the put option must be lower than the current price of the PINS stock in order to maintain the put option. In the event that the stock price drops significantly, this will protect us (and maybe even raise our profit margin) from the implications of the situation. Let us assume for the time being that the price of a share of P</w:t>
      </w:r>
      <w:r>
        <w:rPr>
          <w:rFonts w:ascii="Times New Roman" w:eastAsia="Times New Roman" w:hAnsi="Times New Roman" w:cs="Times New Roman"/>
          <w:kern w:val="0"/>
          <w:sz w:val="24"/>
          <w:szCs w:val="24"/>
          <w14:ligatures w14:val="none"/>
        </w:rPr>
        <w:t>interest</w:t>
      </w:r>
      <w:r w:rsidRPr="007E0135">
        <w:rPr>
          <w:rFonts w:ascii="Times New Roman" w:eastAsia="Times New Roman" w:hAnsi="Times New Roman" w:cs="Times New Roman"/>
          <w:kern w:val="0"/>
          <w:sz w:val="24"/>
          <w:szCs w:val="24"/>
          <w14:ligatures w14:val="none"/>
        </w:rPr>
        <w:t xml:space="preserve"> is ten dollars. A put option with a strike price of $8 is one of the options that we have with which to pick. If the stock price falls below $8, then the put option will begin to create a profit. This is the implication of the situation.</w:t>
      </w:r>
    </w:p>
    <w:p w14:paraId="32ECFE8E" w14:textId="22C72C6B" w:rsidR="007E0135" w:rsidRPr="007E0135" w:rsidRDefault="007E0135"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Call Option: The strike price of the call option must be set at a level that is greater than the current price of the P</w:t>
      </w:r>
      <w:r>
        <w:rPr>
          <w:rFonts w:ascii="Times New Roman" w:eastAsia="Times New Roman" w:hAnsi="Times New Roman" w:cs="Times New Roman"/>
          <w:kern w:val="0"/>
          <w:sz w:val="24"/>
          <w:szCs w:val="24"/>
          <w14:ligatures w14:val="none"/>
        </w:rPr>
        <w:t>interest</w:t>
      </w:r>
      <w:r w:rsidRPr="007E0135">
        <w:rPr>
          <w:rFonts w:ascii="Times New Roman" w:eastAsia="Times New Roman" w:hAnsi="Times New Roman" w:cs="Times New Roman"/>
          <w:kern w:val="0"/>
          <w:sz w:val="24"/>
          <w:szCs w:val="24"/>
          <w14:ligatures w14:val="none"/>
        </w:rPr>
        <w:t xml:space="preserve"> shares. If there is a significant increase in the price of the stock, this will protect us from any losses that may occur. Consider for a minute that we have decided to agree on a call option with a strike price of $12. Given this information, it can be deduced that the call option will provide a profit if the stock price rises to more than $12.</w:t>
      </w:r>
    </w:p>
    <w:p w14:paraId="4FC58E2E" w14:textId="03D6E0B2" w:rsidR="00EE2F3C" w:rsidRPr="00EE2F3C" w:rsidRDefault="00EE2F3C" w:rsidP="00EE2F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2F3C">
        <w:rPr>
          <w:rFonts w:ascii="Times New Roman" w:eastAsia="Times New Roman" w:hAnsi="Times New Roman" w:cs="Times New Roman"/>
          <w:b/>
          <w:bCs/>
          <w:kern w:val="0"/>
          <w:sz w:val="24"/>
          <w:szCs w:val="24"/>
          <w14:ligatures w14:val="none"/>
        </w:rPr>
        <w:t>Expiration Date:</w:t>
      </w:r>
    </w:p>
    <w:p w14:paraId="1555A3A6" w14:textId="1DF21130" w:rsidR="007E0135" w:rsidRDefault="007E0135"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In addition to this, a date of expiration must be selected for both the put and call options. The outcome of this will be determined on your prognosis for Pinterest as well as your degree of risk tolerance. The two outcomes that result from shorter expiry dates are a reduction in premiums, which represent the cost of the options, and an increase in the likelihood of incurring a loss of capital in the event that the stock price does not move enough before the expiration date. The longer the expiration date, the more time you will have for the stock price to climb in your favor, even if the initial cost may be higher for longer expiration periods.</w:t>
      </w:r>
    </w:p>
    <w:p w14:paraId="5A49AE12" w14:textId="54C5900F" w:rsidR="00EE2F3C" w:rsidRDefault="00EE2F3C"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EE2F3C">
        <w:rPr>
          <w:rFonts w:ascii="Times New Roman" w:eastAsia="Times New Roman" w:hAnsi="Times New Roman" w:cs="Times New Roman"/>
          <w:b/>
          <w:bCs/>
          <w:kern w:val="0"/>
          <w:sz w:val="24"/>
          <w:szCs w:val="24"/>
          <w14:ligatures w14:val="none"/>
        </w:rPr>
        <w:t>Understanding the Payoff:</w:t>
      </w:r>
    </w:p>
    <w:p w14:paraId="57FEE553" w14:textId="17542A8D" w:rsidR="007E0135" w:rsidRPr="007E0135" w:rsidRDefault="007E0135" w:rsidP="007E0135">
      <w:pPr>
        <w:pStyle w:val="ListParagraph"/>
        <w:numPr>
          <w:ilvl w:val="0"/>
          <w:numId w:val="3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If the price of Pinterest's stock climbs much over $12, which is the strike price of the call option, the call option will become more profitable and will compensate for any loss that may have been incurred by the put option.</w:t>
      </w:r>
    </w:p>
    <w:p w14:paraId="68B079B7" w14:textId="6A92A86C" w:rsidR="007E0135" w:rsidRPr="007E0135" w:rsidRDefault="007E0135" w:rsidP="007E0135">
      <w:pPr>
        <w:pStyle w:val="ListParagraph"/>
        <w:numPr>
          <w:ilvl w:val="0"/>
          <w:numId w:val="3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If the price of Pinterest's stock drops much below $8, which is the strike price of the put option, the put option will become more profitable and will compensate for any loss that may have been incurred regarding the call option.</w:t>
      </w:r>
    </w:p>
    <w:p w14:paraId="7087161E" w14:textId="2F96174C" w:rsidR="005869D8" w:rsidRDefault="007E0135" w:rsidP="006052D1">
      <w:pPr>
        <w:pStyle w:val="ListParagraph"/>
        <w:numPr>
          <w:ilvl w:val="0"/>
          <w:numId w:val="3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In the event that the stock price stays relatively stable between $8 and $12, the put and call options will both expire worthless, and you will lose the premiums that you paid for each option. This is the case if the stock price remains relatively unchanged.</w:t>
      </w:r>
    </w:p>
    <w:p w14:paraId="31BB8C65" w14:textId="77777777" w:rsidR="004656E9" w:rsidRDefault="004656E9" w:rsidP="004656E9">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0FCFA7EC" w14:textId="006DF7DB" w:rsidR="004656E9" w:rsidRPr="004656E9" w:rsidRDefault="004656E9" w:rsidP="004656E9">
      <w:pPr>
        <w:pStyle w:val="Heading1"/>
        <w:rPr>
          <w:rFonts w:eastAsia="Times New Roman"/>
          <w:b/>
          <w:bCs/>
        </w:rPr>
      </w:pPr>
      <w:bookmarkStart w:id="36" w:name="_Toc165335149"/>
      <w:r w:rsidRPr="004656E9">
        <w:rPr>
          <w:rFonts w:eastAsia="Times New Roman"/>
          <w:b/>
          <w:bCs/>
        </w:rPr>
        <w:lastRenderedPageBreak/>
        <w:t>Part 4</w:t>
      </w:r>
      <w:bookmarkEnd w:id="36"/>
    </w:p>
    <w:p w14:paraId="5F7454F7" w14:textId="55762D7A" w:rsidR="004656E9" w:rsidRPr="004656E9" w:rsidRDefault="004656E9" w:rsidP="004656E9">
      <w:pPr>
        <w:pStyle w:val="Heading2"/>
        <w:rPr>
          <w:color w:val="4472C4" w:themeColor="accent1"/>
          <w:sz w:val="28"/>
          <w:szCs w:val="28"/>
        </w:rPr>
      </w:pPr>
      <w:bookmarkStart w:id="37" w:name="_Toc165335150"/>
      <w:r w:rsidRPr="004656E9">
        <w:rPr>
          <w:color w:val="4472C4" w:themeColor="accent1"/>
          <w:sz w:val="28"/>
          <w:szCs w:val="28"/>
        </w:rPr>
        <w:t>10Y Note</w:t>
      </w:r>
      <w:bookmarkEnd w:id="37"/>
    </w:p>
    <w:p w14:paraId="5B045609" w14:textId="6550D939" w:rsidR="00C01C1A" w:rsidRPr="00C01C1A" w:rsidRDefault="00C01C1A" w:rsidP="00C01C1A">
      <w:pPr>
        <w:pStyle w:val="NormalWeb"/>
        <w:rPr>
          <w:b/>
          <w:bCs/>
        </w:rPr>
      </w:pPr>
      <w:r w:rsidRPr="00C01C1A">
        <w:rPr>
          <w:b/>
          <w:bCs/>
        </w:rPr>
        <w:t>Performance of 10Y note:</w:t>
      </w:r>
    </w:p>
    <w:p w14:paraId="5E91B4DD" w14:textId="2E18E2CB" w:rsidR="00C01C1A" w:rsidRPr="00C01C1A" w:rsidRDefault="00C01C1A" w:rsidP="00C01C1A">
      <w:pPr>
        <w:jc w:val="both"/>
        <w:rPr>
          <w:rFonts w:ascii="Times New Roman" w:hAnsi="Times New Roman" w:cs="Times New Roman"/>
          <w:sz w:val="24"/>
          <w:szCs w:val="24"/>
        </w:rPr>
      </w:pPr>
      <w:r w:rsidRPr="00C01C1A">
        <w:rPr>
          <w:rFonts w:ascii="Times New Roman" w:hAnsi="Times New Roman" w:cs="Times New Roman"/>
          <w:sz w:val="24"/>
          <w:szCs w:val="24"/>
        </w:rPr>
        <w:t>Ten-year Treasury notes, often known as 10Y notes, are considered to be a benchmark for the United States government bond market since they show investor confidence in the economy and future interest rates. When analyzing its performance from January 2013 to December 2023, it is necessary to take into consideration the economic climate as a whole.</w:t>
      </w:r>
    </w:p>
    <w:p w14:paraId="607ADA7C" w14:textId="5F896931" w:rsidR="00C01C1A" w:rsidRPr="00C01C1A" w:rsidRDefault="00C01C1A" w:rsidP="00C01C1A">
      <w:pPr>
        <w:pStyle w:val="NormalWeb"/>
        <w:numPr>
          <w:ilvl w:val="0"/>
          <w:numId w:val="41"/>
        </w:numPr>
        <w:jc w:val="both"/>
      </w:pPr>
      <w:r w:rsidRPr="00C01C1A">
        <w:rPr>
          <w:rStyle w:val="Strong"/>
        </w:rPr>
        <w:t>Early Recovery (2013-2016):</w:t>
      </w:r>
      <w:r w:rsidRPr="00C01C1A">
        <w:t xml:space="preserve"> Immediately after the financial crisis that occurred in 2008, the Federal Reserve (Fed) initiated quantitative easing (QE) operations. These operations consisted of decreasing interest rates and supporting the economy by purchasing vast amounts of government assets. Since the beginning of this period, the yield on the 10-year note has been decreasing. According to the Federal Reserve Bank of St. Louis (Federal Reserve Bank, 2024), the yield reached its highest point in July 2016, when it was 1.38 percent. Prior to that, it had been trading at around 1.74 percent in January 2013.</w:t>
      </w:r>
    </w:p>
    <w:p w14:paraId="641CB3C4" w14:textId="5ACB15F8" w:rsidR="00C01C1A" w:rsidRPr="00C01C1A" w:rsidRDefault="00C01C1A" w:rsidP="00C01C1A">
      <w:pPr>
        <w:pStyle w:val="NormalWeb"/>
        <w:numPr>
          <w:ilvl w:val="0"/>
          <w:numId w:val="41"/>
        </w:numPr>
        <w:jc w:val="both"/>
      </w:pPr>
      <w:r w:rsidRPr="00C01C1A">
        <w:rPr>
          <w:rStyle w:val="Strong"/>
        </w:rPr>
        <w:t>Gradual Normalization (2017-2019):</w:t>
      </w:r>
      <w:r w:rsidRPr="00C01C1A">
        <w:t xml:space="preserve"> As the economy began to show signs of improvement, the Federal Reserve moved to raise interest rates and reduce its quantitative easing program. The effect was that the yield on the 10-year note progressively grew over time. By the end of the year 2019, the yield had reached 1.90 percent (Federal Reserve Bank, 2024).</w:t>
      </w:r>
    </w:p>
    <w:p w14:paraId="3C29558C" w14:textId="22B4737B" w:rsidR="00C01C1A" w:rsidRPr="00C01C1A" w:rsidRDefault="00C01C1A" w:rsidP="00C01C1A">
      <w:pPr>
        <w:pStyle w:val="NormalWeb"/>
        <w:numPr>
          <w:ilvl w:val="0"/>
          <w:numId w:val="41"/>
        </w:numPr>
        <w:jc w:val="both"/>
      </w:pPr>
      <w:r w:rsidRPr="00C01C1A">
        <w:rPr>
          <w:rStyle w:val="Strong"/>
        </w:rPr>
        <w:t>Pandemic and Policy Response (2020-2023):</w:t>
      </w:r>
      <w:r w:rsidRPr="00C01C1A">
        <w:t xml:space="preserve"> As a result of the COVID-19 outbreak, the economy saw a significant fall in the year 2020. In response, the Federal Reserve reduced interest rates and resumed quantitative easing (QE). The yield on the 10-year note began to gradually climb after dropping to all-time lows (about 0.50% in March 2020). This occurred as the economy began to recover and concerns about inflation began to grow. It is possible that the yield by December 2023 may vary anywhere from 2.5 percent to 4 percent, depending on the month and the status of the economy.</w:t>
      </w:r>
    </w:p>
    <w:p w14:paraId="0EB1B3EB" w14:textId="2164C6A8" w:rsidR="00C01C1A" w:rsidRPr="00C01C1A" w:rsidRDefault="00C01C1A" w:rsidP="00C01C1A">
      <w:pPr>
        <w:jc w:val="both"/>
        <w:rPr>
          <w:rFonts w:ascii="Times New Roman" w:hAnsi="Times New Roman" w:cs="Times New Roman"/>
          <w:sz w:val="24"/>
          <w:szCs w:val="24"/>
        </w:rPr>
      </w:pPr>
      <w:r w:rsidRPr="00C01C1A">
        <w:rPr>
          <w:rFonts w:ascii="Times New Roman" w:hAnsi="Times New Roman" w:cs="Times New Roman"/>
          <w:sz w:val="24"/>
          <w:szCs w:val="24"/>
        </w:rPr>
        <w:t>In summary, the yield on the 10-year note had a significant fall after the crisis, a moderate rise during the normalization period, and a volatile phase as a result of the pandemic and the subsequent policy actions.</w:t>
      </w:r>
    </w:p>
    <w:p w14:paraId="4EC73320" w14:textId="77777777" w:rsidR="00C01C1A" w:rsidRDefault="00C01C1A" w:rsidP="00D74E98">
      <w:pPr>
        <w:pStyle w:val="NormalWeb"/>
        <w:jc w:val="both"/>
        <w:rPr>
          <w:b/>
          <w:bCs/>
        </w:rPr>
      </w:pPr>
    </w:p>
    <w:p w14:paraId="38186909" w14:textId="049477DE" w:rsidR="00D74E98" w:rsidRPr="00D74E98" w:rsidRDefault="00D74E98" w:rsidP="00D74E98">
      <w:pPr>
        <w:pStyle w:val="NormalWeb"/>
        <w:jc w:val="both"/>
        <w:rPr>
          <w:b/>
          <w:bCs/>
        </w:rPr>
      </w:pPr>
      <w:r w:rsidRPr="00D74E98">
        <w:rPr>
          <w:b/>
          <w:bCs/>
        </w:rPr>
        <w:t>Impact of changes in the yield of this note upon consumer debt:</w:t>
      </w:r>
    </w:p>
    <w:p w14:paraId="3A42B23D" w14:textId="31E14FCC" w:rsidR="00D74E98" w:rsidRPr="00D74E98" w:rsidRDefault="00D74E98" w:rsidP="00D74E98">
      <w:pPr>
        <w:jc w:val="both"/>
        <w:rPr>
          <w:rFonts w:ascii="Times New Roman" w:hAnsi="Times New Roman" w:cs="Times New Roman"/>
          <w:sz w:val="24"/>
          <w:szCs w:val="24"/>
        </w:rPr>
      </w:pPr>
      <w:r w:rsidRPr="00D74E98">
        <w:rPr>
          <w:rFonts w:ascii="Times New Roman" w:hAnsi="Times New Roman" w:cs="Times New Roman"/>
          <w:sz w:val="24"/>
          <w:szCs w:val="24"/>
        </w:rPr>
        <w:t>There are a number of ways in which the yield on the 10-year note influences consumer debt.</w:t>
      </w:r>
    </w:p>
    <w:p w14:paraId="4CFF3DC4" w14:textId="52E81B0C" w:rsidR="00D74E98" w:rsidRPr="00D74E98" w:rsidRDefault="00D74E98" w:rsidP="00D74E98">
      <w:pPr>
        <w:pStyle w:val="ListParagraph"/>
        <w:numPr>
          <w:ilvl w:val="0"/>
          <w:numId w:val="39"/>
        </w:numPr>
        <w:jc w:val="both"/>
        <w:rPr>
          <w:rFonts w:ascii="Times New Roman" w:hAnsi="Times New Roman" w:cs="Times New Roman"/>
          <w:sz w:val="24"/>
          <w:szCs w:val="24"/>
        </w:rPr>
      </w:pPr>
      <w:r w:rsidRPr="00D74E98">
        <w:rPr>
          <w:rFonts w:ascii="Times New Roman" w:hAnsi="Times New Roman" w:cs="Times New Roman"/>
          <w:sz w:val="24"/>
          <w:szCs w:val="24"/>
        </w:rPr>
        <w:t>Rates of Interest on Loans: The yield on the 10-year note is often used as the foundation for the interest rates that are established by banks and other lenders. There is a correlation between yield rises and an increase in the cost of consumer borrowing, which results in an increase in the cost of variable-rate loans, such as adjustable-rate mortgages</w:t>
      </w:r>
      <w:r>
        <w:rPr>
          <w:rFonts w:ascii="Times New Roman" w:hAnsi="Times New Roman" w:cs="Times New Roman"/>
          <w:sz w:val="24"/>
          <w:szCs w:val="24"/>
        </w:rPr>
        <w:t>.</w:t>
      </w:r>
    </w:p>
    <w:p w14:paraId="4A0B77D3" w14:textId="10AC7DBA" w:rsidR="00BE2C65" w:rsidRDefault="00D74E98" w:rsidP="00F6708F">
      <w:pPr>
        <w:pStyle w:val="ListParagraph"/>
        <w:numPr>
          <w:ilvl w:val="0"/>
          <w:numId w:val="39"/>
        </w:numPr>
        <w:jc w:val="both"/>
        <w:rPr>
          <w:rFonts w:ascii="Times New Roman" w:hAnsi="Times New Roman" w:cs="Times New Roman"/>
          <w:sz w:val="24"/>
          <w:szCs w:val="24"/>
        </w:rPr>
      </w:pPr>
      <w:r w:rsidRPr="00D74E98">
        <w:rPr>
          <w:rFonts w:ascii="Times New Roman" w:hAnsi="Times New Roman" w:cs="Times New Roman"/>
          <w:sz w:val="24"/>
          <w:szCs w:val="24"/>
        </w:rPr>
        <w:lastRenderedPageBreak/>
        <w:t xml:space="preserve">Consumer Sentiment: The confidence of customers may be impacted by fluctuations in bond rates, which might have an effect on the sentiment of consumers. A rising yield may be seen as a sign of economic optimism, which would encourage individuals to borrow money for the purpose of making purchases or investments. On the other side, a falling yield may be an indication of economic problems, which would force consumers to delay taking on further debt (The Conference Board, 2024). An example of this would be if the yield started to decline. </w:t>
      </w:r>
    </w:p>
    <w:p w14:paraId="66A5F154" w14:textId="77777777" w:rsidR="005B769B" w:rsidRPr="00F6708F" w:rsidRDefault="005B769B" w:rsidP="005B769B">
      <w:pPr>
        <w:pStyle w:val="ListParagraph"/>
        <w:ind w:left="360"/>
        <w:jc w:val="both"/>
        <w:rPr>
          <w:rFonts w:ascii="Times New Roman" w:hAnsi="Times New Roman" w:cs="Times New Roman"/>
          <w:sz w:val="24"/>
          <w:szCs w:val="24"/>
        </w:rPr>
      </w:pPr>
    </w:p>
    <w:p w14:paraId="76408276" w14:textId="6EBC8C82" w:rsidR="00BE2C65" w:rsidRPr="00BE2C65" w:rsidRDefault="00BE2C65" w:rsidP="00BE2C65">
      <w:pPr>
        <w:pStyle w:val="Heading1"/>
        <w:rPr>
          <w:b/>
          <w:bCs/>
        </w:rPr>
      </w:pPr>
      <w:bookmarkStart w:id="38" w:name="_Toc165335151"/>
      <w:r w:rsidRPr="00BE2C65">
        <w:rPr>
          <w:b/>
          <w:bCs/>
        </w:rPr>
        <w:t>Conclusions:</w:t>
      </w:r>
      <w:bookmarkEnd w:id="38"/>
    </w:p>
    <w:p w14:paraId="5F1F44E6" w14:textId="00FB8E67" w:rsidR="00BE2C65" w:rsidRDefault="00BE2C65" w:rsidP="007E0135">
      <w:pPr>
        <w:spacing w:before="100" w:beforeAutospacing="1" w:after="100" w:afterAutospacing="1" w:line="240" w:lineRule="auto"/>
        <w:jc w:val="both"/>
        <w:rPr>
          <w:rFonts w:ascii="Times New Roman" w:hAnsi="Times New Roman" w:cs="Times New Roman"/>
          <w:sz w:val="24"/>
          <w:szCs w:val="24"/>
        </w:rPr>
      </w:pPr>
      <w:r w:rsidRPr="00BE2C65">
        <w:rPr>
          <w:rFonts w:ascii="Times New Roman" w:hAnsi="Times New Roman" w:cs="Times New Roman"/>
          <w:sz w:val="24"/>
          <w:szCs w:val="24"/>
        </w:rPr>
        <w:t>Pinterest is a social networking platform that offers a unique blend of search and social networking elements. It caters to a specialized user base consisting of individuals who are seeking for ideas and planning projects. Despite the fact that the initial public offering (IPO) of the firm is intended to give investor liquidity, improve brand recognition, and obtain access to growth finance, the company's primary worries are competition, dependency on advertising revenue, and the possibility of limits on the collection of user data. Pinterest's compound annual growth rate (CAGR) was positive during the last five years, despite the fact that it lagged the Nasdaq Composite Index during that time period. Treynor and Sharpe ratios that were greater than average suggested that the investment had better risk-adjusted returns. On the basis of an investor's forecast on the movement of Pinterest's stock price, an analysis of various options strategies, including strangles, long calls, short calls, may be carried out. Last but not least, fluctuations in the yield on the 10-year Treasury note may have an impact on the value of Pinterest as well as the amount of debt that customers hold. While a rise in interest rates may be an indication of investor confidence, it may also lead to an increase in the cost of borrowing money. On the other hand, a decrease in rates may be an indication of unstable economic circumstances. When everything is taken into consideration, it is vital to do a thorough investigation of these factors in order to make intelligent decisions on Pinterest investments.</w:t>
      </w:r>
    </w:p>
    <w:p w14:paraId="10C91AFF" w14:textId="77777777" w:rsidR="00BE2C65" w:rsidRDefault="00BE2C65" w:rsidP="007E0135">
      <w:pPr>
        <w:spacing w:before="100" w:beforeAutospacing="1" w:after="100" w:afterAutospacing="1" w:line="240" w:lineRule="auto"/>
        <w:jc w:val="both"/>
        <w:rPr>
          <w:rFonts w:ascii="Times New Roman" w:hAnsi="Times New Roman" w:cs="Times New Roman"/>
          <w:sz w:val="24"/>
          <w:szCs w:val="24"/>
        </w:rPr>
      </w:pPr>
    </w:p>
    <w:p w14:paraId="04D03015" w14:textId="77777777" w:rsidR="00F6708F" w:rsidRDefault="00F6708F" w:rsidP="007E0135">
      <w:pPr>
        <w:spacing w:before="100" w:beforeAutospacing="1" w:after="100" w:afterAutospacing="1" w:line="240" w:lineRule="auto"/>
        <w:jc w:val="both"/>
        <w:rPr>
          <w:rFonts w:ascii="Times New Roman" w:hAnsi="Times New Roman" w:cs="Times New Roman"/>
          <w:sz w:val="24"/>
          <w:szCs w:val="24"/>
        </w:rPr>
      </w:pPr>
    </w:p>
    <w:p w14:paraId="46F79C0D" w14:textId="77777777" w:rsidR="00BE2C65" w:rsidRDefault="00BE2C65" w:rsidP="007E0135">
      <w:pPr>
        <w:spacing w:before="100" w:beforeAutospacing="1" w:after="100" w:afterAutospacing="1" w:line="240" w:lineRule="auto"/>
        <w:jc w:val="both"/>
        <w:rPr>
          <w:rFonts w:ascii="Times New Roman" w:hAnsi="Times New Roman" w:cs="Times New Roman"/>
          <w:sz w:val="24"/>
          <w:szCs w:val="24"/>
        </w:rPr>
      </w:pPr>
    </w:p>
    <w:p w14:paraId="69C8B2E0" w14:textId="77777777" w:rsidR="004475FB" w:rsidRDefault="004475FB" w:rsidP="007E0135">
      <w:pPr>
        <w:spacing w:before="100" w:beforeAutospacing="1" w:after="100" w:afterAutospacing="1" w:line="240" w:lineRule="auto"/>
        <w:jc w:val="both"/>
        <w:rPr>
          <w:rFonts w:ascii="Times New Roman" w:hAnsi="Times New Roman" w:cs="Times New Roman"/>
          <w:sz w:val="24"/>
          <w:szCs w:val="24"/>
        </w:rPr>
      </w:pPr>
    </w:p>
    <w:p w14:paraId="633B011E" w14:textId="77777777" w:rsidR="004475FB" w:rsidRDefault="004475FB" w:rsidP="007E0135">
      <w:pPr>
        <w:spacing w:before="100" w:beforeAutospacing="1" w:after="100" w:afterAutospacing="1" w:line="240" w:lineRule="auto"/>
        <w:jc w:val="both"/>
        <w:rPr>
          <w:rFonts w:ascii="Times New Roman" w:hAnsi="Times New Roman" w:cs="Times New Roman"/>
          <w:sz w:val="24"/>
          <w:szCs w:val="24"/>
        </w:rPr>
      </w:pPr>
    </w:p>
    <w:p w14:paraId="16C35F07" w14:textId="77777777" w:rsidR="00075D45" w:rsidRDefault="00075D45" w:rsidP="007E0135">
      <w:pPr>
        <w:spacing w:before="100" w:beforeAutospacing="1" w:after="100" w:afterAutospacing="1" w:line="240" w:lineRule="auto"/>
        <w:jc w:val="both"/>
        <w:rPr>
          <w:rFonts w:ascii="Times New Roman" w:hAnsi="Times New Roman" w:cs="Times New Roman"/>
          <w:sz w:val="24"/>
          <w:szCs w:val="24"/>
        </w:rPr>
      </w:pPr>
    </w:p>
    <w:p w14:paraId="768606C3" w14:textId="77777777" w:rsidR="004475FB" w:rsidRDefault="004475FB" w:rsidP="007E0135">
      <w:pPr>
        <w:spacing w:before="100" w:beforeAutospacing="1" w:after="100" w:afterAutospacing="1" w:line="240" w:lineRule="auto"/>
        <w:jc w:val="both"/>
        <w:rPr>
          <w:rFonts w:ascii="Times New Roman" w:hAnsi="Times New Roman" w:cs="Times New Roman"/>
          <w:sz w:val="24"/>
          <w:szCs w:val="24"/>
        </w:rPr>
      </w:pPr>
    </w:p>
    <w:p w14:paraId="0DC46DF4" w14:textId="6CC54FCE" w:rsidR="00BE2C65" w:rsidRPr="00BE2C65" w:rsidRDefault="00BE2C65" w:rsidP="00BE2C65">
      <w:pPr>
        <w:pStyle w:val="Heading1"/>
        <w:spacing w:line="360" w:lineRule="auto"/>
        <w:rPr>
          <w:b/>
          <w:bCs/>
        </w:rPr>
      </w:pPr>
      <w:bookmarkStart w:id="39" w:name="_Toc165335152"/>
      <w:r w:rsidRPr="00BE2C65">
        <w:rPr>
          <w:b/>
          <w:bCs/>
        </w:rPr>
        <w:lastRenderedPageBreak/>
        <w:t>References:</w:t>
      </w:r>
      <w:bookmarkEnd w:id="39"/>
    </w:p>
    <w:p w14:paraId="1408C2C4" w14:textId="77777777" w:rsidR="004475FB" w:rsidRDefault="004475FB" w:rsidP="004475FB">
      <w:pPr>
        <w:pStyle w:val="NormalWeb"/>
        <w:spacing w:before="0" w:beforeAutospacing="0" w:after="240" w:afterAutospacing="0" w:line="360" w:lineRule="auto"/>
      </w:pPr>
      <w:r>
        <w:t xml:space="preserve">Alam, S.M.I. (2022). </w:t>
      </w:r>
      <w:r>
        <w:rPr>
          <w:i/>
          <w:iCs/>
        </w:rPr>
        <w:t>The 4S of Options Trading Strategies: Straddle, Strangle, Strap, Strip</w:t>
      </w:r>
      <w:r>
        <w:t>. [online] Available at: https://www.researchgate.net/publication/358485506_The_4S_of_Options_Trading_Strategies_Straddle_Strangle_Strap_Strip.</w:t>
      </w:r>
    </w:p>
    <w:p w14:paraId="2F2490E0" w14:textId="77777777" w:rsidR="004475FB" w:rsidRDefault="004475FB" w:rsidP="004475FB">
      <w:pPr>
        <w:pStyle w:val="NormalWeb"/>
        <w:spacing w:before="0" w:beforeAutospacing="0" w:after="240" w:afterAutospacing="0" w:line="360" w:lineRule="auto"/>
      </w:pPr>
      <w:r>
        <w:t xml:space="preserve">Babar, M. and Habib, A. (2020). </w:t>
      </w:r>
      <w:r>
        <w:rPr>
          <w:i/>
          <w:iCs/>
        </w:rPr>
        <w:t>Product market competition in accounting, finance, and corporate governance: A review of the literature</w:t>
      </w:r>
      <w:r>
        <w:t>. [online] Available at: https://www.researchgate.net/publication/343986868_Product_market_competition_in_accounting_finance_and_corporate_governance_A_review_of_the_literature.</w:t>
      </w:r>
    </w:p>
    <w:p w14:paraId="509CA15E" w14:textId="77777777" w:rsidR="004475FB" w:rsidRDefault="004475FB" w:rsidP="004475FB">
      <w:pPr>
        <w:pStyle w:val="NormalWeb"/>
        <w:spacing w:before="0" w:beforeAutospacing="0" w:after="240" w:afterAutospacing="0" w:line="360" w:lineRule="auto"/>
      </w:pPr>
      <w:r w:rsidRPr="00075D45">
        <w:rPr>
          <w:lang w:val="nl-NL"/>
        </w:rPr>
        <w:t xml:space="preserve">Dyk, F. van, </w:t>
      </w:r>
      <w:proofErr w:type="spellStart"/>
      <w:r w:rsidRPr="00075D45">
        <w:rPr>
          <w:lang w:val="nl-NL"/>
        </w:rPr>
        <w:t>Vuuren</w:t>
      </w:r>
      <w:proofErr w:type="spellEnd"/>
      <w:r w:rsidRPr="00075D45">
        <w:rPr>
          <w:lang w:val="nl-NL"/>
        </w:rPr>
        <w:t xml:space="preserve">, G. van </w:t>
      </w:r>
      <w:proofErr w:type="spellStart"/>
      <w:r w:rsidRPr="00075D45">
        <w:rPr>
          <w:lang w:val="nl-NL"/>
        </w:rPr>
        <w:t>and</w:t>
      </w:r>
      <w:proofErr w:type="spellEnd"/>
      <w:r w:rsidRPr="00075D45">
        <w:rPr>
          <w:lang w:val="nl-NL"/>
        </w:rPr>
        <w:t xml:space="preserve"> Heymans, A. (2014). </w:t>
      </w:r>
      <w:r>
        <w:rPr>
          <w:i/>
          <w:iCs/>
        </w:rPr>
        <w:t>Hedge Fund Performance Using Scaled Sharpe And Treynor Measures</w:t>
      </w:r>
      <w:r>
        <w:t>. [online] Available at: https://www.researchgate.net/publication/280737958_Hedge_Fund_Performance_Using_Scaled_Sha.</w:t>
      </w:r>
    </w:p>
    <w:p w14:paraId="23E7765B" w14:textId="77777777" w:rsidR="004475FB" w:rsidRDefault="004475FB" w:rsidP="004475FB">
      <w:pPr>
        <w:pStyle w:val="NormalWeb"/>
        <w:spacing w:before="0" w:beforeAutospacing="0" w:after="240" w:afterAutospacing="0" w:line="360" w:lineRule="auto"/>
      </w:pPr>
      <w:r>
        <w:t xml:space="preserve">Federal Reserve Bank (2024). </w:t>
      </w:r>
      <w:r>
        <w:rPr>
          <w:i/>
          <w:iCs/>
        </w:rPr>
        <w:t>10-Year Treasury Constant Maturity Rate</w:t>
      </w:r>
      <w:r>
        <w:t>. [online] FRED, Federal Reserve Bank of St. Louis. Available at: https://fred.stlouisfed.org/series/DGS10.</w:t>
      </w:r>
    </w:p>
    <w:p w14:paraId="01B4476C" w14:textId="77777777" w:rsidR="004475FB" w:rsidRDefault="004475FB" w:rsidP="004475FB">
      <w:pPr>
        <w:pStyle w:val="NormalWeb"/>
        <w:spacing w:before="0" w:beforeAutospacing="0" w:after="240" w:afterAutospacing="0" w:line="360" w:lineRule="auto"/>
      </w:pPr>
      <w:r>
        <w:t xml:space="preserve">Islam, Md.A., Ali, R. and Ahmad, Z. (2010). </w:t>
      </w:r>
      <w:r>
        <w:rPr>
          <w:i/>
          <w:iCs/>
        </w:rPr>
        <w:t>An Empirical Investigation of the Underpricing of Initial Public Offerings in the Chittagong Stock Exchange</w:t>
      </w:r>
      <w:r>
        <w:t>. [online] Available at: https://citeseerx.ist.psu.edu/document?repid=rep1&amp;type=pdf&amp;doi=5ed00bffc14b3b09b2b91728d1c00a4cd9eac394.</w:t>
      </w:r>
    </w:p>
    <w:p w14:paraId="7C249CD9" w14:textId="77777777" w:rsidR="004475FB" w:rsidRDefault="004475FB" w:rsidP="004475FB">
      <w:pPr>
        <w:pStyle w:val="NormalWeb"/>
        <w:spacing w:before="0" w:beforeAutospacing="0" w:after="240" w:afterAutospacing="0" w:line="360" w:lineRule="auto"/>
      </w:pPr>
      <w:r>
        <w:t xml:space="preserve">Pereira, D. (2023). </w:t>
      </w:r>
      <w:r>
        <w:rPr>
          <w:i/>
          <w:iCs/>
        </w:rPr>
        <w:t>Pinterest Business Model</w:t>
      </w:r>
      <w:r>
        <w:t>. [online] The Business Model Analyst. Available at: https://businessmodelanalyst.com/pinterest-business-model/.</w:t>
      </w:r>
    </w:p>
    <w:p w14:paraId="23A22DE4" w14:textId="77777777" w:rsidR="004475FB" w:rsidRDefault="004475FB" w:rsidP="004475FB">
      <w:pPr>
        <w:pStyle w:val="NormalWeb"/>
        <w:spacing w:before="0" w:beforeAutospacing="0" w:after="240" w:afterAutospacing="0" w:line="360" w:lineRule="auto"/>
      </w:pPr>
      <w:r>
        <w:t xml:space="preserve">Scholz, H. and Wilkens, M. (2004). </w:t>
      </w:r>
      <w:r>
        <w:rPr>
          <w:i/>
          <w:iCs/>
        </w:rPr>
        <w:t>Investor-Specific Performance Measurement: A Justification of Sharpe Ratio and Treynor Ratio</w:t>
      </w:r>
      <w:r>
        <w:t>. [online] Available at: https://www.researchgate.net/publication/228302671_Investor-Specific_Performance_Measurement_A_Justification_of_Sharpe_Ratio_and_Treynor_Ratio.</w:t>
      </w:r>
    </w:p>
    <w:p w14:paraId="1FC75461" w14:textId="77777777" w:rsidR="004475FB" w:rsidRDefault="004475FB" w:rsidP="004475FB">
      <w:pPr>
        <w:pStyle w:val="NormalWeb"/>
        <w:spacing w:before="0" w:beforeAutospacing="0" w:after="240" w:afterAutospacing="0" w:line="360" w:lineRule="auto"/>
      </w:pPr>
      <w:r>
        <w:t xml:space="preserve">SECURITIES AND EXCHANGE COMMISSION (2019). </w:t>
      </w:r>
      <w:r>
        <w:rPr>
          <w:i/>
          <w:iCs/>
        </w:rPr>
        <w:t>Form S-1 REGISTRATION STATEMENT UNDER THE SECURITIES ACT OF 1933 - Pinterest, Inc.</w:t>
      </w:r>
      <w:r>
        <w:t xml:space="preserve"> [online] Sec.gov. </w:t>
      </w:r>
      <w:r>
        <w:lastRenderedPageBreak/>
        <w:t>Available at: https://www.sec.gov/Archives/edgar/data/1506293/000119312519083544/d674330ds1.htm.</w:t>
      </w:r>
    </w:p>
    <w:p w14:paraId="3CFCCAD4" w14:textId="77777777" w:rsidR="004475FB" w:rsidRDefault="004475FB" w:rsidP="004475FB">
      <w:pPr>
        <w:pStyle w:val="NormalWeb"/>
        <w:spacing w:before="0" w:beforeAutospacing="0" w:after="240" w:afterAutospacing="0" w:line="360" w:lineRule="auto"/>
      </w:pPr>
      <w:r>
        <w:t xml:space="preserve">Yahoo Finance (n.d.). </w:t>
      </w:r>
      <w:r>
        <w:rPr>
          <w:i/>
          <w:iCs/>
        </w:rPr>
        <w:t>Pinterest, Inc. (PINS) Stock Price, News, Quote &amp; History - Yahoo Finance</w:t>
      </w:r>
      <w:r>
        <w:t>. [online] finance.yahoo.com. Available at: https://finance.yahoo.com/quote/PINS/history.</w:t>
      </w:r>
    </w:p>
    <w:p w14:paraId="7EA44ED4" w14:textId="77777777" w:rsidR="00BE2C65" w:rsidRPr="007E0135" w:rsidRDefault="00BE2C65" w:rsidP="007E0135">
      <w:pPr>
        <w:spacing w:before="100" w:beforeAutospacing="1" w:after="100" w:afterAutospacing="1" w:line="240" w:lineRule="auto"/>
        <w:jc w:val="both"/>
        <w:rPr>
          <w:rFonts w:ascii="Times New Roman" w:hAnsi="Times New Roman" w:cs="Times New Roman"/>
          <w:sz w:val="24"/>
          <w:szCs w:val="24"/>
        </w:rPr>
      </w:pPr>
    </w:p>
    <w:sectPr w:rsidR="00BE2C65" w:rsidRPr="007E0135">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513EC" w14:textId="77777777" w:rsidR="00FF63C9" w:rsidRDefault="00FF63C9" w:rsidP="00BE2C65">
      <w:pPr>
        <w:spacing w:after="0" w:line="240" w:lineRule="auto"/>
      </w:pPr>
      <w:r>
        <w:separator/>
      </w:r>
    </w:p>
  </w:endnote>
  <w:endnote w:type="continuationSeparator" w:id="0">
    <w:p w14:paraId="415824A3" w14:textId="77777777" w:rsidR="00FF63C9" w:rsidRDefault="00FF63C9" w:rsidP="00BE2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FB46D" w14:textId="77777777" w:rsidR="00FF63C9" w:rsidRDefault="00FF63C9" w:rsidP="00BE2C65">
      <w:pPr>
        <w:spacing w:after="0" w:line="240" w:lineRule="auto"/>
      </w:pPr>
      <w:r>
        <w:separator/>
      </w:r>
    </w:p>
  </w:footnote>
  <w:footnote w:type="continuationSeparator" w:id="0">
    <w:p w14:paraId="3234C867" w14:textId="77777777" w:rsidR="00FF63C9" w:rsidRDefault="00FF63C9" w:rsidP="00BE2C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0849104"/>
      <w:docPartObj>
        <w:docPartGallery w:val="Page Numbers (Top of Page)"/>
        <w:docPartUnique/>
      </w:docPartObj>
    </w:sdtPr>
    <w:sdtEndPr>
      <w:rPr>
        <w:noProof/>
      </w:rPr>
    </w:sdtEndPr>
    <w:sdtContent>
      <w:p w14:paraId="16977906" w14:textId="238D2340" w:rsidR="00BE2C65" w:rsidRDefault="00BE2C6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3715885" w14:textId="77777777" w:rsidR="00BE2C65" w:rsidRDefault="00BE2C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91D9C"/>
    <w:multiLevelType w:val="multilevel"/>
    <w:tmpl w:val="6022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750BC"/>
    <w:multiLevelType w:val="multilevel"/>
    <w:tmpl w:val="F92A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93642"/>
    <w:multiLevelType w:val="hybridMultilevel"/>
    <w:tmpl w:val="6D98F5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76532C"/>
    <w:multiLevelType w:val="multilevel"/>
    <w:tmpl w:val="FAD8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B3AA3"/>
    <w:multiLevelType w:val="multilevel"/>
    <w:tmpl w:val="955E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32648"/>
    <w:multiLevelType w:val="hybridMultilevel"/>
    <w:tmpl w:val="923A1F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874FA4"/>
    <w:multiLevelType w:val="multilevel"/>
    <w:tmpl w:val="07FA61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663913"/>
    <w:multiLevelType w:val="multilevel"/>
    <w:tmpl w:val="84B6C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CE1"/>
    <w:multiLevelType w:val="multilevel"/>
    <w:tmpl w:val="A7CC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83779"/>
    <w:multiLevelType w:val="multilevel"/>
    <w:tmpl w:val="C706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2C1BDE"/>
    <w:multiLevelType w:val="hybridMultilevel"/>
    <w:tmpl w:val="8C40E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663132"/>
    <w:multiLevelType w:val="hybridMultilevel"/>
    <w:tmpl w:val="125A76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895A80"/>
    <w:multiLevelType w:val="multilevel"/>
    <w:tmpl w:val="3148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C657A0"/>
    <w:multiLevelType w:val="multilevel"/>
    <w:tmpl w:val="CAC2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FB663A"/>
    <w:multiLevelType w:val="multilevel"/>
    <w:tmpl w:val="1C46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B1FC9"/>
    <w:multiLevelType w:val="multilevel"/>
    <w:tmpl w:val="1AAE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BD3467"/>
    <w:multiLevelType w:val="multilevel"/>
    <w:tmpl w:val="0374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F724E"/>
    <w:multiLevelType w:val="multilevel"/>
    <w:tmpl w:val="F3B2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E621E1"/>
    <w:multiLevelType w:val="hybridMultilevel"/>
    <w:tmpl w:val="8E668A1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4486024A"/>
    <w:multiLevelType w:val="hybridMultilevel"/>
    <w:tmpl w:val="E76CC4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6AA2141"/>
    <w:multiLevelType w:val="multilevel"/>
    <w:tmpl w:val="024A3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692847"/>
    <w:multiLevelType w:val="hybridMultilevel"/>
    <w:tmpl w:val="E348C5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F4374FB"/>
    <w:multiLevelType w:val="hybridMultilevel"/>
    <w:tmpl w:val="FFB46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0701240"/>
    <w:multiLevelType w:val="hybridMultilevel"/>
    <w:tmpl w:val="8A7417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0CE27C6"/>
    <w:multiLevelType w:val="multilevel"/>
    <w:tmpl w:val="30CA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7118E5"/>
    <w:multiLevelType w:val="multilevel"/>
    <w:tmpl w:val="618A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BA6D03"/>
    <w:multiLevelType w:val="hybridMultilevel"/>
    <w:tmpl w:val="B2E205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76A4E9D"/>
    <w:multiLevelType w:val="multilevel"/>
    <w:tmpl w:val="2634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6C00B1"/>
    <w:multiLevelType w:val="hybridMultilevel"/>
    <w:tmpl w:val="63B44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F36153"/>
    <w:multiLevelType w:val="hybridMultilevel"/>
    <w:tmpl w:val="083C4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267F0C"/>
    <w:multiLevelType w:val="multilevel"/>
    <w:tmpl w:val="94E8F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1552A7"/>
    <w:multiLevelType w:val="multilevel"/>
    <w:tmpl w:val="3692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81C42"/>
    <w:multiLevelType w:val="multilevel"/>
    <w:tmpl w:val="A63E3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DA25E9"/>
    <w:multiLevelType w:val="multilevel"/>
    <w:tmpl w:val="418E3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CA260A"/>
    <w:multiLevelType w:val="hybridMultilevel"/>
    <w:tmpl w:val="03E00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024557A"/>
    <w:multiLevelType w:val="multilevel"/>
    <w:tmpl w:val="F6B2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28363B"/>
    <w:multiLevelType w:val="multilevel"/>
    <w:tmpl w:val="6B68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D773A8"/>
    <w:multiLevelType w:val="multilevel"/>
    <w:tmpl w:val="8BDC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B30696"/>
    <w:multiLevelType w:val="multilevel"/>
    <w:tmpl w:val="A55C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4E54A1"/>
    <w:multiLevelType w:val="multilevel"/>
    <w:tmpl w:val="C69A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5B0EDC"/>
    <w:multiLevelType w:val="hybridMultilevel"/>
    <w:tmpl w:val="8A5687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92515100">
    <w:abstractNumId w:val="1"/>
  </w:num>
  <w:num w:numId="2" w16cid:durableId="1262448357">
    <w:abstractNumId w:val="39"/>
  </w:num>
  <w:num w:numId="3" w16cid:durableId="1112287740">
    <w:abstractNumId w:val="6"/>
  </w:num>
  <w:num w:numId="4" w16cid:durableId="1219318170">
    <w:abstractNumId w:val="30"/>
  </w:num>
  <w:num w:numId="5" w16cid:durableId="942226413">
    <w:abstractNumId w:val="33"/>
  </w:num>
  <w:num w:numId="6" w16cid:durableId="1723098268">
    <w:abstractNumId w:val="17"/>
  </w:num>
  <w:num w:numId="7" w16cid:durableId="1050421244">
    <w:abstractNumId w:val="25"/>
  </w:num>
  <w:num w:numId="8" w16cid:durableId="91316310">
    <w:abstractNumId w:val="13"/>
  </w:num>
  <w:num w:numId="9" w16cid:durableId="2124612766">
    <w:abstractNumId w:val="14"/>
  </w:num>
  <w:num w:numId="10" w16cid:durableId="1850102644">
    <w:abstractNumId w:val="9"/>
  </w:num>
  <w:num w:numId="11" w16cid:durableId="1095662646">
    <w:abstractNumId w:val="27"/>
  </w:num>
  <w:num w:numId="12" w16cid:durableId="944338505">
    <w:abstractNumId w:val="31"/>
  </w:num>
  <w:num w:numId="13" w16cid:durableId="669715393">
    <w:abstractNumId w:val="7"/>
  </w:num>
  <w:num w:numId="14" w16cid:durableId="403526213">
    <w:abstractNumId w:val="8"/>
  </w:num>
  <w:num w:numId="15" w16cid:durableId="1063795657">
    <w:abstractNumId w:val="38"/>
  </w:num>
  <w:num w:numId="16" w16cid:durableId="198519227">
    <w:abstractNumId w:val="32"/>
  </w:num>
  <w:num w:numId="17" w16cid:durableId="1638296492">
    <w:abstractNumId w:val="16"/>
  </w:num>
  <w:num w:numId="18" w16cid:durableId="1520200386">
    <w:abstractNumId w:val="37"/>
  </w:num>
  <w:num w:numId="19" w16cid:durableId="195965639">
    <w:abstractNumId w:val="20"/>
  </w:num>
  <w:num w:numId="20" w16cid:durableId="821196889">
    <w:abstractNumId w:val="15"/>
  </w:num>
  <w:num w:numId="21" w16cid:durableId="1584608128">
    <w:abstractNumId w:val="0"/>
  </w:num>
  <w:num w:numId="22" w16cid:durableId="853810473">
    <w:abstractNumId w:val="35"/>
  </w:num>
  <w:num w:numId="23" w16cid:durableId="520701271">
    <w:abstractNumId w:val="29"/>
  </w:num>
  <w:num w:numId="24" w16cid:durableId="1751077169">
    <w:abstractNumId w:val="10"/>
  </w:num>
  <w:num w:numId="25" w16cid:durableId="2026132437">
    <w:abstractNumId w:val="28"/>
  </w:num>
  <w:num w:numId="26" w16cid:durableId="1653752904">
    <w:abstractNumId w:val="18"/>
  </w:num>
  <w:num w:numId="27" w16cid:durableId="909459186">
    <w:abstractNumId w:val="5"/>
  </w:num>
  <w:num w:numId="28" w16cid:durableId="937442333">
    <w:abstractNumId w:val="34"/>
  </w:num>
  <w:num w:numId="29" w16cid:durableId="339700231">
    <w:abstractNumId w:val="22"/>
  </w:num>
  <w:num w:numId="30" w16cid:durableId="2046128528">
    <w:abstractNumId w:val="40"/>
  </w:num>
  <w:num w:numId="31" w16cid:durableId="1492017483">
    <w:abstractNumId w:val="21"/>
  </w:num>
  <w:num w:numId="32" w16cid:durableId="1526089502">
    <w:abstractNumId w:val="11"/>
  </w:num>
  <w:num w:numId="33" w16cid:durableId="941450612">
    <w:abstractNumId w:val="26"/>
  </w:num>
  <w:num w:numId="34" w16cid:durableId="654797153">
    <w:abstractNumId w:val="36"/>
  </w:num>
  <w:num w:numId="35" w16cid:durableId="1185900537">
    <w:abstractNumId w:val="4"/>
  </w:num>
  <w:num w:numId="36" w16cid:durableId="1737431289">
    <w:abstractNumId w:val="3"/>
  </w:num>
  <w:num w:numId="37" w16cid:durableId="441340009">
    <w:abstractNumId w:val="24"/>
  </w:num>
  <w:num w:numId="38" w16cid:durableId="890920332">
    <w:abstractNumId w:val="2"/>
  </w:num>
  <w:num w:numId="39" w16cid:durableId="1275747549">
    <w:abstractNumId w:val="23"/>
  </w:num>
  <w:num w:numId="40" w16cid:durableId="1407609660">
    <w:abstractNumId w:val="12"/>
  </w:num>
  <w:num w:numId="41" w16cid:durableId="7105421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66F"/>
    <w:rsid w:val="00075D45"/>
    <w:rsid w:val="000E5EDA"/>
    <w:rsid w:val="00177547"/>
    <w:rsid w:val="00346950"/>
    <w:rsid w:val="003F3AF2"/>
    <w:rsid w:val="00425918"/>
    <w:rsid w:val="004475FB"/>
    <w:rsid w:val="004656E9"/>
    <w:rsid w:val="004769EC"/>
    <w:rsid w:val="0057033F"/>
    <w:rsid w:val="005869D8"/>
    <w:rsid w:val="005B769B"/>
    <w:rsid w:val="006052D1"/>
    <w:rsid w:val="007B7569"/>
    <w:rsid w:val="007D3C04"/>
    <w:rsid w:val="007E0135"/>
    <w:rsid w:val="008552B0"/>
    <w:rsid w:val="00885D3B"/>
    <w:rsid w:val="008B70F8"/>
    <w:rsid w:val="008E6510"/>
    <w:rsid w:val="00991CA9"/>
    <w:rsid w:val="00B7713F"/>
    <w:rsid w:val="00BE2C65"/>
    <w:rsid w:val="00C01C1A"/>
    <w:rsid w:val="00CA6965"/>
    <w:rsid w:val="00CE42A0"/>
    <w:rsid w:val="00D73C6C"/>
    <w:rsid w:val="00D74E98"/>
    <w:rsid w:val="00DD794C"/>
    <w:rsid w:val="00E3627B"/>
    <w:rsid w:val="00E6066F"/>
    <w:rsid w:val="00EE2F3C"/>
    <w:rsid w:val="00F6708F"/>
    <w:rsid w:val="00FB7D8E"/>
    <w:rsid w:val="00FD1113"/>
    <w:rsid w:val="00FE1658"/>
    <w:rsid w:val="00FF6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70692"/>
  <w15:chartTrackingRefBased/>
  <w15:docId w15:val="{CDFFCCE2-6355-4DA5-A02B-8DD32DAE4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6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6066F"/>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066F"/>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E6066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6066F"/>
    <w:rPr>
      <w:b/>
      <w:bCs/>
    </w:rPr>
  </w:style>
  <w:style w:type="character" w:styleId="Hyperlink">
    <w:name w:val="Hyperlink"/>
    <w:basedOn w:val="DefaultParagraphFont"/>
    <w:uiPriority w:val="99"/>
    <w:unhideWhenUsed/>
    <w:rsid w:val="00E6066F"/>
    <w:rPr>
      <w:color w:val="0000FF"/>
      <w:u w:val="single"/>
    </w:rPr>
  </w:style>
  <w:style w:type="table" w:styleId="GridTable2-Accent2">
    <w:name w:val="Grid Table 2 Accent 2"/>
    <w:basedOn w:val="TableNormal"/>
    <w:uiPriority w:val="47"/>
    <w:rsid w:val="00CE42A0"/>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rsid w:val="00CE42A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5869D8"/>
    <w:pPr>
      <w:ind w:left="720"/>
      <w:contextualSpacing/>
    </w:pPr>
  </w:style>
  <w:style w:type="character" w:customStyle="1" w:styleId="Heading1Char">
    <w:name w:val="Heading 1 Char"/>
    <w:basedOn w:val="DefaultParagraphFont"/>
    <w:link w:val="Heading1"/>
    <w:uiPriority w:val="9"/>
    <w:rsid w:val="004656E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E2C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2C65"/>
  </w:style>
  <w:style w:type="paragraph" w:styleId="Footer">
    <w:name w:val="footer"/>
    <w:basedOn w:val="Normal"/>
    <w:link w:val="FooterChar"/>
    <w:uiPriority w:val="99"/>
    <w:unhideWhenUsed/>
    <w:rsid w:val="00BE2C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2C65"/>
  </w:style>
  <w:style w:type="paragraph" w:styleId="TOCHeading">
    <w:name w:val="TOC Heading"/>
    <w:basedOn w:val="Heading1"/>
    <w:next w:val="Normal"/>
    <w:uiPriority w:val="39"/>
    <w:unhideWhenUsed/>
    <w:qFormat/>
    <w:rsid w:val="00BE2C65"/>
    <w:pPr>
      <w:outlineLvl w:val="9"/>
    </w:pPr>
    <w:rPr>
      <w:kern w:val="0"/>
      <w14:ligatures w14:val="none"/>
    </w:rPr>
  </w:style>
  <w:style w:type="paragraph" w:styleId="TOC1">
    <w:name w:val="toc 1"/>
    <w:basedOn w:val="Normal"/>
    <w:next w:val="Normal"/>
    <w:autoRedefine/>
    <w:uiPriority w:val="39"/>
    <w:unhideWhenUsed/>
    <w:rsid w:val="00BE2C65"/>
    <w:pPr>
      <w:spacing w:after="100"/>
    </w:pPr>
  </w:style>
  <w:style w:type="paragraph" w:styleId="TOC2">
    <w:name w:val="toc 2"/>
    <w:basedOn w:val="Normal"/>
    <w:next w:val="Normal"/>
    <w:autoRedefine/>
    <w:uiPriority w:val="39"/>
    <w:unhideWhenUsed/>
    <w:rsid w:val="00BE2C65"/>
    <w:pPr>
      <w:spacing w:after="100"/>
      <w:ind w:left="220"/>
    </w:pPr>
  </w:style>
  <w:style w:type="paragraph" w:styleId="Caption">
    <w:name w:val="caption"/>
    <w:basedOn w:val="Normal"/>
    <w:next w:val="Normal"/>
    <w:uiPriority w:val="35"/>
    <w:unhideWhenUsed/>
    <w:qFormat/>
    <w:rsid w:val="00BE2C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2C65"/>
    <w:pPr>
      <w:spacing w:after="0"/>
    </w:pPr>
  </w:style>
  <w:style w:type="table" w:customStyle="1" w:styleId="GridTable1Light-Accent21">
    <w:name w:val="Grid Table 1 Light - Accent 21"/>
    <w:basedOn w:val="TableNormal"/>
    <w:next w:val="GridTable1Light-Accent2"/>
    <w:uiPriority w:val="46"/>
    <w:rsid w:val="00075D45"/>
    <w:pPr>
      <w:spacing w:after="0" w:line="240" w:lineRule="auto"/>
    </w:pPr>
    <w:rPr>
      <w:rFonts w:ascii="Calibri" w:eastAsia="Calibri" w:hAnsi="Calibri" w:cs="Times New Roman"/>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9465">
      <w:bodyDiv w:val="1"/>
      <w:marLeft w:val="0"/>
      <w:marRight w:val="0"/>
      <w:marTop w:val="0"/>
      <w:marBottom w:val="0"/>
      <w:divBdr>
        <w:top w:val="none" w:sz="0" w:space="0" w:color="auto"/>
        <w:left w:val="none" w:sz="0" w:space="0" w:color="auto"/>
        <w:bottom w:val="none" w:sz="0" w:space="0" w:color="auto"/>
        <w:right w:val="none" w:sz="0" w:space="0" w:color="auto"/>
      </w:divBdr>
    </w:div>
    <w:div w:id="77756750">
      <w:bodyDiv w:val="1"/>
      <w:marLeft w:val="0"/>
      <w:marRight w:val="0"/>
      <w:marTop w:val="0"/>
      <w:marBottom w:val="0"/>
      <w:divBdr>
        <w:top w:val="none" w:sz="0" w:space="0" w:color="auto"/>
        <w:left w:val="none" w:sz="0" w:space="0" w:color="auto"/>
        <w:bottom w:val="none" w:sz="0" w:space="0" w:color="auto"/>
        <w:right w:val="none" w:sz="0" w:space="0" w:color="auto"/>
      </w:divBdr>
    </w:div>
    <w:div w:id="108933810">
      <w:bodyDiv w:val="1"/>
      <w:marLeft w:val="0"/>
      <w:marRight w:val="0"/>
      <w:marTop w:val="0"/>
      <w:marBottom w:val="0"/>
      <w:divBdr>
        <w:top w:val="none" w:sz="0" w:space="0" w:color="auto"/>
        <w:left w:val="none" w:sz="0" w:space="0" w:color="auto"/>
        <w:bottom w:val="none" w:sz="0" w:space="0" w:color="auto"/>
        <w:right w:val="none" w:sz="0" w:space="0" w:color="auto"/>
      </w:divBdr>
    </w:div>
    <w:div w:id="142091686">
      <w:bodyDiv w:val="1"/>
      <w:marLeft w:val="0"/>
      <w:marRight w:val="0"/>
      <w:marTop w:val="0"/>
      <w:marBottom w:val="0"/>
      <w:divBdr>
        <w:top w:val="none" w:sz="0" w:space="0" w:color="auto"/>
        <w:left w:val="none" w:sz="0" w:space="0" w:color="auto"/>
        <w:bottom w:val="none" w:sz="0" w:space="0" w:color="auto"/>
        <w:right w:val="none" w:sz="0" w:space="0" w:color="auto"/>
      </w:divBdr>
    </w:div>
    <w:div w:id="154998276">
      <w:bodyDiv w:val="1"/>
      <w:marLeft w:val="0"/>
      <w:marRight w:val="0"/>
      <w:marTop w:val="0"/>
      <w:marBottom w:val="0"/>
      <w:divBdr>
        <w:top w:val="none" w:sz="0" w:space="0" w:color="auto"/>
        <w:left w:val="none" w:sz="0" w:space="0" w:color="auto"/>
        <w:bottom w:val="none" w:sz="0" w:space="0" w:color="auto"/>
        <w:right w:val="none" w:sz="0" w:space="0" w:color="auto"/>
      </w:divBdr>
    </w:div>
    <w:div w:id="216014724">
      <w:bodyDiv w:val="1"/>
      <w:marLeft w:val="0"/>
      <w:marRight w:val="0"/>
      <w:marTop w:val="0"/>
      <w:marBottom w:val="0"/>
      <w:divBdr>
        <w:top w:val="none" w:sz="0" w:space="0" w:color="auto"/>
        <w:left w:val="none" w:sz="0" w:space="0" w:color="auto"/>
        <w:bottom w:val="none" w:sz="0" w:space="0" w:color="auto"/>
        <w:right w:val="none" w:sz="0" w:space="0" w:color="auto"/>
      </w:divBdr>
    </w:div>
    <w:div w:id="217135586">
      <w:bodyDiv w:val="1"/>
      <w:marLeft w:val="0"/>
      <w:marRight w:val="0"/>
      <w:marTop w:val="0"/>
      <w:marBottom w:val="0"/>
      <w:divBdr>
        <w:top w:val="none" w:sz="0" w:space="0" w:color="auto"/>
        <w:left w:val="none" w:sz="0" w:space="0" w:color="auto"/>
        <w:bottom w:val="none" w:sz="0" w:space="0" w:color="auto"/>
        <w:right w:val="none" w:sz="0" w:space="0" w:color="auto"/>
      </w:divBdr>
    </w:div>
    <w:div w:id="300816728">
      <w:bodyDiv w:val="1"/>
      <w:marLeft w:val="0"/>
      <w:marRight w:val="0"/>
      <w:marTop w:val="0"/>
      <w:marBottom w:val="0"/>
      <w:divBdr>
        <w:top w:val="none" w:sz="0" w:space="0" w:color="auto"/>
        <w:left w:val="none" w:sz="0" w:space="0" w:color="auto"/>
        <w:bottom w:val="none" w:sz="0" w:space="0" w:color="auto"/>
        <w:right w:val="none" w:sz="0" w:space="0" w:color="auto"/>
      </w:divBdr>
    </w:div>
    <w:div w:id="359479642">
      <w:bodyDiv w:val="1"/>
      <w:marLeft w:val="0"/>
      <w:marRight w:val="0"/>
      <w:marTop w:val="0"/>
      <w:marBottom w:val="0"/>
      <w:divBdr>
        <w:top w:val="none" w:sz="0" w:space="0" w:color="auto"/>
        <w:left w:val="none" w:sz="0" w:space="0" w:color="auto"/>
        <w:bottom w:val="none" w:sz="0" w:space="0" w:color="auto"/>
        <w:right w:val="none" w:sz="0" w:space="0" w:color="auto"/>
      </w:divBdr>
    </w:div>
    <w:div w:id="363211823">
      <w:bodyDiv w:val="1"/>
      <w:marLeft w:val="0"/>
      <w:marRight w:val="0"/>
      <w:marTop w:val="0"/>
      <w:marBottom w:val="0"/>
      <w:divBdr>
        <w:top w:val="none" w:sz="0" w:space="0" w:color="auto"/>
        <w:left w:val="none" w:sz="0" w:space="0" w:color="auto"/>
        <w:bottom w:val="none" w:sz="0" w:space="0" w:color="auto"/>
        <w:right w:val="none" w:sz="0" w:space="0" w:color="auto"/>
      </w:divBdr>
    </w:div>
    <w:div w:id="373122625">
      <w:bodyDiv w:val="1"/>
      <w:marLeft w:val="0"/>
      <w:marRight w:val="0"/>
      <w:marTop w:val="0"/>
      <w:marBottom w:val="0"/>
      <w:divBdr>
        <w:top w:val="none" w:sz="0" w:space="0" w:color="auto"/>
        <w:left w:val="none" w:sz="0" w:space="0" w:color="auto"/>
        <w:bottom w:val="none" w:sz="0" w:space="0" w:color="auto"/>
        <w:right w:val="none" w:sz="0" w:space="0" w:color="auto"/>
      </w:divBdr>
    </w:div>
    <w:div w:id="391202339">
      <w:bodyDiv w:val="1"/>
      <w:marLeft w:val="0"/>
      <w:marRight w:val="0"/>
      <w:marTop w:val="0"/>
      <w:marBottom w:val="0"/>
      <w:divBdr>
        <w:top w:val="none" w:sz="0" w:space="0" w:color="auto"/>
        <w:left w:val="none" w:sz="0" w:space="0" w:color="auto"/>
        <w:bottom w:val="none" w:sz="0" w:space="0" w:color="auto"/>
        <w:right w:val="none" w:sz="0" w:space="0" w:color="auto"/>
      </w:divBdr>
    </w:div>
    <w:div w:id="392437009">
      <w:bodyDiv w:val="1"/>
      <w:marLeft w:val="0"/>
      <w:marRight w:val="0"/>
      <w:marTop w:val="0"/>
      <w:marBottom w:val="0"/>
      <w:divBdr>
        <w:top w:val="none" w:sz="0" w:space="0" w:color="auto"/>
        <w:left w:val="none" w:sz="0" w:space="0" w:color="auto"/>
        <w:bottom w:val="none" w:sz="0" w:space="0" w:color="auto"/>
        <w:right w:val="none" w:sz="0" w:space="0" w:color="auto"/>
      </w:divBdr>
    </w:div>
    <w:div w:id="409621951">
      <w:bodyDiv w:val="1"/>
      <w:marLeft w:val="0"/>
      <w:marRight w:val="0"/>
      <w:marTop w:val="0"/>
      <w:marBottom w:val="0"/>
      <w:divBdr>
        <w:top w:val="none" w:sz="0" w:space="0" w:color="auto"/>
        <w:left w:val="none" w:sz="0" w:space="0" w:color="auto"/>
        <w:bottom w:val="none" w:sz="0" w:space="0" w:color="auto"/>
        <w:right w:val="none" w:sz="0" w:space="0" w:color="auto"/>
      </w:divBdr>
    </w:div>
    <w:div w:id="430705238">
      <w:bodyDiv w:val="1"/>
      <w:marLeft w:val="0"/>
      <w:marRight w:val="0"/>
      <w:marTop w:val="0"/>
      <w:marBottom w:val="0"/>
      <w:divBdr>
        <w:top w:val="none" w:sz="0" w:space="0" w:color="auto"/>
        <w:left w:val="none" w:sz="0" w:space="0" w:color="auto"/>
        <w:bottom w:val="none" w:sz="0" w:space="0" w:color="auto"/>
        <w:right w:val="none" w:sz="0" w:space="0" w:color="auto"/>
      </w:divBdr>
    </w:div>
    <w:div w:id="434592129">
      <w:bodyDiv w:val="1"/>
      <w:marLeft w:val="0"/>
      <w:marRight w:val="0"/>
      <w:marTop w:val="0"/>
      <w:marBottom w:val="0"/>
      <w:divBdr>
        <w:top w:val="none" w:sz="0" w:space="0" w:color="auto"/>
        <w:left w:val="none" w:sz="0" w:space="0" w:color="auto"/>
        <w:bottom w:val="none" w:sz="0" w:space="0" w:color="auto"/>
        <w:right w:val="none" w:sz="0" w:space="0" w:color="auto"/>
      </w:divBdr>
    </w:div>
    <w:div w:id="451826397">
      <w:bodyDiv w:val="1"/>
      <w:marLeft w:val="0"/>
      <w:marRight w:val="0"/>
      <w:marTop w:val="0"/>
      <w:marBottom w:val="0"/>
      <w:divBdr>
        <w:top w:val="none" w:sz="0" w:space="0" w:color="auto"/>
        <w:left w:val="none" w:sz="0" w:space="0" w:color="auto"/>
        <w:bottom w:val="none" w:sz="0" w:space="0" w:color="auto"/>
        <w:right w:val="none" w:sz="0" w:space="0" w:color="auto"/>
      </w:divBdr>
    </w:div>
    <w:div w:id="465659022">
      <w:bodyDiv w:val="1"/>
      <w:marLeft w:val="0"/>
      <w:marRight w:val="0"/>
      <w:marTop w:val="0"/>
      <w:marBottom w:val="0"/>
      <w:divBdr>
        <w:top w:val="none" w:sz="0" w:space="0" w:color="auto"/>
        <w:left w:val="none" w:sz="0" w:space="0" w:color="auto"/>
        <w:bottom w:val="none" w:sz="0" w:space="0" w:color="auto"/>
        <w:right w:val="none" w:sz="0" w:space="0" w:color="auto"/>
      </w:divBdr>
    </w:div>
    <w:div w:id="469786521">
      <w:bodyDiv w:val="1"/>
      <w:marLeft w:val="0"/>
      <w:marRight w:val="0"/>
      <w:marTop w:val="0"/>
      <w:marBottom w:val="0"/>
      <w:divBdr>
        <w:top w:val="none" w:sz="0" w:space="0" w:color="auto"/>
        <w:left w:val="none" w:sz="0" w:space="0" w:color="auto"/>
        <w:bottom w:val="none" w:sz="0" w:space="0" w:color="auto"/>
        <w:right w:val="none" w:sz="0" w:space="0" w:color="auto"/>
      </w:divBdr>
    </w:div>
    <w:div w:id="495460126">
      <w:bodyDiv w:val="1"/>
      <w:marLeft w:val="0"/>
      <w:marRight w:val="0"/>
      <w:marTop w:val="0"/>
      <w:marBottom w:val="0"/>
      <w:divBdr>
        <w:top w:val="none" w:sz="0" w:space="0" w:color="auto"/>
        <w:left w:val="none" w:sz="0" w:space="0" w:color="auto"/>
        <w:bottom w:val="none" w:sz="0" w:space="0" w:color="auto"/>
        <w:right w:val="none" w:sz="0" w:space="0" w:color="auto"/>
      </w:divBdr>
    </w:div>
    <w:div w:id="530151091">
      <w:bodyDiv w:val="1"/>
      <w:marLeft w:val="0"/>
      <w:marRight w:val="0"/>
      <w:marTop w:val="0"/>
      <w:marBottom w:val="0"/>
      <w:divBdr>
        <w:top w:val="none" w:sz="0" w:space="0" w:color="auto"/>
        <w:left w:val="none" w:sz="0" w:space="0" w:color="auto"/>
        <w:bottom w:val="none" w:sz="0" w:space="0" w:color="auto"/>
        <w:right w:val="none" w:sz="0" w:space="0" w:color="auto"/>
      </w:divBdr>
    </w:div>
    <w:div w:id="563369718">
      <w:bodyDiv w:val="1"/>
      <w:marLeft w:val="0"/>
      <w:marRight w:val="0"/>
      <w:marTop w:val="0"/>
      <w:marBottom w:val="0"/>
      <w:divBdr>
        <w:top w:val="none" w:sz="0" w:space="0" w:color="auto"/>
        <w:left w:val="none" w:sz="0" w:space="0" w:color="auto"/>
        <w:bottom w:val="none" w:sz="0" w:space="0" w:color="auto"/>
        <w:right w:val="none" w:sz="0" w:space="0" w:color="auto"/>
      </w:divBdr>
    </w:div>
    <w:div w:id="596254770">
      <w:bodyDiv w:val="1"/>
      <w:marLeft w:val="0"/>
      <w:marRight w:val="0"/>
      <w:marTop w:val="0"/>
      <w:marBottom w:val="0"/>
      <w:divBdr>
        <w:top w:val="none" w:sz="0" w:space="0" w:color="auto"/>
        <w:left w:val="none" w:sz="0" w:space="0" w:color="auto"/>
        <w:bottom w:val="none" w:sz="0" w:space="0" w:color="auto"/>
        <w:right w:val="none" w:sz="0" w:space="0" w:color="auto"/>
      </w:divBdr>
    </w:div>
    <w:div w:id="597833677">
      <w:bodyDiv w:val="1"/>
      <w:marLeft w:val="0"/>
      <w:marRight w:val="0"/>
      <w:marTop w:val="0"/>
      <w:marBottom w:val="0"/>
      <w:divBdr>
        <w:top w:val="none" w:sz="0" w:space="0" w:color="auto"/>
        <w:left w:val="none" w:sz="0" w:space="0" w:color="auto"/>
        <w:bottom w:val="none" w:sz="0" w:space="0" w:color="auto"/>
        <w:right w:val="none" w:sz="0" w:space="0" w:color="auto"/>
      </w:divBdr>
    </w:div>
    <w:div w:id="626081721">
      <w:bodyDiv w:val="1"/>
      <w:marLeft w:val="0"/>
      <w:marRight w:val="0"/>
      <w:marTop w:val="0"/>
      <w:marBottom w:val="0"/>
      <w:divBdr>
        <w:top w:val="none" w:sz="0" w:space="0" w:color="auto"/>
        <w:left w:val="none" w:sz="0" w:space="0" w:color="auto"/>
        <w:bottom w:val="none" w:sz="0" w:space="0" w:color="auto"/>
        <w:right w:val="none" w:sz="0" w:space="0" w:color="auto"/>
      </w:divBdr>
    </w:div>
    <w:div w:id="631208316">
      <w:bodyDiv w:val="1"/>
      <w:marLeft w:val="0"/>
      <w:marRight w:val="0"/>
      <w:marTop w:val="0"/>
      <w:marBottom w:val="0"/>
      <w:divBdr>
        <w:top w:val="none" w:sz="0" w:space="0" w:color="auto"/>
        <w:left w:val="none" w:sz="0" w:space="0" w:color="auto"/>
        <w:bottom w:val="none" w:sz="0" w:space="0" w:color="auto"/>
        <w:right w:val="none" w:sz="0" w:space="0" w:color="auto"/>
      </w:divBdr>
    </w:div>
    <w:div w:id="644316357">
      <w:bodyDiv w:val="1"/>
      <w:marLeft w:val="0"/>
      <w:marRight w:val="0"/>
      <w:marTop w:val="0"/>
      <w:marBottom w:val="0"/>
      <w:divBdr>
        <w:top w:val="none" w:sz="0" w:space="0" w:color="auto"/>
        <w:left w:val="none" w:sz="0" w:space="0" w:color="auto"/>
        <w:bottom w:val="none" w:sz="0" w:space="0" w:color="auto"/>
        <w:right w:val="none" w:sz="0" w:space="0" w:color="auto"/>
      </w:divBdr>
    </w:div>
    <w:div w:id="647323952">
      <w:bodyDiv w:val="1"/>
      <w:marLeft w:val="0"/>
      <w:marRight w:val="0"/>
      <w:marTop w:val="0"/>
      <w:marBottom w:val="0"/>
      <w:divBdr>
        <w:top w:val="none" w:sz="0" w:space="0" w:color="auto"/>
        <w:left w:val="none" w:sz="0" w:space="0" w:color="auto"/>
        <w:bottom w:val="none" w:sz="0" w:space="0" w:color="auto"/>
        <w:right w:val="none" w:sz="0" w:space="0" w:color="auto"/>
      </w:divBdr>
    </w:div>
    <w:div w:id="672413657">
      <w:bodyDiv w:val="1"/>
      <w:marLeft w:val="0"/>
      <w:marRight w:val="0"/>
      <w:marTop w:val="0"/>
      <w:marBottom w:val="0"/>
      <w:divBdr>
        <w:top w:val="none" w:sz="0" w:space="0" w:color="auto"/>
        <w:left w:val="none" w:sz="0" w:space="0" w:color="auto"/>
        <w:bottom w:val="none" w:sz="0" w:space="0" w:color="auto"/>
        <w:right w:val="none" w:sz="0" w:space="0" w:color="auto"/>
      </w:divBdr>
    </w:div>
    <w:div w:id="686293871">
      <w:bodyDiv w:val="1"/>
      <w:marLeft w:val="0"/>
      <w:marRight w:val="0"/>
      <w:marTop w:val="0"/>
      <w:marBottom w:val="0"/>
      <w:divBdr>
        <w:top w:val="none" w:sz="0" w:space="0" w:color="auto"/>
        <w:left w:val="none" w:sz="0" w:space="0" w:color="auto"/>
        <w:bottom w:val="none" w:sz="0" w:space="0" w:color="auto"/>
        <w:right w:val="none" w:sz="0" w:space="0" w:color="auto"/>
      </w:divBdr>
    </w:div>
    <w:div w:id="694691005">
      <w:bodyDiv w:val="1"/>
      <w:marLeft w:val="0"/>
      <w:marRight w:val="0"/>
      <w:marTop w:val="0"/>
      <w:marBottom w:val="0"/>
      <w:divBdr>
        <w:top w:val="none" w:sz="0" w:space="0" w:color="auto"/>
        <w:left w:val="none" w:sz="0" w:space="0" w:color="auto"/>
        <w:bottom w:val="none" w:sz="0" w:space="0" w:color="auto"/>
        <w:right w:val="none" w:sz="0" w:space="0" w:color="auto"/>
      </w:divBdr>
    </w:div>
    <w:div w:id="774911444">
      <w:bodyDiv w:val="1"/>
      <w:marLeft w:val="0"/>
      <w:marRight w:val="0"/>
      <w:marTop w:val="0"/>
      <w:marBottom w:val="0"/>
      <w:divBdr>
        <w:top w:val="none" w:sz="0" w:space="0" w:color="auto"/>
        <w:left w:val="none" w:sz="0" w:space="0" w:color="auto"/>
        <w:bottom w:val="none" w:sz="0" w:space="0" w:color="auto"/>
        <w:right w:val="none" w:sz="0" w:space="0" w:color="auto"/>
      </w:divBdr>
    </w:div>
    <w:div w:id="775443292">
      <w:bodyDiv w:val="1"/>
      <w:marLeft w:val="0"/>
      <w:marRight w:val="0"/>
      <w:marTop w:val="0"/>
      <w:marBottom w:val="0"/>
      <w:divBdr>
        <w:top w:val="none" w:sz="0" w:space="0" w:color="auto"/>
        <w:left w:val="none" w:sz="0" w:space="0" w:color="auto"/>
        <w:bottom w:val="none" w:sz="0" w:space="0" w:color="auto"/>
        <w:right w:val="none" w:sz="0" w:space="0" w:color="auto"/>
      </w:divBdr>
    </w:div>
    <w:div w:id="816142425">
      <w:bodyDiv w:val="1"/>
      <w:marLeft w:val="0"/>
      <w:marRight w:val="0"/>
      <w:marTop w:val="0"/>
      <w:marBottom w:val="0"/>
      <w:divBdr>
        <w:top w:val="none" w:sz="0" w:space="0" w:color="auto"/>
        <w:left w:val="none" w:sz="0" w:space="0" w:color="auto"/>
        <w:bottom w:val="none" w:sz="0" w:space="0" w:color="auto"/>
        <w:right w:val="none" w:sz="0" w:space="0" w:color="auto"/>
      </w:divBdr>
    </w:div>
    <w:div w:id="826937163">
      <w:bodyDiv w:val="1"/>
      <w:marLeft w:val="0"/>
      <w:marRight w:val="0"/>
      <w:marTop w:val="0"/>
      <w:marBottom w:val="0"/>
      <w:divBdr>
        <w:top w:val="none" w:sz="0" w:space="0" w:color="auto"/>
        <w:left w:val="none" w:sz="0" w:space="0" w:color="auto"/>
        <w:bottom w:val="none" w:sz="0" w:space="0" w:color="auto"/>
        <w:right w:val="none" w:sz="0" w:space="0" w:color="auto"/>
      </w:divBdr>
    </w:div>
    <w:div w:id="831603285">
      <w:bodyDiv w:val="1"/>
      <w:marLeft w:val="0"/>
      <w:marRight w:val="0"/>
      <w:marTop w:val="0"/>
      <w:marBottom w:val="0"/>
      <w:divBdr>
        <w:top w:val="none" w:sz="0" w:space="0" w:color="auto"/>
        <w:left w:val="none" w:sz="0" w:space="0" w:color="auto"/>
        <w:bottom w:val="none" w:sz="0" w:space="0" w:color="auto"/>
        <w:right w:val="none" w:sz="0" w:space="0" w:color="auto"/>
      </w:divBdr>
    </w:div>
    <w:div w:id="843514233">
      <w:bodyDiv w:val="1"/>
      <w:marLeft w:val="0"/>
      <w:marRight w:val="0"/>
      <w:marTop w:val="0"/>
      <w:marBottom w:val="0"/>
      <w:divBdr>
        <w:top w:val="none" w:sz="0" w:space="0" w:color="auto"/>
        <w:left w:val="none" w:sz="0" w:space="0" w:color="auto"/>
        <w:bottom w:val="none" w:sz="0" w:space="0" w:color="auto"/>
        <w:right w:val="none" w:sz="0" w:space="0" w:color="auto"/>
      </w:divBdr>
    </w:div>
    <w:div w:id="867838362">
      <w:bodyDiv w:val="1"/>
      <w:marLeft w:val="0"/>
      <w:marRight w:val="0"/>
      <w:marTop w:val="0"/>
      <w:marBottom w:val="0"/>
      <w:divBdr>
        <w:top w:val="none" w:sz="0" w:space="0" w:color="auto"/>
        <w:left w:val="none" w:sz="0" w:space="0" w:color="auto"/>
        <w:bottom w:val="none" w:sz="0" w:space="0" w:color="auto"/>
        <w:right w:val="none" w:sz="0" w:space="0" w:color="auto"/>
      </w:divBdr>
    </w:div>
    <w:div w:id="873885513">
      <w:bodyDiv w:val="1"/>
      <w:marLeft w:val="0"/>
      <w:marRight w:val="0"/>
      <w:marTop w:val="0"/>
      <w:marBottom w:val="0"/>
      <w:divBdr>
        <w:top w:val="none" w:sz="0" w:space="0" w:color="auto"/>
        <w:left w:val="none" w:sz="0" w:space="0" w:color="auto"/>
        <w:bottom w:val="none" w:sz="0" w:space="0" w:color="auto"/>
        <w:right w:val="none" w:sz="0" w:space="0" w:color="auto"/>
      </w:divBdr>
    </w:div>
    <w:div w:id="899098861">
      <w:bodyDiv w:val="1"/>
      <w:marLeft w:val="0"/>
      <w:marRight w:val="0"/>
      <w:marTop w:val="0"/>
      <w:marBottom w:val="0"/>
      <w:divBdr>
        <w:top w:val="none" w:sz="0" w:space="0" w:color="auto"/>
        <w:left w:val="none" w:sz="0" w:space="0" w:color="auto"/>
        <w:bottom w:val="none" w:sz="0" w:space="0" w:color="auto"/>
        <w:right w:val="none" w:sz="0" w:space="0" w:color="auto"/>
      </w:divBdr>
    </w:div>
    <w:div w:id="900096406">
      <w:bodyDiv w:val="1"/>
      <w:marLeft w:val="0"/>
      <w:marRight w:val="0"/>
      <w:marTop w:val="0"/>
      <w:marBottom w:val="0"/>
      <w:divBdr>
        <w:top w:val="none" w:sz="0" w:space="0" w:color="auto"/>
        <w:left w:val="none" w:sz="0" w:space="0" w:color="auto"/>
        <w:bottom w:val="none" w:sz="0" w:space="0" w:color="auto"/>
        <w:right w:val="none" w:sz="0" w:space="0" w:color="auto"/>
      </w:divBdr>
    </w:div>
    <w:div w:id="959607675">
      <w:bodyDiv w:val="1"/>
      <w:marLeft w:val="0"/>
      <w:marRight w:val="0"/>
      <w:marTop w:val="0"/>
      <w:marBottom w:val="0"/>
      <w:divBdr>
        <w:top w:val="none" w:sz="0" w:space="0" w:color="auto"/>
        <w:left w:val="none" w:sz="0" w:space="0" w:color="auto"/>
        <w:bottom w:val="none" w:sz="0" w:space="0" w:color="auto"/>
        <w:right w:val="none" w:sz="0" w:space="0" w:color="auto"/>
      </w:divBdr>
      <w:divsChild>
        <w:div w:id="1696032153">
          <w:marLeft w:val="0"/>
          <w:marRight w:val="0"/>
          <w:marTop w:val="0"/>
          <w:marBottom w:val="0"/>
          <w:divBdr>
            <w:top w:val="none" w:sz="0" w:space="0" w:color="auto"/>
            <w:left w:val="none" w:sz="0" w:space="0" w:color="auto"/>
            <w:bottom w:val="none" w:sz="0" w:space="0" w:color="auto"/>
            <w:right w:val="none" w:sz="0" w:space="0" w:color="auto"/>
          </w:divBdr>
          <w:divsChild>
            <w:div w:id="1230576409">
              <w:marLeft w:val="0"/>
              <w:marRight w:val="0"/>
              <w:marTop w:val="0"/>
              <w:marBottom w:val="0"/>
              <w:divBdr>
                <w:top w:val="none" w:sz="0" w:space="0" w:color="auto"/>
                <w:left w:val="none" w:sz="0" w:space="0" w:color="auto"/>
                <w:bottom w:val="none" w:sz="0" w:space="0" w:color="auto"/>
                <w:right w:val="none" w:sz="0" w:space="0" w:color="auto"/>
              </w:divBdr>
              <w:divsChild>
                <w:div w:id="501511568">
                  <w:marLeft w:val="0"/>
                  <w:marRight w:val="0"/>
                  <w:marTop w:val="0"/>
                  <w:marBottom w:val="0"/>
                  <w:divBdr>
                    <w:top w:val="none" w:sz="0" w:space="0" w:color="auto"/>
                    <w:left w:val="none" w:sz="0" w:space="0" w:color="auto"/>
                    <w:bottom w:val="none" w:sz="0" w:space="0" w:color="auto"/>
                    <w:right w:val="none" w:sz="0" w:space="0" w:color="auto"/>
                  </w:divBdr>
                  <w:divsChild>
                    <w:div w:id="1262639945">
                      <w:marLeft w:val="0"/>
                      <w:marRight w:val="0"/>
                      <w:marTop w:val="0"/>
                      <w:marBottom w:val="0"/>
                      <w:divBdr>
                        <w:top w:val="none" w:sz="0" w:space="0" w:color="auto"/>
                        <w:left w:val="none" w:sz="0" w:space="0" w:color="auto"/>
                        <w:bottom w:val="none" w:sz="0" w:space="0" w:color="auto"/>
                        <w:right w:val="none" w:sz="0" w:space="0" w:color="auto"/>
                      </w:divBdr>
                      <w:divsChild>
                        <w:div w:id="306207776">
                          <w:marLeft w:val="0"/>
                          <w:marRight w:val="0"/>
                          <w:marTop w:val="0"/>
                          <w:marBottom w:val="0"/>
                          <w:divBdr>
                            <w:top w:val="none" w:sz="0" w:space="0" w:color="auto"/>
                            <w:left w:val="none" w:sz="0" w:space="0" w:color="auto"/>
                            <w:bottom w:val="none" w:sz="0" w:space="0" w:color="auto"/>
                            <w:right w:val="none" w:sz="0" w:space="0" w:color="auto"/>
                          </w:divBdr>
                          <w:divsChild>
                            <w:div w:id="11648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099582">
              <w:marLeft w:val="0"/>
              <w:marRight w:val="0"/>
              <w:marTop w:val="0"/>
              <w:marBottom w:val="0"/>
              <w:divBdr>
                <w:top w:val="none" w:sz="0" w:space="0" w:color="auto"/>
                <w:left w:val="none" w:sz="0" w:space="0" w:color="auto"/>
                <w:bottom w:val="none" w:sz="0" w:space="0" w:color="auto"/>
                <w:right w:val="none" w:sz="0" w:space="0" w:color="auto"/>
              </w:divBdr>
              <w:divsChild>
                <w:div w:id="1122073564">
                  <w:marLeft w:val="0"/>
                  <w:marRight w:val="0"/>
                  <w:marTop w:val="0"/>
                  <w:marBottom w:val="0"/>
                  <w:divBdr>
                    <w:top w:val="none" w:sz="0" w:space="0" w:color="auto"/>
                    <w:left w:val="none" w:sz="0" w:space="0" w:color="auto"/>
                    <w:bottom w:val="none" w:sz="0" w:space="0" w:color="auto"/>
                    <w:right w:val="none" w:sz="0" w:space="0" w:color="auto"/>
                  </w:divBdr>
                  <w:divsChild>
                    <w:div w:id="1407915615">
                      <w:marLeft w:val="0"/>
                      <w:marRight w:val="0"/>
                      <w:marTop w:val="0"/>
                      <w:marBottom w:val="0"/>
                      <w:divBdr>
                        <w:top w:val="none" w:sz="0" w:space="0" w:color="auto"/>
                        <w:left w:val="none" w:sz="0" w:space="0" w:color="auto"/>
                        <w:bottom w:val="none" w:sz="0" w:space="0" w:color="auto"/>
                        <w:right w:val="none" w:sz="0" w:space="0" w:color="auto"/>
                      </w:divBdr>
                      <w:divsChild>
                        <w:div w:id="767627538">
                          <w:marLeft w:val="0"/>
                          <w:marRight w:val="0"/>
                          <w:marTop w:val="0"/>
                          <w:marBottom w:val="0"/>
                          <w:divBdr>
                            <w:top w:val="none" w:sz="0" w:space="0" w:color="auto"/>
                            <w:left w:val="none" w:sz="0" w:space="0" w:color="auto"/>
                            <w:bottom w:val="none" w:sz="0" w:space="0" w:color="auto"/>
                            <w:right w:val="none" w:sz="0" w:space="0" w:color="auto"/>
                          </w:divBdr>
                        </w:div>
                        <w:div w:id="185402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077718">
      <w:bodyDiv w:val="1"/>
      <w:marLeft w:val="0"/>
      <w:marRight w:val="0"/>
      <w:marTop w:val="0"/>
      <w:marBottom w:val="0"/>
      <w:divBdr>
        <w:top w:val="none" w:sz="0" w:space="0" w:color="auto"/>
        <w:left w:val="none" w:sz="0" w:space="0" w:color="auto"/>
        <w:bottom w:val="none" w:sz="0" w:space="0" w:color="auto"/>
        <w:right w:val="none" w:sz="0" w:space="0" w:color="auto"/>
      </w:divBdr>
    </w:div>
    <w:div w:id="986587216">
      <w:bodyDiv w:val="1"/>
      <w:marLeft w:val="0"/>
      <w:marRight w:val="0"/>
      <w:marTop w:val="0"/>
      <w:marBottom w:val="0"/>
      <w:divBdr>
        <w:top w:val="none" w:sz="0" w:space="0" w:color="auto"/>
        <w:left w:val="none" w:sz="0" w:space="0" w:color="auto"/>
        <w:bottom w:val="none" w:sz="0" w:space="0" w:color="auto"/>
        <w:right w:val="none" w:sz="0" w:space="0" w:color="auto"/>
      </w:divBdr>
    </w:div>
    <w:div w:id="1007707475">
      <w:bodyDiv w:val="1"/>
      <w:marLeft w:val="0"/>
      <w:marRight w:val="0"/>
      <w:marTop w:val="0"/>
      <w:marBottom w:val="0"/>
      <w:divBdr>
        <w:top w:val="none" w:sz="0" w:space="0" w:color="auto"/>
        <w:left w:val="none" w:sz="0" w:space="0" w:color="auto"/>
        <w:bottom w:val="none" w:sz="0" w:space="0" w:color="auto"/>
        <w:right w:val="none" w:sz="0" w:space="0" w:color="auto"/>
      </w:divBdr>
    </w:div>
    <w:div w:id="1019701491">
      <w:bodyDiv w:val="1"/>
      <w:marLeft w:val="0"/>
      <w:marRight w:val="0"/>
      <w:marTop w:val="0"/>
      <w:marBottom w:val="0"/>
      <w:divBdr>
        <w:top w:val="none" w:sz="0" w:space="0" w:color="auto"/>
        <w:left w:val="none" w:sz="0" w:space="0" w:color="auto"/>
        <w:bottom w:val="none" w:sz="0" w:space="0" w:color="auto"/>
        <w:right w:val="none" w:sz="0" w:space="0" w:color="auto"/>
      </w:divBdr>
    </w:div>
    <w:div w:id="1075662813">
      <w:bodyDiv w:val="1"/>
      <w:marLeft w:val="0"/>
      <w:marRight w:val="0"/>
      <w:marTop w:val="0"/>
      <w:marBottom w:val="0"/>
      <w:divBdr>
        <w:top w:val="none" w:sz="0" w:space="0" w:color="auto"/>
        <w:left w:val="none" w:sz="0" w:space="0" w:color="auto"/>
        <w:bottom w:val="none" w:sz="0" w:space="0" w:color="auto"/>
        <w:right w:val="none" w:sz="0" w:space="0" w:color="auto"/>
      </w:divBdr>
      <w:divsChild>
        <w:div w:id="1483497567">
          <w:marLeft w:val="0"/>
          <w:marRight w:val="0"/>
          <w:marTop w:val="0"/>
          <w:marBottom w:val="0"/>
          <w:divBdr>
            <w:top w:val="none" w:sz="0" w:space="0" w:color="auto"/>
            <w:left w:val="none" w:sz="0" w:space="0" w:color="auto"/>
            <w:bottom w:val="none" w:sz="0" w:space="0" w:color="auto"/>
            <w:right w:val="none" w:sz="0" w:space="0" w:color="auto"/>
          </w:divBdr>
        </w:div>
      </w:divsChild>
    </w:div>
    <w:div w:id="1094671563">
      <w:bodyDiv w:val="1"/>
      <w:marLeft w:val="0"/>
      <w:marRight w:val="0"/>
      <w:marTop w:val="0"/>
      <w:marBottom w:val="0"/>
      <w:divBdr>
        <w:top w:val="none" w:sz="0" w:space="0" w:color="auto"/>
        <w:left w:val="none" w:sz="0" w:space="0" w:color="auto"/>
        <w:bottom w:val="none" w:sz="0" w:space="0" w:color="auto"/>
        <w:right w:val="none" w:sz="0" w:space="0" w:color="auto"/>
      </w:divBdr>
    </w:div>
    <w:div w:id="1098216808">
      <w:bodyDiv w:val="1"/>
      <w:marLeft w:val="0"/>
      <w:marRight w:val="0"/>
      <w:marTop w:val="0"/>
      <w:marBottom w:val="0"/>
      <w:divBdr>
        <w:top w:val="none" w:sz="0" w:space="0" w:color="auto"/>
        <w:left w:val="none" w:sz="0" w:space="0" w:color="auto"/>
        <w:bottom w:val="none" w:sz="0" w:space="0" w:color="auto"/>
        <w:right w:val="none" w:sz="0" w:space="0" w:color="auto"/>
      </w:divBdr>
    </w:div>
    <w:div w:id="1117797263">
      <w:bodyDiv w:val="1"/>
      <w:marLeft w:val="0"/>
      <w:marRight w:val="0"/>
      <w:marTop w:val="0"/>
      <w:marBottom w:val="0"/>
      <w:divBdr>
        <w:top w:val="none" w:sz="0" w:space="0" w:color="auto"/>
        <w:left w:val="none" w:sz="0" w:space="0" w:color="auto"/>
        <w:bottom w:val="none" w:sz="0" w:space="0" w:color="auto"/>
        <w:right w:val="none" w:sz="0" w:space="0" w:color="auto"/>
      </w:divBdr>
    </w:div>
    <w:div w:id="1129519105">
      <w:bodyDiv w:val="1"/>
      <w:marLeft w:val="0"/>
      <w:marRight w:val="0"/>
      <w:marTop w:val="0"/>
      <w:marBottom w:val="0"/>
      <w:divBdr>
        <w:top w:val="none" w:sz="0" w:space="0" w:color="auto"/>
        <w:left w:val="none" w:sz="0" w:space="0" w:color="auto"/>
        <w:bottom w:val="none" w:sz="0" w:space="0" w:color="auto"/>
        <w:right w:val="none" w:sz="0" w:space="0" w:color="auto"/>
      </w:divBdr>
    </w:div>
    <w:div w:id="1145390719">
      <w:bodyDiv w:val="1"/>
      <w:marLeft w:val="0"/>
      <w:marRight w:val="0"/>
      <w:marTop w:val="0"/>
      <w:marBottom w:val="0"/>
      <w:divBdr>
        <w:top w:val="none" w:sz="0" w:space="0" w:color="auto"/>
        <w:left w:val="none" w:sz="0" w:space="0" w:color="auto"/>
        <w:bottom w:val="none" w:sz="0" w:space="0" w:color="auto"/>
        <w:right w:val="none" w:sz="0" w:space="0" w:color="auto"/>
      </w:divBdr>
    </w:div>
    <w:div w:id="1149833378">
      <w:bodyDiv w:val="1"/>
      <w:marLeft w:val="0"/>
      <w:marRight w:val="0"/>
      <w:marTop w:val="0"/>
      <w:marBottom w:val="0"/>
      <w:divBdr>
        <w:top w:val="none" w:sz="0" w:space="0" w:color="auto"/>
        <w:left w:val="none" w:sz="0" w:space="0" w:color="auto"/>
        <w:bottom w:val="none" w:sz="0" w:space="0" w:color="auto"/>
        <w:right w:val="none" w:sz="0" w:space="0" w:color="auto"/>
      </w:divBdr>
    </w:div>
    <w:div w:id="1156648570">
      <w:bodyDiv w:val="1"/>
      <w:marLeft w:val="0"/>
      <w:marRight w:val="0"/>
      <w:marTop w:val="0"/>
      <w:marBottom w:val="0"/>
      <w:divBdr>
        <w:top w:val="none" w:sz="0" w:space="0" w:color="auto"/>
        <w:left w:val="none" w:sz="0" w:space="0" w:color="auto"/>
        <w:bottom w:val="none" w:sz="0" w:space="0" w:color="auto"/>
        <w:right w:val="none" w:sz="0" w:space="0" w:color="auto"/>
      </w:divBdr>
    </w:div>
    <w:div w:id="1159614471">
      <w:bodyDiv w:val="1"/>
      <w:marLeft w:val="0"/>
      <w:marRight w:val="0"/>
      <w:marTop w:val="0"/>
      <w:marBottom w:val="0"/>
      <w:divBdr>
        <w:top w:val="none" w:sz="0" w:space="0" w:color="auto"/>
        <w:left w:val="none" w:sz="0" w:space="0" w:color="auto"/>
        <w:bottom w:val="none" w:sz="0" w:space="0" w:color="auto"/>
        <w:right w:val="none" w:sz="0" w:space="0" w:color="auto"/>
      </w:divBdr>
    </w:div>
    <w:div w:id="1192258468">
      <w:bodyDiv w:val="1"/>
      <w:marLeft w:val="0"/>
      <w:marRight w:val="0"/>
      <w:marTop w:val="0"/>
      <w:marBottom w:val="0"/>
      <w:divBdr>
        <w:top w:val="none" w:sz="0" w:space="0" w:color="auto"/>
        <w:left w:val="none" w:sz="0" w:space="0" w:color="auto"/>
        <w:bottom w:val="none" w:sz="0" w:space="0" w:color="auto"/>
        <w:right w:val="none" w:sz="0" w:space="0" w:color="auto"/>
      </w:divBdr>
    </w:div>
    <w:div w:id="1209142149">
      <w:bodyDiv w:val="1"/>
      <w:marLeft w:val="0"/>
      <w:marRight w:val="0"/>
      <w:marTop w:val="0"/>
      <w:marBottom w:val="0"/>
      <w:divBdr>
        <w:top w:val="none" w:sz="0" w:space="0" w:color="auto"/>
        <w:left w:val="none" w:sz="0" w:space="0" w:color="auto"/>
        <w:bottom w:val="none" w:sz="0" w:space="0" w:color="auto"/>
        <w:right w:val="none" w:sz="0" w:space="0" w:color="auto"/>
      </w:divBdr>
    </w:div>
    <w:div w:id="1229461464">
      <w:bodyDiv w:val="1"/>
      <w:marLeft w:val="0"/>
      <w:marRight w:val="0"/>
      <w:marTop w:val="0"/>
      <w:marBottom w:val="0"/>
      <w:divBdr>
        <w:top w:val="none" w:sz="0" w:space="0" w:color="auto"/>
        <w:left w:val="none" w:sz="0" w:space="0" w:color="auto"/>
        <w:bottom w:val="none" w:sz="0" w:space="0" w:color="auto"/>
        <w:right w:val="none" w:sz="0" w:space="0" w:color="auto"/>
      </w:divBdr>
    </w:div>
    <w:div w:id="1244291123">
      <w:bodyDiv w:val="1"/>
      <w:marLeft w:val="0"/>
      <w:marRight w:val="0"/>
      <w:marTop w:val="0"/>
      <w:marBottom w:val="0"/>
      <w:divBdr>
        <w:top w:val="none" w:sz="0" w:space="0" w:color="auto"/>
        <w:left w:val="none" w:sz="0" w:space="0" w:color="auto"/>
        <w:bottom w:val="none" w:sz="0" w:space="0" w:color="auto"/>
        <w:right w:val="none" w:sz="0" w:space="0" w:color="auto"/>
      </w:divBdr>
    </w:div>
    <w:div w:id="1246233176">
      <w:bodyDiv w:val="1"/>
      <w:marLeft w:val="0"/>
      <w:marRight w:val="0"/>
      <w:marTop w:val="0"/>
      <w:marBottom w:val="0"/>
      <w:divBdr>
        <w:top w:val="none" w:sz="0" w:space="0" w:color="auto"/>
        <w:left w:val="none" w:sz="0" w:space="0" w:color="auto"/>
        <w:bottom w:val="none" w:sz="0" w:space="0" w:color="auto"/>
        <w:right w:val="none" w:sz="0" w:space="0" w:color="auto"/>
      </w:divBdr>
    </w:div>
    <w:div w:id="1275793755">
      <w:bodyDiv w:val="1"/>
      <w:marLeft w:val="0"/>
      <w:marRight w:val="0"/>
      <w:marTop w:val="0"/>
      <w:marBottom w:val="0"/>
      <w:divBdr>
        <w:top w:val="none" w:sz="0" w:space="0" w:color="auto"/>
        <w:left w:val="none" w:sz="0" w:space="0" w:color="auto"/>
        <w:bottom w:val="none" w:sz="0" w:space="0" w:color="auto"/>
        <w:right w:val="none" w:sz="0" w:space="0" w:color="auto"/>
      </w:divBdr>
    </w:div>
    <w:div w:id="1276599913">
      <w:bodyDiv w:val="1"/>
      <w:marLeft w:val="0"/>
      <w:marRight w:val="0"/>
      <w:marTop w:val="0"/>
      <w:marBottom w:val="0"/>
      <w:divBdr>
        <w:top w:val="none" w:sz="0" w:space="0" w:color="auto"/>
        <w:left w:val="none" w:sz="0" w:space="0" w:color="auto"/>
        <w:bottom w:val="none" w:sz="0" w:space="0" w:color="auto"/>
        <w:right w:val="none" w:sz="0" w:space="0" w:color="auto"/>
      </w:divBdr>
    </w:div>
    <w:div w:id="1312439578">
      <w:bodyDiv w:val="1"/>
      <w:marLeft w:val="0"/>
      <w:marRight w:val="0"/>
      <w:marTop w:val="0"/>
      <w:marBottom w:val="0"/>
      <w:divBdr>
        <w:top w:val="none" w:sz="0" w:space="0" w:color="auto"/>
        <w:left w:val="none" w:sz="0" w:space="0" w:color="auto"/>
        <w:bottom w:val="none" w:sz="0" w:space="0" w:color="auto"/>
        <w:right w:val="none" w:sz="0" w:space="0" w:color="auto"/>
      </w:divBdr>
    </w:div>
    <w:div w:id="1328747831">
      <w:bodyDiv w:val="1"/>
      <w:marLeft w:val="0"/>
      <w:marRight w:val="0"/>
      <w:marTop w:val="0"/>
      <w:marBottom w:val="0"/>
      <w:divBdr>
        <w:top w:val="none" w:sz="0" w:space="0" w:color="auto"/>
        <w:left w:val="none" w:sz="0" w:space="0" w:color="auto"/>
        <w:bottom w:val="none" w:sz="0" w:space="0" w:color="auto"/>
        <w:right w:val="none" w:sz="0" w:space="0" w:color="auto"/>
      </w:divBdr>
    </w:div>
    <w:div w:id="1382633803">
      <w:bodyDiv w:val="1"/>
      <w:marLeft w:val="0"/>
      <w:marRight w:val="0"/>
      <w:marTop w:val="0"/>
      <w:marBottom w:val="0"/>
      <w:divBdr>
        <w:top w:val="none" w:sz="0" w:space="0" w:color="auto"/>
        <w:left w:val="none" w:sz="0" w:space="0" w:color="auto"/>
        <w:bottom w:val="none" w:sz="0" w:space="0" w:color="auto"/>
        <w:right w:val="none" w:sz="0" w:space="0" w:color="auto"/>
      </w:divBdr>
    </w:div>
    <w:div w:id="1392534921">
      <w:bodyDiv w:val="1"/>
      <w:marLeft w:val="0"/>
      <w:marRight w:val="0"/>
      <w:marTop w:val="0"/>
      <w:marBottom w:val="0"/>
      <w:divBdr>
        <w:top w:val="none" w:sz="0" w:space="0" w:color="auto"/>
        <w:left w:val="none" w:sz="0" w:space="0" w:color="auto"/>
        <w:bottom w:val="none" w:sz="0" w:space="0" w:color="auto"/>
        <w:right w:val="none" w:sz="0" w:space="0" w:color="auto"/>
      </w:divBdr>
    </w:div>
    <w:div w:id="1395200995">
      <w:bodyDiv w:val="1"/>
      <w:marLeft w:val="0"/>
      <w:marRight w:val="0"/>
      <w:marTop w:val="0"/>
      <w:marBottom w:val="0"/>
      <w:divBdr>
        <w:top w:val="none" w:sz="0" w:space="0" w:color="auto"/>
        <w:left w:val="none" w:sz="0" w:space="0" w:color="auto"/>
        <w:bottom w:val="none" w:sz="0" w:space="0" w:color="auto"/>
        <w:right w:val="none" w:sz="0" w:space="0" w:color="auto"/>
      </w:divBdr>
    </w:div>
    <w:div w:id="1443106944">
      <w:bodyDiv w:val="1"/>
      <w:marLeft w:val="0"/>
      <w:marRight w:val="0"/>
      <w:marTop w:val="0"/>
      <w:marBottom w:val="0"/>
      <w:divBdr>
        <w:top w:val="none" w:sz="0" w:space="0" w:color="auto"/>
        <w:left w:val="none" w:sz="0" w:space="0" w:color="auto"/>
        <w:bottom w:val="none" w:sz="0" w:space="0" w:color="auto"/>
        <w:right w:val="none" w:sz="0" w:space="0" w:color="auto"/>
      </w:divBdr>
    </w:div>
    <w:div w:id="1449160495">
      <w:bodyDiv w:val="1"/>
      <w:marLeft w:val="0"/>
      <w:marRight w:val="0"/>
      <w:marTop w:val="0"/>
      <w:marBottom w:val="0"/>
      <w:divBdr>
        <w:top w:val="none" w:sz="0" w:space="0" w:color="auto"/>
        <w:left w:val="none" w:sz="0" w:space="0" w:color="auto"/>
        <w:bottom w:val="none" w:sz="0" w:space="0" w:color="auto"/>
        <w:right w:val="none" w:sz="0" w:space="0" w:color="auto"/>
      </w:divBdr>
      <w:divsChild>
        <w:div w:id="528881237">
          <w:marLeft w:val="0"/>
          <w:marRight w:val="0"/>
          <w:marTop w:val="0"/>
          <w:marBottom w:val="0"/>
          <w:divBdr>
            <w:top w:val="none" w:sz="0" w:space="0" w:color="auto"/>
            <w:left w:val="none" w:sz="0" w:space="0" w:color="auto"/>
            <w:bottom w:val="none" w:sz="0" w:space="0" w:color="auto"/>
            <w:right w:val="none" w:sz="0" w:space="0" w:color="auto"/>
          </w:divBdr>
        </w:div>
      </w:divsChild>
    </w:div>
    <w:div w:id="1478298997">
      <w:bodyDiv w:val="1"/>
      <w:marLeft w:val="0"/>
      <w:marRight w:val="0"/>
      <w:marTop w:val="0"/>
      <w:marBottom w:val="0"/>
      <w:divBdr>
        <w:top w:val="none" w:sz="0" w:space="0" w:color="auto"/>
        <w:left w:val="none" w:sz="0" w:space="0" w:color="auto"/>
        <w:bottom w:val="none" w:sz="0" w:space="0" w:color="auto"/>
        <w:right w:val="none" w:sz="0" w:space="0" w:color="auto"/>
      </w:divBdr>
    </w:div>
    <w:div w:id="1481144681">
      <w:bodyDiv w:val="1"/>
      <w:marLeft w:val="0"/>
      <w:marRight w:val="0"/>
      <w:marTop w:val="0"/>
      <w:marBottom w:val="0"/>
      <w:divBdr>
        <w:top w:val="none" w:sz="0" w:space="0" w:color="auto"/>
        <w:left w:val="none" w:sz="0" w:space="0" w:color="auto"/>
        <w:bottom w:val="none" w:sz="0" w:space="0" w:color="auto"/>
        <w:right w:val="none" w:sz="0" w:space="0" w:color="auto"/>
      </w:divBdr>
    </w:div>
    <w:div w:id="1569459443">
      <w:bodyDiv w:val="1"/>
      <w:marLeft w:val="0"/>
      <w:marRight w:val="0"/>
      <w:marTop w:val="0"/>
      <w:marBottom w:val="0"/>
      <w:divBdr>
        <w:top w:val="none" w:sz="0" w:space="0" w:color="auto"/>
        <w:left w:val="none" w:sz="0" w:space="0" w:color="auto"/>
        <w:bottom w:val="none" w:sz="0" w:space="0" w:color="auto"/>
        <w:right w:val="none" w:sz="0" w:space="0" w:color="auto"/>
      </w:divBdr>
    </w:div>
    <w:div w:id="1571622063">
      <w:bodyDiv w:val="1"/>
      <w:marLeft w:val="0"/>
      <w:marRight w:val="0"/>
      <w:marTop w:val="0"/>
      <w:marBottom w:val="0"/>
      <w:divBdr>
        <w:top w:val="none" w:sz="0" w:space="0" w:color="auto"/>
        <w:left w:val="none" w:sz="0" w:space="0" w:color="auto"/>
        <w:bottom w:val="none" w:sz="0" w:space="0" w:color="auto"/>
        <w:right w:val="none" w:sz="0" w:space="0" w:color="auto"/>
      </w:divBdr>
      <w:divsChild>
        <w:div w:id="1611467849">
          <w:marLeft w:val="0"/>
          <w:marRight w:val="0"/>
          <w:marTop w:val="0"/>
          <w:marBottom w:val="0"/>
          <w:divBdr>
            <w:top w:val="none" w:sz="0" w:space="0" w:color="auto"/>
            <w:left w:val="none" w:sz="0" w:space="0" w:color="auto"/>
            <w:bottom w:val="none" w:sz="0" w:space="0" w:color="auto"/>
            <w:right w:val="none" w:sz="0" w:space="0" w:color="auto"/>
          </w:divBdr>
        </w:div>
      </w:divsChild>
    </w:div>
    <w:div w:id="1573539106">
      <w:bodyDiv w:val="1"/>
      <w:marLeft w:val="0"/>
      <w:marRight w:val="0"/>
      <w:marTop w:val="0"/>
      <w:marBottom w:val="0"/>
      <w:divBdr>
        <w:top w:val="none" w:sz="0" w:space="0" w:color="auto"/>
        <w:left w:val="none" w:sz="0" w:space="0" w:color="auto"/>
        <w:bottom w:val="none" w:sz="0" w:space="0" w:color="auto"/>
        <w:right w:val="none" w:sz="0" w:space="0" w:color="auto"/>
      </w:divBdr>
    </w:div>
    <w:div w:id="1578056468">
      <w:bodyDiv w:val="1"/>
      <w:marLeft w:val="0"/>
      <w:marRight w:val="0"/>
      <w:marTop w:val="0"/>
      <w:marBottom w:val="0"/>
      <w:divBdr>
        <w:top w:val="none" w:sz="0" w:space="0" w:color="auto"/>
        <w:left w:val="none" w:sz="0" w:space="0" w:color="auto"/>
        <w:bottom w:val="none" w:sz="0" w:space="0" w:color="auto"/>
        <w:right w:val="none" w:sz="0" w:space="0" w:color="auto"/>
      </w:divBdr>
    </w:div>
    <w:div w:id="1585215201">
      <w:bodyDiv w:val="1"/>
      <w:marLeft w:val="0"/>
      <w:marRight w:val="0"/>
      <w:marTop w:val="0"/>
      <w:marBottom w:val="0"/>
      <w:divBdr>
        <w:top w:val="none" w:sz="0" w:space="0" w:color="auto"/>
        <w:left w:val="none" w:sz="0" w:space="0" w:color="auto"/>
        <w:bottom w:val="none" w:sz="0" w:space="0" w:color="auto"/>
        <w:right w:val="none" w:sz="0" w:space="0" w:color="auto"/>
      </w:divBdr>
    </w:div>
    <w:div w:id="1608657010">
      <w:bodyDiv w:val="1"/>
      <w:marLeft w:val="0"/>
      <w:marRight w:val="0"/>
      <w:marTop w:val="0"/>
      <w:marBottom w:val="0"/>
      <w:divBdr>
        <w:top w:val="none" w:sz="0" w:space="0" w:color="auto"/>
        <w:left w:val="none" w:sz="0" w:space="0" w:color="auto"/>
        <w:bottom w:val="none" w:sz="0" w:space="0" w:color="auto"/>
        <w:right w:val="none" w:sz="0" w:space="0" w:color="auto"/>
      </w:divBdr>
    </w:div>
    <w:div w:id="1610356467">
      <w:bodyDiv w:val="1"/>
      <w:marLeft w:val="0"/>
      <w:marRight w:val="0"/>
      <w:marTop w:val="0"/>
      <w:marBottom w:val="0"/>
      <w:divBdr>
        <w:top w:val="none" w:sz="0" w:space="0" w:color="auto"/>
        <w:left w:val="none" w:sz="0" w:space="0" w:color="auto"/>
        <w:bottom w:val="none" w:sz="0" w:space="0" w:color="auto"/>
        <w:right w:val="none" w:sz="0" w:space="0" w:color="auto"/>
      </w:divBdr>
    </w:div>
    <w:div w:id="1648632002">
      <w:bodyDiv w:val="1"/>
      <w:marLeft w:val="0"/>
      <w:marRight w:val="0"/>
      <w:marTop w:val="0"/>
      <w:marBottom w:val="0"/>
      <w:divBdr>
        <w:top w:val="none" w:sz="0" w:space="0" w:color="auto"/>
        <w:left w:val="none" w:sz="0" w:space="0" w:color="auto"/>
        <w:bottom w:val="none" w:sz="0" w:space="0" w:color="auto"/>
        <w:right w:val="none" w:sz="0" w:space="0" w:color="auto"/>
      </w:divBdr>
    </w:div>
    <w:div w:id="1682779672">
      <w:bodyDiv w:val="1"/>
      <w:marLeft w:val="0"/>
      <w:marRight w:val="0"/>
      <w:marTop w:val="0"/>
      <w:marBottom w:val="0"/>
      <w:divBdr>
        <w:top w:val="none" w:sz="0" w:space="0" w:color="auto"/>
        <w:left w:val="none" w:sz="0" w:space="0" w:color="auto"/>
        <w:bottom w:val="none" w:sz="0" w:space="0" w:color="auto"/>
        <w:right w:val="none" w:sz="0" w:space="0" w:color="auto"/>
      </w:divBdr>
    </w:div>
    <w:div w:id="1691028547">
      <w:bodyDiv w:val="1"/>
      <w:marLeft w:val="0"/>
      <w:marRight w:val="0"/>
      <w:marTop w:val="0"/>
      <w:marBottom w:val="0"/>
      <w:divBdr>
        <w:top w:val="none" w:sz="0" w:space="0" w:color="auto"/>
        <w:left w:val="none" w:sz="0" w:space="0" w:color="auto"/>
        <w:bottom w:val="none" w:sz="0" w:space="0" w:color="auto"/>
        <w:right w:val="none" w:sz="0" w:space="0" w:color="auto"/>
      </w:divBdr>
    </w:div>
    <w:div w:id="1704404209">
      <w:bodyDiv w:val="1"/>
      <w:marLeft w:val="0"/>
      <w:marRight w:val="0"/>
      <w:marTop w:val="0"/>
      <w:marBottom w:val="0"/>
      <w:divBdr>
        <w:top w:val="none" w:sz="0" w:space="0" w:color="auto"/>
        <w:left w:val="none" w:sz="0" w:space="0" w:color="auto"/>
        <w:bottom w:val="none" w:sz="0" w:space="0" w:color="auto"/>
        <w:right w:val="none" w:sz="0" w:space="0" w:color="auto"/>
      </w:divBdr>
    </w:div>
    <w:div w:id="1716004219">
      <w:bodyDiv w:val="1"/>
      <w:marLeft w:val="0"/>
      <w:marRight w:val="0"/>
      <w:marTop w:val="0"/>
      <w:marBottom w:val="0"/>
      <w:divBdr>
        <w:top w:val="none" w:sz="0" w:space="0" w:color="auto"/>
        <w:left w:val="none" w:sz="0" w:space="0" w:color="auto"/>
        <w:bottom w:val="none" w:sz="0" w:space="0" w:color="auto"/>
        <w:right w:val="none" w:sz="0" w:space="0" w:color="auto"/>
      </w:divBdr>
    </w:div>
    <w:div w:id="1732341923">
      <w:bodyDiv w:val="1"/>
      <w:marLeft w:val="0"/>
      <w:marRight w:val="0"/>
      <w:marTop w:val="0"/>
      <w:marBottom w:val="0"/>
      <w:divBdr>
        <w:top w:val="none" w:sz="0" w:space="0" w:color="auto"/>
        <w:left w:val="none" w:sz="0" w:space="0" w:color="auto"/>
        <w:bottom w:val="none" w:sz="0" w:space="0" w:color="auto"/>
        <w:right w:val="none" w:sz="0" w:space="0" w:color="auto"/>
      </w:divBdr>
    </w:div>
    <w:div w:id="1763722955">
      <w:bodyDiv w:val="1"/>
      <w:marLeft w:val="0"/>
      <w:marRight w:val="0"/>
      <w:marTop w:val="0"/>
      <w:marBottom w:val="0"/>
      <w:divBdr>
        <w:top w:val="none" w:sz="0" w:space="0" w:color="auto"/>
        <w:left w:val="none" w:sz="0" w:space="0" w:color="auto"/>
        <w:bottom w:val="none" w:sz="0" w:space="0" w:color="auto"/>
        <w:right w:val="none" w:sz="0" w:space="0" w:color="auto"/>
      </w:divBdr>
      <w:divsChild>
        <w:div w:id="1686204940">
          <w:marLeft w:val="0"/>
          <w:marRight w:val="0"/>
          <w:marTop w:val="0"/>
          <w:marBottom w:val="0"/>
          <w:divBdr>
            <w:top w:val="none" w:sz="0" w:space="0" w:color="auto"/>
            <w:left w:val="none" w:sz="0" w:space="0" w:color="auto"/>
            <w:bottom w:val="none" w:sz="0" w:space="0" w:color="auto"/>
            <w:right w:val="none" w:sz="0" w:space="0" w:color="auto"/>
          </w:divBdr>
        </w:div>
      </w:divsChild>
    </w:div>
    <w:div w:id="1787506064">
      <w:bodyDiv w:val="1"/>
      <w:marLeft w:val="0"/>
      <w:marRight w:val="0"/>
      <w:marTop w:val="0"/>
      <w:marBottom w:val="0"/>
      <w:divBdr>
        <w:top w:val="none" w:sz="0" w:space="0" w:color="auto"/>
        <w:left w:val="none" w:sz="0" w:space="0" w:color="auto"/>
        <w:bottom w:val="none" w:sz="0" w:space="0" w:color="auto"/>
        <w:right w:val="none" w:sz="0" w:space="0" w:color="auto"/>
      </w:divBdr>
    </w:div>
    <w:div w:id="1808232482">
      <w:bodyDiv w:val="1"/>
      <w:marLeft w:val="0"/>
      <w:marRight w:val="0"/>
      <w:marTop w:val="0"/>
      <w:marBottom w:val="0"/>
      <w:divBdr>
        <w:top w:val="none" w:sz="0" w:space="0" w:color="auto"/>
        <w:left w:val="none" w:sz="0" w:space="0" w:color="auto"/>
        <w:bottom w:val="none" w:sz="0" w:space="0" w:color="auto"/>
        <w:right w:val="none" w:sz="0" w:space="0" w:color="auto"/>
      </w:divBdr>
    </w:div>
    <w:div w:id="1941984855">
      <w:bodyDiv w:val="1"/>
      <w:marLeft w:val="0"/>
      <w:marRight w:val="0"/>
      <w:marTop w:val="0"/>
      <w:marBottom w:val="0"/>
      <w:divBdr>
        <w:top w:val="none" w:sz="0" w:space="0" w:color="auto"/>
        <w:left w:val="none" w:sz="0" w:space="0" w:color="auto"/>
        <w:bottom w:val="none" w:sz="0" w:space="0" w:color="auto"/>
        <w:right w:val="none" w:sz="0" w:space="0" w:color="auto"/>
      </w:divBdr>
    </w:div>
    <w:div w:id="1976638519">
      <w:bodyDiv w:val="1"/>
      <w:marLeft w:val="0"/>
      <w:marRight w:val="0"/>
      <w:marTop w:val="0"/>
      <w:marBottom w:val="0"/>
      <w:divBdr>
        <w:top w:val="none" w:sz="0" w:space="0" w:color="auto"/>
        <w:left w:val="none" w:sz="0" w:space="0" w:color="auto"/>
        <w:bottom w:val="none" w:sz="0" w:space="0" w:color="auto"/>
        <w:right w:val="none" w:sz="0" w:space="0" w:color="auto"/>
      </w:divBdr>
    </w:div>
    <w:div w:id="198751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esktop\ANISAAAA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esktop\ANISAAAA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esktop\ANISAAAA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CAGR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c:f>
              <c:strCache>
                <c:ptCount val="1"/>
                <c:pt idx="0">
                  <c:v>(Pinterest)</c:v>
                </c:pt>
              </c:strCache>
            </c:strRef>
          </c:tx>
          <c:spPr>
            <a:solidFill>
              <a:schemeClr val="accent1"/>
            </a:solidFill>
            <a:ln>
              <a:noFill/>
            </a:ln>
            <a:effectLst/>
          </c:spPr>
          <c:invertIfNegative val="0"/>
          <c:cat>
            <c:strRef>
              <c:f>Sheet3!$A$2:$A$8</c:f>
              <c:strCache>
                <c:ptCount val="2"/>
                <c:pt idx="0">
                  <c:v>CAGR</c:v>
                </c:pt>
                <c:pt idx="1">
                  <c:v>RRI</c:v>
                </c:pt>
              </c:strCache>
            </c:strRef>
          </c:cat>
          <c:val>
            <c:numRef>
              <c:f>Sheet3!$B$2:$B$8</c:f>
              <c:numCache>
                <c:formatCode>0%</c:formatCode>
                <c:ptCount val="2"/>
                <c:pt idx="0">
                  <c:v>0.27861927197445269</c:v>
                </c:pt>
                <c:pt idx="1">
                  <c:v>0.27861927197445269</c:v>
                </c:pt>
              </c:numCache>
            </c:numRef>
          </c:val>
          <c:extLst>
            <c:ext xmlns:c16="http://schemas.microsoft.com/office/drawing/2014/chart" uri="{C3380CC4-5D6E-409C-BE32-E72D297353CC}">
              <c16:uniqueId val="{00000000-CBC1-44D4-BA52-C742184C581F}"/>
            </c:ext>
          </c:extLst>
        </c:ser>
        <c:ser>
          <c:idx val="1"/>
          <c:order val="1"/>
          <c:tx>
            <c:strRef>
              <c:f>Sheet3!$C$1</c:f>
              <c:strCache>
                <c:ptCount val="1"/>
                <c:pt idx="0">
                  <c:v> Nasdaq Composite Index</c:v>
                </c:pt>
              </c:strCache>
            </c:strRef>
          </c:tx>
          <c:spPr>
            <a:solidFill>
              <a:schemeClr val="accent2"/>
            </a:solidFill>
            <a:ln>
              <a:noFill/>
            </a:ln>
            <a:effectLst/>
          </c:spPr>
          <c:invertIfNegative val="0"/>
          <c:cat>
            <c:strRef>
              <c:f>Sheet3!$A$2:$A$8</c:f>
              <c:strCache>
                <c:ptCount val="2"/>
                <c:pt idx="0">
                  <c:v>CAGR</c:v>
                </c:pt>
                <c:pt idx="1">
                  <c:v>RRI</c:v>
                </c:pt>
              </c:strCache>
            </c:strRef>
          </c:cat>
          <c:val>
            <c:numRef>
              <c:f>Sheet3!$C$2:$C$8</c:f>
              <c:numCache>
                <c:formatCode>0%</c:formatCode>
                <c:ptCount val="2"/>
                <c:pt idx="0">
                  <c:v>9.2416833849605862E-2</c:v>
                </c:pt>
                <c:pt idx="1">
                  <c:v>9.2416833849605862E-2</c:v>
                </c:pt>
              </c:numCache>
            </c:numRef>
          </c:val>
          <c:extLst>
            <c:ext xmlns:c16="http://schemas.microsoft.com/office/drawing/2014/chart" uri="{C3380CC4-5D6E-409C-BE32-E72D297353CC}">
              <c16:uniqueId val="{00000001-CBC1-44D4-BA52-C742184C581F}"/>
            </c:ext>
          </c:extLst>
        </c:ser>
        <c:dLbls>
          <c:showLegendKey val="0"/>
          <c:showVal val="0"/>
          <c:showCatName val="0"/>
          <c:showSerName val="0"/>
          <c:showPercent val="0"/>
          <c:showBubbleSize val="0"/>
        </c:dLbls>
        <c:gapWidth val="219"/>
        <c:overlap val="-27"/>
        <c:axId val="553619200"/>
        <c:axId val="553615600"/>
      </c:barChart>
      <c:catAx>
        <c:axId val="553619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615600"/>
        <c:crosses val="autoZero"/>
        <c:auto val="1"/>
        <c:lblAlgn val="ctr"/>
        <c:lblOffset val="100"/>
        <c:noMultiLvlLbl val="0"/>
      </c:catAx>
      <c:valAx>
        <c:axId val="5536156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619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Sharpe &amp; Treynor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Sheet5!$A$2</c:f>
              <c:strCache>
                <c:ptCount val="1"/>
                <c:pt idx="0">
                  <c:v>Sharpe Ratio</c:v>
                </c:pt>
              </c:strCache>
            </c:strRef>
          </c:tx>
          <c:spPr>
            <a:solidFill>
              <a:schemeClr val="accent1"/>
            </a:solidFill>
            <a:ln>
              <a:noFill/>
            </a:ln>
            <a:effectLst/>
          </c:spPr>
          <c:invertIfNegative val="0"/>
          <c:cat>
            <c:strRef>
              <c:f>Sheet5!$B$1:$C$1</c:f>
              <c:strCache>
                <c:ptCount val="2"/>
                <c:pt idx="0">
                  <c:v>Pinterest</c:v>
                </c:pt>
                <c:pt idx="1">
                  <c:v>Nasdaq</c:v>
                </c:pt>
              </c:strCache>
            </c:strRef>
          </c:cat>
          <c:val>
            <c:numRef>
              <c:f>Sheet5!$B$2:$C$2</c:f>
              <c:numCache>
                <c:formatCode>0%</c:formatCode>
                <c:ptCount val="2"/>
                <c:pt idx="0">
                  <c:v>7.0000000000000007E-2</c:v>
                </c:pt>
                <c:pt idx="1">
                  <c:v>0.01</c:v>
                </c:pt>
              </c:numCache>
            </c:numRef>
          </c:val>
          <c:extLst>
            <c:ext xmlns:c16="http://schemas.microsoft.com/office/drawing/2014/chart" uri="{C3380CC4-5D6E-409C-BE32-E72D297353CC}">
              <c16:uniqueId val="{00000000-8A45-4900-B6DD-A839B14138DC}"/>
            </c:ext>
          </c:extLst>
        </c:ser>
        <c:ser>
          <c:idx val="1"/>
          <c:order val="1"/>
          <c:tx>
            <c:strRef>
              <c:f>Sheet5!$A$3</c:f>
              <c:strCache>
                <c:ptCount val="1"/>
                <c:pt idx="0">
                  <c:v>Treynor Ratio</c:v>
                </c:pt>
              </c:strCache>
            </c:strRef>
          </c:tx>
          <c:spPr>
            <a:solidFill>
              <a:schemeClr val="accent2"/>
            </a:solidFill>
            <a:ln>
              <a:noFill/>
            </a:ln>
            <a:effectLst/>
          </c:spPr>
          <c:invertIfNegative val="0"/>
          <c:cat>
            <c:strRef>
              <c:f>Sheet5!$B$1:$C$1</c:f>
              <c:strCache>
                <c:ptCount val="2"/>
                <c:pt idx="0">
                  <c:v>Pinterest</c:v>
                </c:pt>
                <c:pt idx="1">
                  <c:v>Nasdaq</c:v>
                </c:pt>
              </c:strCache>
            </c:strRef>
          </c:cat>
          <c:val>
            <c:numRef>
              <c:f>Sheet5!$B$3:$C$3</c:f>
              <c:numCache>
                <c:formatCode>0%</c:formatCode>
                <c:ptCount val="2"/>
                <c:pt idx="0">
                  <c:v>0.14000000000000001</c:v>
                </c:pt>
                <c:pt idx="1">
                  <c:v>0.04</c:v>
                </c:pt>
              </c:numCache>
            </c:numRef>
          </c:val>
          <c:extLst>
            <c:ext xmlns:c16="http://schemas.microsoft.com/office/drawing/2014/chart" uri="{C3380CC4-5D6E-409C-BE32-E72D297353CC}">
              <c16:uniqueId val="{00000001-8A45-4900-B6DD-A839B14138DC}"/>
            </c:ext>
          </c:extLst>
        </c:ser>
        <c:dLbls>
          <c:showLegendKey val="0"/>
          <c:showVal val="0"/>
          <c:showCatName val="0"/>
          <c:showSerName val="0"/>
          <c:showPercent val="0"/>
          <c:showBubbleSize val="0"/>
        </c:dLbls>
        <c:gapWidth val="219"/>
        <c:overlap val="-27"/>
        <c:axId val="489136904"/>
        <c:axId val="489134024"/>
      </c:barChart>
      <c:catAx>
        <c:axId val="489136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134024"/>
        <c:crosses val="autoZero"/>
        <c:auto val="1"/>
        <c:lblAlgn val="ctr"/>
        <c:lblOffset val="100"/>
        <c:noMultiLvlLbl val="0"/>
      </c:catAx>
      <c:valAx>
        <c:axId val="4891340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136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Call</a:t>
            </a:r>
            <a:r>
              <a:rPr lang="en-US" baseline="0"/>
              <a:t> Option Payoffs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'call option payoffs'!$E$1</c:f>
              <c:strCache>
                <c:ptCount val="1"/>
                <c:pt idx="0">
                  <c:v>Long Call Profit</c:v>
                </c:pt>
              </c:strCache>
            </c:strRef>
          </c:tx>
          <c:spPr>
            <a:ln w="28575" cap="rnd">
              <a:solidFill>
                <a:schemeClr val="accent1"/>
              </a:solidFill>
              <a:round/>
            </a:ln>
            <a:effectLst/>
          </c:spPr>
          <c:marker>
            <c:symbol val="none"/>
          </c:marker>
          <c:cat>
            <c:numRef>
              <c:f>'call option payoffs'!$D$2:$D$17</c:f>
              <c:numCache>
                <c:formatCode>"$"#,##0_);[Red]\("$"#,##0\)</c:formatCode>
                <c:ptCount val="1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cat>
          <c:val>
            <c:numRef>
              <c:f>'call option payoffs'!$E$2:$E$17</c:f>
              <c:numCache>
                <c:formatCode>"$"#,##0.00_);[Red]\("$"#,##0.00\)</c:formatCode>
                <c:ptCount val="16"/>
                <c:pt idx="0">
                  <c:v>-10</c:v>
                </c:pt>
                <c:pt idx="1">
                  <c:v>-10</c:v>
                </c:pt>
                <c:pt idx="2">
                  <c:v>-10</c:v>
                </c:pt>
                <c:pt idx="3">
                  <c:v>-10</c:v>
                </c:pt>
                <c:pt idx="4">
                  <c:v>-10</c:v>
                </c:pt>
                <c:pt idx="5">
                  <c:v>-10</c:v>
                </c:pt>
                <c:pt idx="6">
                  <c:v>-10</c:v>
                </c:pt>
                <c:pt idx="7">
                  <c:v>-10</c:v>
                </c:pt>
                <c:pt idx="8">
                  <c:v>-10</c:v>
                </c:pt>
                <c:pt idx="9">
                  <c:v>-10</c:v>
                </c:pt>
                <c:pt idx="10">
                  <c:v>-10</c:v>
                </c:pt>
                <c:pt idx="11">
                  <c:v>0</c:v>
                </c:pt>
                <c:pt idx="12">
                  <c:v>10</c:v>
                </c:pt>
                <c:pt idx="13">
                  <c:v>20</c:v>
                </c:pt>
                <c:pt idx="14">
                  <c:v>30</c:v>
                </c:pt>
                <c:pt idx="15">
                  <c:v>40</c:v>
                </c:pt>
              </c:numCache>
            </c:numRef>
          </c:val>
          <c:smooth val="0"/>
          <c:extLst>
            <c:ext xmlns:c16="http://schemas.microsoft.com/office/drawing/2014/chart" uri="{C3380CC4-5D6E-409C-BE32-E72D297353CC}">
              <c16:uniqueId val="{00000000-FF28-4BC0-AD49-B4C907EEA863}"/>
            </c:ext>
          </c:extLst>
        </c:ser>
        <c:ser>
          <c:idx val="1"/>
          <c:order val="1"/>
          <c:tx>
            <c:strRef>
              <c:f>'call option payoffs'!$F$1</c:f>
              <c:strCache>
                <c:ptCount val="1"/>
                <c:pt idx="0">
                  <c:v>Short Call Profit</c:v>
                </c:pt>
              </c:strCache>
            </c:strRef>
          </c:tx>
          <c:spPr>
            <a:ln w="28575" cap="rnd">
              <a:solidFill>
                <a:schemeClr val="accent2"/>
              </a:solidFill>
              <a:round/>
            </a:ln>
            <a:effectLst/>
          </c:spPr>
          <c:marker>
            <c:symbol val="none"/>
          </c:marker>
          <c:cat>
            <c:numRef>
              <c:f>'call option payoffs'!$D$2:$D$17</c:f>
              <c:numCache>
                <c:formatCode>"$"#,##0_);[Red]\("$"#,##0\)</c:formatCode>
                <c:ptCount val="1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cat>
          <c:val>
            <c:numRef>
              <c:f>'call option payoffs'!$F$2:$F$17</c:f>
              <c:numCache>
                <c:formatCode>"$"#,##0.00_);[Red]\("$"#,##0.00\)</c:formatCode>
                <c:ptCount val="16"/>
                <c:pt idx="0">
                  <c:v>10</c:v>
                </c:pt>
                <c:pt idx="1">
                  <c:v>10</c:v>
                </c:pt>
                <c:pt idx="2">
                  <c:v>10</c:v>
                </c:pt>
                <c:pt idx="3">
                  <c:v>10</c:v>
                </c:pt>
                <c:pt idx="4">
                  <c:v>10</c:v>
                </c:pt>
                <c:pt idx="5">
                  <c:v>10</c:v>
                </c:pt>
                <c:pt idx="6">
                  <c:v>10</c:v>
                </c:pt>
                <c:pt idx="7">
                  <c:v>10</c:v>
                </c:pt>
                <c:pt idx="8">
                  <c:v>10</c:v>
                </c:pt>
                <c:pt idx="9">
                  <c:v>10</c:v>
                </c:pt>
                <c:pt idx="10">
                  <c:v>10</c:v>
                </c:pt>
                <c:pt idx="11">
                  <c:v>0</c:v>
                </c:pt>
                <c:pt idx="12">
                  <c:v>-10</c:v>
                </c:pt>
                <c:pt idx="13">
                  <c:v>-20</c:v>
                </c:pt>
                <c:pt idx="14">
                  <c:v>-30</c:v>
                </c:pt>
                <c:pt idx="15">
                  <c:v>-40</c:v>
                </c:pt>
              </c:numCache>
            </c:numRef>
          </c:val>
          <c:smooth val="0"/>
          <c:extLst>
            <c:ext xmlns:c16="http://schemas.microsoft.com/office/drawing/2014/chart" uri="{C3380CC4-5D6E-409C-BE32-E72D297353CC}">
              <c16:uniqueId val="{00000001-FF28-4BC0-AD49-B4C907EEA863}"/>
            </c:ext>
          </c:extLst>
        </c:ser>
        <c:dLbls>
          <c:showLegendKey val="0"/>
          <c:showVal val="0"/>
          <c:showCatName val="0"/>
          <c:showSerName val="0"/>
          <c:showPercent val="0"/>
          <c:showBubbleSize val="0"/>
        </c:dLbls>
        <c:smooth val="0"/>
        <c:axId val="391932656"/>
        <c:axId val="489051480"/>
      </c:lineChart>
      <c:catAx>
        <c:axId val="391932656"/>
        <c:scaling>
          <c:orientation val="minMax"/>
        </c:scaling>
        <c:delete val="0"/>
        <c:axPos val="b"/>
        <c:numFmt formatCode="&quot;$&quot;#,##0_);[Red]\(&quot;$&quot;#,##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051480"/>
        <c:crosses val="autoZero"/>
        <c:auto val="1"/>
        <c:lblAlgn val="ctr"/>
        <c:lblOffset val="100"/>
        <c:noMultiLvlLbl val="0"/>
      </c:catAx>
      <c:valAx>
        <c:axId val="48905148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932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Put Option</a:t>
            </a:r>
            <a:r>
              <a:rPr lang="en-US" baseline="0"/>
              <a:t> Payoffs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'put option payoffs'!$E$1</c:f>
              <c:strCache>
                <c:ptCount val="1"/>
                <c:pt idx="0">
                  <c:v>Long Call Profit</c:v>
                </c:pt>
              </c:strCache>
            </c:strRef>
          </c:tx>
          <c:spPr>
            <a:ln w="28575" cap="rnd">
              <a:solidFill>
                <a:schemeClr val="accent1"/>
              </a:solidFill>
              <a:round/>
            </a:ln>
            <a:effectLst/>
          </c:spPr>
          <c:marker>
            <c:symbol val="none"/>
          </c:marker>
          <c:cat>
            <c:numRef>
              <c:f>'put option payoffs'!$D$2:$D$17</c:f>
              <c:numCache>
                <c:formatCode>"$"#,##0.00_);[Red]\("$"#,##0.00\)</c:formatCode>
                <c:ptCount val="16"/>
                <c:pt idx="0" formatCode="&quot;$&quot;#,##0_);[Red]\(&quot;$&quot;#,##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cat>
          <c:val>
            <c:numRef>
              <c:f>'put option payoffs'!$E$2:$E$17</c:f>
              <c:numCache>
                <c:formatCode>"$"#,##0_);[Red]\("$"#,##0\)</c:formatCode>
                <c:ptCount val="16"/>
                <c:pt idx="0">
                  <c:v>90</c:v>
                </c:pt>
                <c:pt idx="1">
                  <c:v>80</c:v>
                </c:pt>
                <c:pt idx="2">
                  <c:v>70</c:v>
                </c:pt>
                <c:pt idx="3">
                  <c:v>60</c:v>
                </c:pt>
                <c:pt idx="4">
                  <c:v>50</c:v>
                </c:pt>
                <c:pt idx="5">
                  <c:v>40</c:v>
                </c:pt>
                <c:pt idx="6">
                  <c:v>30</c:v>
                </c:pt>
                <c:pt idx="7">
                  <c:v>20</c:v>
                </c:pt>
                <c:pt idx="8">
                  <c:v>10</c:v>
                </c:pt>
                <c:pt idx="9">
                  <c:v>0</c:v>
                </c:pt>
                <c:pt idx="10">
                  <c:v>-10</c:v>
                </c:pt>
                <c:pt idx="11">
                  <c:v>-10</c:v>
                </c:pt>
                <c:pt idx="12">
                  <c:v>-10</c:v>
                </c:pt>
                <c:pt idx="13">
                  <c:v>-10</c:v>
                </c:pt>
                <c:pt idx="14">
                  <c:v>-10</c:v>
                </c:pt>
                <c:pt idx="15">
                  <c:v>-10</c:v>
                </c:pt>
              </c:numCache>
            </c:numRef>
          </c:val>
          <c:smooth val="0"/>
          <c:extLst>
            <c:ext xmlns:c16="http://schemas.microsoft.com/office/drawing/2014/chart" uri="{C3380CC4-5D6E-409C-BE32-E72D297353CC}">
              <c16:uniqueId val="{00000000-5CDE-4B11-9818-31B449C4C9B3}"/>
            </c:ext>
          </c:extLst>
        </c:ser>
        <c:ser>
          <c:idx val="1"/>
          <c:order val="1"/>
          <c:tx>
            <c:strRef>
              <c:f>'put option payoffs'!$F$1</c:f>
              <c:strCache>
                <c:ptCount val="1"/>
                <c:pt idx="0">
                  <c:v>Short Call Profit</c:v>
                </c:pt>
              </c:strCache>
            </c:strRef>
          </c:tx>
          <c:spPr>
            <a:ln w="28575" cap="rnd">
              <a:solidFill>
                <a:schemeClr val="accent2"/>
              </a:solidFill>
              <a:round/>
            </a:ln>
            <a:effectLst/>
          </c:spPr>
          <c:marker>
            <c:symbol val="none"/>
          </c:marker>
          <c:cat>
            <c:numRef>
              <c:f>'put option payoffs'!$D$2:$D$17</c:f>
              <c:numCache>
                <c:formatCode>"$"#,##0.00_);[Red]\("$"#,##0.00\)</c:formatCode>
                <c:ptCount val="16"/>
                <c:pt idx="0" formatCode="&quot;$&quot;#,##0_);[Red]\(&quot;$&quot;#,##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cat>
          <c:val>
            <c:numRef>
              <c:f>'put option payoffs'!$F$2:$F$17</c:f>
              <c:numCache>
                <c:formatCode>"$"#,##0.00_);[Red]\("$"#,##0.00\)</c:formatCode>
                <c:ptCount val="16"/>
                <c:pt idx="0">
                  <c:v>-90</c:v>
                </c:pt>
                <c:pt idx="1">
                  <c:v>-80</c:v>
                </c:pt>
                <c:pt idx="2">
                  <c:v>-70</c:v>
                </c:pt>
                <c:pt idx="3">
                  <c:v>-60</c:v>
                </c:pt>
                <c:pt idx="4">
                  <c:v>-50</c:v>
                </c:pt>
                <c:pt idx="5">
                  <c:v>-40</c:v>
                </c:pt>
                <c:pt idx="6">
                  <c:v>-30</c:v>
                </c:pt>
                <c:pt idx="7">
                  <c:v>-20</c:v>
                </c:pt>
                <c:pt idx="8">
                  <c:v>-10</c:v>
                </c:pt>
                <c:pt idx="9">
                  <c:v>0</c:v>
                </c:pt>
                <c:pt idx="10">
                  <c:v>10</c:v>
                </c:pt>
                <c:pt idx="11">
                  <c:v>10</c:v>
                </c:pt>
                <c:pt idx="12">
                  <c:v>10</c:v>
                </c:pt>
                <c:pt idx="13">
                  <c:v>10</c:v>
                </c:pt>
                <c:pt idx="14">
                  <c:v>10</c:v>
                </c:pt>
                <c:pt idx="15">
                  <c:v>10</c:v>
                </c:pt>
              </c:numCache>
            </c:numRef>
          </c:val>
          <c:smooth val="0"/>
          <c:extLst>
            <c:ext xmlns:c16="http://schemas.microsoft.com/office/drawing/2014/chart" uri="{C3380CC4-5D6E-409C-BE32-E72D297353CC}">
              <c16:uniqueId val="{00000001-5CDE-4B11-9818-31B449C4C9B3}"/>
            </c:ext>
          </c:extLst>
        </c:ser>
        <c:dLbls>
          <c:showLegendKey val="0"/>
          <c:showVal val="0"/>
          <c:showCatName val="0"/>
          <c:showSerName val="0"/>
          <c:showPercent val="0"/>
          <c:showBubbleSize val="0"/>
        </c:dLbls>
        <c:smooth val="0"/>
        <c:axId val="327431344"/>
        <c:axId val="539211840"/>
      </c:lineChart>
      <c:catAx>
        <c:axId val="327431344"/>
        <c:scaling>
          <c:orientation val="minMax"/>
        </c:scaling>
        <c:delete val="0"/>
        <c:axPos val="b"/>
        <c:numFmt formatCode="&quot;$&quot;#,##0_);[Red]\(&quot;$&quot;#,##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9211840"/>
        <c:crosses val="autoZero"/>
        <c:auto val="1"/>
        <c:lblAlgn val="ctr"/>
        <c:lblOffset val="100"/>
        <c:noMultiLvlLbl val="0"/>
      </c:catAx>
      <c:valAx>
        <c:axId val="53921184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431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nchor="ctr" anchorCtr="0"/>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CBC98-FDDB-4E2B-B01B-50E8495D7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4972</Words>
  <Characters>28342</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 Malik</dc:creator>
  <cp:keywords/>
  <dc:description/>
  <cp:lastModifiedBy>Anisa Salianji</cp:lastModifiedBy>
  <cp:revision>2</cp:revision>
  <dcterms:created xsi:type="dcterms:W3CDTF">2024-04-29T22:32:00Z</dcterms:created>
  <dcterms:modified xsi:type="dcterms:W3CDTF">2024-04-29T22:32:00Z</dcterms:modified>
</cp:coreProperties>
</file>