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68A27" w14:textId="02C08232" w:rsidR="00BF0573" w:rsidRDefault="00BF0573" w:rsidP="00882A67">
      <w:pPr>
        <w:spacing w:line="720" w:lineRule="auto"/>
        <w:jc w:val="both"/>
        <w:rPr>
          <w:rFonts w:ascii="Arial" w:hAnsi="Arial" w:cs="Arial"/>
          <w:b/>
          <w:bCs/>
          <w:sz w:val="22"/>
          <w:szCs w:val="22"/>
        </w:rPr>
      </w:pPr>
      <w:r w:rsidRPr="00074402">
        <w:rPr>
          <w:rFonts w:ascii="Arial" w:hAnsi="Arial" w:cs="Arial"/>
          <w:noProof/>
        </w:rPr>
        <w:drawing>
          <wp:anchor distT="0" distB="0" distL="114300" distR="114300" simplePos="0" relativeHeight="251673600" behindDoc="0" locked="0" layoutInCell="1" allowOverlap="1" wp14:anchorId="2E4F5B75" wp14:editId="11D9B482">
            <wp:simplePos x="0" y="0"/>
            <wp:positionH relativeFrom="column">
              <wp:posOffset>-154236</wp:posOffset>
            </wp:positionH>
            <wp:positionV relativeFrom="paragraph">
              <wp:posOffset>38</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9D81C3F" w14:textId="77777777" w:rsidR="00BF0573" w:rsidRDefault="00BF0573" w:rsidP="00882A67">
      <w:pPr>
        <w:spacing w:line="720" w:lineRule="auto"/>
        <w:jc w:val="both"/>
        <w:rPr>
          <w:rFonts w:ascii="Arial" w:hAnsi="Arial" w:cs="Arial"/>
          <w:b/>
          <w:bCs/>
          <w:sz w:val="22"/>
          <w:szCs w:val="22"/>
        </w:rPr>
      </w:pPr>
    </w:p>
    <w:p w14:paraId="1BB7DAB7" w14:textId="69E547F9" w:rsidR="00882A67" w:rsidRPr="00814490" w:rsidRDefault="001A124A" w:rsidP="00882A67">
      <w:pPr>
        <w:spacing w:line="720" w:lineRule="auto"/>
        <w:jc w:val="both"/>
        <w:rPr>
          <w:rFonts w:ascii="Arial" w:hAnsi="Arial" w:cs="Arial"/>
          <w:b/>
          <w:bCs/>
          <w:sz w:val="22"/>
          <w:szCs w:val="22"/>
        </w:rPr>
      </w:pPr>
      <w:r>
        <w:rPr>
          <w:rFonts w:ascii="Arial" w:hAnsi="Arial" w:cs="Arial"/>
          <w:b/>
          <w:bCs/>
          <w:sz w:val="22"/>
          <w:szCs w:val="22"/>
        </w:rPr>
        <w:t>STUDENT NAME</w:t>
      </w:r>
      <w:r w:rsidR="00882A67" w:rsidRPr="00814490">
        <w:rPr>
          <w:rFonts w:ascii="Arial" w:hAnsi="Arial" w:cs="Arial"/>
          <w:b/>
          <w:bCs/>
          <w:sz w:val="22"/>
          <w:szCs w:val="22"/>
        </w:rPr>
        <w:t>:</w:t>
      </w:r>
      <w:r w:rsidR="001108AF" w:rsidRPr="00814490">
        <w:rPr>
          <w:rFonts w:ascii="Arial" w:hAnsi="Arial" w:cs="Arial"/>
          <w:b/>
          <w:bCs/>
          <w:sz w:val="22"/>
          <w:szCs w:val="22"/>
        </w:rPr>
        <w:t xml:space="preserve"> </w:t>
      </w:r>
      <w:r w:rsidR="00666A82" w:rsidRPr="00814490">
        <w:rPr>
          <w:rFonts w:ascii="Arial" w:hAnsi="Arial" w:cs="Arial"/>
          <w:sz w:val="22"/>
          <w:szCs w:val="22"/>
        </w:rPr>
        <w:t>GALAUS ANNIEVER MALIBIRAN</w:t>
      </w:r>
    </w:p>
    <w:p w14:paraId="685E460F" w14:textId="20B564B5" w:rsidR="00F96191" w:rsidRPr="00BF0573" w:rsidRDefault="001A124A" w:rsidP="00BF0573">
      <w:pPr>
        <w:spacing w:line="720" w:lineRule="auto"/>
        <w:jc w:val="both"/>
        <w:rPr>
          <w:rFonts w:ascii="Arial" w:hAnsi="Arial" w:cs="Arial"/>
          <w:b/>
          <w:bCs/>
          <w:sz w:val="22"/>
          <w:szCs w:val="22"/>
        </w:rPr>
      </w:pPr>
      <w:r>
        <w:rPr>
          <w:rFonts w:ascii="Arial" w:hAnsi="Arial" w:cs="Arial"/>
          <w:b/>
          <w:bCs/>
          <w:sz w:val="22"/>
          <w:szCs w:val="22"/>
        </w:rPr>
        <w:t>STUDENT NUMBER</w:t>
      </w:r>
      <w:r w:rsidR="00882A67" w:rsidRPr="00814490">
        <w:rPr>
          <w:rFonts w:ascii="Arial" w:hAnsi="Arial" w:cs="Arial"/>
          <w:b/>
          <w:bCs/>
          <w:sz w:val="22"/>
          <w:szCs w:val="22"/>
        </w:rPr>
        <w:t>:</w:t>
      </w:r>
      <w:r w:rsidR="001108AF" w:rsidRPr="00814490">
        <w:rPr>
          <w:rFonts w:ascii="Arial" w:hAnsi="Arial" w:cs="Arial"/>
          <w:sz w:val="22"/>
          <w:szCs w:val="22"/>
        </w:rPr>
        <w:t xml:space="preserve"> 2508028</w:t>
      </w:r>
    </w:p>
    <w:p w14:paraId="03B2960E" w14:textId="583F9F83" w:rsidR="00882A67" w:rsidRPr="00814490" w:rsidRDefault="001A124A" w:rsidP="00882A67">
      <w:pPr>
        <w:spacing w:line="720" w:lineRule="auto"/>
        <w:ind w:left="1440" w:hanging="1440"/>
        <w:jc w:val="both"/>
        <w:rPr>
          <w:rFonts w:ascii="Arial" w:eastAsia="Arial" w:hAnsi="Arial" w:cs="Arial"/>
          <w:b/>
          <w:sz w:val="22"/>
          <w:szCs w:val="22"/>
        </w:rPr>
      </w:pPr>
      <w:r>
        <w:rPr>
          <w:rFonts w:ascii="Arial" w:hAnsi="Arial" w:cs="Arial"/>
          <w:b/>
          <w:bCs/>
          <w:sz w:val="22"/>
          <w:szCs w:val="22"/>
        </w:rPr>
        <w:t>MODULE</w:t>
      </w:r>
      <w:r w:rsidR="00882A67" w:rsidRPr="00814490">
        <w:rPr>
          <w:rFonts w:ascii="Arial" w:hAnsi="Arial" w:cs="Arial"/>
          <w:b/>
          <w:bCs/>
          <w:sz w:val="22"/>
          <w:szCs w:val="22"/>
        </w:rPr>
        <w:t>:</w:t>
      </w:r>
      <w:r>
        <w:rPr>
          <w:rFonts w:ascii="Arial" w:hAnsi="Arial" w:cs="Arial"/>
          <w:b/>
          <w:bCs/>
          <w:sz w:val="22"/>
          <w:szCs w:val="22"/>
        </w:rPr>
        <w:t xml:space="preserve"> </w:t>
      </w:r>
      <w:r w:rsidR="007848FC">
        <w:rPr>
          <w:rFonts w:ascii="Arial" w:hAnsi="Arial" w:cs="Arial"/>
          <w:sz w:val="22"/>
          <w:szCs w:val="22"/>
        </w:rPr>
        <w:t>INTRODUCTION TO PUBLIC HEALTH</w:t>
      </w:r>
    </w:p>
    <w:p w14:paraId="75333A13" w14:textId="2A87AC3A" w:rsidR="00882A67" w:rsidRPr="00814490" w:rsidRDefault="001A124A" w:rsidP="00882A67">
      <w:pPr>
        <w:spacing w:line="720" w:lineRule="auto"/>
        <w:ind w:left="1440" w:hanging="1440"/>
        <w:jc w:val="both"/>
        <w:rPr>
          <w:rFonts w:ascii="Arial" w:eastAsia="Arial" w:hAnsi="Arial" w:cs="Arial"/>
          <w:b/>
          <w:sz w:val="22"/>
          <w:szCs w:val="22"/>
        </w:rPr>
      </w:pPr>
      <w:r>
        <w:rPr>
          <w:rFonts w:ascii="Arial" w:hAnsi="Arial" w:cs="Arial"/>
          <w:b/>
          <w:bCs/>
          <w:sz w:val="22"/>
          <w:szCs w:val="22"/>
        </w:rPr>
        <w:t>MODULE CODE:</w:t>
      </w:r>
      <w:r w:rsidR="00882A67" w:rsidRPr="00814490">
        <w:rPr>
          <w:rFonts w:ascii="Arial" w:hAnsi="Arial" w:cs="Arial"/>
          <w:b/>
          <w:bCs/>
          <w:sz w:val="22"/>
          <w:szCs w:val="22"/>
        </w:rPr>
        <w:t xml:space="preserve">  </w:t>
      </w:r>
      <w:r w:rsidR="00882A67" w:rsidRPr="00814490">
        <w:rPr>
          <w:rFonts w:ascii="Arial" w:eastAsia="Arial" w:hAnsi="Arial" w:cs="Arial"/>
          <w:bCs/>
          <w:sz w:val="22"/>
          <w:szCs w:val="22"/>
        </w:rPr>
        <w:t>LCHS4008</w:t>
      </w:r>
    </w:p>
    <w:p w14:paraId="4947E470" w14:textId="00BE4E25" w:rsidR="00882A67" w:rsidRPr="00814490" w:rsidRDefault="00911279" w:rsidP="00882A67">
      <w:pPr>
        <w:spacing w:line="720" w:lineRule="auto"/>
        <w:ind w:left="1440" w:hanging="1440"/>
        <w:jc w:val="both"/>
        <w:rPr>
          <w:rFonts w:ascii="Arial" w:eastAsia="Arial" w:hAnsi="Arial" w:cs="Arial"/>
          <w:b/>
          <w:sz w:val="22"/>
          <w:szCs w:val="22"/>
        </w:rPr>
      </w:pPr>
      <w:r>
        <w:rPr>
          <w:rFonts w:ascii="Arial" w:hAnsi="Arial" w:cs="Arial"/>
          <w:b/>
          <w:bCs/>
          <w:sz w:val="22"/>
          <w:szCs w:val="22"/>
        </w:rPr>
        <w:t>LECTURER</w:t>
      </w:r>
      <w:r w:rsidR="00882A67" w:rsidRPr="00814490">
        <w:rPr>
          <w:rFonts w:ascii="Arial" w:hAnsi="Arial" w:cs="Arial"/>
          <w:b/>
          <w:bCs/>
          <w:sz w:val="22"/>
          <w:szCs w:val="22"/>
        </w:rPr>
        <w:t xml:space="preserve">: </w:t>
      </w:r>
      <w:r w:rsidR="00F96191" w:rsidRPr="00814490">
        <w:rPr>
          <w:rFonts w:ascii="Arial" w:hAnsi="Arial" w:cs="Arial"/>
          <w:b/>
          <w:bCs/>
          <w:sz w:val="22"/>
          <w:szCs w:val="22"/>
        </w:rPr>
        <w:tab/>
      </w:r>
      <w:r w:rsidR="001A124A">
        <w:rPr>
          <w:rFonts w:ascii="Arial" w:eastAsia="Arial" w:hAnsi="Arial" w:cs="Arial"/>
          <w:bCs/>
          <w:sz w:val="22"/>
          <w:szCs w:val="22"/>
        </w:rPr>
        <w:t>MR. ARIF AHMED</w:t>
      </w:r>
    </w:p>
    <w:p w14:paraId="01652E55" w14:textId="2933005D" w:rsidR="00882A67" w:rsidRPr="00911279" w:rsidRDefault="00BF0573" w:rsidP="00911279">
      <w:pPr>
        <w:spacing w:line="720" w:lineRule="auto"/>
        <w:ind w:left="1440" w:hanging="1440"/>
        <w:jc w:val="both"/>
        <w:rPr>
          <w:rFonts w:ascii="Arial" w:hAnsi="Arial" w:cs="Arial"/>
          <w:bCs/>
          <w:sz w:val="22"/>
          <w:szCs w:val="22"/>
        </w:rPr>
      </w:pPr>
      <w:r>
        <w:rPr>
          <w:rFonts w:ascii="Arial" w:eastAsia="Arial" w:hAnsi="Arial" w:cs="Arial"/>
          <w:b/>
          <w:sz w:val="22"/>
          <w:szCs w:val="22"/>
        </w:rPr>
        <w:t>SUBMISSION DATE</w:t>
      </w:r>
      <w:r w:rsidR="00882A67" w:rsidRPr="00814490">
        <w:rPr>
          <w:rFonts w:ascii="Arial" w:eastAsia="Arial" w:hAnsi="Arial" w:cs="Arial"/>
          <w:b/>
          <w:sz w:val="22"/>
          <w:szCs w:val="22"/>
        </w:rPr>
        <w:t>:</w:t>
      </w:r>
      <w:r w:rsidR="00911279">
        <w:rPr>
          <w:rFonts w:ascii="Arial" w:eastAsia="Arial" w:hAnsi="Arial" w:cs="Arial"/>
          <w:b/>
          <w:sz w:val="22"/>
          <w:szCs w:val="22"/>
        </w:rPr>
        <w:t xml:space="preserve"> </w:t>
      </w:r>
      <w:r w:rsidR="00911279" w:rsidRPr="00911279">
        <w:rPr>
          <w:rFonts w:ascii="Arial" w:eastAsia="Arial" w:hAnsi="Arial" w:cs="Arial"/>
          <w:bCs/>
          <w:sz w:val="22"/>
          <w:szCs w:val="22"/>
        </w:rPr>
        <w:t>APRI</w:t>
      </w:r>
      <w:r w:rsidR="00911279" w:rsidRPr="00911279">
        <w:rPr>
          <w:rFonts w:ascii="Arial" w:hAnsi="Arial" w:cs="Arial"/>
          <w:bCs/>
          <w:sz w:val="22"/>
          <w:szCs w:val="22"/>
        </w:rPr>
        <w:t>L 21</w:t>
      </w:r>
      <w:r w:rsidR="007848FC" w:rsidRPr="00911279">
        <w:rPr>
          <w:rFonts w:ascii="Arial" w:hAnsi="Arial" w:cs="Arial"/>
          <w:bCs/>
          <w:sz w:val="22"/>
          <w:szCs w:val="22"/>
        </w:rPr>
        <w:t>, 2026</w:t>
      </w:r>
    </w:p>
    <w:p w14:paraId="21AF2023" w14:textId="77777777" w:rsidR="00882A67" w:rsidRPr="00814490" w:rsidRDefault="00882A67" w:rsidP="00882A67">
      <w:pPr>
        <w:spacing w:line="360" w:lineRule="auto"/>
        <w:jc w:val="both"/>
        <w:rPr>
          <w:rFonts w:ascii="Arial" w:hAnsi="Arial" w:cs="Arial"/>
          <w:b/>
          <w:bCs/>
          <w:sz w:val="22"/>
          <w:szCs w:val="22"/>
        </w:rPr>
      </w:pPr>
    </w:p>
    <w:p w14:paraId="5670AD77" w14:textId="77777777" w:rsidR="00882A67" w:rsidRPr="00814490" w:rsidRDefault="00882A67" w:rsidP="00882A67">
      <w:pPr>
        <w:spacing w:line="360" w:lineRule="auto"/>
        <w:jc w:val="both"/>
        <w:rPr>
          <w:rFonts w:ascii="Arial" w:hAnsi="Arial" w:cs="Arial"/>
          <w:b/>
          <w:bCs/>
          <w:sz w:val="22"/>
          <w:szCs w:val="22"/>
        </w:rPr>
      </w:pPr>
    </w:p>
    <w:p w14:paraId="3BBB8FE6" w14:textId="77777777" w:rsidR="00882A67" w:rsidRPr="00814490" w:rsidRDefault="00882A67" w:rsidP="00882A67">
      <w:pPr>
        <w:spacing w:line="360" w:lineRule="auto"/>
        <w:jc w:val="both"/>
        <w:rPr>
          <w:rFonts w:ascii="Arial" w:hAnsi="Arial" w:cs="Arial"/>
          <w:b/>
          <w:bCs/>
          <w:sz w:val="22"/>
          <w:szCs w:val="22"/>
        </w:rPr>
      </w:pPr>
    </w:p>
    <w:p w14:paraId="258C4EBC" w14:textId="77777777" w:rsidR="00882A67" w:rsidRPr="00814490" w:rsidRDefault="00882A67" w:rsidP="00882A67">
      <w:pPr>
        <w:spacing w:line="360" w:lineRule="auto"/>
        <w:jc w:val="both"/>
        <w:rPr>
          <w:rFonts w:ascii="Arial" w:hAnsi="Arial" w:cs="Arial"/>
          <w:b/>
          <w:bCs/>
          <w:sz w:val="22"/>
          <w:szCs w:val="22"/>
        </w:rPr>
      </w:pPr>
    </w:p>
    <w:p w14:paraId="12B55685" w14:textId="77777777" w:rsidR="00D54761" w:rsidRDefault="00D54761" w:rsidP="00882A67">
      <w:pPr>
        <w:spacing w:line="360" w:lineRule="auto"/>
        <w:jc w:val="both"/>
        <w:rPr>
          <w:rFonts w:ascii="Arial" w:hAnsi="Arial" w:cs="Arial"/>
          <w:b/>
          <w:bCs/>
          <w:sz w:val="22"/>
          <w:szCs w:val="22"/>
        </w:rPr>
      </w:pPr>
    </w:p>
    <w:p w14:paraId="51C4E616" w14:textId="77777777" w:rsidR="00AE4C8C" w:rsidRDefault="00AE4C8C" w:rsidP="00882A67">
      <w:pPr>
        <w:spacing w:line="360" w:lineRule="auto"/>
        <w:jc w:val="both"/>
        <w:rPr>
          <w:rFonts w:ascii="Arial" w:hAnsi="Arial" w:cs="Arial"/>
          <w:b/>
          <w:bCs/>
          <w:sz w:val="22"/>
          <w:szCs w:val="22"/>
        </w:rPr>
      </w:pPr>
    </w:p>
    <w:p w14:paraId="6AFAD0BD" w14:textId="77777777" w:rsidR="007848FC" w:rsidRDefault="007848FC" w:rsidP="00882A67">
      <w:pPr>
        <w:spacing w:line="360" w:lineRule="auto"/>
        <w:jc w:val="both"/>
        <w:rPr>
          <w:rFonts w:ascii="Arial" w:hAnsi="Arial" w:cs="Arial"/>
          <w:b/>
          <w:bCs/>
          <w:sz w:val="22"/>
          <w:szCs w:val="22"/>
        </w:rPr>
      </w:pPr>
    </w:p>
    <w:p w14:paraId="7319C9A4" w14:textId="77777777" w:rsidR="007848FC" w:rsidRDefault="007848FC" w:rsidP="00882A67">
      <w:pPr>
        <w:spacing w:line="360" w:lineRule="auto"/>
        <w:jc w:val="both"/>
        <w:rPr>
          <w:rFonts w:ascii="Arial" w:hAnsi="Arial" w:cs="Arial"/>
          <w:b/>
          <w:bCs/>
          <w:sz w:val="22"/>
          <w:szCs w:val="22"/>
        </w:rPr>
      </w:pPr>
    </w:p>
    <w:p w14:paraId="674A903D" w14:textId="77777777" w:rsidR="007848FC" w:rsidRDefault="007848FC" w:rsidP="00882A67">
      <w:pPr>
        <w:spacing w:line="360" w:lineRule="auto"/>
        <w:jc w:val="both"/>
        <w:rPr>
          <w:rFonts w:ascii="Arial" w:hAnsi="Arial" w:cs="Arial"/>
          <w:b/>
          <w:bCs/>
          <w:sz w:val="22"/>
          <w:szCs w:val="22"/>
        </w:rPr>
      </w:pPr>
    </w:p>
    <w:p w14:paraId="4C4E3F86" w14:textId="77777777" w:rsidR="007848FC" w:rsidRDefault="007848FC" w:rsidP="00882A67">
      <w:pPr>
        <w:spacing w:line="360" w:lineRule="auto"/>
        <w:jc w:val="both"/>
        <w:rPr>
          <w:rFonts w:ascii="Arial" w:hAnsi="Arial" w:cs="Arial"/>
          <w:b/>
          <w:bCs/>
          <w:sz w:val="22"/>
          <w:szCs w:val="22"/>
        </w:rPr>
      </w:pPr>
    </w:p>
    <w:p w14:paraId="09A27E61" w14:textId="77777777" w:rsidR="007848FC" w:rsidRPr="00814490" w:rsidRDefault="007848FC" w:rsidP="00882A67">
      <w:pPr>
        <w:spacing w:line="360" w:lineRule="auto"/>
        <w:jc w:val="both"/>
        <w:rPr>
          <w:rFonts w:ascii="Arial" w:hAnsi="Arial" w:cs="Arial"/>
          <w:b/>
          <w:bCs/>
          <w:sz w:val="22"/>
          <w:szCs w:val="22"/>
        </w:rPr>
      </w:pPr>
    </w:p>
    <w:p w14:paraId="09BBB58F" w14:textId="77777777" w:rsidR="00882A67" w:rsidRPr="00814490" w:rsidRDefault="00882A67" w:rsidP="00882A67">
      <w:pPr>
        <w:spacing w:line="360" w:lineRule="auto"/>
        <w:jc w:val="both"/>
        <w:rPr>
          <w:rFonts w:ascii="Arial" w:hAnsi="Arial" w:cs="Arial"/>
          <w:b/>
          <w:bCs/>
          <w:sz w:val="22"/>
          <w:szCs w:val="22"/>
        </w:rPr>
      </w:pPr>
    </w:p>
    <w:p w14:paraId="4B378399" w14:textId="257AFE45" w:rsidR="00DC3E3E" w:rsidRPr="007A1296" w:rsidRDefault="00DC3E3E" w:rsidP="0059153B">
      <w:pPr>
        <w:spacing w:line="360" w:lineRule="auto"/>
        <w:ind w:left="2880" w:firstLine="720"/>
        <w:jc w:val="both"/>
        <w:rPr>
          <w:rFonts w:ascii="Arial" w:hAnsi="Arial" w:cs="Arial"/>
          <w:b/>
          <w:bCs/>
          <w:sz w:val="26"/>
          <w:szCs w:val="26"/>
          <w:u w:val="single"/>
        </w:rPr>
      </w:pPr>
      <w:r w:rsidRPr="007A1296">
        <w:rPr>
          <w:rFonts w:ascii="Arial" w:hAnsi="Arial" w:cs="Arial"/>
          <w:b/>
          <w:bCs/>
          <w:sz w:val="26"/>
          <w:szCs w:val="26"/>
          <w:u w:val="single"/>
        </w:rPr>
        <w:t>Table of Contents</w:t>
      </w:r>
    </w:p>
    <w:p w14:paraId="2BC05B6D" w14:textId="72AC3886" w:rsidR="00DC3E3E" w:rsidRPr="007A1296" w:rsidRDefault="00DC3E3E" w:rsidP="00000E37">
      <w:pPr>
        <w:spacing w:line="360" w:lineRule="auto"/>
        <w:jc w:val="center"/>
        <w:rPr>
          <w:rFonts w:ascii="Arial" w:hAnsi="Arial" w:cs="Arial"/>
          <w:b/>
          <w:bCs/>
          <w:sz w:val="22"/>
          <w:szCs w:val="22"/>
          <w:u w:val="single"/>
        </w:rPr>
      </w:pPr>
      <w:r w:rsidRPr="007A1296">
        <w:rPr>
          <w:rFonts w:ascii="Arial" w:hAnsi="Arial" w:cs="Arial"/>
          <w:b/>
          <w:bCs/>
          <w:sz w:val="22"/>
          <w:szCs w:val="22"/>
          <w:u w:val="single"/>
        </w:rPr>
        <w:t>Tuberculosis (TB)</w:t>
      </w:r>
      <w:r w:rsidR="007A1296">
        <w:rPr>
          <w:rFonts w:ascii="Arial" w:hAnsi="Arial" w:cs="Arial"/>
          <w:b/>
          <w:bCs/>
          <w:sz w:val="22"/>
          <w:szCs w:val="22"/>
          <w:u w:val="single"/>
        </w:rPr>
        <w:t xml:space="preserve"> </w:t>
      </w:r>
      <w:r w:rsidR="005951EA">
        <w:rPr>
          <w:rFonts w:ascii="Arial" w:hAnsi="Arial" w:cs="Arial"/>
          <w:b/>
          <w:bCs/>
          <w:sz w:val="22"/>
          <w:szCs w:val="22"/>
          <w:u w:val="single"/>
        </w:rPr>
        <w:t xml:space="preserve">  </w:t>
      </w:r>
      <w:r w:rsidRPr="007A1296">
        <w:rPr>
          <w:rFonts w:ascii="Arial" w:hAnsi="Arial" w:cs="Arial"/>
          <w:b/>
          <w:bCs/>
          <w:sz w:val="22"/>
          <w:szCs w:val="22"/>
          <w:u w:val="single"/>
        </w:rPr>
        <w:t>Public Health Report</w:t>
      </w:r>
    </w:p>
    <w:p w14:paraId="0D80378C" w14:textId="73071335" w:rsidR="00DC3E3E" w:rsidRPr="00814490" w:rsidRDefault="00DC3E3E" w:rsidP="00DC3E3E">
      <w:pPr>
        <w:spacing w:line="360" w:lineRule="auto"/>
        <w:jc w:val="both"/>
        <w:rPr>
          <w:rFonts w:ascii="Arial" w:hAnsi="Arial" w:cs="Arial"/>
          <w:sz w:val="22"/>
          <w:szCs w:val="22"/>
        </w:rPr>
      </w:pPr>
      <w:r w:rsidRPr="007A1296">
        <w:rPr>
          <w:rFonts w:ascii="Arial" w:hAnsi="Arial" w:cs="Arial"/>
          <w:b/>
          <w:bCs/>
          <w:sz w:val="22"/>
          <w:szCs w:val="22"/>
        </w:rPr>
        <w:t>Introduction</w:t>
      </w:r>
      <w:r w:rsidRPr="00814490">
        <w:rPr>
          <w:rFonts w:ascii="Arial" w:hAnsi="Arial" w:cs="Arial"/>
          <w:sz w:val="22"/>
          <w:szCs w:val="22"/>
        </w:rPr>
        <w:tab/>
      </w:r>
      <w:r w:rsidR="006B1B85">
        <w:rPr>
          <w:rFonts w:ascii="Arial" w:hAnsi="Arial" w:cs="Arial"/>
          <w:sz w:val="22"/>
          <w:szCs w:val="22"/>
        </w:rPr>
        <w:t>.............................................</w:t>
      </w:r>
      <w:r w:rsidR="00610847">
        <w:rPr>
          <w:rFonts w:ascii="Arial" w:hAnsi="Arial" w:cs="Arial"/>
          <w:sz w:val="22"/>
          <w:szCs w:val="22"/>
        </w:rPr>
        <w:t>...................................................</w:t>
      </w:r>
      <w:r w:rsidR="00610847">
        <w:rPr>
          <w:rFonts w:ascii="Arial" w:hAnsi="Arial" w:cs="Arial"/>
          <w:sz w:val="22"/>
          <w:szCs w:val="22"/>
        </w:rPr>
        <w:tab/>
        <w:t>1.0</w:t>
      </w:r>
    </w:p>
    <w:p w14:paraId="0ADFAC43" w14:textId="6CD64E09" w:rsidR="00DC3E3E" w:rsidRPr="00431DC4" w:rsidRDefault="00DC3E3E" w:rsidP="00431DC4">
      <w:pPr>
        <w:spacing w:line="360" w:lineRule="auto"/>
        <w:jc w:val="both"/>
        <w:rPr>
          <w:rFonts w:ascii="Arial" w:hAnsi="Arial" w:cs="Arial"/>
          <w:sz w:val="22"/>
          <w:szCs w:val="22"/>
        </w:rPr>
      </w:pPr>
      <w:r w:rsidRPr="007A1296">
        <w:rPr>
          <w:rFonts w:ascii="Arial" w:hAnsi="Arial" w:cs="Arial"/>
          <w:b/>
          <w:bCs/>
          <w:sz w:val="22"/>
          <w:szCs w:val="22"/>
        </w:rPr>
        <w:t>Approaches to Measuring and Monitoring TB</w:t>
      </w:r>
      <w:r w:rsidR="007A1296">
        <w:rPr>
          <w:rFonts w:ascii="Arial" w:hAnsi="Arial" w:cs="Arial"/>
          <w:sz w:val="22"/>
          <w:szCs w:val="22"/>
        </w:rPr>
        <w:tab/>
        <w:t>.....................................</w:t>
      </w:r>
      <w:r w:rsidRPr="00431DC4">
        <w:rPr>
          <w:rFonts w:ascii="Arial" w:hAnsi="Arial" w:cs="Arial"/>
          <w:sz w:val="22"/>
          <w:szCs w:val="22"/>
        </w:rPr>
        <w:tab/>
      </w:r>
      <w:r w:rsidR="00610847" w:rsidRPr="00431DC4">
        <w:rPr>
          <w:rFonts w:ascii="Arial" w:hAnsi="Arial" w:cs="Arial"/>
          <w:sz w:val="22"/>
          <w:szCs w:val="22"/>
        </w:rPr>
        <w:t>1.1</w:t>
      </w:r>
    </w:p>
    <w:p w14:paraId="41E034DF" w14:textId="2A696E10" w:rsidR="00DC3E3E" w:rsidRPr="00814490" w:rsidRDefault="00DC3E3E" w:rsidP="00DC3E3E">
      <w:pPr>
        <w:spacing w:line="360" w:lineRule="auto"/>
        <w:jc w:val="both"/>
        <w:rPr>
          <w:rFonts w:ascii="Arial" w:hAnsi="Arial" w:cs="Arial"/>
          <w:sz w:val="22"/>
          <w:szCs w:val="22"/>
        </w:rPr>
      </w:pPr>
      <w:r w:rsidRPr="007A1296">
        <w:rPr>
          <w:rFonts w:ascii="Arial" w:hAnsi="Arial" w:cs="Arial"/>
          <w:b/>
          <w:bCs/>
          <w:sz w:val="22"/>
          <w:szCs w:val="22"/>
        </w:rPr>
        <w:t>TB Control: Prevention, Diagnosis and Treatment</w:t>
      </w:r>
      <w:r w:rsidR="007A1296">
        <w:rPr>
          <w:rFonts w:ascii="Arial" w:hAnsi="Arial" w:cs="Arial"/>
          <w:sz w:val="22"/>
          <w:szCs w:val="22"/>
        </w:rPr>
        <w:t xml:space="preserve">  .................................</w:t>
      </w:r>
      <w:r w:rsidRPr="00814490">
        <w:rPr>
          <w:rFonts w:ascii="Arial" w:hAnsi="Arial" w:cs="Arial"/>
          <w:sz w:val="22"/>
          <w:szCs w:val="22"/>
        </w:rPr>
        <w:tab/>
      </w:r>
      <w:r w:rsidR="00431DC4">
        <w:rPr>
          <w:rFonts w:ascii="Arial" w:hAnsi="Arial" w:cs="Arial"/>
          <w:sz w:val="22"/>
          <w:szCs w:val="22"/>
        </w:rPr>
        <w:t>2.0</w:t>
      </w:r>
    </w:p>
    <w:p w14:paraId="51592122" w14:textId="3B060E59" w:rsidR="00DC3E3E" w:rsidRPr="00814490" w:rsidRDefault="00DC3E3E" w:rsidP="00DC3E3E">
      <w:pPr>
        <w:spacing w:line="360" w:lineRule="auto"/>
        <w:jc w:val="both"/>
        <w:rPr>
          <w:rFonts w:ascii="Arial" w:hAnsi="Arial" w:cs="Arial"/>
          <w:sz w:val="22"/>
          <w:szCs w:val="22"/>
        </w:rPr>
      </w:pPr>
      <w:r w:rsidRPr="007A1296">
        <w:rPr>
          <w:rFonts w:ascii="Arial" w:hAnsi="Arial" w:cs="Arial"/>
          <w:b/>
          <w:bCs/>
          <w:sz w:val="22"/>
          <w:szCs w:val="22"/>
        </w:rPr>
        <w:t>Consequences of TB in the Community</w:t>
      </w:r>
      <w:r w:rsidRPr="00814490">
        <w:rPr>
          <w:rFonts w:ascii="Arial" w:hAnsi="Arial" w:cs="Arial"/>
          <w:sz w:val="22"/>
          <w:szCs w:val="22"/>
        </w:rPr>
        <w:tab/>
      </w:r>
      <w:r w:rsidR="007A1296">
        <w:rPr>
          <w:rFonts w:ascii="Arial" w:hAnsi="Arial" w:cs="Arial"/>
          <w:sz w:val="22"/>
          <w:szCs w:val="22"/>
        </w:rPr>
        <w:t>.................................................</w:t>
      </w:r>
      <w:r w:rsidRPr="00814490">
        <w:rPr>
          <w:rFonts w:ascii="Arial" w:hAnsi="Arial" w:cs="Arial"/>
          <w:sz w:val="22"/>
          <w:szCs w:val="22"/>
        </w:rPr>
        <w:tab/>
      </w:r>
      <w:r w:rsidR="00431DC4">
        <w:rPr>
          <w:rFonts w:ascii="Arial" w:hAnsi="Arial" w:cs="Arial"/>
          <w:sz w:val="22"/>
          <w:szCs w:val="22"/>
        </w:rPr>
        <w:t>3.0</w:t>
      </w:r>
    </w:p>
    <w:p w14:paraId="6358F230" w14:textId="2FB2DDD0" w:rsidR="00DC3E3E" w:rsidRPr="00814490" w:rsidRDefault="00DC3E3E" w:rsidP="00DC3E3E">
      <w:pPr>
        <w:spacing w:line="360" w:lineRule="auto"/>
        <w:jc w:val="both"/>
        <w:rPr>
          <w:rFonts w:ascii="Arial" w:hAnsi="Arial" w:cs="Arial"/>
          <w:sz w:val="22"/>
          <w:szCs w:val="22"/>
        </w:rPr>
      </w:pPr>
      <w:r w:rsidRPr="007A1296">
        <w:rPr>
          <w:rFonts w:ascii="Arial" w:hAnsi="Arial" w:cs="Arial"/>
          <w:b/>
          <w:bCs/>
          <w:sz w:val="22"/>
          <w:szCs w:val="22"/>
        </w:rPr>
        <w:t>Health and Social Care Support Services</w:t>
      </w:r>
      <w:r w:rsidRPr="00814490">
        <w:rPr>
          <w:rFonts w:ascii="Arial" w:hAnsi="Arial" w:cs="Arial"/>
          <w:sz w:val="22"/>
          <w:szCs w:val="22"/>
        </w:rPr>
        <w:tab/>
      </w:r>
      <w:r w:rsidR="007A1296">
        <w:rPr>
          <w:rFonts w:ascii="Arial" w:hAnsi="Arial" w:cs="Arial"/>
          <w:sz w:val="22"/>
          <w:szCs w:val="22"/>
        </w:rPr>
        <w:t>.................................................</w:t>
      </w:r>
      <w:r w:rsidRPr="00814490">
        <w:rPr>
          <w:rFonts w:ascii="Arial" w:hAnsi="Arial" w:cs="Arial"/>
          <w:sz w:val="22"/>
          <w:szCs w:val="22"/>
        </w:rPr>
        <w:tab/>
      </w:r>
      <w:r w:rsidR="00431DC4">
        <w:rPr>
          <w:rFonts w:ascii="Arial" w:hAnsi="Arial" w:cs="Arial"/>
          <w:sz w:val="22"/>
          <w:szCs w:val="22"/>
        </w:rPr>
        <w:t>4.0</w:t>
      </w:r>
    </w:p>
    <w:p w14:paraId="664FF74C" w14:textId="70BAEFC8" w:rsidR="00DC3E3E" w:rsidRPr="00814490" w:rsidRDefault="00DC3E3E" w:rsidP="00DC3E3E">
      <w:pPr>
        <w:spacing w:line="360" w:lineRule="auto"/>
        <w:jc w:val="both"/>
        <w:rPr>
          <w:rFonts w:ascii="Arial" w:hAnsi="Arial" w:cs="Arial"/>
          <w:sz w:val="22"/>
          <w:szCs w:val="22"/>
        </w:rPr>
      </w:pPr>
      <w:r w:rsidRPr="007A1296">
        <w:rPr>
          <w:rFonts w:ascii="Arial" w:hAnsi="Arial" w:cs="Arial"/>
          <w:b/>
          <w:bCs/>
          <w:sz w:val="22"/>
          <w:szCs w:val="22"/>
        </w:rPr>
        <w:t>Conclusion</w:t>
      </w:r>
      <w:r w:rsidRPr="00814490">
        <w:rPr>
          <w:rFonts w:ascii="Arial" w:hAnsi="Arial" w:cs="Arial"/>
          <w:sz w:val="22"/>
          <w:szCs w:val="22"/>
        </w:rPr>
        <w:tab/>
      </w:r>
      <w:r w:rsidR="007A1296">
        <w:rPr>
          <w:rFonts w:ascii="Arial" w:hAnsi="Arial" w:cs="Arial"/>
          <w:sz w:val="22"/>
          <w:szCs w:val="22"/>
        </w:rPr>
        <w:t>.................................................................................................</w:t>
      </w:r>
      <w:r w:rsidRPr="00814490">
        <w:rPr>
          <w:rFonts w:ascii="Arial" w:hAnsi="Arial" w:cs="Arial"/>
          <w:sz w:val="22"/>
          <w:szCs w:val="22"/>
        </w:rPr>
        <w:tab/>
      </w:r>
      <w:r w:rsidR="00431DC4">
        <w:rPr>
          <w:rFonts w:ascii="Arial" w:hAnsi="Arial" w:cs="Arial"/>
          <w:sz w:val="22"/>
          <w:szCs w:val="22"/>
        </w:rPr>
        <w:t>5.0</w:t>
      </w:r>
    </w:p>
    <w:p w14:paraId="24CF12FA" w14:textId="51EC3E32" w:rsidR="00DC3E3E" w:rsidRPr="00814490" w:rsidRDefault="00587AF0" w:rsidP="00DC3E3E">
      <w:pPr>
        <w:jc w:val="both"/>
        <w:rPr>
          <w:rFonts w:ascii="Arial" w:hAnsi="Arial" w:cs="Arial"/>
          <w:sz w:val="22"/>
          <w:szCs w:val="22"/>
        </w:rPr>
      </w:pPr>
      <w:r w:rsidRPr="007A1296">
        <w:rPr>
          <w:rFonts w:ascii="Arial" w:hAnsi="Arial" w:cs="Arial"/>
          <w:b/>
          <w:bCs/>
          <w:sz w:val="22"/>
          <w:szCs w:val="22"/>
        </w:rPr>
        <w:t>Appendix</w:t>
      </w:r>
      <w:r w:rsidR="00DC3E3E" w:rsidRPr="007A1296">
        <w:rPr>
          <w:rFonts w:ascii="Arial" w:hAnsi="Arial" w:cs="Arial"/>
          <w:b/>
          <w:bCs/>
          <w:sz w:val="22"/>
          <w:szCs w:val="22"/>
        </w:rPr>
        <w:tab/>
      </w:r>
      <w:r w:rsidR="007A1296">
        <w:rPr>
          <w:rFonts w:ascii="Arial" w:hAnsi="Arial" w:cs="Arial"/>
          <w:sz w:val="22"/>
          <w:szCs w:val="22"/>
        </w:rPr>
        <w:t>.................................................................................................</w:t>
      </w:r>
      <w:r w:rsidR="00DC3E3E" w:rsidRPr="00814490">
        <w:rPr>
          <w:rFonts w:ascii="Arial" w:hAnsi="Arial" w:cs="Arial"/>
          <w:sz w:val="22"/>
          <w:szCs w:val="22"/>
        </w:rPr>
        <w:tab/>
      </w:r>
      <w:r w:rsidR="00431DC4">
        <w:rPr>
          <w:rFonts w:ascii="Arial" w:hAnsi="Arial" w:cs="Arial"/>
          <w:sz w:val="22"/>
          <w:szCs w:val="22"/>
        </w:rPr>
        <w:t>6.0</w:t>
      </w:r>
    </w:p>
    <w:p w14:paraId="3717B7AB" w14:textId="6C918CA8" w:rsidR="009B407F" w:rsidRPr="00814490" w:rsidRDefault="00587AF0" w:rsidP="00DC3E3E">
      <w:pPr>
        <w:jc w:val="both"/>
        <w:rPr>
          <w:rFonts w:ascii="Arial" w:hAnsi="Arial" w:cs="Arial"/>
          <w:sz w:val="22"/>
          <w:szCs w:val="22"/>
        </w:rPr>
      </w:pPr>
      <w:r w:rsidRPr="00587AF0">
        <w:rPr>
          <w:rFonts w:ascii="Arial" w:hAnsi="Arial" w:cs="Arial"/>
          <w:b/>
          <w:bCs/>
          <w:sz w:val="22"/>
          <w:szCs w:val="22"/>
        </w:rPr>
        <w:t>Reference</w:t>
      </w:r>
      <w:r w:rsidR="009B407F" w:rsidRPr="00814490">
        <w:rPr>
          <w:rFonts w:ascii="Arial" w:hAnsi="Arial" w:cs="Arial"/>
          <w:sz w:val="22"/>
          <w:szCs w:val="22"/>
        </w:rPr>
        <w:tab/>
      </w:r>
      <w:r w:rsidR="007A1296">
        <w:rPr>
          <w:rFonts w:ascii="Arial" w:hAnsi="Arial" w:cs="Arial"/>
          <w:sz w:val="22"/>
          <w:szCs w:val="22"/>
        </w:rPr>
        <w:t>.................................................................................................</w:t>
      </w:r>
      <w:r w:rsidR="009B407F" w:rsidRPr="00814490">
        <w:rPr>
          <w:rFonts w:ascii="Arial" w:hAnsi="Arial" w:cs="Arial"/>
          <w:sz w:val="22"/>
          <w:szCs w:val="22"/>
        </w:rPr>
        <w:tab/>
      </w:r>
      <w:r w:rsidR="00431DC4">
        <w:rPr>
          <w:rFonts w:ascii="Arial" w:hAnsi="Arial" w:cs="Arial"/>
          <w:sz w:val="22"/>
          <w:szCs w:val="22"/>
        </w:rPr>
        <w:t>7.0</w:t>
      </w:r>
    </w:p>
    <w:p w14:paraId="23EDF377" w14:textId="77777777" w:rsidR="00352E7B" w:rsidRPr="00814490" w:rsidRDefault="00352E7B" w:rsidP="00882A67">
      <w:pPr>
        <w:spacing w:line="360" w:lineRule="auto"/>
        <w:jc w:val="both"/>
        <w:rPr>
          <w:rFonts w:ascii="Arial" w:hAnsi="Arial" w:cs="Arial"/>
          <w:b/>
          <w:bCs/>
          <w:sz w:val="22"/>
          <w:szCs w:val="22"/>
        </w:rPr>
      </w:pPr>
    </w:p>
    <w:p w14:paraId="7AA1D59F" w14:textId="77777777" w:rsidR="00352E7B" w:rsidRPr="00814490" w:rsidRDefault="00352E7B" w:rsidP="00882A67">
      <w:pPr>
        <w:spacing w:line="360" w:lineRule="auto"/>
        <w:jc w:val="both"/>
        <w:rPr>
          <w:rFonts w:ascii="Arial" w:hAnsi="Arial" w:cs="Arial"/>
          <w:b/>
          <w:bCs/>
          <w:sz w:val="22"/>
          <w:szCs w:val="22"/>
        </w:rPr>
      </w:pPr>
    </w:p>
    <w:p w14:paraId="2D8D3A36" w14:textId="77777777" w:rsidR="00352E7B" w:rsidRPr="00814490" w:rsidRDefault="00352E7B" w:rsidP="00882A67">
      <w:pPr>
        <w:spacing w:line="360" w:lineRule="auto"/>
        <w:jc w:val="both"/>
        <w:rPr>
          <w:rFonts w:ascii="Arial" w:hAnsi="Arial" w:cs="Arial"/>
          <w:b/>
          <w:bCs/>
          <w:sz w:val="22"/>
          <w:szCs w:val="22"/>
        </w:rPr>
      </w:pPr>
    </w:p>
    <w:p w14:paraId="1DFEF06D" w14:textId="77777777" w:rsidR="00352E7B" w:rsidRPr="00814490" w:rsidRDefault="00352E7B" w:rsidP="00882A67">
      <w:pPr>
        <w:spacing w:line="360" w:lineRule="auto"/>
        <w:jc w:val="both"/>
        <w:rPr>
          <w:rFonts w:ascii="Arial" w:hAnsi="Arial" w:cs="Arial"/>
          <w:b/>
          <w:bCs/>
          <w:sz w:val="22"/>
          <w:szCs w:val="22"/>
        </w:rPr>
      </w:pPr>
    </w:p>
    <w:p w14:paraId="585A5206" w14:textId="77777777" w:rsidR="00352E7B" w:rsidRPr="00814490" w:rsidRDefault="00352E7B" w:rsidP="00882A67">
      <w:pPr>
        <w:spacing w:line="360" w:lineRule="auto"/>
        <w:jc w:val="both"/>
        <w:rPr>
          <w:rFonts w:ascii="Arial" w:hAnsi="Arial" w:cs="Arial"/>
          <w:b/>
          <w:bCs/>
          <w:sz w:val="22"/>
          <w:szCs w:val="22"/>
        </w:rPr>
      </w:pPr>
    </w:p>
    <w:p w14:paraId="1C099483" w14:textId="77777777" w:rsidR="00352E7B" w:rsidRPr="00814490" w:rsidRDefault="00352E7B" w:rsidP="00882A67">
      <w:pPr>
        <w:spacing w:line="360" w:lineRule="auto"/>
        <w:jc w:val="both"/>
        <w:rPr>
          <w:rFonts w:ascii="Arial" w:hAnsi="Arial" w:cs="Arial"/>
          <w:b/>
          <w:bCs/>
          <w:sz w:val="22"/>
          <w:szCs w:val="22"/>
        </w:rPr>
      </w:pPr>
    </w:p>
    <w:p w14:paraId="36932162" w14:textId="77777777" w:rsidR="00352E7B" w:rsidRPr="00814490" w:rsidRDefault="00352E7B" w:rsidP="00882A67">
      <w:pPr>
        <w:spacing w:line="360" w:lineRule="auto"/>
        <w:jc w:val="both"/>
        <w:rPr>
          <w:rFonts w:ascii="Arial" w:hAnsi="Arial" w:cs="Arial"/>
          <w:b/>
          <w:bCs/>
          <w:sz w:val="22"/>
          <w:szCs w:val="22"/>
        </w:rPr>
      </w:pPr>
    </w:p>
    <w:p w14:paraId="4574847E" w14:textId="77777777" w:rsidR="00352E7B" w:rsidRPr="00814490" w:rsidRDefault="00352E7B" w:rsidP="00882A67">
      <w:pPr>
        <w:spacing w:line="360" w:lineRule="auto"/>
        <w:jc w:val="both"/>
        <w:rPr>
          <w:rFonts w:ascii="Arial" w:hAnsi="Arial" w:cs="Arial"/>
          <w:b/>
          <w:bCs/>
          <w:sz w:val="22"/>
          <w:szCs w:val="22"/>
        </w:rPr>
      </w:pPr>
    </w:p>
    <w:p w14:paraId="220BB216" w14:textId="77777777" w:rsidR="00352E7B" w:rsidRPr="00814490" w:rsidRDefault="00352E7B" w:rsidP="00882A67">
      <w:pPr>
        <w:spacing w:line="360" w:lineRule="auto"/>
        <w:jc w:val="both"/>
        <w:rPr>
          <w:rFonts w:ascii="Arial" w:hAnsi="Arial" w:cs="Arial"/>
          <w:b/>
          <w:bCs/>
          <w:sz w:val="22"/>
          <w:szCs w:val="22"/>
        </w:rPr>
      </w:pPr>
    </w:p>
    <w:p w14:paraId="35BBC771" w14:textId="77777777" w:rsidR="00352E7B" w:rsidRPr="00814490" w:rsidRDefault="00352E7B" w:rsidP="00882A67">
      <w:pPr>
        <w:spacing w:line="360" w:lineRule="auto"/>
        <w:jc w:val="both"/>
        <w:rPr>
          <w:rFonts w:ascii="Arial" w:hAnsi="Arial" w:cs="Arial"/>
          <w:b/>
          <w:bCs/>
          <w:sz w:val="22"/>
          <w:szCs w:val="22"/>
        </w:rPr>
      </w:pPr>
    </w:p>
    <w:p w14:paraId="7FDEFE88" w14:textId="77777777" w:rsidR="00352E7B" w:rsidRPr="00814490" w:rsidRDefault="00352E7B" w:rsidP="00882A67">
      <w:pPr>
        <w:spacing w:line="360" w:lineRule="auto"/>
        <w:jc w:val="both"/>
        <w:rPr>
          <w:rFonts w:ascii="Arial" w:hAnsi="Arial" w:cs="Arial"/>
          <w:b/>
          <w:bCs/>
          <w:sz w:val="22"/>
          <w:szCs w:val="22"/>
        </w:rPr>
      </w:pPr>
    </w:p>
    <w:p w14:paraId="2CF09F32" w14:textId="77777777" w:rsidR="007A1296" w:rsidRPr="00814490" w:rsidRDefault="007A1296" w:rsidP="00882A67">
      <w:pPr>
        <w:spacing w:line="360" w:lineRule="auto"/>
        <w:jc w:val="both"/>
        <w:rPr>
          <w:rFonts w:ascii="Arial" w:hAnsi="Arial" w:cs="Arial"/>
          <w:b/>
          <w:bCs/>
          <w:sz w:val="22"/>
          <w:szCs w:val="22"/>
        </w:rPr>
      </w:pPr>
    </w:p>
    <w:p w14:paraId="060C5524" w14:textId="77777777" w:rsidR="00056036" w:rsidRPr="00B1746A" w:rsidRDefault="00056036" w:rsidP="00D637A4">
      <w:pPr>
        <w:spacing w:line="360" w:lineRule="auto"/>
        <w:jc w:val="both"/>
        <w:rPr>
          <w:rFonts w:ascii="Arial" w:hAnsi="Arial" w:cs="Arial"/>
          <w:b/>
          <w:bCs/>
          <w:color w:val="000000" w:themeColor="text1"/>
        </w:rPr>
      </w:pPr>
      <w:r w:rsidRPr="00B1746A">
        <w:rPr>
          <w:rFonts w:ascii="Arial" w:hAnsi="Arial" w:cs="Arial"/>
          <w:b/>
          <w:bCs/>
          <w:color w:val="000000" w:themeColor="text1"/>
        </w:rPr>
        <w:lastRenderedPageBreak/>
        <w:t>Tuberculosis (TB)</w:t>
      </w:r>
      <w:r w:rsidRPr="00B1746A">
        <w:rPr>
          <w:rFonts w:ascii="Arial" w:hAnsi="Arial" w:cs="Arial"/>
          <w:b/>
          <w:bCs/>
          <w:color w:val="000000" w:themeColor="text1"/>
        </w:rPr>
        <w:tab/>
        <w:t>Public Health Report</w:t>
      </w:r>
    </w:p>
    <w:p w14:paraId="222AED91" w14:textId="77777777" w:rsidR="00056036" w:rsidRPr="00B1746A" w:rsidRDefault="00056036" w:rsidP="00D637A4">
      <w:pPr>
        <w:spacing w:line="360" w:lineRule="auto"/>
        <w:jc w:val="both"/>
        <w:rPr>
          <w:rFonts w:ascii="Arial" w:hAnsi="Arial" w:cs="Arial"/>
          <w:b/>
          <w:bCs/>
          <w:color w:val="000000" w:themeColor="text1"/>
        </w:rPr>
      </w:pPr>
      <w:r w:rsidRPr="00B1746A">
        <w:rPr>
          <w:rFonts w:ascii="Arial" w:hAnsi="Arial" w:cs="Arial"/>
          <w:b/>
          <w:bCs/>
          <w:color w:val="000000" w:themeColor="text1"/>
        </w:rPr>
        <w:t>1.0</w:t>
      </w:r>
      <w:r w:rsidRPr="00B1746A">
        <w:rPr>
          <w:rFonts w:ascii="Arial" w:hAnsi="Arial" w:cs="Arial"/>
          <w:b/>
          <w:bCs/>
          <w:color w:val="000000" w:themeColor="text1"/>
        </w:rPr>
        <w:tab/>
        <w:t>Introduction</w:t>
      </w:r>
    </w:p>
    <w:p w14:paraId="53006B33" w14:textId="10575F5A" w:rsidR="005951EA" w:rsidRPr="00FC5D40" w:rsidRDefault="00FC5D40" w:rsidP="00A66B75">
      <w:pPr>
        <w:tabs>
          <w:tab w:val="left" w:pos="7773"/>
        </w:tabs>
        <w:spacing w:line="360" w:lineRule="auto"/>
        <w:jc w:val="both"/>
        <w:rPr>
          <w:rFonts w:ascii="Arial" w:hAnsi="Arial" w:cs="Arial"/>
          <w:sz w:val="22"/>
          <w:szCs w:val="22"/>
        </w:rPr>
      </w:pPr>
      <w:r w:rsidRPr="00FC5D40">
        <w:rPr>
          <w:rFonts w:ascii="Arial" w:hAnsi="Arial" w:cs="Arial"/>
          <w:sz w:val="22"/>
          <w:szCs w:val="22"/>
        </w:rPr>
        <w:t>Tuberculosis (TB) is caused by the bacterium Mycobacterium tuberculosis. Though it mainly infects the lungs, it can also infect other parts of the body such as the lymph nodes, bones, and brain. Infection occurs when a person is exposed to TB bacteria carried by droplets from coughing or sneezing. Infection is likely to occur in crowded indoor areas with poor ventilation. Once infected with tuberculosis, symptoms include a cough with expectoration for more than three weeks, chest pain, fever, night sweats, unintended weight loss, and fatigue. On the contrary, latent tuberculosis is not observable and shows no symptoms. It is also transmissible. Globally, it has been estimated that 10.7 million people fell ill from tuberculosis in 2024. In addition, 1.23 million deaths resulted from tuberculosis. This highlights tuberculosis as one of the deadliest infectious diseases in the world despite it being a preventable disease. In England, there has been a 13.5% increase in tuberculosis notifications in 2024 over 2023. This translates to 5,490 cases in 2024. This highlights a resurgence in incidence in low incidence settings. All these statistics demonstrate the severity of tuberculosis at a global and national level.</w:t>
      </w:r>
      <w:r w:rsidR="00A66B75" w:rsidRPr="00FC5D40">
        <w:rPr>
          <w:rFonts w:ascii="Arial" w:hAnsi="Arial" w:cs="Arial"/>
          <w:color w:val="000000" w:themeColor="text1"/>
          <w:sz w:val="22"/>
          <w:szCs w:val="22"/>
        </w:rPr>
        <w:tab/>
      </w:r>
    </w:p>
    <w:p w14:paraId="261FAD92" w14:textId="695A56D6" w:rsidR="00FC5D40" w:rsidRPr="00FC5D40" w:rsidRDefault="00584488" w:rsidP="00A66B75">
      <w:pPr>
        <w:tabs>
          <w:tab w:val="left" w:pos="7773"/>
        </w:tabs>
        <w:spacing w:line="360" w:lineRule="auto"/>
        <w:jc w:val="both"/>
        <w:rPr>
          <w:rFonts w:ascii="Arial" w:hAnsi="Arial" w:cs="Arial"/>
          <w:color w:val="000000" w:themeColor="text1"/>
          <w:sz w:val="22"/>
          <w:szCs w:val="22"/>
          <w14:shadow w14:blurRad="50800" w14:dist="50800" w14:dir="5400000" w14:sx="0" w14:sy="0" w14:kx="0" w14:ky="0" w14:algn="ctr">
            <w14:srgbClr w14:val="000000"/>
          </w14:shadow>
          <w14:textOutline w14:w="9525" w14:cap="rnd" w14:cmpd="sng" w14:algn="ctr">
            <w14:solidFill>
              <w14:schemeClr w14:val="accent1"/>
            </w14:solidFill>
            <w14:prstDash w14:val="solid"/>
            <w14:bevel/>
          </w14:textOutline>
        </w:rPr>
      </w:pPr>
      <w:r>
        <w:rPr>
          <w:rFonts w:ascii="Times New Roman" w:eastAsia="Times New Roman" w:hAnsi="Times New Roman" w:cs="Times New Roman"/>
          <w:noProof/>
          <w:lang w:eastAsia="en-GB"/>
        </w:rPr>
        <w:pict w14:anchorId="29DFEE6A">
          <v:rect id="_x0000_i1032" alt="" style="width:451.3pt;height:.05pt;mso-width-percent:0;mso-height-percent:0;mso-width-percent:0;mso-height-percent:0" o:hralign="center" o:hrstd="t" o:hr="t" fillcolor="#a0a0a0" stroked="f"/>
        </w:pict>
      </w:r>
    </w:p>
    <w:p w14:paraId="5C52EAEE" w14:textId="77777777" w:rsidR="00056036" w:rsidRPr="00B1746A" w:rsidRDefault="00056036" w:rsidP="00D637A4">
      <w:pPr>
        <w:pStyle w:val="ListParagraph"/>
        <w:numPr>
          <w:ilvl w:val="1"/>
          <w:numId w:val="1"/>
        </w:numPr>
        <w:spacing w:line="360" w:lineRule="auto"/>
        <w:jc w:val="both"/>
        <w:rPr>
          <w:rFonts w:ascii="Arial" w:hAnsi="Arial" w:cs="Arial"/>
          <w:b/>
          <w:bCs/>
          <w:color w:val="000000" w:themeColor="text1"/>
        </w:rPr>
      </w:pPr>
      <w:r w:rsidRPr="00B1746A">
        <w:rPr>
          <w:rFonts w:ascii="Arial" w:hAnsi="Arial" w:cs="Arial"/>
          <w:b/>
          <w:bCs/>
          <w:color w:val="000000" w:themeColor="text1"/>
        </w:rPr>
        <w:t xml:space="preserve">Approaches to Measuring and Monitoring </w:t>
      </w:r>
      <w:r w:rsidR="00F011EE" w:rsidRPr="00B1746A">
        <w:rPr>
          <w:rFonts w:ascii="Arial" w:hAnsi="Arial" w:cs="Arial"/>
          <w:b/>
          <w:bCs/>
          <w:color w:val="000000" w:themeColor="text1"/>
        </w:rPr>
        <w:t>Tuberculosis (</w:t>
      </w:r>
      <w:r w:rsidRPr="00B1746A">
        <w:rPr>
          <w:rFonts w:ascii="Arial" w:hAnsi="Arial" w:cs="Arial"/>
          <w:b/>
          <w:bCs/>
          <w:color w:val="000000" w:themeColor="text1"/>
        </w:rPr>
        <w:t>TB</w:t>
      </w:r>
      <w:r w:rsidR="00F011EE" w:rsidRPr="00B1746A">
        <w:rPr>
          <w:rFonts w:ascii="Arial" w:hAnsi="Arial" w:cs="Arial"/>
          <w:b/>
          <w:bCs/>
          <w:color w:val="000000" w:themeColor="text1"/>
        </w:rPr>
        <w:t>)</w:t>
      </w:r>
    </w:p>
    <w:p w14:paraId="740B9296" w14:textId="77777777" w:rsidR="00AE4C8C" w:rsidRPr="00D637A4" w:rsidRDefault="00AE4C8C" w:rsidP="001C52D0">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Measurement and monitoring of tuberculosis at the community level require a system of surveillance able to document incidence, prevalence, and outcomes of treatment. The World Health Organization has a worldwide tuberculosis monitoring network that combines data from 184 countries. This is done through integrating country reports, statistics from active case detection, and outcomes from treatment. This enables the estimation of the disease burden in the country (WHO, 2025a, 2025c). Using WHO statistics, it has been estimated that eight countries India, Indonesia, China, the Philippines, Pakistan, Nigeria, Democratic Congo, and Bangladesh account for two-thirds of the total tuberculosis infections in the world in 2024.</w:t>
      </w:r>
    </w:p>
    <w:p w14:paraId="7B03746F" w14:textId="77777777" w:rsidR="00AE4C8C" w:rsidRPr="00D637A4" w:rsidRDefault="00AE4C8C" w:rsidP="001C52D0">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 xml:space="preserve">In England, a nationwide tuberculosis surveillance system is provided by the UK Health Security Agency (UKHSA), which issues annual alerts along with region-specific epidemiological information (2025a). In 2024, there were 9.4 tuberculosis notifications per 100,000 population, which approached the World Health Organization’s threshold for low incidence in other countries. This has been accompanied by a reliable trend in recent years. The system has been improved </w:t>
      </w:r>
      <w:r w:rsidRPr="00D637A4">
        <w:rPr>
          <w:rFonts w:ascii="Arial" w:hAnsi="Arial" w:cs="Arial"/>
          <w:color w:val="000000" w:themeColor="text1"/>
          <w:sz w:val="22"/>
          <w:szCs w:val="22"/>
        </w:rPr>
        <w:lastRenderedPageBreak/>
        <w:t>to include social risk factors such as homelessness, drug use, and seeking asylum. This has enabled the targeting of interventions in at-risk groups (UKHSA, 2025a; Hepworth, 2025).</w:t>
      </w:r>
    </w:p>
    <w:p w14:paraId="4E96AE66"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Diagnostics form a crucial part of disease monitoring. Conventional methods, like sputum microscopy and culture, have been improved by rapid molecular diagnostic technologies like GeneXpert, used for detecting tuberculosis and drug resistance with greater speed and accuracy, allowing for early treatment and reducing transmission risk (WHO, 2025b). New screening technologies like artificial intelligence-based cough sound analysis and deep learning technologies have been reported in research settings, particularly in high-endemicity and low-resource settings (Ma et al., 2025; Hindustani et al., 2025).</w:t>
      </w:r>
    </w:p>
    <w:p w14:paraId="05AD6470" w14:textId="35C24D76" w:rsidR="00AE4C8C" w:rsidRDefault="00AE4C8C" w:rsidP="00D637A4">
      <w:pPr>
        <w:spacing w:line="360" w:lineRule="auto"/>
        <w:jc w:val="both"/>
        <w:rPr>
          <w:rFonts w:ascii="Arial" w:hAnsi="Arial" w:cs="Arial"/>
          <w:color w:val="000000" w:themeColor="text1"/>
          <w:sz w:val="22"/>
          <w:szCs w:val="22"/>
        </w:rPr>
      </w:pPr>
      <w:r w:rsidRPr="007D075D">
        <w:rPr>
          <w:rFonts w:ascii="Arial" w:hAnsi="Arial" w:cs="Arial"/>
          <w:color w:val="000000" w:themeColor="text1"/>
          <w:sz w:val="22"/>
          <w:szCs w:val="22"/>
        </w:rPr>
        <w:t xml:space="preserve">Monitoring also </w:t>
      </w:r>
      <w:r w:rsidR="005868EE" w:rsidRPr="007D075D">
        <w:rPr>
          <w:rFonts w:ascii="Arial" w:hAnsi="Arial" w:cs="Arial"/>
          <w:color w:val="000000" w:themeColor="text1"/>
          <w:sz w:val="22"/>
          <w:szCs w:val="22"/>
        </w:rPr>
        <w:t>incorporates</w:t>
      </w:r>
      <w:r w:rsidR="00C92A5C" w:rsidRPr="007D075D">
        <w:rPr>
          <w:rFonts w:ascii="Arial" w:hAnsi="Arial" w:cs="Arial"/>
          <w:color w:val="000000" w:themeColor="text1"/>
          <w:sz w:val="22"/>
          <w:szCs w:val="22"/>
        </w:rPr>
        <w:t xml:space="preserve"> the detection of antibiotic</w:t>
      </w:r>
      <w:r w:rsidRPr="007D075D">
        <w:rPr>
          <w:rFonts w:ascii="Arial" w:hAnsi="Arial" w:cs="Arial"/>
          <w:color w:val="000000" w:themeColor="text1"/>
          <w:sz w:val="22"/>
          <w:szCs w:val="22"/>
        </w:rPr>
        <w:t xml:space="preserve"> resistance. </w:t>
      </w:r>
      <w:r w:rsidR="007D075D" w:rsidRPr="007D075D">
        <w:rPr>
          <w:rFonts w:ascii="Arial" w:hAnsi="Arial" w:cs="Arial"/>
          <w:sz w:val="22"/>
          <w:szCs w:val="22"/>
        </w:rPr>
        <w:t>The extended timeframe and high financial burden of treating MDR-TB and XDR-TB, combined with the difficulty of the regimens, make these strains particularly danger</w:t>
      </w:r>
      <w:r w:rsidRPr="007D075D">
        <w:rPr>
          <w:rFonts w:ascii="Arial" w:hAnsi="Arial" w:cs="Arial"/>
          <w:color w:val="000000" w:themeColor="text1"/>
          <w:sz w:val="22"/>
          <w:szCs w:val="22"/>
        </w:rPr>
        <w:t>.</w:t>
      </w:r>
      <w:r w:rsidRPr="00D637A4">
        <w:rPr>
          <w:rFonts w:ascii="Arial" w:hAnsi="Arial" w:cs="Arial"/>
          <w:color w:val="000000" w:themeColor="text1"/>
          <w:sz w:val="22"/>
          <w:szCs w:val="22"/>
        </w:rPr>
        <w:t xml:space="preserve"> In the years that followed the initiation of enhanced surveillance in England, the country reported the highest rate of drug-resistant tuberculosis cases. In 2024, 2.2% of reported cases showed multidrug resistance, making England the country with the highest rate of drug-resistant tuberculosis in the years that followed the initiation of enhanced surveillance (UKHSA, 2025a; Smail, 2025). The recognition of patterns of resistance is crucial in developing treatment protocols that can address the issue effectively. In this regard, public health authorities can make better decisions in the fight against tuberculosis eradication using epidemiological factors, diagnostics, social factors, and patterns of resistance.</w:t>
      </w:r>
    </w:p>
    <w:p w14:paraId="279CCA5F" w14:textId="29951D54" w:rsidR="0036744B" w:rsidRPr="00B1746A" w:rsidRDefault="00584488" w:rsidP="00D637A4">
      <w:pPr>
        <w:spacing w:line="360" w:lineRule="auto"/>
        <w:jc w:val="both"/>
        <w:rPr>
          <w:rFonts w:ascii="Arial" w:hAnsi="Arial" w:cs="Arial"/>
          <w:color w:val="000000" w:themeColor="text1"/>
        </w:rPr>
      </w:pPr>
      <w:r>
        <w:rPr>
          <w:rFonts w:ascii="Times New Roman" w:eastAsia="Times New Roman" w:hAnsi="Times New Roman" w:cs="Times New Roman"/>
          <w:noProof/>
          <w:lang w:eastAsia="en-GB"/>
        </w:rPr>
        <w:pict w14:anchorId="4B0C1050">
          <v:rect id="_x0000_i1031" alt="" style="width:451.3pt;height:.05pt;mso-width-percent:0;mso-height-percent:0;mso-width-percent:0;mso-height-percent:0" o:hralign="center" o:hrstd="t" o:hr="t" fillcolor="#a0a0a0" stroked="f"/>
        </w:pict>
      </w:r>
    </w:p>
    <w:p w14:paraId="67F2C6F2" w14:textId="77777777" w:rsidR="00700150" w:rsidRPr="00B1746A" w:rsidRDefault="00700150" w:rsidP="00D637A4">
      <w:pPr>
        <w:spacing w:line="360" w:lineRule="auto"/>
        <w:jc w:val="both"/>
        <w:rPr>
          <w:rFonts w:ascii="Arial" w:hAnsi="Arial" w:cs="Arial"/>
          <w:b/>
          <w:bCs/>
          <w:color w:val="000000" w:themeColor="text1"/>
        </w:rPr>
      </w:pPr>
      <w:r w:rsidRPr="00B1746A">
        <w:rPr>
          <w:rFonts w:ascii="Arial" w:hAnsi="Arial" w:cs="Arial"/>
          <w:b/>
          <w:bCs/>
          <w:color w:val="000000" w:themeColor="text1"/>
        </w:rPr>
        <w:t>2.0</w:t>
      </w:r>
      <w:r w:rsidRPr="00B1746A">
        <w:rPr>
          <w:rFonts w:ascii="Arial" w:hAnsi="Arial" w:cs="Arial"/>
          <w:b/>
          <w:bCs/>
          <w:color w:val="000000" w:themeColor="text1"/>
        </w:rPr>
        <w:tab/>
      </w:r>
      <w:r w:rsidR="00F011EE" w:rsidRPr="00B1746A">
        <w:rPr>
          <w:rFonts w:ascii="Arial" w:hAnsi="Arial" w:cs="Arial"/>
          <w:b/>
          <w:bCs/>
          <w:color w:val="000000" w:themeColor="text1"/>
        </w:rPr>
        <w:t>Tuberculosis (</w:t>
      </w:r>
      <w:r w:rsidRPr="00B1746A">
        <w:rPr>
          <w:rFonts w:ascii="Arial" w:hAnsi="Arial" w:cs="Arial"/>
          <w:b/>
          <w:bCs/>
          <w:color w:val="000000" w:themeColor="text1"/>
        </w:rPr>
        <w:t>TB</w:t>
      </w:r>
      <w:r w:rsidR="00F011EE" w:rsidRPr="00B1746A">
        <w:rPr>
          <w:rFonts w:ascii="Arial" w:hAnsi="Arial" w:cs="Arial"/>
          <w:b/>
          <w:bCs/>
          <w:color w:val="000000" w:themeColor="text1"/>
        </w:rPr>
        <w:t>)</w:t>
      </w:r>
      <w:r w:rsidRPr="00B1746A">
        <w:rPr>
          <w:rFonts w:ascii="Arial" w:hAnsi="Arial" w:cs="Arial"/>
          <w:b/>
          <w:bCs/>
          <w:color w:val="000000" w:themeColor="text1"/>
        </w:rPr>
        <w:t xml:space="preserve"> Control: Prevention, Diagnosis and Treatment</w:t>
      </w:r>
    </w:p>
    <w:p w14:paraId="67C71CD6"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 xml:space="preserve">Accordingly, for </w:t>
      </w:r>
      <w:r w:rsidR="00D637A4" w:rsidRPr="00D637A4">
        <w:rPr>
          <w:rFonts w:ascii="Arial" w:hAnsi="Arial" w:cs="Arial"/>
          <w:color w:val="000000" w:themeColor="text1"/>
          <w:sz w:val="22"/>
          <w:szCs w:val="22"/>
        </w:rPr>
        <w:t xml:space="preserve">Tuberculosis </w:t>
      </w:r>
      <w:r w:rsidR="00D637A4">
        <w:rPr>
          <w:rFonts w:ascii="Arial" w:hAnsi="Arial" w:cs="Arial"/>
          <w:color w:val="000000" w:themeColor="text1"/>
          <w:sz w:val="22"/>
          <w:szCs w:val="22"/>
        </w:rPr>
        <w:t>(</w:t>
      </w:r>
      <w:r w:rsidRPr="00D637A4">
        <w:rPr>
          <w:rFonts w:ascii="Arial" w:hAnsi="Arial" w:cs="Arial"/>
          <w:color w:val="000000" w:themeColor="text1"/>
          <w:sz w:val="22"/>
          <w:szCs w:val="22"/>
        </w:rPr>
        <w:t>TB</w:t>
      </w:r>
      <w:r w:rsidR="00D637A4">
        <w:rPr>
          <w:rFonts w:ascii="Arial" w:hAnsi="Arial" w:cs="Arial"/>
          <w:color w:val="000000" w:themeColor="text1"/>
          <w:sz w:val="22"/>
          <w:szCs w:val="22"/>
        </w:rPr>
        <w:t>)</w:t>
      </w:r>
      <w:r w:rsidRPr="00D637A4">
        <w:rPr>
          <w:rFonts w:ascii="Arial" w:hAnsi="Arial" w:cs="Arial"/>
          <w:color w:val="000000" w:themeColor="text1"/>
          <w:sz w:val="22"/>
          <w:szCs w:val="22"/>
        </w:rPr>
        <w:t xml:space="preserve"> to be well managed, there is a need for an integrated approach in its prevention, precise diagnosis and treatment, and reduction of socioeconomic factors associated with TB risk. The Bacillus Calmette Guerin (BCG) vaccine, which is given to young children in many countries as a preventative measure for severe TB infections, remains the cornerstone of prevention and remains in place (2025c). The BCG vaccine is given to populations in high-risk areas and in low-incidence areas such as the United Kingdom (2025c).</w:t>
      </w:r>
    </w:p>
    <w:p w14:paraId="5CAA1F4C"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 xml:space="preserve">Active case finding is crucial in the detection and treatment of TB infections and has helped in the detection of both symptomatic and latent </w:t>
      </w:r>
      <w:r w:rsidR="00D637A4" w:rsidRPr="00D637A4">
        <w:rPr>
          <w:rFonts w:ascii="Arial" w:hAnsi="Arial" w:cs="Arial"/>
          <w:color w:val="000000" w:themeColor="text1"/>
          <w:sz w:val="22"/>
          <w:szCs w:val="22"/>
        </w:rPr>
        <w:t xml:space="preserve">Tuberculosis </w:t>
      </w:r>
      <w:r w:rsidR="00D637A4">
        <w:rPr>
          <w:rFonts w:ascii="Arial" w:hAnsi="Arial" w:cs="Arial"/>
          <w:color w:val="000000" w:themeColor="text1"/>
          <w:sz w:val="22"/>
          <w:szCs w:val="22"/>
        </w:rPr>
        <w:t>(</w:t>
      </w:r>
      <w:r w:rsidR="00D637A4" w:rsidRPr="00D637A4">
        <w:rPr>
          <w:rFonts w:ascii="Arial" w:hAnsi="Arial" w:cs="Arial"/>
          <w:color w:val="000000" w:themeColor="text1"/>
          <w:sz w:val="22"/>
          <w:szCs w:val="22"/>
        </w:rPr>
        <w:t>TB</w:t>
      </w:r>
      <w:r w:rsidR="00D637A4">
        <w:rPr>
          <w:rFonts w:ascii="Arial" w:hAnsi="Arial" w:cs="Arial"/>
          <w:color w:val="000000" w:themeColor="text1"/>
          <w:sz w:val="22"/>
          <w:szCs w:val="22"/>
        </w:rPr>
        <w:t>)</w:t>
      </w:r>
      <w:r w:rsidRPr="00D637A4">
        <w:rPr>
          <w:rFonts w:ascii="Arial" w:hAnsi="Arial" w:cs="Arial"/>
          <w:color w:val="000000" w:themeColor="text1"/>
          <w:sz w:val="22"/>
          <w:szCs w:val="22"/>
        </w:rPr>
        <w:t xml:space="preserve"> infections before the infections spread (WHO, 2025c). The detection of TB and drug-resistant TB has been accelerated by the use of </w:t>
      </w:r>
      <w:r w:rsidRPr="00D637A4">
        <w:rPr>
          <w:rFonts w:ascii="Arial" w:hAnsi="Arial" w:cs="Arial"/>
          <w:color w:val="000000" w:themeColor="text1"/>
          <w:sz w:val="22"/>
          <w:szCs w:val="22"/>
        </w:rPr>
        <w:lastRenderedPageBreak/>
        <w:t>molecular diagnostics and genomic sequencing technologies, enabling clinicians to treat TB infections effectively (UKHSA, 2025a).</w:t>
      </w:r>
    </w:p>
    <w:p w14:paraId="057F937C"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The usual treatment pattern, as identified by the World Health Organization (WHO, 2025c), for drug-sensitive tuberculosis includes the administration of antibiotics such as isoniazid, rifampicin, pyrazinamide, and ethambutol, which should be taken for six months. With this pattern, high success rates have been recorded, especially when the promotion of effective treatment adherence is ensured. Directly Observed Therapy (DOT) and treatment support in the community also enhance the sustained adherence to treatment, reducing the rates of default and the development of drug resistance.</w:t>
      </w:r>
    </w:p>
    <w:p w14:paraId="0A49AC9B"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More complex and longer treatment regimens, which include the use of second-line drugs, are necessary in the treatment of multidrug-resistant tuberculosis and extensively drug-resistant tuberculosis. This has the effect of increasing the resource requirements, which in many cases necessitates the involvement of specialists (UKHSA, 2025a; WHO, 2025c). The drugs used in the treatment of tuberculosis in such cases are associated with greater risk, cost, and the monitoring of side effects. Preventive treatment is also used in many high-incidence countries to minimize the risk of latent tuberculosis infection developing into TB disease (WHO, 2025c).</w:t>
      </w:r>
    </w:p>
    <w:p w14:paraId="476F5E65" w14:textId="77777777" w:rsidR="00AE4C8C"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Socioeconomic factors are another important aspect of tuberculosis control. In this regard, the reduction of the risk factors such as poverty, food insecurity, crowding, smoking, alcohol consumption, and HIV infection has the effect of reducing the risk of developing TB and improving treatment outcomes (WHO, 2025b). It should be noted that TB control requires not just treatment but also social protection and community engagement.</w:t>
      </w:r>
    </w:p>
    <w:p w14:paraId="5E802140" w14:textId="3F56BBDE" w:rsidR="0036744B" w:rsidRPr="00B1746A" w:rsidRDefault="00584488" w:rsidP="00D637A4">
      <w:pPr>
        <w:spacing w:line="360" w:lineRule="auto"/>
        <w:jc w:val="both"/>
        <w:rPr>
          <w:rFonts w:ascii="Arial" w:hAnsi="Arial" w:cs="Arial"/>
          <w:color w:val="000000" w:themeColor="text1"/>
        </w:rPr>
      </w:pPr>
      <w:r>
        <w:rPr>
          <w:rFonts w:ascii="Times New Roman" w:eastAsia="Times New Roman" w:hAnsi="Times New Roman" w:cs="Times New Roman"/>
          <w:noProof/>
          <w:lang w:eastAsia="en-GB"/>
        </w:rPr>
        <w:pict w14:anchorId="4EBA0E64">
          <v:rect id="_x0000_i1030" alt="" style="width:451.3pt;height:.05pt;mso-width-percent:0;mso-height-percent:0;mso-width-percent:0;mso-height-percent:0" o:hralign="center" o:hrstd="t" o:hr="t" fillcolor="#a0a0a0" stroked="f"/>
        </w:pict>
      </w:r>
    </w:p>
    <w:p w14:paraId="1685295A" w14:textId="77777777" w:rsidR="00700150" w:rsidRPr="00B1746A" w:rsidRDefault="00700150" w:rsidP="00D637A4">
      <w:pPr>
        <w:spacing w:line="360" w:lineRule="auto"/>
        <w:jc w:val="both"/>
        <w:rPr>
          <w:rFonts w:ascii="Arial" w:hAnsi="Arial" w:cs="Arial"/>
          <w:b/>
          <w:bCs/>
          <w:color w:val="000000" w:themeColor="text1"/>
        </w:rPr>
      </w:pPr>
      <w:r w:rsidRPr="00B1746A">
        <w:rPr>
          <w:rFonts w:ascii="Arial" w:hAnsi="Arial" w:cs="Arial"/>
          <w:b/>
          <w:bCs/>
          <w:color w:val="000000" w:themeColor="text1"/>
        </w:rPr>
        <w:t>3.0</w:t>
      </w:r>
      <w:r w:rsidRPr="00B1746A">
        <w:rPr>
          <w:rFonts w:ascii="Arial" w:hAnsi="Arial" w:cs="Arial"/>
          <w:b/>
          <w:bCs/>
          <w:color w:val="000000" w:themeColor="text1"/>
        </w:rPr>
        <w:tab/>
        <w:t>Consequences of TB in the Community</w:t>
      </w:r>
    </w:p>
    <w:p w14:paraId="0D902150"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Tuberculosis (TB) has far-reaching effects on households and health infrastructures. On the personal level, TB causes prolonged morbidity, significant healthcare costs, and decreased productivity because of illness and prolonged treatment regimens. The physical manifestations of TB, such as prolonged coughing, night sweats, and weight loss, can greatly reduce quality of life and hinder socioeconomic activities (WHO, 2025b). Untreated TB can lead to irreversible lung damage, and in cases of drug-resistant TB, mortality risk is heightened (WHO, 2025c).</w:t>
      </w:r>
    </w:p>
    <w:p w14:paraId="6D5AB5B4"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 xml:space="preserve">Social stigma is a significant barrier to seeking healthcare for TB patients. Patients delay seeking medical care because of the social stigma attached to TB, and this is particularly true in areas </w:t>
      </w:r>
      <w:r w:rsidRPr="00D637A4">
        <w:rPr>
          <w:rFonts w:ascii="Arial" w:hAnsi="Arial" w:cs="Arial"/>
          <w:color w:val="000000" w:themeColor="text1"/>
          <w:sz w:val="22"/>
          <w:szCs w:val="22"/>
        </w:rPr>
        <w:lastRenderedPageBreak/>
        <w:t>where TB is associated with poverty, HIV status, and poor living conditions (UKHSA, 2025a; Guardian, 2025).</w:t>
      </w:r>
    </w:p>
    <w:p w14:paraId="4BF9AAB5"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This includes population-level implications, which cover increased health disparities. Tuberculosis, for example, is significantly more common in England's most deprived areas and among ethnic minorities. This is because hospital admissions for TB are up to seven times greater in disadvantaged groups than in those from a wealthier background (Guardian, 2025; Financial Times, 2025). This is due to a variety of general socioeconomic factors.</w:t>
      </w:r>
    </w:p>
    <w:p w14:paraId="4416C662" w14:textId="77777777" w:rsidR="00AE4C8C" w:rsidRPr="00D637A4"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Tuberculosis is a costly infectious disease for the health care system. Increasing cases, especially drug-resistant cases, are putting a strain on diagnostic and treatment facilities, which require highly skilled personnel and long periods of care for those infected with TB. Emergency cases due to TB can cost the National Health Service up to £1.5 billion in economically disadvantaged areas in the United Kingdom (Guardian, 2025).</w:t>
      </w:r>
    </w:p>
    <w:p w14:paraId="74029501" w14:textId="7A58A468" w:rsidR="0036744B" w:rsidRDefault="00AE4C8C"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TB not only affects the health status of people, but it also affects their economic productivity, family stability, and the stability of the community in general. Families with members infected with TB often suffer economic costs due to the expensive treatment required for the disease, which compromises their future developmental capabilities (WHO, 2025c). The prevalence of TB in both developed and developing nations shows a need for a multi-faceted control policy for the infectious disease.</w:t>
      </w:r>
    </w:p>
    <w:p w14:paraId="10456FF3" w14:textId="61C1AACA" w:rsidR="0036744B" w:rsidRPr="0036744B" w:rsidRDefault="00584488" w:rsidP="00D637A4">
      <w:pPr>
        <w:spacing w:line="360" w:lineRule="auto"/>
        <w:jc w:val="both"/>
        <w:rPr>
          <w:rFonts w:ascii="Arial" w:hAnsi="Arial" w:cs="Arial"/>
          <w:color w:val="000000" w:themeColor="text1"/>
          <w:sz w:val="22"/>
          <w:szCs w:val="22"/>
        </w:rPr>
      </w:pPr>
      <w:r>
        <w:rPr>
          <w:rFonts w:ascii="Times New Roman" w:eastAsia="Times New Roman" w:hAnsi="Times New Roman" w:cs="Times New Roman"/>
          <w:noProof/>
          <w:lang w:eastAsia="en-GB"/>
        </w:rPr>
        <w:pict w14:anchorId="6AEB7602">
          <v:rect id="_x0000_i1029" alt="" style="width:451.3pt;height:.05pt;mso-width-percent:0;mso-height-percent:0;mso-width-percent:0;mso-height-percent:0" o:hralign="center" o:hrstd="t" o:hr="t" fillcolor="#a0a0a0" stroked="f"/>
        </w:pict>
      </w:r>
    </w:p>
    <w:p w14:paraId="0A309F7A" w14:textId="77777777" w:rsidR="00700150" w:rsidRPr="00B1746A" w:rsidRDefault="00700150" w:rsidP="00D637A4">
      <w:pPr>
        <w:spacing w:line="360" w:lineRule="auto"/>
        <w:jc w:val="both"/>
        <w:rPr>
          <w:rFonts w:ascii="Arial" w:hAnsi="Arial" w:cs="Arial"/>
          <w:b/>
          <w:bCs/>
          <w:color w:val="000000" w:themeColor="text1"/>
        </w:rPr>
      </w:pPr>
      <w:r w:rsidRPr="00B1746A">
        <w:rPr>
          <w:rFonts w:ascii="Arial" w:hAnsi="Arial" w:cs="Arial"/>
          <w:b/>
          <w:bCs/>
          <w:color w:val="000000" w:themeColor="text1"/>
        </w:rPr>
        <w:t>4.0</w:t>
      </w:r>
      <w:r w:rsidRPr="00B1746A">
        <w:rPr>
          <w:rFonts w:ascii="Arial" w:hAnsi="Arial" w:cs="Arial"/>
          <w:b/>
          <w:bCs/>
          <w:color w:val="000000" w:themeColor="text1"/>
        </w:rPr>
        <w:tab/>
        <w:t>Health and Social Care Support Services</w:t>
      </w:r>
    </w:p>
    <w:p w14:paraId="0662C2C5" w14:textId="77777777" w:rsidR="00D637A4" w:rsidRPr="00D637A4" w:rsidRDefault="00D637A4"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Coordinated health and social services play an integral role in facilitating individuals with tuberculosis. The primary role of primary care practitioners, tuberculosis specialist nurses, and respiratory physicians in the diagnosis and treatment of tuberculosis cannot be overstated. The development of protocols for the early diagnosis of tuberculosis in community health centers and tertiary institutions helps in the timely recognition of tuberculosis symptoms.</w:t>
      </w:r>
    </w:p>
    <w:p w14:paraId="15D6C2EE" w14:textId="77777777" w:rsidR="00D637A4" w:rsidRPr="00D637A4" w:rsidRDefault="00D637A4"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Public health institutions, including tuberculosis control boards in the United Kingdom, engage in activities that include contact tracing, community screening in high incidence areas, and education aimed at increasing community awareness of tuberculosis symptoms. Community health workers play an integral role in facilitating individuals with tuberculosis.</w:t>
      </w:r>
    </w:p>
    <w:p w14:paraId="6B00E340" w14:textId="77777777" w:rsidR="00D637A4" w:rsidRPr="00D637A4" w:rsidRDefault="00D637A4"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lastRenderedPageBreak/>
        <w:t>Interventions in social care help in managing the broader determinants of health. Nutritional care, housing improvements, income protection schemes, and counseling are all part of social care interventions, which work together to decrease the non-medical impact of tuberculosis. For example, supporting unemployed and underinsured patients can help them continue treatment and avoid treatment disruption because of financial constraints.</w:t>
      </w:r>
    </w:p>
    <w:p w14:paraId="1C1AF055" w14:textId="77777777" w:rsidR="00D637A4" w:rsidRPr="00D637A4" w:rsidRDefault="00D637A4"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Working with non-governmental organizations can help improve delivery services, especially for marginalized groups such as migrants, refugees, and homeless people. Charities and tuberculosis advocacy groups can provide additional resources and help patients access healthcare and overcome health challenges through peer groups and educational activities (WHO, 2025c).</w:t>
      </w:r>
    </w:p>
    <w:p w14:paraId="5082BDE0" w14:textId="77777777" w:rsidR="00D637A4" w:rsidRDefault="00D637A4"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Multisectoral collaboration at the policy level, which includes tuberculosis (TB) elimination strategies and financial mechanisms such as the Stop TB Partnership’s Global Plan to End TB, ensures that health services, research, financing, and community participation are working together towards common goals (Stop TB Partnership, 2025). Integrated health services are important in addressing individual needs and in TB control and elimination (UKHSA, 2025a; Guardian, 2025).</w:t>
      </w:r>
    </w:p>
    <w:p w14:paraId="19086820" w14:textId="2E4956DC" w:rsidR="0036744B" w:rsidRPr="00B1746A" w:rsidRDefault="00584488" w:rsidP="00D637A4">
      <w:pPr>
        <w:spacing w:line="360" w:lineRule="auto"/>
        <w:jc w:val="both"/>
        <w:rPr>
          <w:rFonts w:ascii="Arial" w:hAnsi="Arial" w:cs="Arial"/>
          <w:color w:val="000000" w:themeColor="text1"/>
        </w:rPr>
      </w:pPr>
      <w:r>
        <w:rPr>
          <w:rFonts w:ascii="Times New Roman" w:eastAsia="Times New Roman" w:hAnsi="Times New Roman" w:cs="Times New Roman"/>
          <w:noProof/>
          <w:lang w:eastAsia="en-GB"/>
        </w:rPr>
        <w:pict w14:anchorId="34627615">
          <v:rect id="_x0000_i1028" alt="" style="width:451.3pt;height:.05pt;mso-width-percent:0;mso-height-percent:0;mso-width-percent:0;mso-height-percent:0" o:hralign="center" o:hrstd="t" o:hr="t" fillcolor="#a0a0a0" stroked="f"/>
        </w:pict>
      </w:r>
    </w:p>
    <w:p w14:paraId="42BB21C7" w14:textId="77777777" w:rsidR="00882A67" w:rsidRPr="00B1746A" w:rsidRDefault="00882A67" w:rsidP="00D637A4">
      <w:pPr>
        <w:spacing w:line="360" w:lineRule="auto"/>
        <w:jc w:val="both"/>
        <w:rPr>
          <w:rFonts w:ascii="Arial" w:hAnsi="Arial" w:cs="Arial"/>
          <w:b/>
          <w:bCs/>
          <w:color w:val="000000" w:themeColor="text1"/>
        </w:rPr>
      </w:pPr>
      <w:r w:rsidRPr="00B1746A">
        <w:rPr>
          <w:rFonts w:ascii="Arial" w:hAnsi="Arial" w:cs="Arial"/>
          <w:b/>
          <w:bCs/>
          <w:color w:val="000000" w:themeColor="text1"/>
        </w:rPr>
        <w:t>5.0</w:t>
      </w:r>
      <w:r w:rsidRPr="00B1746A">
        <w:rPr>
          <w:rFonts w:ascii="Arial" w:hAnsi="Arial" w:cs="Arial"/>
          <w:b/>
          <w:bCs/>
          <w:color w:val="000000" w:themeColor="text1"/>
        </w:rPr>
        <w:tab/>
        <w:t>Conclusion</w:t>
      </w:r>
    </w:p>
    <w:p w14:paraId="200B9C3F" w14:textId="5F19A0D6" w:rsidR="00D637A4" w:rsidRPr="00D637A4" w:rsidRDefault="00D637A4"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 xml:space="preserve">Tuberculosis </w:t>
      </w:r>
      <w:r w:rsidR="00B1746A" w:rsidRPr="00D637A4">
        <w:rPr>
          <w:rFonts w:ascii="Arial" w:hAnsi="Arial" w:cs="Arial"/>
          <w:color w:val="000000" w:themeColor="text1"/>
          <w:sz w:val="22"/>
          <w:szCs w:val="22"/>
        </w:rPr>
        <w:t>is</w:t>
      </w:r>
      <w:r w:rsidRPr="00D637A4">
        <w:rPr>
          <w:rFonts w:ascii="Arial" w:hAnsi="Arial" w:cs="Arial"/>
          <w:color w:val="000000" w:themeColor="text1"/>
          <w:sz w:val="22"/>
          <w:szCs w:val="22"/>
        </w:rPr>
        <w:t xml:space="preserve"> a complex public health issue that is multifaceted in both global and domestic terms despite being both preventable and treatable. In terms of projections for 2024, there are expected to be 10.7 million people who contract tuberculosis worldwide, with 1.23 million fatalities due to tuberculosis. In England, improvements in notification figures coupled with ongoing social inequities in terms of disease incidence confirm that tuberculosis remains an issue that disproportionately affects vulnerable groups.</w:t>
      </w:r>
    </w:p>
    <w:p w14:paraId="0B93E9EC" w14:textId="12781CFC" w:rsidR="00A160B5" w:rsidRDefault="00D637A4" w:rsidP="00D637A4">
      <w:pPr>
        <w:spacing w:line="360" w:lineRule="auto"/>
        <w:jc w:val="both"/>
        <w:rPr>
          <w:rFonts w:ascii="Arial" w:hAnsi="Arial" w:cs="Arial"/>
          <w:color w:val="000000" w:themeColor="text1"/>
          <w:sz w:val="22"/>
          <w:szCs w:val="22"/>
        </w:rPr>
      </w:pPr>
      <w:r w:rsidRPr="00D637A4">
        <w:rPr>
          <w:rFonts w:ascii="Arial" w:hAnsi="Arial" w:cs="Arial"/>
          <w:color w:val="000000" w:themeColor="text1"/>
          <w:sz w:val="22"/>
          <w:szCs w:val="22"/>
        </w:rPr>
        <w:t>To effectively address tuberculosis, there is a need for effective surveillance mechanisms, early treatment using advanced diagnostic techniques, completion of treatment regimens, and ongoing public health interventions that address both the medical and socioeconomic factors that impact tuberculosis. A concerted effort is thus needed from health services, community-based interventions, and social services to effectively reduce the impact of tuberculosis in terms of incidence and mortality while ultimately eliminating tuberculosis as a public health issue in line with the End TB Strategy.</w:t>
      </w:r>
    </w:p>
    <w:p w14:paraId="1CE4BD99" w14:textId="38EAF228" w:rsidR="00D637A4" w:rsidRDefault="00584488" w:rsidP="00882A67">
      <w:pPr>
        <w:jc w:val="both"/>
        <w:rPr>
          <w:rFonts w:ascii="Arial" w:hAnsi="Arial" w:cs="Arial"/>
          <w:color w:val="000000" w:themeColor="text1"/>
          <w:sz w:val="22"/>
          <w:szCs w:val="22"/>
        </w:rPr>
      </w:pPr>
      <w:r>
        <w:rPr>
          <w:rFonts w:ascii="Times New Roman" w:eastAsia="Times New Roman" w:hAnsi="Times New Roman" w:cs="Times New Roman"/>
          <w:noProof/>
          <w:lang w:eastAsia="en-GB"/>
        </w:rPr>
        <w:lastRenderedPageBreak/>
        <w:pict w14:anchorId="54E511B6">
          <v:rect id="_x0000_i1027" alt="" style="width:451.3pt;height:.05pt;mso-width-percent:0;mso-height-percent:0;mso-width-percent:0;mso-height-percent:0" o:hralign="center" o:hrstd="t" o:hr="t" fillcolor="#a0a0a0" stroked="f"/>
        </w:pict>
      </w:r>
    </w:p>
    <w:p w14:paraId="4D64DB1C" w14:textId="25889EF7" w:rsidR="009B407F" w:rsidRPr="00D637A4" w:rsidRDefault="009B1884" w:rsidP="00882A67">
      <w:pPr>
        <w:jc w:val="both"/>
        <w:rPr>
          <w:rFonts w:ascii="Arial" w:hAnsi="Arial" w:cs="Arial"/>
          <w:b/>
          <w:bCs/>
          <w:color w:val="000000" w:themeColor="text1"/>
          <w:sz w:val="22"/>
          <w:szCs w:val="22"/>
        </w:rPr>
      </w:pPr>
      <w:r>
        <w:rPr>
          <w:rFonts w:ascii="Arial" w:hAnsi="Arial" w:cs="Arial"/>
          <w:b/>
          <w:bCs/>
          <w:color w:val="000000" w:themeColor="text1"/>
          <w:sz w:val="22"/>
          <w:szCs w:val="22"/>
        </w:rPr>
        <w:t>6</w:t>
      </w:r>
      <w:r w:rsidR="009B407F" w:rsidRPr="00D637A4">
        <w:rPr>
          <w:rFonts w:ascii="Arial" w:hAnsi="Arial" w:cs="Arial"/>
          <w:b/>
          <w:bCs/>
          <w:color w:val="000000" w:themeColor="text1"/>
          <w:sz w:val="22"/>
          <w:szCs w:val="22"/>
        </w:rPr>
        <w:t>.0</w:t>
      </w:r>
      <w:r w:rsidR="009B407F" w:rsidRPr="00D637A4">
        <w:rPr>
          <w:rFonts w:ascii="Arial" w:hAnsi="Arial" w:cs="Arial"/>
          <w:b/>
          <w:bCs/>
          <w:color w:val="000000" w:themeColor="text1"/>
          <w:sz w:val="22"/>
          <w:szCs w:val="22"/>
        </w:rPr>
        <w:tab/>
        <w:t>APPENDIX</w:t>
      </w:r>
    </w:p>
    <w:p w14:paraId="31369312" w14:textId="77777777" w:rsidR="009B407F" w:rsidRPr="00814490" w:rsidRDefault="009B407F" w:rsidP="009B407F">
      <w:pPr>
        <w:spacing w:line="360" w:lineRule="auto"/>
        <w:jc w:val="both"/>
        <w:rPr>
          <w:rFonts w:ascii="Arial" w:hAnsi="Arial" w:cs="Arial"/>
          <w:b/>
          <w:bCs/>
          <w:sz w:val="22"/>
          <w:szCs w:val="22"/>
        </w:rPr>
      </w:pPr>
      <w:r w:rsidRPr="00814490">
        <w:rPr>
          <w:rFonts w:ascii="Arial" w:hAnsi="Arial" w:cs="Arial"/>
          <w:b/>
          <w:bCs/>
          <w:sz w:val="22"/>
          <w:szCs w:val="22"/>
        </w:rPr>
        <w:t>Appendix 1: Global and UK Tuberculosis Burden</w:t>
      </w:r>
    </w:p>
    <w:p w14:paraId="15B4E179" w14:textId="77777777" w:rsidR="009B407F" w:rsidRPr="00814490" w:rsidRDefault="009B407F" w:rsidP="009B407F">
      <w:pPr>
        <w:spacing w:line="360" w:lineRule="auto"/>
        <w:jc w:val="both"/>
        <w:rPr>
          <w:rFonts w:ascii="Arial" w:hAnsi="Arial" w:cs="Arial"/>
          <w:b/>
          <w:bCs/>
          <w:sz w:val="22"/>
          <w:szCs w:val="22"/>
        </w:rPr>
      </w:pPr>
      <w:r w:rsidRPr="00814490">
        <w:rPr>
          <w:rFonts w:ascii="Arial" w:hAnsi="Arial" w:cs="Arial"/>
          <w:b/>
          <w:bCs/>
          <w:sz w:val="22"/>
          <w:szCs w:val="22"/>
        </w:rPr>
        <w:t>Table 1: Tuberculosis Incidence and Mortality</w:t>
      </w:r>
    </w:p>
    <w:tbl>
      <w:tblPr>
        <w:tblStyle w:val="TableGrid"/>
        <w:tblW w:w="0" w:type="auto"/>
        <w:tblLook w:val="04A0" w:firstRow="1" w:lastRow="0" w:firstColumn="1" w:lastColumn="0" w:noHBand="0" w:noVBand="1"/>
      </w:tblPr>
      <w:tblGrid>
        <w:gridCol w:w="2337"/>
        <w:gridCol w:w="2337"/>
        <w:gridCol w:w="2338"/>
        <w:gridCol w:w="2338"/>
      </w:tblGrid>
      <w:tr w:rsidR="009B407F" w:rsidRPr="00814490" w14:paraId="4E14EB09" w14:textId="77777777" w:rsidTr="0051453C">
        <w:tc>
          <w:tcPr>
            <w:tcW w:w="2337" w:type="dxa"/>
            <w:vAlign w:val="center"/>
          </w:tcPr>
          <w:p w14:paraId="573AA0D1" w14:textId="77777777" w:rsidR="009B407F" w:rsidRPr="00814490" w:rsidRDefault="009B407F" w:rsidP="00682043">
            <w:pPr>
              <w:jc w:val="both"/>
              <w:rPr>
                <w:rFonts w:ascii="Arial" w:hAnsi="Arial" w:cs="Arial"/>
                <w:b/>
                <w:bCs/>
                <w:sz w:val="22"/>
                <w:szCs w:val="22"/>
              </w:rPr>
            </w:pPr>
            <w:r w:rsidRPr="00814490">
              <w:rPr>
                <w:rFonts w:ascii="Arial" w:hAnsi="Arial" w:cs="Arial"/>
                <w:b/>
                <w:bCs/>
                <w:sz w:val="22"/>
                <w:szCs w:val="22"/>
              </w:rPr>
              <w:t>Indicator</w:t>
            </w:r>
          </w:p>
        </w:tc>
        <w:tc>
          <w:tcPr>
            <w:tcW w:w="2337" w:type="dxa"/>
            <w:vAlign w:val="center"/>
          </w:tcPr>
          <w:p w14:paraId="7F386529" w14:textId="77777777" w:rsidR="009B407F" w:rsidRPr="00814490" w:rsidRDefault="009B407F" w:rsidP="00682043">
            <w:pPr>
              <w:jc w:val="both"/>
              <w:rPr>
                <w:rFonts w:ascii="Arial" w:hAnsi="Arial" w:cs="Arial"/>
                <w:b/>
                <w:bCs/>
                <w:sz w:val="22"/>
                <w:szCs w:val="22"/>
              </w:rPr>
            </w:pPr>
            <w:r w:rsidRPr="00814490">
              <w:rPr>
                <w:rFonts w:ascii="Arial" w:hAnsi="Arial" w:cs="Arial"/>
                <w:b/>
                <w:bCs/>
                <w:sz w:val="22"/>
                <w:szCs w:val="22"/>
              </w:rPr>
              <w:t>Global Estimate (2024)</w:t>
            </w:r>
          </w:p>
        </w:tc>
        <w:tc>
          <w:tcPr>
            <w:tcW w:w="2338" w:type="dxa"/>
            <w:vAlign w:val="center"/>
          </w:tcPr>
          <w:p w14:paraId="318DE409" w14:textId="77777777" w:rsidR="009B407F" w:rsidRPr="00814490" w:rsidRDefault="009B407F" w:rsidP="00682043">
            <w:pPr>
              <w:jc w:val="both"/>
              <w:rPr>
                <w:rFonts w:ascii="Arial" w:hAnsi="Arial" w:cs="Arial"/>
                <w:b/>
                <w:bCs/>
                <w:sz w:val="22"/>
                <w:szCs w:val="22"/>
              </w:rPr>
            </w:pPr>
            <w:r w:rsidRPr="00814490">
              <w:rPr>
                <w:rFonts w:ascii="Arial" w:hAnsi="Arial" w:cs="Arial"/>
                <w:b/>
                <w:bCs/>
                <w:sz w:val="22"/>
                <w:szCs w:val="22"/>
              </w:rPr>
              <w:t>England Estimate (2024)</w:t>
            </w:r>
          </w:p>
        </w:tc>
        <w:tc>
          <w:tcPr>
            <w:tcW w:w="2338" w:type="dxa"/>
            <w:vAlign w:val="center"/>
          </w:tcPr>
          <w:p w14:paraId="2B71F6C7" w14:textId="77777777" w:rsidR="009B407F" w:rsidRPr="00814490" w:rsidRDefault="00682043" w:rsidP="00682043">
            <w:pPr>
              <w:jc w:val="both"/>
              <w:rPr>
                <w:rFonts w:ascii="Arial" w:hAnsi="Arial" w:cs="Arial"/>
                <w:b/>
                <w:bCs/>
                <w:sz w:val="22"/>
                <w:szCs w:val="22"/>
              </w:rPr>
            </w:pPr>
            <w:r w:rsidRPr="00814490">
              <w:rPr>
                <w:rFonts w:ascii="Arial" w:hAnsi="Arial" w:cs="Arial"/>
                <w:b/>
                <w:bCs/>
                <w:sz w:val="22"/>
                <w:szCs w:val="22"/>
              </w:rPr>
              <w:t xml:space="preserve">Main </w:t>
            </w:r>
            <w:r w:rsidR="009B407F" w:rsidRPr="00814490">
              <w:rPr>
                <w:rFonts w:ascii="Arial" w:hAnsi="Arial" w:cs="Arial"/>
                <w:b/>
                <w:bCs/>
                <w:sz w:val="22"/>
                <w:szCs w:val="22"/>
              </w:rPr>
              <w:t>Observations</w:t>
            </w:r>
          </w:p>
        </w:tc>
      </w:tr>
      <w:tr w:rsidR="009B407F" w:rsidRPr="00814490" w14:paraId="419CD84F" w14:textId="77777777" w:rsidTr="0051453C">
        <w:tc>
          <w:tcPr>
            <w:tcW w:w="2337" w:type="dxa"/>
            <w:vAlign w:val="center"/>
          </w:tcPr>
          <w:p w14:paraId="1389A1B2"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Total TB cases</w:t>
            </w:r>
          </w:p>
        </w:tc>
        <w:tc>
          <w:tcPr>
            <w:tcW w:w="2337" w:type="dxa"/>
            <w:vAlign w:val="center"/>
          </w:tcPr>
          <w:p w14:paraId="220CF2F2"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10.7 million</w:t>
            </w:r>
          </w:p>
        </w:tc>
        <w:tc>
          <w:tcPr>
            <w:tcW w:w="2338" w:type="dxa"/>
            <w:vAlign w:val="center"/>
          </w:tcPr>
          <w:p w14:paraId="65D0FA1D"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5,490 cases</w:t>
            </w:r>
          </w:p>
        </w:tc>
        <w:tc>
          <w:tcPr>
            <w:tcW w:w="2338" w:type="dxa"/>
            <w:vAlign w:val="center"/>
          </w:tcPr>
          <w:p w14:paraId="1D182053"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TB remains a major global infectious disease burden</w:t>
            </w:r>
          </w:p>
        </w:tc>
      </w:tr>
      <w:tr w:rsidR="009B407F" w:rsidRPr="00814490" w14:paraId="21D56F4F" w14:textId="77777777" w:rsidTr="0051453C">
        <w:tc>
          <w:tcPr>
            <w:tcW w:w="2337" w:type="dxa"/>
            <w:vAlign w:val="center"/>
          </w:tcPr>
          <w:p w14:paraId="39232578"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TB deaths (HIV-negative)</w:t>
            </w:r>
          </w:p>
        </w:tc>
        <w:tc>
          <w:tcPr>
            <w:tcW w:w="2337" w:type="dxa"/>
            <w:vAlign w:val="center"/>
          </w:tcPr>
          <w:p w14:paraId="14612D1C"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1.23 million</w:t>
            </w:r>
          </w:p>
        </w:tc>
        <w:tc>
          <w:tcPr>
            <w:tcW w:w="2338" w:type="dxa"/>
            <w:vAlign w:val="center"/>
          </w:tcPr>
          <w:p w14:paraId="6F0C4DB5"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Low mortality compared to global</w:t>
            </w:r>
          </w:p>
        </w:tc>
        <w:tc>
          <w:tcPr>
            <w:tcW w:w="2338" w:type="dxa"/>
            <w:vAlign w:val="center"/>
          </w:tcPr>
          <w:p w14:paraId="460DFDFB"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Mortality concentrated in low-income countries</w:t>
            </w:r>
          </w:p>
        </w:tc>
      </w:tr>
      <w:tr w:rsidR="009B407F" w:rsidRPr="00814490" w14:paraId="5DFB9379" w14:textId="77777777" w:rsidTr="0051453C">
        <w:tc>
          <w:tcPr>
            <w:tcW w:w="2337" w:type="dxa"/>
            <w:vAlign w:val="center"/>
          </w:tcPr>
          <w:p w14:paraId="141BFD79"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TB incidence rate</w:t>
            </w:r>
          </w:p>
        </w:tc>
        <w:tc>
          <w:tcPr>
            <w:tcW w:w="2337" w:type="dxa"/>
            <w:vAlign w:val="center"/>
          </w:tcPr>
          <w:p w14:paraId="10D7C149"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134 per 100,000 population</w:t>
            </w:r>
          </w:p>
        </w:tc>
        <w:tc>
          <w:tcPr>
            <w:tcW w:w="2338" w:type="dxa"/>
            <w:vAlign w:val="center"/>
          </w:tcPr>
          <w:p w14:paraId="401EB515"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9.4 per 100,000 population</w:t>
            </w:r>
          </w:p>
        </w:tc>
        <w:tc>
          <w:tcPr>
            <w:tcW w:w="2338" w:type="dxa"/>
            <w:vAlign w:val="center"/>
          </w:tcPr>
          <w:p w14:paraId="7515BCDE"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England close to low-incidence threshold</w:t>
            </w:r>
          </w:p>
        </w:tc>
      </w:tr>
      <w:tr w:rsidR="009B407F" w:rsidRPr="00814490" w14:paraId="51C84C8D" w14:textId="77777777" w:rsidTr="0051453C">
        <w:tc>
          <w:tcPr>
            <w:tcW w:w="2337" w:type="dxa"/>
            <w:vAlign w:val="center"/>
          </w:tcPr>
          <w:p w14:paraId="17556858"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 change from previous year</w:t>
            </w:r>
          </w:p>
        </w:tc>
        <w:tc>
          <w:tcPr>
            <w:tcW w:w="2337" w:type="dxa"/>
            <w:vAlign w:val="center"/>
          </w:tcPr>
          <w:p w14:paraId="4290B436"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Slight global decline</w:t>
            </w:r>
          </w:p>
        </w:tc>
        <w:tc>
          <w:tcPr>
            <w:tcW w:w="2338" w:type="dxa"/>
            <w:vAlign w:val="center"/>
          </w:tcPr>
          <w:p w14:paraId="445E56F4"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 xml:space="preserve">13.5% </w:t>
            </w:r>
            <w:r w:rsidR="00682043" w:rsidRPr="00814490">
              <w:rPr>
                <w:rFonts w:ascii="Arial" w:hAnsi="Arial" w:cs="Arial"/>
                <w:sz w:val="22"/>
                <w:szCs w:val="22"/>
              </w:rPr>
              <w:t>rise</w:t>
            </w:r>
            <w:r w:rsidRPr="00814490">
              <w:rPr>
                <w:rFonts w:ascii="Arial" w:hAnsi="Arial" w:cs="Arial"/>
                <w:sz w:val="22"/>
                <w:szCs w:val="22"/>
              </w:rPr>
              <w:t xml:space="preserve"> from 2023</w:t>
            </w:r>
          </w:p>
        </w:tc>
        <w:tc>
          <w:tcPr>
            <w:tcW w:w="2338" w:type="dxa"/>
            <w:vAlign w:val="center"/>
          </w:tcPr>
          <w:p w14:paraId="723AB896"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Post-pandemic rebound observed</w:t>
            </w:r>
          </w:p>
        </w:tc>
      </w:tr>
      <w:tr w:rsidR="009B407F" w:rsidRPr="00814490" w14:paraId="6D66A4D5" w14:textId="77777777" w:rsidTr="0051453C">
        <w:tc>
          <w:tcPr>
            <w:tcW w:w="2337" w:type="dxa"/>
            <w:vAlign w:val="center"/>
          </w:tcPr>
          <w:p w14:paraId="0C2D9305"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High burden regions</w:t>
            </w:r>
          </w:p>
        </w:tc>
        <w:tc>
          <w:tcPr>
            <w:tcW w:w="2337" w:type="dxa"/>
            <w:vAlign w:val="center"/>
          </w:tcPr>
          <w:p w14:paraId="4B6DD978"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Asia and Africa</w:t>
            </w:r>
          </w:p>
        </w:tc>
        <w:tc>
          <w:tcPr>
            <w:tcW w:w="2338" w:type="dxa"/>
            <w:vAlign w:val="center"/>
          </w:tcPr>
          <w:p w14:paraId="503CA257"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London and deprived urban areas</w:t>
            </w:r>
          </w:p>
        </w:tc>
        <w:tc>
          <w:tcPr>
            <w:tcW w:w="2338" w:type="dxa"/>
            <w:vAlign w:val="center"/>
          </w:tcPr>
          <w:p w14:paraId="412CC3F7"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Socioeconomic inequalities influence distribution</w:t>
            </w:r>
          </w:p>
        </w:tc>
      </w:tr>
    </w:tbl>
    <w:p w14:paraId="47F48508" w14:textId="77777777" w:rsidR="007A1296" w:rsidRDefault="009B407F" w:rsidP="009B407F">
      <w:pPr>
        <w:spacing w:line="360" w:lineRule="auto"/>
        <w:jc w:val="both"/>
        <w:rPr>
          <w:rFonts w:ascii="Arial" w:hAnsi="Arial" w:cs="Arial"/>
          <w:sz w:val="22"/>
          <w:szCs w:val="22"/>
        </w:rPr>
      </w:pPr>
      <w:r w:rsidRPr="00814490">
        <w:rPr>
          <w:rFonts w:ascii="Arial" w:hAnsi="Arial" w:cs="Arial"/>
          <w:b/>
          <w:bCs/>
          <w:sz w:val="22"/>
          <w:szCs w:val="22"/>
        </w:rPr>
        <w:t xml:space="preserve">Source: </w:t>
      </w:r>
      <w:r w:rsidRPr="00814490">
        <w:rPr>
          <w:rFonts w:ascii="Arial" w:hAnsi="Arial" w:cs="Arial"/>
          <w:sz w:val="22"/>
          <w:szCs w:val="22"/>
        </w:rPr>
        <w:t>(World Health Organization, 2025 and UK Health Security Agency, 2025)</w:t>
      </w:r>
    </w:p>
    <w:p w14:paraId="4047E1FC" w14:textId="693F999A" w:rsidR="009B407F" w:rsidRPr="007A1296" w:rsidRDefault="009B407F" w:rsidP="009B407F">
      <w:pPr>
        <w:spacing w:line="360" w:lineRule="auto"/>
        <w:jc w:val="both"/>
        <w:rPr>
          <w:rFonts w:ascii="Arial" w:hAnsi="Arial" w:cs="Arial"/>
          <w:sz w:val="22"/>
          <w:szCs w:val="22"/>
        </w:rPr>
      </w:pPr>
      <w:r w:rsidRPr="00814490">
        <w:rPr>
          <w:rFonts w:ascii="Arial" w:hAnsi="Arial" w:cs="Arial"/>
          <w:b/>
          <w:bCs/>
          <w:sz w:val="22"/>
          <w:szCs w:val="22"/>
        </w:rPr>
        <w:t>Appendix 2: Signs and Symptoms of Tuberculosis</w:t>
      </w:r>
    </w:p>
    <w:p w14:paraId="20B56148" w14:textId="77777777" w:rsidR="009B407F" w:rsidRPr="00814490" w:rsidRDefault="009B407F" w:rsidP="009B407F">
      <w:pPr>
        <w:spacing w:line="360" w:lineRule="auto"/>
        <w:jc w:val="both"/>
        <w:rPr>
          <w:rFonts w:ascii="Arial" w:hAnsi="Arial" w:cs="Arial"/>
          <w:b/>
          <w:bCs/>
          <w:sz w:val="22"/>
          <w:szCs w:val="22"/>
        </w:rPr>
      </w:pPr>
      <w:r w:rsidRPr="00814490">
        <w:rPr>
          <w:rFonts w:ascii="Arial" w:hAnsi="Arial" w:cs="Arial"/>
          <w:b/>
          <w:bCs/>
          <w:sz w:val="22"/>
          <w:szCs w:val="22"/>
        </w:rPr>
        <w:t>Table 2: Clinical Manifestations of Active and Latent TB</w:t>
      </w:r>
    </w:p>
    <w:tbl>
      <w:tblPr>
        <w:tblStyle w:val="TableGrid"/>
        <w:tblW w:w="0" w:type="auto"/>
        <w:tblLook w:val="04A0" w:firstRow="1" w:lastRow="0" w:firstColumn="1" w:lastColumn="0" w:noHBand="0" w:noVBand="1"/>
      </w:tblPr>
      <w:tblGrid>
        <w:gridCol w:w="3116"/>
        <w:gridCol w:w="3117"/>
        <w:gridCol w:w="3117"/>
      </w:tblGrid>
      <w:tr w:rsidR="009B407F" w:rsidRPr="00814490" w14:paraId="736E5478" w14:textId="77777777" w:rsidTr="0051453C">
        <w:tc>
          <w:tcPr>
            <w:tcW w:w="3116" w:type="dxa"/>
            <w:vAlign w:val="center"/>
          </w:tcPr>
          <w:p w14:paraId="6961CDBD"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Category</w:t>
            </w:r>
          </w:p>
        </w:tc>
        <w:tc>
          <w:tcPr>
            <w:tcW w:w="3117" w:type="dxa"/>
            <w:vAlign w:val="center"/>
          </w:tcPr>
          <w:p w14:paraId="681EA98B"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Symptoms/Characteristics</w:t>
            </w:r>
          </w:p>
        </w:tc>
        <w:tc>
          <w:tcPr>
            <w:tcW w:w="3117" w:type="dxa"/>
            <w:vAlign w:val="center"/>
          </w:tcPr>
          <w:p w14:paraId="7B5B2A2F"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Clinical Significance</w:t>
            </w:r>
          </w:p>
        </w:tc>
      </w:tr>
      <w:tr w:rsidR="009B407F" w:rsidRPr="00814490" w14:paraId="20BC742F" w14:textId="77777777" w:rsidTr="0051453C">
        <w:tc>
          <w:tcPr>
            <w:tcW w:w="3116" w:type="dxa"/>
            <w:vAlign w:val="center"/>
          </w:tcPr>
          <w:p w14:paraId="6AAB621F"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Persistent cough</w:t>
            </w:r>
          </w:p>
        </w:tc>
        <w:tc>
          <w:tcPr>
            <w:tcW w:w="3117" w:type="dxa"/>
            <w:vAlign w:val="center"/>
          </w:tcPr>
          <w:p w14:paraId="4BE03A12"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Lasting more than 3 weeks</w:t>
            </w:r>
          </w:p>
        </w:tc>
        <w:tc>
          <w:tcPr>
            <w:tcW w:w="3117" w:type="dxa"/>
            <w:vAlign w:val="center"/>
          </w:tcPr>
          <w:p w14:paraId="74209336"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Primary symptom prompting testing</w:t>
            </w:r>
          </w:p>
        </w:tc>
      </w:tr>
      <w:tr w:rsidR="009B407F" w:rsidRPr="00814490" w14:paraId="7A932FF2" w14:textId="77777777" w:rsidTr="0051453C">
        <w:tc>
          <w:tcPr>
            <w:tcW w:w="3116" w:type="dxa"/>
            <w:vAlign w:val="center"/>
          </w:tcPr>
          <w:p w14:paraId="78C1E266"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Chest pain</w:t>
            </w:r>
          </w:p>
        </w:tc>
        <w:tc>
          <w:tcPr>
            <w:tcW w:w="3117" w:type="dxa"/>
            <w:vAlign w:val="center"/>
          </w:tcPr>
          <w:p w14:paraId="41174D27"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Pain during breathing or coughing</w:t>
            </w:r>
          </w:p>
        </w:tc>
        <w:tc>
          <w:tcPr>
            <w:tcW w:w="3117" w:type="dxa"/>
            <w:vAlign w:val="center"/>
          </w:tcPr>
          <w:p w14:paraId="35F7B2CD"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Indicates lung involvement</w:t>
            </w:r>
          </w:p>
        </w:tc>
      </w:tr>
      <w:tr w:rsidR="009B407F" w:rsidRPr="00814490" w14:paraId="4A6B35E3" w14:textId="77777777" w:rsidTr="0051453C">
        <w:tc>
          <w:tcPr>
            <w:tcW w:w="3116" w:type="dxa"/>
            <w:vAlign w:val="center"/>
          </w:tcPr>
          <w:p w14:paraId="7BA35012" w14:textId="5BEFEA78" w:rsidR="009B407F" w:rsidRPr="00814490" w:rsidRDefault="007A1296" w:rsidP="00682043">
            <w:pPr>
              <w:jc w:val="both"/>
              <w:rPr>
                <w:rFonts w:ascii="Arial" w:hAnsi="Arial" w:cs="Arial"/>
                <w:sz w:val="22"/>
                <w:szCs w:val="22"/>
              </w:rPr>
            </w:pPr>
            <w:r w:rsidRPr="00814490">
              <w:rPr>
                <w:rFonts w:ascii="Arial" w:hAnsi="Arial" w:cs="Arial"/>
                <w:sz w:val="22"/>
                <w:szCs w:val="22"/>
              </w:rPr>
              <w:t>Hemoptysis</w:t>
            </w:r>
          </w:p>
        </w:tc>
        <w:tc>
          <w:tcPr>
            <w:tcW w:w="3117" w:type="dxa"/>
            <w:vAlign w:val="center"/>
          </w:tcPr>
          <w:p w14:paraId="4343B7CD"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Coughing up blood</w:t>
            </w:r>
          </w:p>
        </w:tc>
        <w:tc>
          <w:tcPr>
            <w:tcW w:w="3117" w:type="dxa"/>
            <w:vAlign w:val="center"/>
          </w:tcPr>
          <w:p w14:paraId="17EF17A8"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Suggests advanced pulmonary disease</w:t>
            </w:r>
          </w:p>
        </w:tc>
      </w:tr>
      <w:tr w:rsidR="009B407F" w:rsidRPr="00814490" w14:paraId="76F21927" w14:textId="77777777" w:rsidTr="0051453C">
        <w:tc>
          <w:tcPr>
            <w:tcW w:w="3116" w:type="dxa"/>
            <w:vAlign w:val="center"/>
          </w:tcPr>
          <w:p w14:paraId="0DFF259A"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Fever and chills</w:t>
            </w:r>
          </w:p>
        </w:tc>
        <w:tc>
          <w:tcPr>
            <w:tcW w:w="3117" w:type="dxa"/>
            <w:vAlign w:val="center"/>
          </w:tcPr>
          <w:p w14:paraId="10523A26"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Low-grade or persistent</w:t>
            </w:r>
          </w:p>
        </w:tc>
        <w:tc>
          <w:tcPr>
            <w:tcW w:w="3117" w:type="dxa"/>
            <w:vAlign w:val="center"/>
          </w:tcPr>
          <w:p w14:paraId="3D8D75EF"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Indicates infection activity</w:t>
            </w:r>
          </w:p>
        </w:tc>
      </w:tr>
      <w:tr w:rsidR="009B407F" w:rsidRPr="00814490" w14:paraId="6EF1F83C" w14:textId="77777777" w:rsidTr="0051453C">
        <w:tc>
          <w:tcPr>
            <w:tcW w:w="3116" w:type="dxa"/>
            <w:vAlign w:val="center"/>
          </w:tcPr>
          <w:p w14:paraId="40BBEA60"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Night sweats</w:t>
            </w:r>
          </w:p>
        </w:tc>
        <w:tc>
          <w:tcPr>
            <w:tcW w:w="3117" w:type="dxa"/>
            <w:vAlign w:val="center"/>
          </w:tcPr>
          <w:p w14:paraId="041B2C6F"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Excessive sweating during sleep</w:t>
            </w:r>
          </w:p>
        </w:tc>
        <w:tc>
          <w:tcPr>
            <w:tcW w:w="3117" w:type="dxa"/>
            <w:vAlign w:val="center"/>
          </w:tcPr>
          <w:p w14:paraId="218463B6"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Common systemic symptom</w:t>
            </w:r>
          </w:p>
        </w:tc>
      </w:tr>
      <w:tr w:rsidR="009B407F" w:rsidRPr="00814490" w14:paraId="4EBCB26E" w14:textId="77777777" w:rsidTr="0051453C">
        <w:tc>
          <w:tcPr>
            <w:tcW w:w="3116" w:type="dxa"/>
            <w:vAlign w:val="center"/>
          </w:tcPr>
          <w:p w14:paraId="53CCFBB3"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Weight loss</w:t>
            </w:r>
          </w:p>
        </w:tc>
        <w:tc>
          <w:tcPr>
            <w:tcW w:w="3117" w:type="dxa"/>
            <w:vAlign w:val="center"/>
          </w:tcPr>
          <w:p w14:paraId="79E0DD10"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Unintentional</w:t>
            </w:r>
          </w:p>
        </w:tc>
        <w:tc>
          <w:tcPr>
            <w:tcW w:w="3117" w:type="dxa"/>
            <w:vAlign w:val="center"/>
          </w:tcPr>
          <w:p w14:paraId="428DA340"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Marker of chronic illness</w:t>
            </w:r>
          </w:p>
        </w:tc>
      </w:tr>
      <w:tr w:rsidR="009B407F" w:rsidRPr="00814490" w14:paraId="190EE366" w14:textId="77777777" w:rsidTr="0051453C">
        <w:tc>
          <w:tcPr>
            <w:tcW w:w="3116" w:type="dxa"/>
            <w:vAlign w:val="center"/>
          </w:tcPr>
          <w:p w14:paraId="3815FA2E"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Fatigue</w:t>
            </w:r>
          </w:p>
        </w:tc>
        <w:tc>
          <w:tcPr>
            <w:tcW w:w="3117" w:type="dxa"/>
            <w:vAlign w:val="center"/>
          </w:tcPr>
          <w:p w14:paraId="3E2B96D8"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Weakness and reduced energy</w:t>
            </w:r>
          </w:p>
        </w:tc>
        <w:tc>
          <w:tcPr>
            <w:tcW w:w="3117" w:type="dxa"/>
            <w:vAlign w:val="center"/>
          </w:tcPr>
          <w:p w14:paraId="2946B808"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Affects daily functioning</w:t>
            </w:r>
          </w:p>
        </w:tc>
      </w:tr>
      <w:tr w:rsidR="009B407F" w:rsidRPr="00814490" w14:paraId="7B99A2DB" w14:textId="77777777" w:rsidTr="0051453C">
        <w:tc>
          <w:tcPr>
            <w:tcW w:w="3116" w:type="dxa"/>
            <w:vAlign w:val="center"/>
          </w:tcPr>
          <w:p w14:paraId="6B368762"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Latent TB</w:t>
            </w:r>
          </w:p>
        </w:tc>
        <w:tc>
          <w:tcPr>
            <w:tcW w:w="3117" w:type="dxa"/>
            <w:vAlign w:val="center"/>
          </w:tcPr>
          <w:p w14:paraId="25F4B7CF"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No symptoms present</w:t>
            </w:r>
          </w:p>
        </w:tc>
        <w:tc>
          <w:tcPr>
            <w:tcW w:w="3117" w:type="dxa"/>
            <w:vAlign w:val="center"/>
          </w:tcPr>
          <w:p w14:paraId="383C47C2" w14:textId="77777777" w:rsidR="009B407F" w:rsidRPr="00814490" w:rsidRDefault="009B407F" w:rsidP="00682043">
            <w:pPr>
              <w:jc w:val="both"/>
              <w:rPr>
                <w:rFonts w:ascii="Arial" w:hAnsi="Arial" w:cs="Arial"/>
                <w:sz w:val="22"/>
                <w:szCs w:val="22"/>
              </w:rPr>
            </w:pPr>
            <w:r w:rsidRPr="00814490">
              <w:rPr>
                <w:rFonts w:ascii="Arial" w:hAnsi="Arial" w:cs="Arial"/>
                <w:sz w:val="22"/>
                <w:szCs w:val="22"/>
              </w:rPr>
              <w:t>Infection without active disease but risk of progression</w:t>
            </w:r>
          </w:p>
        </w:tc>
      </w:tr>
    </w:tbl>
    <w:p w14:paraId="117C1039" w14:textId="77777777" w:rsidR="007A1296" w:rsidRDefault="009B407F" w:rsidP="009B407F">
      <w:pPr>
        <w:spacing w:line="360" w:lineRule="auto"/>
        <w:jc w:val="both"/>
        <w:rPr>
          <w:rFonts w:ascii="Arial" w:hAnsi="Arial" w:cs="Arial"/>
          <w:sz w:val="22"/>
          <w:szCs w:val="22"/>
        </w:rPr>
      </w:pPr>
      <w:r w:rsidRPr="00814490">
        <w:rPr>
          <w:rFonts w:ascii="Arial" w:hAnsi="Arial" w:cs="Arial"/>
          <w:b/>
          <w:bCs/>
          <w:sz w:val="22"/>
          <w:szCs w:val="22"/>
        </w:rPr>
        <w:t xml:space="preserve">Source: </w:t>
      </w:r>
      <w:r w:rsidRPr="00814490">
        <w:rPr>
          <w:rFonts w:ascii="Arial" w:hAnsi="Arial" w:cs="Arial"/>
          <w:sz w:val="22"/>
          <w:szCs w:val="22"/>
        </w:rPr>
        <w:t>(World Health Organization, 2025)</w:t>
      </w:r>
    </w:p>
    <w:p w14:paraId="484CD6A0" w14:textId="77777777" w:rsidR="007A1296" w:rsidRDefault="007A1296" w:rsidP="009B407F">
      <w:pPr>
        <w:spacing w:line="360" w:lineRule="auto"/>
        <w:jc w:val="both"/>
        <w:rPr>
          <w:rFonts w:ascii="Arial" w:hAnsi="Arial" w:cs="Arial"/>
          <w:sz w:val="22"/>
          <w:szCs w:val="22"/>
        </w:rPr>
      </w:pPr>
    </w:p>
    <w:p w14:paraId="14A71FE4" w14:textId="77777777" w:rsidR="007A1296" w:rsidRDefault="007A1296" w:rsidP="009B407F">
      <w:pPr>
        <w:spacing w:line="360" w:lineRule="auto"/>
        <w:jc w:val="both"/>
        <w:rPr>
          <w:rFonts w:ascii="Arial" w:hAnsi="Arial" w:cs="Arial"/>
          <w:sz w:val="22"/>
          <w:szCs w:val="22"/>
        </w:rPr>
      </w:pPr>
    </w:p>
    <w:p w14:paraId="6EB6477E" w14:textId="53278497" w:rsidR="007A1296" w:rsidRPr="00814490" w:rsidRDefault="009B407F" w:rsidP="009B407F">
      <w:pPr>
        <w:spacing w:line="360" w:lineRule="auto"/>
        <w:jc w:val="both"/>
        <w:rPr>
          <w:rFonts w:ascii="Arial" w:hAnsi="Arial" w:cs="Arial"/>
          <w:b/>
          <w:bCs/>
          <w:sz w:val="22"/>
          <w:szCs w:val="22"/>
        </w:rPr>
      </w:pPr>
      <w:r w:rsidRPr="00814490">
        <w:rPr>
          <w:rFonts w:ascii="Arial" w:hAnsi="Arial" w:cs="Arial"/>
          <w:b/>
          <w:bCs/>
          <w:sz w:val="22"/>
          <w:szCs w:val="22"/>
        </w:rPr>
        <w:t>Appendix 3: Tuberculosis Prevention and Control Strategies</w:t>
      </w:r>
    </w:p>
    <w:p w14:paraId="31708BB3" w14:textId="77777777" w:rsidR="009B407F" w:rsidRPr="00814490" w:rsidRDefault="009B407F" w:rsidP="009B407F">
      <w:pPr>
        <w:spacing w:line="360" w:lineRule="auto"/>
        <w:jc w:val="both"/>
        <w:rPr>
          <w:rFonts w:ascii="Arial" w:hAnsi="Arial" w:cs="Arial"/>
          <w:b/>
          <w:bCs/>
          <w:sz w:val="22"/>
          <w:szCs w:val="22"/>
        </w:rPr>
      </w:pPr>
      <w:r w:rsidRPr="00814490">
        <w:rPr>
          <w:rFonts w:ascii="Arial" w:hAnsi="Arial" w:cs="Arial"/>
          <w:b/>
          <w:bCs/>
          <w:sz w:val="22"/>
          <w:szCs w:val="22"/>
        </w:rPr>
        <w:t>Table 3: Main TB Control Measures and Public Health Functions</w:t>
      </w:r>
    </w:p>
    <w:tbl>
      <w:tblPr>
        <w:tblStyle w:val="TableGrid"/>
        <w:tblW w:w="0" w:type="auto"/>
        <w:tblLook w:val="04A0" w:firstRow="1" w:lastRow="0" w:firstColumn="1" w:lastColumn="0" w:noHBand="0" w:noVBand="1"/>
      </w:tblPr>
      <w:tblGrid>
        <w:gridCol w:w="3116"/>
        <w:gridCol w:w="3117"/>
        <w:gridCol w:w="3117"/>
      </w:tblGrid>
      <w:tr w:rsidR="009B407F" w:rsidRPr="00814490" w14:paraId="64AF71E2" w14:textId="77777777" w:rsidTr="0051453C">
        <w:tc>
          <w:tcPr>
            <w:tcW w:w="3116" w:type="dxa"/>
            <w:vAlign w:val="center"/>
          </w:tcPr>
          <w:p w14:paraId="45AC183C"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Control Strategy</w:t>
            </w:r>
          </w:p>
        </w:tc>
        <w:tc>
          <w:tcPr>
            <w:tcW w:w="3117" w:type="dxa"/>
            <w:vAlign w:val="center"/>
          </w:tcPr>
          <w:p w14:paraId="762A9733"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Description</w:t>
            </w:r>
          </w:p>
        </w:tc>
        <w:tc>
          <w:tcPr>
            <w:tcW w:w="3117" w:type="dxa"/>
            <w:vAlign w:val="center"/>
          </w:tcPr>
          <w:p w14:paraId="5AF784D3"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Public Health Importance</w:t>
            </w:r>
          </w:p>
        </w:tc>
      </w:tr>
      <w:tr w:rsidR="009B407F" w:rsidRPr="00814490" w14:paraId="642F2621" w14:textId="77777777" w:rsidTr="0051453C">
        <w:tc>
          <w:tcPr>
            <w:tcW w:w="3116" w:type="dxa"/>
            <w:vAlign w:val="center"/>
          </w:tcPr>
          <w:p w14:paraId="39B0E622"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BCG vaccination</w:t>
            </w:r>
          </w:p>
        </w:tc>
        <w:tc>
          <w:tcPr>
            <w:tcW w:w="3117" w:type="dxa"/>
            <w:vAlign w:val="center"/>
          </w:tcPr>
          <w:p w14:paraId="527989EE"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Vaccine given to high-risk groups</w:t>
            </w:r>
          </w:p>
        </w:tc>
        <w:tc>
          <w:tcPr>
            <w:tcW w:w="3117" w:type="dxa"/>
            <w:vAlign w:val="center"/>
          </w:tcPr>
          <w:p w14:paraId="1BAD58AA"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Prevents severe childhood TB</w:t>
            </w:r>
          </w:p>
        </w:tc>
      </w:tr>
      <w:tr w:rsidR="009B407F" w:rsidRPr="00814490" w14:paraId="17D9D10F" w14:textId="77777777" w:rsidTr="0051453C">
        <w:tc>
          <w:tcPr>
            <w:tcW w:w="3116" w:type="dxa"/>
            <w:vAlign w:val="center"/>
          </w:tcPr>
          <w:p w14:paraId="7FD6BEEA"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Early diagnosis</w:t>
            </w:r>
          </w:p>
        </w:tc>
        <w:tc>
          <w:tcPr>
            <w:tcW w:w="3117" w:type="dxa"/>
            <w:vAlign w:val="center"/>
          </w:tcPr>
          <w:p w14:paraId="6C670BAB"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Molecular testing (GeneXpert, culture)</w:t>
            </w:r>
          </w:p>
        </w:tc>
        <w:tc>
          <w:tcPr>
            <w:tcW w:w="3117" w:type="dxa"/>
            <w:vAlign w:val="center"/>
          </w:tcPr>
          <w:p w14:paraId="48379848"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Reduces transmission</w:t>
            </w:r>
          </w:p>
        </w:tc>
      </w:tr>
      <w:tr w:rsidR="009B407F" w:rsidRPr="00814490" w14:paraId="6059AF02" w14:textId="77777777" w:rsidTr="0051453C">
        <w:tc>
          <w:tcPr>
            <w:tcW w:w="3116" w:type="dxa"/>
            <w:vAlign w:val="center"/>
          </w:tcPr>
          <w:p w14:paraId="1A35EA31"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Standard treatment</w:t>
            </w:r>
          </w:p>
        </w:tc>
        <w:tc>
          <w:tcPr>
            <w:tcW w:w="3117" w:type="dxa"/>
            <w:vAlign w:val="center"/>
          </w:tcPr>
          <w:p w14:paraId="2166270E"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6-month antibiotic regimen</w:t>
            </w:r>
          </w:p>
        </w:tc>
        <w:tc>
          <w:tcPr>
            <w:tcW w:w="3117" w:type="dxa"/>
            <w:vAlign w:val="center"/>
          </w:tcPr>
          <w:p w14:paraId="66F501FA"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High cure rate when adhered to</w:t>
            </w:r>
          </w:p>
        </w:tc>
      </w:tr>
      <w:tr w:rsidR="009B407F" w:rsidRPr="00814490" w14:paraId="375C192F" w14:textId="77777777" w:rsidTr="0051453C">
        <w:tc>
          <w:tcPr>
            <w:tcW w:w="3116" w:type="dxa"/>
            <w:vAlign w:val="center"/>
          </w:tcPr>
          <w:p w14:paraId="6B9BBBBC"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Drug-resistant TB management</w:t>
            </w:r>
          </w:p>
        </w:tc>
        <w:tc>
          <w:tcPr>
            <w:tcW w:w="3117" w:type="dxa"/>
            <w:vAlign w:val="center"/>
          </w:tcPr>
          <w:p w14:paraId="507E1D99"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Second-line drugs and specialist care</w:t>
            </w:r>
          </w:p>
        </w:tc>
        <w:tc>
          <w:tcPr>
            <w:tcW w:w="3117" w:type="dxa"/>
            <w:vAlign w:val="center"/>
          </w:tcPr>
          <w:p w14:paraId="11424BA1"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Prevents mortality and spread</w:t>
            </w:r>
          </w:p>
        </w:tc>
      </w:tr>
      <w:tr w:rsidR="009B407F" w:rsidRPr="00814490" w14:paraId="06A6FEFB" w14:textId="77777777" w:rsidTr="0051453C">
        <w:tc>
          <w:tcPr>
            <w:tcW w:w="3116" w:type="dxa"/>
            <w:vAlign w:val="center"/>
          </w:tcPr>
          <w:p w14:paraId="633EF4AB"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Contact tracing</w:t>
            </w:r>
          </w:p>
        </w:tc>
        <w:tc>
          <w:tcPr>
            <w:tcW w:w="3117" w:type="dxa"/>
            <w:vAlign w:val="center"/>
          </w:tcPr>
          <w:p w14:paraId="013D20BD"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Screening close contacts</w:t>
            </w:r>
          </w:p>
        </w:tc>
        <w:tc>
          <w:tcPr>
            <w:tcW w:w="3117" w:type="dxa"/>
            <w:vAlign w:val="center"/>
          </w:tcPr>
          <w:p w14:paraId="211D9342"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Identifies hidden cases</w:t>
            </w:r>
          </w:p>
        </w:tc>
      </w:tr>
      <w:tr w:rsidR="009B407F" w:rsidRPr="00814490" w14:paraId="1034221F" w14:textId="77777777" w:rsidTr="0051453C">
        <w:tc>
          <w:tcPr>
            <w:tcW w:w="3116" w:type="dxa"/>
            <w:vAlign w:val="center"/>
          </w:tcPr>
          <w:p w14:paraId="4F90A468"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Preventive therapy</w:t>
            </w:r>
          </w:p>
        </w:tc>
        <w:tc>
          <w:tcPr>
            <w:tcW w:w="3117" w:type="dxa"/>
            <w:vAlign w:val="center"/>
          </w:tcPr>
          <w:p w14:paraId="7B001B55"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Treatment for latent TB infection</w:t>
            </w:r>
          </w:p>
        </w:tc>
        <w:tc>
          <w:tcPr>
            <w:tcW w:w="3117" w:type="dxa"/>
            <w:vAlign w:val="center"/>
          </w:tcPr>
          <w:p w14:paraId="4E25838A"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Stops progression to active TB</w:t>
            </w:r>
          </w:p>
        </w:tc>
      </w:tr>
      <w:tr w:rsidR="009B407F" w:rsidRPr="00814490" w14:paraId="1D5B1C7C" w14:textId="77777777" w:rsidTr="0051453C">
        <w:tc>
          <w:tcPr>
            <w:tcW w:w="3116" w:type="dxa"/>
            <w:vAlign w:val="center"/>
          </w:tcPr>
          <w:p w14:paraId="3B0DC2B3"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Social interventions</w:t>
            </w:r>
          </w:p>
        </w:tc>
        <w:tc>
          <w:tcPr>
            <w:tcW w:w="3117" w:type="dxa"/>
            <w:vAlign w:val="center"/>
          </w:tcPr>
          <w:p w14:paraId="19F312CA"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Housing, nutrition, financial support</w:t>
            </w:r>
          </w:p>
        </w:tc>
        <w:tc>
          <w:tcPr>
            <w:tcW w:w="3117" w:type="dxa"/>
            <w:vAlign w:val="center"/>
          </w:tcPr>
          <w:p w14:paraId="1D2486FB"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Addresses determinants of disease</w:t>
            </w:r>
          </w:p>
        </w:tc>
      </w:tr>
      <w:tr w:rsidR="009B407F" w:rsidRPr="00814490" w14:paraId="03C30A89" w14:textId="77777777" w:rsidTr="0051453C">
        <w:tc>
          <w:tcPr>
            <w:tcW w:w="3116" w:type="dxa"/>
            <w:vAlign w:val="center"/>
          </w:tcPr>
          <w:p w14:paraId="4B607798"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Community education</w:t>
            </w:r>
          </w:p>
        </w:tc>
        <w:tc>
          <w:tcPr>
            <w:tcW w:w="3117" w:type="dxa"/>
            <w:vAlign w:val="center"/>
          </w:tcPr>
          <w:p w14:paraId="4ED8E50C"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Awareness and stigma reduction</w:t>
            </w:r>
          </w:p>
        </w:tc>
        <w:tc>
          <w:tcPr>
            <w:tcW w:w="3117" w:type="dxa"/>
            <w:vAlign w:val="center"/>
          </w:tcPr>
          <w:p w14:paraId="71D7ED99" w14:textId="77777777" w:rsidR="009B407F" w:rsidRPr="00814490" w:rsidRDefault="009B407F" w:rsidP="00682043">
            <w:pPr>
              <w:spacing w:line="360" w:lineRule="auto"/>
              <w:jc w:val="both"/>
              <w:rPr>
                <w:rFonts w:ascii="Arial" w:hAnsi="Arial" w:cs="Arial"/>
                <w:sz w:val="22"/>
                <w:szCs w:val="22"/>
              </w:rPr>
            </w:pPr>
            <w:r w:rsidRPr="00814490">
              <w:rPr>
                <w:rFonts w:ascii="Arial" w:hAnsi="Arial" w:cs="Arial"/>
                <w:sz w:val="22"/>
                <w:szCs w:val="22"/>
              </w:rPr>
              <w:t>Encourages early healthcare seeking</w:t>
            </w:r>
          </w:p>
        </w:tc>
      </w:tr>
    </w:tbl>
    <w:p w14:paraId="6C77D84C" w14:textId="77777777" w:rsidR="009B407F" w:rsidRPr="00814490" w:rsidRDefault="009B407F" w:rsidP="009B407F">
      <w:pPr>
        <w:spacing w:line="360" w:lineRule="auto"/>
        <w:jc w:val="both"/>
        <w:rPr>
          <w:rFonts w:ascii="Arial" w:hAnsi="Arial" w:cs="Arial"/>
          <w:sz w:val="22"/>
          <w:szCs w:val="22"/>
        </w:rPr>
      </w:pPr>
      <w:r w:rsidRPr="00814490">
        <w:rPr>
          <w:rFonts w:ascii="Arial" w:hAnsi="Arial" w:cs="Arial"/>
          <w:b/>
          <w:bCs/>
          <w:sz w:val="22"/>
          <w:szCs w:val="22"/>
        </w:rPr>
        <w:t xml:space="preserve">Source: </w:t>
      </w:r>
      <w:r w:rsidRPr="00814490">
        <w:rPr>
          <w:rFonts w:ascii="Arial" w:hAnsi="Arial" w:cs="Arial"/>
          <w:sz w:val="22"/>
          <w:szCs w:val="22"/>
        </w:rPr>
        <w:t>(World Health Organization, 2025 and UK Health Security Agency, 2025)</w:t>
      </w:r>
    </w:p>
    <w:p w14:paraId="4CB1D418" w14:textId="77777777" w:rsidR="009B407F" w:rsidRPr="00814490" w:rsidRDefault="009B407F" w:rsidP="009B407F">
      <w:pPr>
        <w:spacing w:line="360" w:lineRule="auto"/>
        <w:jc w:val="both"/>
        <w:rPr>
          <w:rFonts w:ascii="Arial" w:hAnsi="Arial" w:cs="Arial"/>
          <w:b/>
          <w:bCs/>
          <w:sz w:val="22"/>
          <w:szCs w:val="22"/>
        </w:rPr>
      </w:pPr>
    </w:p>
    <w:p w14:paraId="5D22798E" w14:textId="77777777" w:rsidR="009B407F" w:rsidRDefault="009B407F" w:rsidP="009B407F">
      <w:pPr>
        <w:spacing w:line="360" w:lineRule="auto"/>
        <w:jc w:val="both"/>
        <w:rPr>
          <w:rFonts w:ascii="Arial" w:hAnsi="Arial" w:cs="Arial"/>
          <w:b/>
          <w:bCs/>
          <w:sz w:val="22"/>
          <w:szCs w:val="22"/>
        </w:rPr>
      </w:pPr>
    </w:p>
    <w:p w14:paraId="0F8CE84A" w14:textId="77777777" w:rsidR="00587AF0" w:rsidRDefault="00587AF0" w:rsidP="009B407F">
      <w:pPr>
        <w:spacing w:line="360" w:lineRule="auto"/>
        <w:jc w:val="both"/>
        <w:rPr>
          <w:rFonts w:ascii="Arial" w:hAnsi="Arial" w:cs="Arial"/>
          <w:b/>
          <w:bCs/>
          <w:sz w:val="22"/>
          <w:szCs w:val="22"/>
        </w:rPr>
      </w:pPr>
    </w:p>
    <w:p w14:paraId="51F54A74" w14:textId="77777777" w:rsidR="00587AF0" w:rsidRDefault="00587AF0" w:rsidP="009B407F">
      <w:pPr>
        <w:spacing w:line="360" w:lineRule="auto"/>
        <w:jc w:val="both"/>
        <w:rPr>
          <w:rFonts w:ascii="Arial" w:hAnsi="Arial" w:cs="Arial"/>
          <w:b/>
          <w:bCs/>
          <w:sz w:val="22"/>
          <w:szCs w:val="22"/>
        </w:rPr>
      </w:pPr>
    </w:p>
    <w:p w14:paraId="185A012B" w14:textId="77777777" w:rsidR="00587AF0" w:rsidRDefault="00587AF0" w:rsidP="009B407F">
      <w:pPr>
        <w:spacing w:line="360" w:lineRule="auto"/>
        <w:jc w:val="both"/>
        <w:rPr>
          <w:rFonts w:ascii="Arial" w:hAnsi="Arial" w:cs="Arial"/>
          <w:b/>
          <w:bCs/>
          <w:sz w:val="22"/>
          <w:szCs w:val="22"/>
        </w:rPr>
      </w:pPr>
    </w:p>
    <w:p w14:paraId="1D125AE8" w14:textId="77777777" w:rsidR="00587AF0" w:rsidRDefault="00587AF0" w:rsidP="009B407F">
      <w:pPr>
        <w:spacing w:line="360" w:lineRule="auto"/>
        <w:jc w:val="both"/>
        <w:rPr>
          <w:rFonts w:ascii="Arial" w:hAnsi="Arial" w:cs="Arial"/>
          <w:b/>
          <w:bCs/>
          <w:sz w:val="22"/>
          <w:szCs w:val="22"/>
        </w:rPr>
      </w:pPr>
    </w:p>
    <w:p w14:paraId="0E51391E" w14:textId="77777777" w:rsidR="00587AF0" w:rsidRDefault="00587AF0" w:rsidP="009B407F">
      <w:pPr>
        <w:spacing w:line="360" w:lineRule="auto"/>
        <w:jc w:val="both"/>
        <w:rPr>
          <w:rFonts w:ascii="Arial" w:hAnsi="Arial" w:cs="Arial"/>
          <w:b/>
          <w:bCs/>
          <w:sz w:val="22"/>
          <w:szCs w:val="22"/>
        </w:rPr>
      </w:pPr>
    </w:p>
    <w:p w14:paraId="37B87588" w14:textId="77777777" w:rsidR="00587AF0" w:rsidRDefault="00587AF0" w:rsidP="009B407F">
      <w:pPr>
        <w:spacing w:line="360" w:lineRule="auto"/>
        <w:jc w:val="both"/>
        <w:rPr>
          <w:rFonts w:ascii="Arial" w:hAnsi="Arial" w:cs="Arial"/>
          <w:b/>
          <w:bCs/>
          <w:sz w:val="22"/>
          <w:szCs w:val="22"/>
        </w:rPr>
      </w:pPr>
    </w:p>
    <w:p w14:paraId="1F8F7E02" w14:textId="77777777" w:rsidR="00587AF0" w:rsidRDefault="00587AF0" w:rsidP="009B407F">
      <w:pPr>
        <w:spacing w:line="360" w:lineRule="auto"/>
        <w:jc w:val="both"/>
        <w:rPr>
          <w:rFonts w:ascii="Arial" w:hAnsi="Arial" w:cs="Arial"/>
          <w:b/>
          <w:bCs/>
          <w:sz w:val="22"/>
          <w:szCs w:val="22"/>
        </w:rPr>
      </w:pPr>
    </w:p>
    <w:p w14:paraId="329605A7" w14:textId="77777777" w:rsidR="009B1884" w:rsidRDefault="00584488" w:rsidP="009B1884">
      <w:pPr>
        <w:jc w:val="both"/>
        <w:rPr>
          <w:rFonts w:ascii="Arial" w:hAnsi="Arial" w:cs="Arial"/>
          <w:b/>
          <w:bCs/>
          <w:sz w:val="22"/>
          <w:szCs w:val="22"/>
        </w:rPr>
      </w:pPr>
      <w:r>
        <w:rPr>
          <w:rFonts w:ascii="Times New Roman" w:eastAsia="Times New Roman" w:hAnsi="Times New Roman" w:cs="Times New Roman"/>
          <w:noProof/>
          <w:lang w:eastAsia="en-GB"/>
        </w:rPr>
        <w:lastRenderedPageBreak/>
        <w:pict w14:anchorId="35EC5A06">
          <v:rect id="_x0000_i1026" alt="" style="width:451.3pt;height:.05pt;mso-width-percent:0;mso-height-percent:0;mso-width-percent:0;mso-height-percent:0" o:hralign="center" o:hrstd="t" o:hr="t" fillcolor="#a0a0a0" stroked="f"/>
        </w:pict>
      </w:r>
    </w:p>
    <w:p w14:paraId="48A6BC0A" w14:textId="172F29C9" w:rsidR="009B1884" w:rsidRPr="00B1746A" w:rsidRDefault="009B1884" w:rsidP="009B1884">
      <w:pPr>
        <w:jc w:val="both"/>
        <w:rPr>
          <w:rFonts w:ascii="Arial" w:hAnsi="Arial" w:cs="Arial"/>
        </w:rPr>
      </w:pPr>
      <w:r>
        <w:rPr>
          <w:rFonts w:ascii="Arial" w:hAnsi="Arial" w:cs="Arial"/>
          <w:b/>
          <w:bCs/>
        </w:rPr>
        <w:t>7</w:t>
      </w:r>
      <w:r w:rsidRPr="00B1746A">
        <w:rPr>
          <w:rFonts w:ascii="Arial" w:hAnsi="Arial" w:cs="Arial"/>
          <w:b/>
          <w:bCs/>
        </w:rPr>
        <w:t>.0</w:t>
      </w:r>
      <w:r w:rsidRPr="00B1746A">
        <w:rPr>
          <w:rFonts w:ascii="Arial" w:hAnsi="Arial" w:cs="Arial"/>
          <w:b/>
          <w:bCs/>
        </w:rPr>
        <w:tab/>
        <w:t>References</w:t>
      </w:r>
    </w:p>
    <w:p w14:paraId="3F88B2CF" w14:textId="77777777" w:rsidR="009B1884" w:rsidRPr="00D637A4" w:rsidRDefault="009B1884" w:rsidP="009B188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BMJ (2025) The increasing cases of tuberculosis (TB) and measles in England require an ambitious public health strategy. This is according to Harries. https://www.bmj.com/content/388/bmj.r602. </w:t>
      </w:r>
    </w:p>
    <w:p w14:paraId="7A408D9B" w14:textId="77777777" w:rsidR="009B1884" w:rsidRPr="00D637A4" w:rsidRDefault="009B1884" w:rsidP="009B188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The Guardian (2025) Recent studies have pointed out a marked difference in social variations in the rates of admission due to infectious disease in England. 2nd May. https://www.theguardian.com </w:t>
      </w:r>
    </w:p>
    <w:p w14:paraId="19856E6B" w14:textId="77777777" w:rsidR="009B1884" w:rsidRPr="00D637A4" w:rsidRDefault="009B1884" w:rsidP="009B188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Hepworth, R. (2025) Increase in TB cases in England as drug-resistant rates hit a post-2012 high. The Pharmacist. 15th October. https://www.thepharmacist.co.uk </w:t>
      </w:r>
    </w:p>
    <w:p w14:paraId="2EE9C322" w14:textId="77777777" w:rsidR="009B1884" w:rsidRPr="00D637A4" w:rsidRDefault="009B1884" w:rsidP="009B188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Ma, N. et al. (2025) AI-based tuberculosis detection in a high-endemic setting: utilizing cough sound analysis and speech foundation models. arXiv. https://arxiv.org/abs/2509.09746 </w:t>
      </w:r>
    </w:p>
    <w:p w14:paraId="58EFB509" w14:textId="77777777" w:rsidR="009B1884" w:rsidRPr="00D637A4" w:rsidRDefault="009B1884" w:rsidP="009B188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Smail, J. (2025) Increase in TB cases in England as drug-resistant rates hit a post-2012 high. Medscape UK. 10th October. https://www.medscape.com </w:t>
      </w:r>
    </w:p>
    <w:p w14:paraId="7F00F142" w14:textId="77777777" w:rsidR="009B1884" w:rsidRPr="00D637A4" w:rsidRDefault="009B1884" w:rsidP="009B188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Stop TB Partnership (2025) Global Plan to End TB 2023-2030. https://en.wikipedia.org/wiki/Stop_TB_Partnership </w:t>
      </w:r>
    </w:p>
    <w:p w14:paraId="62346CC2" w14:textId="77777777" w:rsidR="009B1884" w:rsidRPr="00D637A4" w:rsidRDefault="009B1884" w:rsidP="009B188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UKHSA (2025a) Tuberculosis incidence and epidemiology: England 2024. Government. https://www.gov.uk/government/publications/tuberculosis-in-england-2025-report </w:t>
      </w:r>
    </w:p>
    <w:p w14:paraId="103D2B04" w14:textId="77777777" w:rsidR="009B1884" w:rsidRPr="00D637A4" w:rsidRDefault="009B1884" w:rsidP="009B188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UKHSA (2025c) With tuberculosis (TB) on the rise again, how can we prevent further transmission? UKHSA blog. 24th March. https://ukhsa.blog.gov.uk/2025/03/24/with-tuberculosis-tb-on-the-rise-again-how-can-we-prevent-further-spread/ </w:t>
      </w:r>
    </w:p>
    <w:p w14:paraId="15A7F872" w14:textId="77777777" w:rsidR="009B1884" w:rsidRDefault="009B1884" w:rsidP="009B1884">
      <w:pPr>
        <w:jc w:val="both"/>
        <w:rPr>
          <w:rFonts w:ascii="Arial" w:hAnsi="Arial" w:cs="Arial"/>
          <w:color w:val="000000" w:themeColor="text1"/>
          <w:sz w:val="22"/>
          <w:szCs w:val="22"/>
        </w:rPr>
      </w:pPr>
      <w:r w:rsidRPr="00D637A4">
        <w:rPr>
          <w:rFonts w:ascii="Arial" w:hAnsi="Arial" w:cs="Arial"/>
          <w:color w:val="000000" w:themeColor="text1"/>
          <w:sz w:val="22"/>
          <w:szCs w:val="22"/>
        </w:rPr>
        <w:t xml:space="preserve">WHO (2025a) Global Tuberculosis Report 2025. https://www.who.int/teams/global-programme-on-tuberculosis-and-lung-health/tb-reports/global-tuberculosis-report-2025 </w:t>
      </w:r>
    </w:p>
    <w:p w14:paraId="0E9E1874" w14:textId="638EFC1A" w:rsidR="009B407F" w:rsidRPr="00814490" w:rsidRDefault="00584488" w:rsidP="009B407F">
      <w:pPr>
        <w:spacing w:line="360" w:lineRule="auto"/>
        <w:jc w:val="both"/>
        <w:rPr>
          <w:rFonts w:ascii="Arial" w:hAnsi="Arial" w:cs="Arial"/>
          <w:b/>
          <w:bCs/>
          <w:sz w:val="22"/>
          <w:szCs w:val="22"/>
        </w:rPr>
      </w:pPr>
      <w:r>
        <w:rPr>
          <w:rFonts w:ascii="Times New Roman" w:eastAsia="Times New Roman" w:hAnsi="Times New Roman" w:cs="Times New Roman"/>
          <w:noProof/>
          <w:lang w:eastAsia="en-GB"/>
        </w:rPr>
        <w:pict w14:anchorId="44A4A534">
          <v:rect id="_x0000_i1025" alt="" style="width:451.3pt;height:.05pt;mso-width-percent:0;mso-height-percent:0;mso-width-percent:0;mso-height-percent:0" o:hralign="center" o:hrstd="t" o:hr="t" fillcolor="#a0a0a0" stroked="f"/>
        </w:pict>
      </w:r>
    </w:p>
    <w:p w14:paraId="621CC1C7" w14:textId="77777777" w:rsidR="009B407F" w:rsidRPr="00814490" w:rsidRDefault="009B407F" w:rsidP="009B407F">
      <w:pPr>
        <w:rPr>
          <w:rFonts w:ascii="Arial" w:hAnsi="Arial" w:cs="Arial"/>
          <w:sz w:val="22"/>
          <w:szCs w:val="22"/>
        </w:rPr>
      </w:pPr>
    </w:p>
    <w:p w14:paraId="0442CC82" w14:textId="77777777" w:rsidR="009B407F" w:rsidRPr="00814490" w:rsidRDefault="009B407F" w:rsidP="00882A67">
      <w:pPr>
        <w:jc w:val="both"/>
        <w:rPr>
          <w:rFonts w:ascii="Arial" w:hAnsi="Arial" w:cs="Arial"/>
          <w:color w:val="000000" w:themeColor="text1"/>
          <w:sz w:val="22"/>
          <w:szCs w:val="22"/>
        </w:rPr>
      </w:pPr>
    </w:p>
    <w:p w14:paraId="11AC4935" w14:textId="77777777" w:rsidR="00056036" w:rsidRPr="00814490" w:rsidRDefault="00056036" w:rsidP="00882A67">
      <w:pPr>
        <w:jc w:val="both"/>
        <w:rPr>
          <w:rFonts w:ascii="Arial" w:hAnsi="Arial" w:cs="Arial"/>
          <w:sz w:val="22"/>
          <w:szCs w:val="22"/>
        </w:rPr>
      </w:pPr>
    </w:p>
    <w:sectPr w:rsidR="00056036" w:rsidRPr="0081449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A57BB" w14:textId="77777777" w:rsidR="00584488" w:rsidRDefault="00584488" w:rsidP="00882A67">
      <w:pPr>
        <w:spacing w:after="0" w:line="240" w:lineRule="auto"/>
      </w:pPr>
      <w:r>
        <w:separator/>
      </w:r>
    </w:p>
  </w:endnote>
  <w:endnote w:type="continuationSeparator" w:id="0">
    <w:p w14:paraId="3C40E45A" w14:textId="77777777" w:rsidR="00584488" w:rsidRDefault="00584488" w:rsidP="00882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505A9" w14:textId="77777777" w:rsidR="00584488" w:rsidRDefault="00584488" w:rsidP="00882A67">
      <w:pPr>
        <w:spacing w:after="0" w:line="240" w:lineRule="auto"/>
      </w:pPr>
      <w:r>
        <w:separator/>
      </w:r>
    </w:p>
  </w:footnote>
  <w:footnote w:type="continuationSeparator" w:id="0">
    <w:p w14:paraId="74987F47" w14:textId="77777777" w:rsidR="00584488" w:rsidRDefault="00584488" w:rsidP="00882A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2117857"/>
      <w:docPartObj>
        <w:docPartGallery w:val="Page Numbers (Top of Page)"/>
        <w:docPartUnique/>
      </w:docPartObj>
    </w:sdtPr>
    <w:sdtEndPr>
      <w:rPr>
        <w:noProof/>
      </w:rPr>
    </w:sdtEndPr>
    <w:sdtContent>
      <w:p w14:paraId="1E13D68B" w14:textId="77777777" w:rsidR="00882A67" w:rsidRDefault="00882A6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A1A6105" w14:textId="77777777" w:rsidR="00882A67" w:rsidRDefault="00882A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97C74"/>
    <w:multiLevelType w:val="multilevel"/>
    <w:tmpl w:val="83F4C08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39913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036"/>
    <w:rsid w:val="00000E37"/>
    <w:rsid w:val="00056036"/>
    <w:rsid w:val="000B27E8"/>
    <w:rsid w:val="000D10CB"/>
    <w:rsid w:val="000D427F"/>
    <w:rsid w:val="001108AF"/>
    <w:rsid w:val="001A124A"/>
    <w:rsid w:val="001B73F4"/>
    <w:rsid w:val="001C52D0"/>
    <w:rsid w:val="001F4EB7"/>
    <w:rsid w:val="00241D5E"/>
    <w:rsid w:val="00310A2D"/>
    <w:rsid w:val="003150E6"/>
    <w:rsid w:val="00352E7B"/>
    <w:rsid w:val="0036744B"/>
    <w:rsid w:val="00431DC4"/>
    <w:rsid w:val="00442C65"/>
    <w:rsid w:val="0045086A"/>
    <w:rsid w:val="004B3136"/>
    <w:rsid w:val="00584488"/>
    <w:rsid w:val="005868EE"/>
    <w:rsid w:val="00587AF0"/>
    <w:rsid w:val="0059153B"/>
    <w:rsid w:val="005951EA"/>
    <w:rsid w:val="00610847"/>
    <w:rsid w:val="00666A82"/>
    <w:rsid w:val="00682043"/>
    <w:rsid w:val="006B1B85"/>
    <w:rsid w:val="00700150"/>
    <w:rsid w:val="00704758"/>
    <w:rsid w:val="00712696"/>
    <w:rsid w:val="0071607A"/>
    <w:rsid w:val="007848FC"/>
    <w:rsid w:val="007A1296"/>
    <w:rsid w:val="007D075D"/>
    <w:rsid w:val="007F1403"/>
    <w:rsid w:val="00814490"/>
    <w:rsid w:val="00830B87"/>
    <w:rsid w:val="00836BC7"/>
    <w:rsid w:val="00863DDD"/>
    <w:rsid w:val="00882A67"/>
    <w:rsid w:val="00911279"/>
    <w:rsid w:val="009B1884"/>
    <w:rsid w:val="009B407F"/>
    <w:rsid w:val="009E7DE1"/>
    <w:rsid w:val="00A160B5"/>
    <w:rsid w:val="00A559FE"/>
    <w:rsid w:val="00A66B75"/>
    <w:rsid w:val="00A70704"/>
    <w:rsid w:val="00A879DE"/>
    <w:rsid w:val="00AE4C8C"/>
    <w:rsid w:val="00AF2CA7"/>
    <w:rsid w:val="00B1746A"/>
    <w:rsid w:val="00B46455"/>
    <w:rsid w:val="00B95B43"/>
    <w:rsid w:val="00BF0573"/>
    <w:rsid w:val="00C92A5C"/>
    <w:rsid w:val="00D54761"/>
    <w:rsid w:val="00D637A4"/>
    <w:rsid w:val="00DA5696"/>
    <w:rsid w:val="00DB00B1"/>
    <w:rsid w:val="00DC3E3E"/>
    <w:rsid w:val="00E536E6"/>
    <w:rsid w:val="00EB5E57"/>
    <w:rsid w:val="00EC791D"/>
    <w:rsid w:val="00F011EE"/>
    <w:rsid w:val="00F02442"/>
    <w:rsid w:val="00F357E9"/>
    <w:rsid w:val="00F96191"/>
    <w:rsid w:val="00FC5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4BC15"/>
  <w15:chartTrackingRefBased/>
  <w15:docId w15:val="{E987DE9A-AC23-4B3F-8400-62F24C514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60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560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5603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603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603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60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60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60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60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03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5603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5603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603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603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60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60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60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6036"/>
    <w:rPr>
      <w:rFonts w:eastAsiaTheme="majorEastAsia" w:cstheme="majorBidi"/>
      <w:color w:val="272727" w:themeColor="text1" w:themeTint="D8"/>
    </w:rPr>
  </w:style>
  <w:style w:type="paragraph" w:styleId="Title">
    <w:name w:val="Title"/>
    <w:basedOn w:val="Normal"/>
    <w:next w:val="Normal"/>
    <w:link w:val="TitleChar"/>
    <w:uiPriority w:val="10"/>
    <w:qFormat/>
    <w:rsid w:val="000560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0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60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60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6036"/>
    <w:pPr>
      <w:spacing w:before="160"/>
      <w:jc w:val="center"/>
    </w:pPr>
    <w:rPr>
      <w:i/>
      <w:iCs/>
      <w:color w:val="404040" w:themeColor="text1" w:themeTint="BF"/>
    </w:rPr>
  </w:style>
  <w:style w:type="character" w:customStyle="1" w:styleId="QuoteChar">
    <w:name w:val="Quote Char"/>
    <w:basedOn w:val="DefaultParagraphFont"/>
    <w:link w:val="Quote"/>
    <w:uiPriority w:val="29"/>
    <w:rsid w:val="00056036"/>
    <w:rPr>
      <w:i/>
      <w:iCs/>
      <w:color w:val="404040" w:themeColor="text1" w:themeTint="BF"/>
    </w:rPr>
  </w:style>
  <w:style w:type="paragraph" w:styleId="ListParagraph">
    <w:name w:val="List Paragraph"/>
    <w:basedOn w:val="Normal"/>
    <w:uiPriority w:val="34"/>
    <w:qFormat/>
    <w:rsid w:val="00056036"/>
    <w:pPr>
      <w:ind w:left="720"/>
      <w:contextualSpacing/>
    </w:pPr>
  </w:style>
  <w:style w:type="character" w:styleId="IntenseEmphasis">
    <w:name w:val="Intense Emphasis"/>
    <w:basedOn w:val="DefaultParagraphFont"/>
    <w:uiPriority w:val="21"/>
    <w:qFormat/>
    <w:rsid w:val="00056036"/>
    <w:rPr>
      <w:i/>
      <w:iCs/>
      <w:color w:val="2F5496" w:themeColor="accent1" w:themeShade="BF"/>
    </w:rPr>
  </w:style>
  <w:style w:type="paragraph" w:styleId="IntenseQuote">
    <w:name w:val="Intense Quote"/>
    <w:basedOn w:val="Normal"/>
    <w:next w:val="Normal"/>
    <w:link w:val="IntenseQuoteChar"/>
    <w:uiPriority w:val="30"/>
    <w:qFormat/>
    <w:rsid w:val="000560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6036"/>
    <w:rPr>
      <w:i/>
      <w:iCs/>
      <w:color w:val="2F5496" w:themeColor="accent1" w:themeShade="BF"/>
    </w:rPr>
  </w:style>
  <w:style w:type="character" w:styleId="IntenseReference">
    <w:name w:val="Intense Reference"/>
    <w:basedOn w:val="DefaultParagraphFont"/>
    <w:uiPriority w:val="32"/>
    <w:qFormat/>
    <w:rsid w:val="00056036"/>
    <w:rPr>
      <w:b/>
      <w:bCs/>
      <w:smallCaps/>
      <w:color w:val="2F5496" w:themeColor="accent1" w:themeShade="BF"/>
      <w:spacing w:val="5"/>
    </w:rPr>
  </w:style>
  <w:style w:type="character" w:styleId="Hyperlink">
    <w:name w:val="Hyperlink"/>
    <w:basedOn w:val="DefaultParagraphFont"/>
    <w:uiPriority w:val="99"/>
    <w:unhideWhenUsed/>
    <w:rsid w:val="00056036"/>
    <w:rPr>
      <w:color w:val="0563C1" w:themeColor="hyperlink"/>
      <w:u w:val="single"/>
    </w:rPr>
  </w:style>
  <w:style w:type="character" w:styleId="UnresolvedMention">
    <w:name w:val="Unresolved Mention"/>
    <w:basedOn w:val="DefaultParagraphFont"/>
    <w:uiPriority w:val="99"/>
    <w:semiHidden/>
    <w:unhideWhenUsed/>
    <w:rsid w:val="00056036"/>
    <w:rPr>
      <w:color w:val="605E5C"/>
      <w:shd w:val="clear" w:color="auto" w:fill="E1DFDD"/>
    </w:rPr>
  </w:style>
  <w:style w:type="paragraph" w:styleId="Header">
    <w:name w:val="header"/>
    <w:basedOn w:val="Normal"/>
    <w:link w:val="HeaderChar"/>
    <w:uiPriority w:val="99"/>
    <w:unhideWhenUsed/>
    <w:rsid w:val="00882A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2A67"/>
  </w:style>
  <w:style w:type="paragraph" w:styleId="Footer">
    <w:name w:val="footer"/>
    <w:basedOn w:val="Normal"/>
    <w:link w:val="FooterChar"/>
    <w:uiPriority w:val="99"/>
    <w:unhideWhenUsed/>
    <w:rsid w:val="00882A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2A67"/>
  </w:style>
  <w:style w:type="table" w:styleId="TableGrid">
    <w:name w:val="Table Grid"/>
    <w:basedOn w:val="TableNormal"/>
    <w:uiPriority w:val="39"/>
    <w:rsid w:val="009B4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10</Pages>
  <Words>2365</Words>
  <Characters>15354</Characters>
  <Application>Microsoft Office Word</Application>
  <DocSecurity>0</DocSecurity>
  <Lines>365</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Galaus Anniever Malibiran (2508028)</cp:lastModifiedBy>
  <cp:revision>28</cp:revision>
  <dcterms:created xsi:type="dcterms:W3CDTF">2026-03-03T12:58:00Z</dcterms:created>
  <dcterms:modified xsi:type="dcterms:W3CDTF">2026-03-10T09:36:00Z</dcterms:modified>
</cp:coreProperties>
</file>