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Paula’s and Harriet’s criminal liability</w:t>
      </w:r>
    </w:p>
    <w:p w:rsidR="00000000" w:rsidDel="00000000" w:rsidP="00000000" w:rsidRDefault="00000000" w:rsidRPr="00000000" w14:paraId="00000002">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and defences</w:t>
      </w:r>
    </w:p>
    <w:p w:rsidR="00000000" w:rsidDel="00000000" w:rsidP="00000000" w:rsidRDefault="00000000" w:rsidRPr="00000000" w14:paraId="00000003">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4">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by</w:t>
      </w:r>
    </w:p>
    <w:p w:rsidR="00000000" w:rsidDel="00000000" w:rsidP="00000000" w:rsidRDefault="00000000" w:rsidRPr="00000000" w14:paraId="00000005">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6">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Mihaela Gavrila </w:t>
      </w:r>
    </w:p>
    <w:p w:rsidR="00000000" w:rsidDel="00000000" w:rsidP="00000000" w:rsidRDefault="00000000" w:rsidRPr="00000000" w14:paraId="00000007">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8">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9">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A">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LECTURER</w:t>
      </w:r>
    </w:p>
    <w:p w:rsidR="00000000" w:rsidDel="00000000" w:rsidP="00000000" w:rsidRDefault="00000000" w:rsidRPr="00000000" w14:paraId="0000000B">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Laura Knight</w:t>
      </w:r>
    </w:p>
    <w:p w:rsidR="00000000" w:rsidDel="00000000" w:rsidP="00000000" w:rsidRDefault="00000000" w:rsidRPr="00000000" w14:paraId="0000000C">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D">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E">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0F">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COURSE NUMBER</w:t>
      </w:r>
    </w:p>
    <w:p w:rsidR="00000000" w:rsidDel="00000000" w:rsidP="00000000" w:rsidRDefault="00000000" w:rsidRPr="00000000" w14:paraId="00000010">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BMLW4005</w:t>
      </w:r>
    </w:p>
    <w:p w:rsidR="00000000" w:rsidDel="00000000" w:rsidP="00000000" w:rsidRDefault="00000000" w:rsidRPr="00000000" w14:paraId="00000011">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12">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13">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UNIVERSITY</w:t>
      </w:r>
    </w:p>
    <w:p w:rsidR="00000000" w:rsidDel="00000000" w:rsidP="00000000" w:rsidRDefault="00000000" w:rsidRPr="00000000" w14:paraId="00000014">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University of Wales Trinity Saint David</w:t>
      </w:r>
    </w:p>
    <w:p w:rsidR="00000000" w:rsidDel="00000000" w:rsidP="00000000" w:rsidRDefault="00000000" w:rsidRPr="00000000" w14:paraId="00000015">
      <w:pPr>
        <w:spacing w:after="240" w:before="240" w:lineRule="auto"/>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w:t>
      </w:r>
    </w:p>
    <w:p w:rsidR="00000000" w:rsidDel="00000000" w:rsidP="00000000" w:rsidRDefault="00000000" w:rsidRPr="00000000" w14:paraId="00000016">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Following the party that took place in Christine’s house, Harriet could be charged with the basic intent crime of malicious wounding or infliction of GBH under section 20 of the Offences against the Person Act 1861 and the basic offence of criminal damage under section 1(1) of the Criminal Damage Act 1971. Paula could be charged with the specific intent crime of theft, conform section 1(1) of the Theft Act 1968.</w:t>
      </w:r>
    </w:p>
    <w:p w:rsidR="00000000" w:rsidDel="00000000" w:rsidP="00000000" w:rsidRDefault="00000000" w:rsidRPr="00000000" w14:paraId="00000017">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We’ll be starting by analysing Harriet’s position, as she is the one with more than one offence and the seriousness of the offences that she could be charged with, is higher compared to Paula’s offence.</w:t>
      </w:r>
    </w:p>
    <w:p w:rsidR="00000000" w:rsidDel="00000000" w:rsidP="00000000" w:rsidRDefault="00000000" w:rsidRPr="00000000" w14:paraId="00000018">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Under section 20 of the Offences against the Person Act 1861, the offence of GBH is defined as:</w:t>
      </w:r>
    </w:p>
    <w:p w:rsidR="00000000" w:rsidDel="00000000" w:rsidP="00000000" w:rsidRDefault="00000000" w:rsidRPr="00000000" w14:paraId="00000019">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“Whosoever shall unlawfully and maliciously wound or inflict any grievous bodily harm upon any other person, either with or without any weapon or instrument, shall be guilty of a misdemeanour, and being convicted thereof shall be liable”.  </w:t>
      </w:r>
    </w:p>
    <w:p w:rsidR="00000000" w:rsidDel="00000000" w:rsidP="00000000" w:rsidRDefault="00000000" w:rsidRPr="00000000" w14:paraId="0000001A">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 In other words, the offence of GBH must meet three conditions:</w:t>
      </w:r>
    </w:p>
    <w:p w:rsidR="00000000" w:rsidDel="00000000" w:rsidP="00000000" w:rsidRDefault="00000000" w:rsidRPr="00000000" w14:paraId="0000001B">
      <w:pPr>
        <w:numPr>
          <w:ilvl w:val="0"/>
          <w:numId w:val="3"/>
        </w:numPr>
        <w:spacing w:after="0" w:afterAutospacing="0" w:before="24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Because of the defendant's actions, the victim had suffered wounding or infliction of GBH</w:t>
      </w:r>
    </w:p>
    <w:p w:rsidR="00000000" w:rsidDel="00000000" w:rsidP="00000000" w:rsidRDefault="00000000" w:rsidRPr="00000000" w14:paraId="0000001C">
      <w:pPr>
        <w:numPr>
          <w:ilvl w:val="0"/>
          <w:numId w:val="3"/>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GBH must have been unlawfully inflicted on the victim</w:t>
      </w:r>
    </w:p>
    <w:p w:rsidR="00000000" w:rsidDel="00000000" w:rsidP="00000000" w:rsidRDefault="00000000" w:rsidRPr="00000000" w14:paraId="0000001D">
      <w:pPr>
        <w:numPr>
          <w:ilvl w:val="0"/>
          <w:numId w:val="3"/>
        </w:numPr>
        <w:spacing w:after="24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defendant's conduct must have been malicious.</w:t>
      </w:r>
    </w:p>
    <w:p w:rsidR="00000000" w:rsidDel="00000000" w:rsidP="00000000" w:rsidRDefault="00000000" w:rsidRPr="00000000" w14:paraId="0000001E">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first two elements stated above are the actus reus requirements for section 20 offence(OAPA). The third element is the condition that needs to be satisfied for the mens rea to be established.</w:t>
      </w:r>
    </w:p>
    <w:p w:rsidR="00000000" w:rsidDel="00000000" w:rsidP="00000000" w:rsidRDefault="00000000" w:rsidRPr="00000000" w14:paraId="0000001F">
      <w:pPr>
        <w:numPr>
          <w:ilvl w:val="0"/>
          <w:numId w:val="1"/>
        </w:numPr>
        <w:spacing w:after="0" w:afterAutospacing="0" w:before="24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Considering that Harriet’s conduct has resulted in Daniel having a broken cheekbone, we can therefore say that Harriet’s action suffices the first actus reus requirement for the offence of GBH.</w:t>
      </w:r>
    </w:p>
    <w:p w:rsidR="00000000" w:rsidDel="00000000" w:rsidP="00000000" w:rsidRDefault="00000000" w:rsidRPr="00000000" w14:paraId="00000020">
      <w:pPr>
        <w:numPr>
          <w:ilvl w:val="0"/>
          <w:numId w:val="1"/>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For the second requirement, we need to establish if the act was unlawful.  What they call an unlawful act is a violation of a society's legal laws, norms, and responsibilities and since Harriet hasn’t acted in self-defence, her act will be considered unlawful.</w:t>
      </w:r>
    </w:p>
    <w:p w:rsidR="00000000" w:rsidDel="00000000" w:rsidP="00000000" w:rsidRDefault="00000000" w:rsidRPr="00000000" w14:paraId="00000021">
      <w:pPr>
        <w:numPr>
          <w:ilvl w:val="0"/>
          <w:numId w:val="1"/>
        </w:numPr>
        <w:spacing w:after="24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only condition for mens rea is malice, which is met if the defendant meant to do the victim harm or was careless as to whether the victim would suffer any harm.</w:t>
      </w:r>
    </w:p>
    <w:p w:rsidR="00000000" w:rsidDel="00000000" w:rsidP="00000000" w:rsidRDefault="00000000" w:rsidRPr="00000000" w14:paraId="00000022">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We’ll start by looking at direct intention as it is the most blameworthy.</w:t>
      </w:r>
    </w:p>
    <w:p w:rsidR="00000000" w:rsidDel="00000000" w:rsidP="00000000" w:rsidRDefault="00000000" w:rsidRPr="00000000" w14:paraId="00000023">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question that we need to ask is if it was Harriet’s aim or purpose to bring about the prohibited conduct. There is no evidence that her aim that night was to bring about the prohibited conduct, therefore we can not consider direct intention for mens rea.</w:t>
      </w:r>
    </w:p>
    <w:p w:rsidR="00000000" w:rsidDel="00000000" w:rsidP="00000000" w:rsidRDefault="00000000" w:rsidRPr="00000000" w14:paraId="00000024">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can go on and look if recklessness can be made out and will use the Cunningham recklessness test to establish that. The Cunningham recklessness test asks if the defendant anticipate the injury that resulted from his acts or anticipated the harm that may be caused due to his act.</w:t>
      </w:r>
    </w:p>
    <w:p w:rsidR="00000000" w:rsidDel="00000000" w:rsidP="00000000" w:rsidRDefault="00000000" w:rsidRPr="00000000" w14:paraId="00000025">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Since we don’t have all the details of the case we can not establish if the offence of GBH has been committed recklessly. There is a need for expert medical opinion in order to establish if the defendant was able to form the necessary mens rea at the time he committed the offence. If the medical report, shows that Harriet was not able to form the mens rea of the offence due to her intoxication, she could use the involuntary intoxication defence. This can act as a complete defence and her conviction will be quashed.</w:t>
      </w:r>
    </w:p>
    <w:p w:rsidR="00000000" w:rsidDel="00000000" w:rsidP="00000000" w:rsidRDefault="00000000" w:rsidRPr="00000000" w14:paraId="00000026">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We’ll move on to the second offence that Harriet could be charged with and that is the offence of criminal damage.  Section 1(1) of the Criminal Damage Act 1971 defines the offence in question as follows:</w:t>
      </w:r>
    </w:p>
    <w:p w:rsidR="00000000" w:rsidDel="00000000" w:rsidP="00000000" w:rsidRDefault="00000000" w:rsidRPr="00000000" w14:paraId="00000027">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 person who without lawful excuse destroys or damages any property belonging to another intending to destroy or damage any such property or being reckless to whether any such property would be destroyed or damaged shall be guilty of an offence.”</w:t>
      </w:r>
    </w:p>
    <w:p w:rsidR="00000000" w:rsidDel="00000000" w:rsidP="00000000" w:rsidRDefault="00000000" w:rsidRPr="00000000" w14:paraId="00000028">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other words, criminal damage must meet six conditions:</w:t>
      </w:r>
    </w:p>
    <w:p w:rsidR="00000000" w:rsidDel="00000000" w:rsidP="00000000" w:rsidRDefault="00000000" w:rsidRPr="00000000" w14:paraId="00000029">
      <w:pPr>
        <w:numPr>
          <w:ilvl w:val="0"/>
          <w:numId w:val="4"/>
        </w:numPr>
        <w:spacing w:after="0" w:afterAutospacing="0" w:before="24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defendant damaged an object</w:t>
      </w:r>
    </w:p>
    <w:p w:rsidR="00000000" w:rsidDel="00000000" w:rsidP="00000000" w:rsidRDefault="00000000" w:rsidRPr="00000000" w14:paraId="0000002A">
      <w:pPr>
        <w:numPr>
          <w:ilvl w:val="0"/>
          <w:numId w:val="4"/>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item was property</w:t>
      </w:r>
    </w:p>
    <w:p w:rsidR="00000000" w:rsidDel="00000000" w:rsidP="00000000" w:rsidRDefault="00000000" w:rsidRPr="00000000" w14:paraId="0000002B">
      <w:pPr>
        <w:numPr>
          <w:ilvl w:val="0"/>
          <w:numId w:val="4"/>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object was property of another individual</w:t>
      </w:r>
    </w:p>
    <w:p w:rsidR="00000000" w:rsidDel="00000000" w:rsidP="00000000" w:rsidRDefault="00000000" w:rsidRPr="00000000" w14:paraId="0000002C">
      <w:pPr>
        <w:numPr>
          <w:ilvl w:val="0"/>
          <w:numId w:val="4"/>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defendant destroyed or harmed the property intentionally or recklessly</w:t>
      </w:r>
    </w:p>
    <w:p w:rsidR="00000000" w:rsidDel="00000000" w:rsidP="00000000" w:rsidRDefault="00000000" w:rsidRPr="00000000" w14:paraId="0000002D">
      <w:pPr>
        <w:numPr>
          <w:ilvl w:val="0"/>
          <w:numId w:val="4"/>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defendant knew or was reckless that the property belonged to   another person</w:t>
      </w:r>
    </w:p>
    <w:p w:rsidR="00000000" w:rsidDel="00000000" w:rsidP="00000000" w:rsidRDefault="00000000" w:rsidRPr="00000000" w14:paraId="0000002E">
      <w:pPr>
        <w:numPr>
          <w:ilvl w:val="0"/>
          <w:numId w:val="4"/>
        </w:numPr>
        <w:spacing w:after="24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defendant lacked a legitimate cause to do that</w:t>
      </w:r>
    </w:p>
    <w:p w:rsidR="00000000" w:rsidDel="00000000" w:rsidP="00000000" w:rsidRDefault="00000000" w:rsidRPr="00000000" w14:paraId="0000002F">
      <w:pPr>
        <w:spacing w:after="240" w:befor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first three statements noted above are the actus reus requirements, the following two are the mens rea requirements and the last one is a defence.</w:t>
      </w:r>
    </w:p>
    <w:p w:rsidR="00000000" w:rsidDel="00000000" w:rsidP="00000000" w:rsidRDefault="00000000" w:rsidRPr="00000000" w14:paraId="00000030">
      <w:pPr>
        <w:numPr>
          <w:ilvl w:val="0"/>
          <w:numId w:val="5"/>
        </w:numPr>
        <w:spacing w:after="0" w:afterAutospacing="0" w:before="24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order to establish if the object has been damaged we have to consider if the item's usefulness has been diminished, either permanently or momentarily as done in Fiak [2005] or if the defendant's acts will require time and money to be rectified as seen in Hardman v Chief Constable of Avon and Somerset [1986]. Given that Harriet’s conduct has resulted in the glass of the bi-fold doors being broken to pieces and that will need both time and money to replace the glass or even the door, is sufficient to satisfy the first requirement of the actus reus for this offence.</w:t>
      </w:r>
    </w:p>
    <w:p w:rsidR="00000000" w:rsidDel="00000000" w:rsidP="00000000" w:rsidRDefault="00000000" w:rsidRPr="00000000" w14:paraId="00000031">
      <w:pPr>
        <w:numPr>
          <w:ilvl w:val="0"/>
          <w:numId w:val="5"/>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second requirement is that the destroyed item needs to be property. Section 10(1) of the Criminal Damage Act 1971 states that for the item to be considered property, it must be tangible. Therefore, the actions suffice the second requirement of the actus reus since the bi-fold doors is an item that is perceptible by touch.</w:t>
      </w:r>
    </w:p>
    <w:p w:rsidR="00000000" w:rsidDel="00000000" w:rsidP="00000000" w:rsidRDefault="00000000" w:rsidRPr="00000000" w14:paraId="00000032">
      <w:pPr>
        <w:numPr>
          <w:ilvl w:val="0"/>
          <w:numId w:val="5"/>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third requirement that needs to be proved for the defendant to be guilty of criminal damage is that the item had belonged to someone else. What belonging to someone means, is defined in sections 10(2)-10(4) of the Criminal Damage Act 1971.</w:t>
      </w:r>
    </w:p>
    <w:p w:rsidR="00000000" w:rsidDel="00000000" w:rsidP="00000000" w:rsidRDefault="00000000" w:rsidRPr="00000000" w14:paraId="00000033">
      <w:pPr>
        <w:numPr>
          <w:ilvl w:val="0"/>
          <w:numId w:val="5"/>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requirement would be the first requirement for mens rea and we’ll have to look at whether the defendant has destroyed the property intentionally or recklessly. We’ll be using the Cunningham recklessness test as we did with the previous offence. The scenario facts tell us that she was trying to get out of the house using the bi-fold doors when she started to smash the glass, but we are not aware of her realising that the door was closed. If she realised that the door was closed and still chose to smash it then she would suffice the first requirement for the mens rea of the offence.</w:t>
      </w:r>
    </w:p>
    <w:p w:rsidR="00000000" w:rsidDel="00000000" w:rsidP="00000000" w:rsidRDefault="00000000" w:rsidRPr="00000000" w14:paraId="00000034">
      <w:pPr>
        <w:numPr>
          <w:ilvl w:val="0"/>
          <w:numId w:val="5"/>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second condition of the mens rea is if the defendant knew that the property belonged to somebody else and given the fact that Harriet has been invited by Christine’s husband to their house for the surprise party that he arranged for his wife, tells us that she knew the property was someone else’s. Unless she lost her consciousness while hallucinating, and in that case, medical expertise is required to establish if she did form the mens rea or not.</w:t>
      </w:r>
    </w:p>
    <w:p w:rsidR="00000000" w:rsidDel="00000000" w:rsidP="00000000" w:rsidRDefault="00000000" w:rsidRPr="00000000" w14:paraId="00000035">
      <w:pPr>
        <w:numPr>
          <w:ilvl w:val="0"/>
          <w:numId w:val="5"/>
        </w:numPr>
        <w:spacing w:after="24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last requirement is formed out of two unusual defences which are stated under section 5.2 of the Criminal Damage Act 1971 and are considered lawful excuses. Given that she was hallucinating and “thought that fire was engulfing the house”, she reasonably believed that Christine and her husband would give their consent about her destroying their property if they knew the circumstances. If that is indeed the case, her conviction can be quashed.</w:t>
      </w:r>
    </w:p>
    <w:p w:rsidR="00000000" w:rsidDel="00000000" w:rsidP="00000000" w:rsidRDefault="00000000" w:rsidRPr="00000000" w14:paraId="00000036">
      <w:pPr>
        <w:spacing w:after="240" w:before="240" w:lineRule="auto"/>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offence, Paula could be charged with is defined under section 1 of the Theft Act 1968:</w:t>
      </w:r>
    </w:p>
    <w:p w:rsidR="00000000" w:rsidDel="00000000" w:rsidP="00000000" w:rsidRDefault="00000000" w:rsidRPr="00000000" w14:paraId="00000037">
      <w:pPr>
        <w:spacing w:after="240" w:before="240" w:lineRule="auto"/>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 person is guilty of theft if he dishonestly appropriates property belonging to another with the intention of permanently depriving the other of it”</w:t>
      </w:r>
    </w:p>
    <w:p w:rsidR="00000000" w:rsidDel="00000000" w:rsidP="00000000" w:rsidRDefault="00000000" w:rsidRPr="00000000" w14:paraId="00000038">
      <w:pPr>
        <w:spacing w:after="240" w:before="240" w:lineRule="auto"/>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offence has five requirements:</w:t>
      </w:r>
    </w:p>
    <w:p w:rsidR="00000000" w:rsidDel="00000000" w:rsidP="00000000" w:rsidRDefault="00000000" w:rsidRPr="00000000" w14:paraId="00000039">
      <w:pPr>
        <w:numPr>
          <w:ilvl w:val="0"/>
          <w:numId w:val="6"/>
        </w:numPr>
        <w:spacing w:after="0" w:afterAutospacing="0" w:before="24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object is property</w:t>
      </w:r>
    </w:p>
    <w:p w:rsidR="00000000" w:rsidDel="00000000" w:rsidP="00000000" w:rsidRDefault="00000000" w:rsidRPr="00000000" w14:paraId="0000003A">
      <w:pPr>
        <w:numPr>
          <w:ilvl w:val="0"/>
          <w:numId w:val="6"/>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Belonged to somebody else</w:t>
      </w:r>
    </w:p>
    <w:p w:rsidR="00000000" w:rsidDel="00000000" w:rsidP="00000000" w:rsidRDefault="00000000" w:rsidRPr="00000000" w14:paraId="0000003B">
      <w:pPr>
        <w:numPr>
          <w:ilvl w:val="0"/>
          <w:numId w:val="6"/>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Appropriation of property</w:t>
      </w:r>
    </w:p>
    <w:p w:rsidR="00000000" w:rsidDel="00000000" w:rsidP="00000000" w:rsidRDefault="00000000" w:rsidRPr="00000000" w14:paraId="0000003C">
      <w:pPr>
        <w:numPr>
          <w:ilvl w:val="0"/>
          <w:numId w:val="6"/>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Intention to permanently deprive</w:t>
      </w:r>
    </w:p>
    <w:p w:rsidR="00000000" w:rsidDel="00000000" w:rsidP="00000000" w:rsidRDefault="00000000" w:rsidRPr="00000000" w14:paraId="0000003D">
      <w:pPr>
        <w:numPr>
          <w:ilvl w:val="0"/>
          <w:numId w:val="6"/>
        </w:numPr>
        <w:spacing w:after="24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act was dishonest</w:t>
      </w:r>
    </w:p>
    <w:p w:rsidR="00000000" w:rsidDel="00000000" w:rsidP="00000000" w:rsidRDefault="00000000" w:rsidRPr="00000000" w14:paraId="0000003E">
      <w:pPr>
        <w:spacing w:after="240" w:before="240" w:lineRule="auto"/>
        <w:ind w:left="160" w:firstLine="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first three are the actus reus requirements and the last two are the mens rea requirements. </w:t>
      </w:r>
    </w:p>
    <w:p w:rsidR="00000000" w:rsidDel="00000000" w:rsidP="00000000" w:rsidRDefault="00000000" w:rsidRPr="00000000" w14:paraId="0000003F">
      <w:pPr>
        <w:numPr>
          <w:ilvl w:val="0"/>
          <w:numId w:val="2"/>
        </w:numPr>
        <w:spacing w:after="0" w:afterAutospacing="0" w:before="24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Since Christine’s bag is personal property this indeed suffices the requirements of property stated under section 4(1) of the Theft Act 1968.</w:t>
      </w:r>
    </w:p>
    <w:p w:rsidR="00000000" w:rsidDel="00000000" w:rsidP="00000000" w:rsidRDefault="00000000" w:rsidRPr="00000000" w14:paraId="00000040">
      <w:pPr>
        <w:numPr>
          <w:ilvl w:val="0"/>
          <w:numId w:val="2"/>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property in question, belonged to Christine since she got it as a present for her birthday.</w:t>
      </w:r>
    </w:p>
    <w:p w:rsidR="00000000" w:rsidDel="00000000" w:rsidP="00000000" w:rsidRDefault="00000000" w:rsidRPr="00000000" w14:paraId="00000041">
      <w:pPr>
        <w:numPr>
          <w:ilvl w:val="0"/>
          <w:numId w:val="2"/>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Paula’s conduct is satisfying the appropriation since she assumed the rights of an owner such as in R v Morris [1984] AC 320.</w:t>
      </w:r>
    </w:p>
    <w:p w:rsidR="00000000" w:rsidDel="00000000" w:rsidP="00000000" w:rsidRDefault="00000000" w:rsidRPr="00000000" w14:paraId="00000042">
      <w:pPr>
        <w:numPr>
          <w:ilvl w:val="0"/>
          <w:numId w:val="2"/>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requirements of the intention for permanently depriving the other of it, is satisfied by Paula when she becomes jealous of the expensive gifts her friend always got from her husband and when she took the bag out of the house with the intention of putting it in her car when the party had finished.</w:t>
      </w:r>
    </w:p>
    <w:p w:rsidR="00000000" w:rsidDel="00000000" w:rsidP="00000000" w:rsidRDefault="00000000" w:rsidRPr="00000000" w14:paraId="00000043">
      <w:pPr>
        <w:numPr>
          <w:ilvl w:val="0"/>
          <w:numId w:val="2"/>
        </w:numPr>
        <w:spacing w:after="0" w:afterAutospacing="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order to establish if she acted dishonestly, we would need to apply the test for dishonesty used in R v Ghosh [1982]. Given that she took the bag when no one was looking and put it under her jacket, tells us that she has been acting dishonestly by the standards of a reasonable person and she was aware of those standards contrary to Ivey v Genting Casinos (UK) ltd [2017].</w:t>
      </w:r>
    </w:p>
    <w:p w:rsidR="00000000" w:rsidDel="00000000" w:rsidP="00000000" w:rsidRDefault="00000000" w:rsidRPr="00000000" w14:paraId="00000044">
      <w:pPr>
        <w:numPr>
          <w:ilvl w:val="0"/>
          <w:numId w:val="2"/>
        </w:numPr>
        <w:spacing w:after="240" w:before="0" w:beforeAutospacing="0" w:lineRule="auto"/>
        <w:ind w:left="720" w:hanging="36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There is no defence that applies here since Paula’s conduct satisfies both of the requirements needed for conviction. She will be charged for theft conform section 1 of the Theft Act 1968.</w:t>
      </w:r>
    </w:p>
    <w:p w:rsidR="00000000" w:rsidDel="00000000" w:rsidP="00000000" w:rsidRDefault="00000000" w:rsidRPr="00000000" w14:paraId="00000045">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6">
      <w:pPr>
        <w:rPr>
          <w:rFonts w:ascii="Calibri" w:cs="Calibri" w:eastAsia="Calibri" w:hAnsi="Calibri"/>
          <w:b w:val="1"/>
          <w:sz w:val="32"/>
          <w:szCs w:val="32"/>
        </w:rPr>
      </w:pPr>
      <w:r w:rsidDel="00000000" w:rsidR="00000000" w:rsidRPr="00000000">
        <w:rPr>
          <w:rtl w:val="0"/>
        </w:rPr>
      </w:r>
    </w:p>
    <w:p w:rsidR="00000000" w:rsidDel="00000000" w:rsidP="00000000" w:rsidRDefault="00000000" w:rsidRPr="00000000" w14:paraId="00000047">
      <w:pP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References</w:t>
      </w:r>
    </w:p>
    <w:p w:rsidR="00000000" w:rsidDel="00000000" w:rsidP="00000000" w:rsidRDefault="00000000" w:rsidRPr="00000000" w14:paraId="00000048">
      <w:pPr>
        <w:rPr>
          <w:rFonts w:ascii="Calibri" w:cs="Calibri" w:eastAsia="Calibri" w:hAnsi="Calibri"/>
          <w:sz w:val="32"/>
          <w:szCs w:val="32"/>
          <w:highlight w:val="white"/>
        </w:rPr>
      </w:pPr>
      <w:r w:rsidDel="00000000" w:rsidR="00000000" w:rsidRPr="00000000">
        <w:rPr>
          <w:rtl w:val="0"/>
        </w:rPr>
      </w:r>
    </w:p>
    <w:p w:rsidR="00000000" w:rsidDel="00000000" w:rsidP="00000000" w:rsidRDefault="00000000" w:rsidRPr="00000000" w14:paraId="00000049">
      <w:pPr>
        <w:rPr>
          <w:rFonts w:ascii="Calibri" w:cs="Calibri" w:eastAsia="Calibri" w:hAnsi="Calibri"/>
          <w:sz w:val="32"/>
          <w:szCs w:val="32"/>
        </w:rPr>
      </w:pPr>
      <w:r w:rsidDel="00000000" w:rsidR="00000000" w:rsidRPr="00000000">
        <w:rPr>
          <w:rFonts w:ascii="Calibri" w:cs="Calibri" w:eastAsia="Calibri" w:hAnsi="Calibri"/>
          <w:sz w:val="32"/>
          <w:szCs w:val="32"/>
          <w:highlight w:val="white"/>
          <w:rtl w:val="0"/>
        </w:rPr>
        <w:t xml:space="preserve">Legislation.gov.uk. 1991. </w:t>
      </w:r>
      <w:r w:rsidDel="00000000" w:rsidR="00000000" w:rsidRPr="00000000">
        <w:rPr>
          <w:rFonts w:ascii="Calibri" w:cs="Calibri" w:eastAsia="Calibri" w:hAnsi="Calibri"/>
          <w:i w:val="1"/>
          <w:sz w:val="32"/>
          <w:szCs w:val="32"/>
          <w:highlight w:val="white"/>
          <w:rtl w:val="0"/>
        </w:rPr>
        <w:t xml:space="preserve">Criminal Damage Act 1971</w:t>
      </w:r>
      <w:r w:rsidDel="00000000" w:rsidR="00000000" w:rsidRPr="00000000">
        <w:rPr>
          <w:rFonts w:ascii="Calibri" w:cs="Calibri" w:eastAsia="Calibri" w:hAnsi="Calibri"/>
          <w:sz w:val="32"/>
          <w:szCs w:val="32"/>
          <w:highlight w:val="white"/>
          <w:rtl w:val="0"/>
        </w:rPr>
        <w:t xml:space="preserve">. [online] Available at: &lt;https://www.legislation.gov.uk/ukpga/1971/48/section/1&gt; [Accessed 7 December 2021].</w:t>
      </w:r>
      <w:r w:rsidDel="00000000" w:rsidR="00000000" w:rsidRPr="00000000">
        <w:rPr>
          <w:rtl w:val="0"/>
        </w:rPr>
      </w:r>
    </w:p>
    <w:p w:rsidR="00000000" w:rsidDel="00000000" w:rsidP="00000000" w:rsidRDefault="00000000" w:rsidRPr="00000000" w14:paraId="0000004A">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4B">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Legislation.gov.uk. 2004. </w:t>
      </w:r>
      <w:r w:rsidDel="00000000" w:rsidR="00000000" w:rsidRPr="00000000">
        <w:rPr>
          <w:rFonts w:ascii="Calibri" w:cs="Calibri" w:eastAsia="Calibri" w:hAnsi="Calibri"/>
          <w:i w:val="1"/>
          <w:sz w:val="32"/>
          <w:szCs w:val="32"/>
          <w:highlight w:val="white"/>
          <w:rtl w:val="0"/>
        </w:rPr>
        <w:t xml:space="preserve">Offences against the Person Act 1861</w:t>
      </w:r>
      <w:r w:rsidDel="00000000" w:rsidR="00000000" w:rsidRPr="00000000">
        <w:rPr>
          <w:rFonts w:ascii="Calibri" w:cs="Calibri" w:eastAsia="Calibri" w:hAnsi="Calibri"/>
          <w:sz w:val="32"/>
          <w:szCs w:val="32"/>
          <w:highlight w:val="white"/>
          <w:rtl w:val="0"/>
        </w:rPr>
        <w:t xml:space="preserve">. [online] Available at: &lt;https://www.legislation.gov.uk/ukpga/Vict/24-25/100/section/20&gt; [Accessed 7 December 2021].</w:t>
      </w:r>
    </w:p>
    <w:p w:rsidR="00000000" w:rsidDel="00000000" w:rsidP="00000000" w:rsidRDefault="00000000" w:rsidRPr="00000000" w14:paraId="0000004C">
      <w:pPr>
        <w:rPr>
          <w:rFonts w:ascii="Calibri" w:cs="Calibri" w:eastAsia="Calibri" w:hAnsi="Calibri"/>
          <w:sz w:val="32"/>
          <w:szCs w:val="32"/>
          <w:highlight w:val="white"/>
        </w:rPr>
      </w:pPr>
      <w:r w:rsidDel="00000000" w:rsidR="00000000" w:rsidRPr="00000000">
        <w:rPr>
          <w:rtl w:val="0"/>
        </w:rPr>
      </w:r>
    </w:p>
    <w:p w:rsidR="00000000" w:rsidDel="00000000" w:rsidP="00000000" w:rsidRDefault="00000000" w:rsidRPr="00000000" w14:paraId="0000004D">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Legislation.gov.uk. 1991. </w:t>
      </w:r>
      <w:r w:rsidDel="00000000" w:rsidR="00000000" w:rsidRPr="00000000">
        <w:rPr>
          <w:rFonts w:ascii="Calibri" w:cs="Calibri" w:eastAsia="Calibri" w:hAnsi="Calibri"/>
          <w:i w:val="1"/>
          <w:sz w:val="32"/>
          <w:szCs w:val="32"/>
          <w:highlight w:val="white"/>
          <w:rtl w:val="0"/>
        </w:rPr>
        <w:t xml:space="preserve">Theft Act 1968</w:t>
      </w:r>
      <w:r w:rsidDel="00000000" w:rsidR="00000000" w:rsidRPr="00000000">
        <w:rPr>
          <w:rFonts w:ascii="Calibri" w:cs="Calibri" w:eastAsia="Calibri" w:hAnsi="Calibri"/>
          <w:sz w:val="32"/>
          <w:szCs w:val="32"/>
          <w:highlight w:val="white"/>
          <w:rtl w:val="0"/>
        </w:rPr>
        <w:t xml:space="preserve">. [online] Available at: &lt;https://www.legislation.gov.uk/ukpga/1968/60/section/1&gt; [Accessed 5 December 2021].</w:t>
      </w:r>
    </w:p>
    <w:p w:rsidR="00000000" w:rsidDel="00000000" w:rsidP="00000000" w:rsidRDefault="00000000" w:rsidRPr="00000000" w14:paraId="0000004E">
      <w:pPr>
        <w:ind w:left="0" w:firstLine="0"/>
        <w:rPr>
          <w:rFonts w:ascii="Calibri" w:cs="Calibri" w:eastAsia="Calibri" w:hAnsi="Calibri"/>
          <w:b w:val="1"/>
          <w:sz w:val="32"/>
          <w:szCs w:val="32"/>
          <w:highlight w:val="white"/>
        </w:rPr>
      </w:pPr>
      <w:r w:rsidDel="00000000" w:rsidR="00000000" w:rsidRPr="00000000">
        <w:rPr>
          <w:rtl w:val="0"/>
        </w:rPr>
      </w:r>
    </w:p>
    <w:p w:rsidR="00000000" w:rsidDel="00000000" w:rsidP="00000000" w:rsidRDefault="00000000" w:rsidRPr="00000000" w14:paraId="0000004F">
      <w:pPr>
        <w:ind w:left="0" w:firstLine="0"/>
        <w:rPr>
          <w:rFonts w:ascii="Calibri" w:cs="Calibri" w:eastAsia="Calibri" w:hAnsi="Calibri"/>
          <w:sz w:val="32"/>
          <w:szCs w:val="32"/>
          <w:highlight w:val="white"/>
        </w:rPr>
      </w:pPr>
      <w:r w:rsidDel="00000000" w:rsidR="00000000" w:rsidRPr="00000000">
        <w:rPr>
          <w:rFonts w:ascii="Calibri" w:cs="Calibri" w:eastAsia="Calibri" w:hAnsi="Calibri"/>
          <w:b w:val="1"/>
          <w:sz w:val="32"/>
          <w:szCs w:val="32"/>
          <w:highlight w:val="white"/>
          <w:rtl w:val="0"/>
        </w:rPr>
        <w:t xml:space="preserve">Cases</w:t>
      </w:r>
      <w:r w:rsidDel="00000000" w:rsidR="00000000" w:rsidRPr="00000000">
        <w:rPr>
          <w:rtl w:val="0"/>
        </w:rPr>
      </w:r>
    </w:p>
    <w:p w:rsidR="00000000" w:rsidDel="00000000" w:rsidP="00000000" w:rsidRDefault="00000000" w:rsidRPr="00000000" w14:paraId="00000050">
      <w:pPr>
        <w:rPr>
          <w:rFonts w:ascii="Calibri" w:cs="Calibri" w:eastAsia="Calibri" w:hAnsi="Calibri"/>
          <w:sz w:val="32"/>
          <w:szCs w:val="32"/>
          <w:highlight w:val="white"/>
        </w:rPr>
      </w:pPr>
      <w:r w:rsidDel="00000000" w:rsidR="00000000" w:rsidRPr="00000000">
        <w:rPr>
          <w:rtl w:val="0"/>
        </w:rPr>
      </w:r>
    </w:p>
    <w:p w:rsidR="00000000" w:rsidDel="00000000" w:rsidP="00000000" w:rsidRDefault="00000000" w:rsidRPr="00000000" w14:paraId="00000051">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R v Ghosh [1982]</w:t>
      </w:r>
    </w:p>
    <w:p w:rsidR="00000000" w:rsidDel="00000000" w:rsidP="00000000" w:rsidRDefault="00000000" w:rsidRPr="00000000" w14:paraId="00000052">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R v Morris [1983]</w:t>
      </w:r>
    </w:p>
    <w:p w:rsidR="00000000" w:rsidDel="00000000" w:rsidP="00000000" w:rsidRDefault="00000000" w:rsidRPr="00000000" w14:paraId="00000053">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Ivey v Genting Casinos (UK) Ltd [2017]</w:t>
      </w:r>
    </w:p>
    <w:p w:rsidR="00000000" w:rsidDel="00000000" w:rsidP="00000000" w:rsidRDefault="00000000" w:rsidRPr="00000000" w14:paraId="00000054">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Fiak [2005]</w:t>
      </w:r>
    </w:p>
    <w:p w:rsidR="00000000" w:rsidDel="00000000" w:rsidP="00000000" w:rsidRDefault="00000000" w:rsidRPr="00000000" w14:paraId="00000055">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Hardman v Chief Constable of Avon and Somerset [1986]</w:t>
      </w:r>
    </w:p>
    <w:p w:rsidR="00000000" w:rsidDel="00000000" w:rsidP="00000000" w:rsidRDefault="00000000" w:rsidRPr="00000000" w14:paraId="00000056">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R v G and Another [2003]</w:t>
      </w:r>
    </w:p>
    <w:p w:rsidR="00000000" w:rsidDel="00000000" w:rsidP="00000000" w:rsidRDefault="00000000" w:rsidRPr="00000000" w14:paraId="00000057">
      <w:pPr>
        <w:rPr>
          <w:rFonts w:ascii="Calibri" w:cs="Calibri" w:eastAsia="Calibri" w:hAnsi="Calibri"/>
          <w:sz w:val="32"/>
          <w:szCs w:val="32"/>
          <w:highlight w:val="white"/>
        </w:rPr>
      </w:pPr>
      <w:r w:rsidDel="00000000" w:rsidR="00000000" w:rsidRPr="00000000">
        <w:rPr>
          <w:rFonts w:ascii="Calibri" w:cs="Calibri" w:eastAsia="Calibri" w:hAnsi="Calibri"/>
          <w:sz w:val="32"/>
          <w:szCs w:val="32"/>
          <w:highlight w:val="white"/>
          <w:rtl w:val="0"/>
        </w:rPr>
        <w:t xml:space="preserve">R v Cunningham [1957]</w:t>
      </w:r>
    </w:p>
    <w:p w:rsidR="00000000" w:rsidDel="00000000" w:rsidP="00000000" w:rsidRDefault="00000000" w:rsidRPr="00000000" w14:paraId="00000058">
      <w:pPr>
        <w:rPr>
          <w:rFonts w:ascii="Calibri" w:cs="Calibri" w:eastAsia="Calibri" w:hAnsi="Calibri"/>
          <w:sz w:val="32"/>
          <w:szCs w:val="32"/>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