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0441EF8" w14:textId="77777777" w:rsidR="008132F9" w:rsidRDefault="008132F9" w:rsidP="008132F9">
      <w:pPr>
        <w:rPr>
          <w:rFonts w:eastAsia="Times New Roman" w:cs="Times New Roman"/>
          <w:b/>
          <w:bCs/>
          <w:kern w:val="0"/>
          <w:lang w:eastAsia="en-GB"/>
          <w14:ligatures w14:val="none"/>
        </w:rPr>
      </w:pPr>
      <w:r>
        <w:rPr>
          <w:rFonts w:eastAsia="Times New Roman" w:cs="Segoe UI"/>
          <w:b/>
          <w:bCs/>
          <w:noProof/>
          <w:color w:val="000000" w:themeColor="text1"/>
          <w:kern w:val="0"/>
          <w:sz w:val="48"/>
          <w:szCs w:val="48"/>
          <w:lang w:eastAsia="en-GB"/>
        </w:rPr>
        <mc:AlternateContent>
          <mc:Choice Requires="wps">
            <w:drawing>
              <wp:anchor distT="0" distB="0" distL="114300" distR="114300" simplePos="0" relativeHeight="251659264" behindDoc="0" locked="0" layoutInCell="1" allowOverlap="1" wp14:anchorId="206CA1F5" wp14:editId="028DE948">
                <wp:simplePos x="0" y="0"/>
                <wp:positionH relativeFrom="column">
                  <wp:posOffset>-212436</wp:posOffset>
                </wp:positionH>
                <wp:positionV relativeFrom="paragraph">
                  <wp:posOffset>840509</wp:posOffset>
                </wp:positionV>
                <wp:extent cx="6206837" cy="4562764"/>
                <wp:effectExtent l="0" t="0" r="16510" b="9525"/>
                <wp:wrapNone/>
                <wp:docPr id="1943729586" name="Text Box 1"/>
                <wp:cNvGraphicFramePr/>
                <a:graphic xmlns:a="http://schemas.openxmlformats.org/drawingml/2006/main">
                  <a:graphicData uri="http://schemas.microsoft.com/office/word/2010/wordprocessingShape">
                    <wps:wsp>
                      <wps:cNvSpPr txBox="1"/>
                      <wps:spPr>
                        <a:xfrm>
                          <a:off x="0" y="0"/>
                          <a:ext cx="6206837" cy="4562764"/>
                        </a:xfrm>
                        <a:prstGeom prst="rect">
                          <a:avLst/>
                        </a:prstGeom>
                        <a:solidFill>
                          <a:schemeClr val="bg2"/>
                        </a:solidFill>
                        <a:ln w="6350">
                          <a:solidFill>
                            <a:prstClr val="black"/>
                          </a:solidFill>
                        </a:ln>
                      </wps:spPr>
                      <wps:txbx>
                        <w:txbxContent>
                          <w:p w14:paraId="01816715" w14:textId="77777777" w:rsidR="008132F9" w:rsidRDefault="008132F9" w:rsidP="008132F9">
                            <w:pPr>
                              <w:spacing w:before="100" w:beforeAutospacing="1" w:after="100" w:afterAutospacing="1" w:line="360" w:lineRule="auto"/>
                              <w:outlineLvl w:val="2"/>
                              <w:rPr>
                                <w:rFonts w:eastAsia="Times New Roman" w:cs="Segoe UI"/>
                                <w:b/>
                                <w:bCs/>
                                <w:color w:val="000000" w:themeColor="text1"/>
                                <w:kern w:val="0"/>
                                <w:sz w:val="48"/>
                                <w:szCs w:val="48"/>
                                <w:lang w:eastAsia="en-GB"/>
                                <w14:ligatures w14:val="none"/>
                              </w:rPr>
                            </w:pPr>
                          </w:p>
                          <w:p w14:paraId="5C5C3E69" w14:textId="77777777" w:rsidR="008132F9" w:rsidRDefault="008132F9" w:rsidP="008132F9">
                            <w:pPr>
                              <w:spacing w:before="100" w:beforeAutospacing="1" w:after="100" w:afterAutospacing="1" w:line="360" w:lineRule="auto"/>
                              <w:jc w:val="center"/>
                              <w:outlineLvl w:val="2"/>
                              <w:rPr>
                                <w:rFonts w:eastAsia="Times New Roman" w:cs="Segoe UI"/>
                                <w:b/>
                                <w:bCs/>
                                <w:color w:val="000000" w:themeColor="text1"/>
                                <w:kern w:val="0"/>
                                <w:sz w:val="52"/>
                                <w:szCs w:val="52"/>
                                <w:lang w:eastAsia="en-GB"/>
                                <w14:ligatures w14:val="none"/>
                              </w:rPr>
                            </w:pPr>
                            <w:r w:rsidRPr="00BC790A">
                              <w:rPr>
                                <w:rFonts w:eastAsia="Times New Roman" w:cs="Segoe UI"/>
                                <w:b/>
                                <w:bCs/>
                                <w:color w:val="000000" w:themeColor="text1"/>
                                <w:kern w:val="0"/>
                                <w:sz w:val="52"/>
                                <w:szCs w:val="52"/>
                                <w:lang w:eastAsia="en-GB"/>
                                <w14:ligatures w14:val="none"/>
                              </w:rPr>
                              <w:t>Professional Coaching, Lifelong Learning and Decent Work: A Critical Secondary</w:t>
                            </w:r>
                            <w:r>
                              <w:rPr>
                                <w:rFonts w:eastAsia="Times New Roman" w:cs="Segoe UI"/>
                                <w:b/>
                                <w:bCs/>
                                <w:color w:val="000000" w:themeColor="text1"/>
                                <w:kern w:val="0"/>
                                <w:sz w:val="52"/>
                                <w:szCs w:val="52"/>
                                <w:lang w:eastAsia="en-GB"/>
                                <w14:ligatures w14:val="none"/>
                              </w:rPr>
                              <w:t xml:space="preserve"> </w:t>
                            </w:r>
                            <w:r w:rsidRPr="00BC790A">
                              <w:rPr>
                                <w:rFonts w:eastAsia="Times New Roman" w:cs="Segoe UI"/>
                                <w:b/>
                                <w:bCs/>
                                <w:color w:val="000000" w:themeColor="text1"/>
                                <w:kern w:val="0"/>
                                <w:sz w:val="52"/>
                                <w:szCs w:val="52"/>
                                <w:lang w:eastAsia="en-GB"/>
                                <w14:ligatures w14:val="none"/>
                              </w:rPr>
                              <w:t xml:space="preserve">Data Study of Contributions to SDG </w:t>
                            </w:r>
                            <w:proofErr w:type="gramStart"/>
                            <w:r w:rsidRPr="00BC790A">
                              <w:rPr>
                                <w:rFonts w:eastAsia="Times New Roman" w:cs="Segoe UI"/>
                                <w:b/>
                                <w:bCs/>
                                <w:color w:val="000000" w:themeColor="text1"/>
                                <w:kern w:val="0"/>
                                <w:sz w:val="52"/>
                                <w:szCs w:val="52"/>
                                <w:lang w:eastAsia="en-GB"/>
                                <w14:ligatures w14:val="none"/>
                              </w:rPr>
                              <w:t>4</w:t>
                            </w:r>
                            <w:r w:rsidRPr="00EE6280">
                              <w:t xml:space="preserve"> </w:t>
                            </w:r>
                            <w:r w:rsidRPr="00BC790A">
                              <w:rPr>
                                <w:rFonts w:eastAsia="Times New Roman" w:cs="Segoe UI"/>
                                <w:b/>
                                <w:bCs/>
                                <w:color w:val="000000" w:themeColor="text1"/>
                                <w:kern w:val="0"/>
                                <w:sz w:val="52"/>
                                <w:szCs w:val="52"/>
                                <w:lang w:eastAsia="en-GB"/>
                                <w14:ligatures w14:val="none"/>
                              </w:rPr>
                              <w:t xml:space="preserve"> </w:t>
                            </w:r>
                            <w:r>
                              <w:rPr>
                                <w:rFonts w:eastAsia="Times New Roman" w:cs="Segoe UI"/>
                                <w:b/>
                                <w:bCs/>
                                <w:color w:val="000000" w:themeColor="text1"/>
                                <w:kern w:val="0"/>
                                <w:sz w:val="52"/>
                                <w:szCs w:val="52"/>
                                <w:lang w:eastAsia="en-GB"/>
                                <w14:ligatures w14:val="none"/>
                              </w:rPr>
                              <w:t>(</w:t>
                            </w:r>
                            <w:proofErr w:type="gramEnd"/>
                            <w:r>
                              <w:rPr>
                                <w:rFonts w:eastAsia="Times New Roman" w:cs="Segoe UI"/>
                                <w:b/>
                                <w:bCs/>
                                <w:color w:val="000000" w:themeColor="text1"/>
                                <w:kern w:val="0"/>
                                <w:sz w:val="52"/>
                                <w:szCs w:val="52"/>
                                <w:lang w:eastAsia="en-GB"/>
                                <w14:ligatures w14:val="none"/>
                              </w:rPr>
                              <w:t xml:space="preserve">Quality Education) </w:t>
                            </w:r>
                            <w:r w:rsidRPr="00BC790A">
                              <w:rPr>
                                <w:rFonts w:eastAsia="Times New Roman" w:cs="Segoe UI"/>
                                <w:b/>
                                <w:bCs/>
                                <w:color w:val="000000" w:themeColor="text1"/>
                                <w:kern w:val="0"/>
                                <w:sz w:val="52"/>
                                <w:szCs w:val="52"/>
                                <w:lang w:eastAsia="en-GB"/>
                                <w14:ligatures w14:val="none"/>
                              </w:rPr>
                              <w:t>and SDG 8</w:t>
                            </w:r>
                            <w:r>
                              <w:rPr>
                                <w:rFonts w:eastAsia="Times New Roman" w:cs="Segoe UI"/>
                                <w:b/>
                                <w:bCs/>
                                <w:color w:val="000000" w:themeColor="text1"/>
                                <w:kern w:val="0"/>
                                <w:sz w:val="52"/>
                                <w:szCs w:val="52"/>
                                <w:lang w:eastAsia="en-GB"/>
                                <w14:ligatures w14:val="none"/>
                              </w:rPr>
                              <w:t xml:space="preserve"> (Decent Work and Economic Growth)</w:t>
                            </w:r>
                          </w:p>
                          <w:p w14:paraId="59D31B4F" w14:textId="77777777" w:rsidR="008132F9" w:rsidRPr="00BC790A" w:rsidRDefault="008132F9" w:rsidP="008132F9">
                            <w:pPr>
                              <w:spacing w:before="100" w:beforeAutospacing="1" w:after="100" w:afterAutospacing="1" w:line="360" w:lineRule="auto"/>
                              <w:jc w:val="center"/>
                              <w:outlineLvl w:val="2"/>
                              <w:rPr>
                                <w:rFonts w:eastAsia="Times New Roman" w:cs="Segoe UI"/>
                                <w:b/>
                                <w:bCs/>
                                <w:color w:val="000000" w:themeColor="text1"/>
                                <w:kern w:val="0"/>
                                <w:sz w:val="52"/>
                                <w:szCs w:val="52"/>
                                <w:lang w:eastAsia="en-GB"/>
                                <w14:ligatures w14:val="none"/>
                              </w:rPr>
                            </w:pPr>
                          </w:p>
                          <w:p w14:paraId="12CB90DA" w14:textId="77777777" w:rsidR="008132F9" w:rsidRDefault="008132F9" w:rsidP="008132F9">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06CA1F5" id="_x0000_t202" coordsize="21600,21600" o:spt="202" path="m,l,21600r21600,l21600,xe">
                <v:stroke joinstyle="miter"/>
                <v:path gradientshapeok="t" o:connecttype="rect"/>
              </v:shapetype>
              <v:shape id="Text Box 1" o:spid="_x0000_s1026" type="#_x0000_t202" style="position:absolute;margin-left:-16.75pt;margin-top:66.2pt;width:488.75pt;height:359.2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" fillcolor="#e8e8e8 [3214]" strokeweight=".5pt">
                <v:textbox>
                  <w:txbxContent>
                    <w:p w14:paraId="01816715" w14:textId="77777777" w:rsidR="008132F9" w:rsidRDefault="008132F9" w:rsidP="008132F9">
                      <w:pPr>
                        <w:spacing w:before="100" w:beforeAutospacing="1" w:after="100" w:afterAutospacing="1" w:line="360" w:lineRule="auto"/>
                        <w:outlineLvl w:val="2"/>
                        <w:rPr>
                          <w:rFonts w:eastAsia="Times New Roman" w:cs="Segoe UI"/>
                          <w:b/>
                          <w:bCs/>
                          <w:color w:val="000000" w:themeColor="text1"/>
                          <w:kern w:val="0"/>
                          <w:sz w:val="48"/>
                          <w:szCs w:val="48"/>
                          <w:lang w:eastAsia="en-GB"/>
                          <w14:ligatures w14:val="none"/>
                        </w:rPr>
                      </w:pPr>
                    </w:p>
                    <w:p w14:paraId="5C5C3E69" w14:textId="77777777" w:rsidR="008132F9" w:rsidRDefault="008132F9" w:rsidP="008132F9">
                      <w:pPr>
                        <w:spacing w:before="100" w:beforeAutospacing="1" w:after="100" w:afterAutospacing="1" w:line="360" w:lineRule="auto"/>
                        <w:jc w:val="center"/>
                        <w:outlineLvl w:val="2"/>
                        <w:rPr>
                          <w:rFonts w:eastAsia="Times New Roman" w:cs="Segoe UI"/>
                          <w:b/>
                          <w:bCs/>
                          <w:color w:val="000000" w:themeColor="text1"/>
                          <w:kern w:val="0"/>
                          <w:sz w:val="52"/>
                          <w:szCs w:val="52"/>
                          <w:lang w:eastAsia="en-GB"/>
                          <w14:ligatures w14:val="none"/>
                        </w:rPr>
                      </w:pPr>
                      <w:r w:rsidRPr="00BC790A">
                        <w:rPr>
                          <w:rFonts w:eastAsia="Times New Roman" w:cs="Segoe UI"/>
                          <w:b/>
                          <w:bCs/>
                          <w:color w:val="000000" w:themeColor="text1"/>
                          <w:kern w:val="0"/>
                          <w:sz w:val="52"/>
                          <w:szCs w:val="52"/>
                          <w:lang w:eastAsia="en-GB"/>
                          <w14:ligatures w14:val="none"/>
                        </w:rPr>
                        <w:t>Professional Coaching, Lifelong Learning and Decent Work: A Critical Secondary</w:t>
                      </w:r>
                      <w:r>
                        <w:rPr>
                          <w:rFonts w:eastAsia="Times New Roman" w:cs="Segoe UI"/>
                          <w:b/>
                          <w:bCs/>
                          <w:color w:val="000000" w:themeColor="text1"/>
                          <w:kern w:val="0"/>
                          <w:sz w:val="52"/>
                          <w:szCs w:val="52"/>
                          <w:lang w:eastAsia="en-GB"/>
                          <w14:ligatures w14:val="none"/>
                        </w:rPr>
                        <w:t xml:space="preserve"> </w:t>
                      </w:r>
                      <w:r w:rsidRPr="00BC790A">
                        <w:rPr>
                          <w:rFonts w:eastAsia="Times New Roman" w:cs="Segoe UI"/>
                          <w:b/>
                          <w:bCs/>
                          <w:color w:val="000000" w:themeColor="text1"/>
                          <w:kern w:val="0"/>
                          <w:sz w:val="52"/>
                          <w:szCs w:val="52"/>
                          <w:lang w:eastAsia="en-GB"/>
                          <w14:ligatures w14:val="none"/>
                        </w:rPr>
                        <w:t xml:space="preserve">Data Study of Contributions to SDG </w:t>
                      </w:r>
                      <w:proofErr w:type="gramStart"/>
                      <w:r w:rsidRPr="00BC790A">
                        <w:rPr>
                          <w:rFonts w:eastAsia="Times New Roman" w:cs="Segoe UI"/>
                          <w:b/>
                          <w:bCs/>
                          <w:color w:val="000000" w:themeColor="text1"/>
                          <w:kern w:val="0"/>
                          <w:sz w:val="52"/>
                          <w:szCs w:val="52"/>
                          <w:lang w:eastAsia="en-GB"/>
                          <w14:ligatures w14:val="none"/>
                        </w:rPr>
                        <w:t>4</w:t>
                      </w:r>
                      <w:r w:rsidRPr="00EE6280">
                        <w:t xml:space="preserve"> </w:t>
                      </w:r>
                      <w:r w:rsidRPr="00BC790A">
                        <w:rPr>
                          <w:rFonts w:eastAsia="Times New Roman" w:cs="Segoe UI"/>
                          <w:b/>
                          <w:bCs/>
                          <w:color w:val="000000" w:themeColor="text1"/>
                          <w:kern w:val="0"/>
                          <w:sz w:val="52"/>
                          <w:szCs w:val="52"/>
                          <w:lang w:eastAsia="en-GB"/>
                          <w14:ligatures w14:val="none"/>
                        </w:rPr>
                        <w:t xml:space="preserve"> </w:t>
                      </w:r>
                      <w:r>
                        <w:rPr>
                          <w:rFonts w:eastAsia="Times New Roman" w:cs="Segoe UI"/>
                          <w:b/>
                          <w:bCs/>
                          <w:color w:val="000000" w:themeColor="text1"/>
                          <w:kern w:val="0"/>
                          <w:sz w:val="52"/>
                          <w:szCs w:val="52"/>
                          <w:lang w:eastAsia="en-GB"/>
                          <w14:ligatures w14:val="none"/>
                        </w:rPr>
                        <w:t>(</w:t>
                      </w:r>
                      <w:proofErr w:type="gramEnd"/>
                      <w:r>
                        <w:rPr>
                          <w:rFonts w:eastAsia="Times New Roman" w:cs="Segoe UI"/>
                          <w:b/>
                          <w:bCs/>
                          <w:color w:val="000000" w:themeColor="text1"/>
                          <w:kern w:val="0"/>
                          <w:sz w:val="52"/>
                          <w:szCs w:val="52"/>
                          <w:lang w:eastAsia="en-GB"/>
                          <w14:ligatures w14:val="none"/>
                        </w:rPr>
                        <w:t xml:space="preserve">Quality Education) </w:t>
                      </w:r>
                      <w:r w:rsidRPr="00BC790A">
                        <w:rPr>
                          <w:rFonts w:eastAsia="Times New Roman" w:cs="Segoe UI"/>
                          <w:b/>
                          <w:bCs/>
                          <w:color w:val="000000" w:themeColor="text1"/>
                          <w:kern w:val="0"/>
                          <w:sz w:val="52"/>
                          <w:szCs w:val="52"/>
                          <w:lang w:eastAsia="en-GB"/>
                          <w14:ligatures w14:val="none"/>
                        </w:rPr>
                        <w:t>and SDG 8</w:t>
                      </w:r>
                      <w:r>
                        <w:rPr>
                          <w:rFonts w:eastAsia="Times New Roman" w:cs="Segoe UI"/>
                          <w:b/>
                          <w:bCs/>
                          <w:color w:val="000000" w:themeColor="text1"/>
                          <w:kern w:val="0"/>
                          <w:sz w:val="52"/>
                          <w:szCs w:val="52"/>
                          <w:lang w:eastAsia="en-GB"/>
                          <w14:ligatures w14:val="none"/>
                        </w:rPr>
                        <w:t xml:space="preserve"> (Decent Work and Economic Growth)</w:t>
                      </w:r>
                    </w:p>
                    <w:p w14:paraId="59D31B4F" w14:textId="77777777" w:rsidR="008132F9" w:rsidRPr="00BC790A" w:rsidRDefault="008132F9" w:rsidP="008132F9">
                      <w:pPr>
                        <w:spacing w:before="100" w:beforeAutospacing="1" w:after="100" w:afterAutospacing="1" w:line="360" w:lineRule="auto"/>
                        <w:jc w:val="center"/>
                        <w:outlineLvl w:val="2"/>
                        <w:rPr>
                          <w:rFonts w:eastAsia="Times New Roman" w:cs="Segoe UI"/>
                          <w:b/>
                          <w:bCs/>
                          <w:color w:val="000000" w:themeColor="text1"/>
                          <w:kern w:val="0"/>
                          <w:sz w:val="52"/>
                          <w:szCs w:val="52"/>
                          <w:lang w:eastAsia="en-GB"/>
                          <w14:ligatures w14:val="none"/>
                        </w:rPr>
                      </w:pPr>
                    </w:p>
                    <w:p w14:paraId="12CB90DA" w14:textId="77777777" w:rsidR="008132F9" w:rsidRDefault="008132F9" w:rsidP="008132F9">
                      <w:pPr>
                        <w:jc w:val="center"/>
                      </w:pPr>
                    </w:p>
                  </w:txbxContent>
                </v:textbox>
              </v:shape>
            </w:pict>
          </mc:Fallback>
        </mc:AlternateContent>
      </w:r>
      <w:r>
        <w:rPr>
          <w:rFonts w:eastAsia="Times New Roman" w:cs="Times New Roman"/>
          <w:b/>
          <w:bCs/>
          <w:kern w:val="0"/>
          <w:lang w:eastAsia="en-GB"/>
          <w14:ligatures w14:val="none"/>
        </w:rPr>
        <w:br w:type="page"/>
      </w:r>
    </w:p>
    <w:p w14:paraId="4064E823" w14:textId="77777777" w:rsidR="008132F9" w:rsidRPr="00191CAB" w:rsidRDefault="008132F9" w:rsidP="008132F9">
      <w:pPr>
        <w:spacing w:before="100" w:beforeAutospacing="1" w:after="100" w:afterAutospacing="1" w:line="240" w:lineRule="auto"/>
        <w:contextualSpacing/>
        <w:rPr>
          <w:rFonts w:eastAsia="Times New Roman" w:cs="Times New Roman"/>
          <w:b/>
          <w:bCs/>
          <w:kern w:val="0"/>
          <w:lang w:eastAsia="en-GB"/>
          <w14:ligatures w14:val="none"/>
        </w:rPr>
      </w:pPr>
      <w:r w:rsidRPr="00191CAB">
        <w:rPr>
          <w:rFonts w:eastAsia="Times New Roman" w:cs="Times New Roman"/>
          <w:b/>
          <w:bCs/>
          <w:kern w:val="0"/>
          <w:lang w:eastAsia="en-GB"/>
          <w14:ligatures w14:val="none"/>
        </w:rPr>
        <w:lastRenderedPageBreak/>
        <w:t>Table of Contents</w:t>
      </w:r>
    </w:p>
    <w:p w14:paraId="7A2A4A99" w14:textId="77777777" w:rsidR="008132F9" w:rsidRDefault="008132F9" w:rsidP="008132F9">
      <w:pPr>
        <w:pStyle w:val="ListParagraph"/>
        <w:numPr>
          <w:ilvl w:val="0"/>
          <w:numId w:val="5"/>
        </w:numPr>
        <w:spacing w:before="100" w:beforeAutospacing="1" w:after="100" w:afterAutospacing="1" w:line="240" w:lineRule="auto"/>
        <w:ind w:hanging="796"/>
        <w:rPr>
          <w:rFonts w:eastAsia="Times New Roman" w:cs="Times New Roman"/>
          <w:kern w:val="0"/>
          <w:lang w:eastAsia="en-GB"/>
          <w14:ligatures w14:val="none"/>
        </w:rPr>
      </w:pPr>
      <w:r w:rsidRPr="00191CAB">
        <w:rPr>
          <w:rFonts w:eastAsia="Times New Roman" w:cs="Times New Roman"/>
          <w:b/>
          <w:bCs/>
          <w:kern w:val="0"/>
          <w:lang w:eastAsia="en-GB"/>
          <w14:ligatures w14:val="none"/>
        </w:rPr>
        <w:t>Introduction</w:t>
      </w:r>
      <w:r w:rsidRPr="007E3513">
        <w:rPr>
          <w:rFonts w:eastAsia="Times New Roman" w:cs="Times New Roman"/>
          <w:b/>
          <w:bCs/>
          <w:kern w:val="0"/>
          <w:lang w:eastAsia="en-GB"/>
          <w14:ligatures w14:val="none"/>
        </w:rPr>
        <w:t xml:space="preserve"> </w:t>
      </w:r>
      <w:r w:rsidRPr="007E3513">
        <w:rPr>
          <w:rFonts w:eastAsia="Times New Roman" w:cs="Times New Roman"/>
          <w:kern w:val="0"/>
          <w:lang w:eastAsia="en-GB"/>
          <w14:ligatures w14:val="none"/>
        </w:rPr>
        <w:t>- Who Benefits, Under What Conditions, and at What Cost?</w:t>
      </w:r>
    </w:p>
    <w:p w14:paraId="437CBF26" w14:textId="77777777" w:rsidR="008132F9" w:rsidRDefault="008132F9" w:rsidP="008132F9">
      <w:pPr>
        <w:pStyle w:val="ListParagraph"/>
        <w:spacing w:before="100" w:beforeAutospacing="1" w:after="100" w:afterAutospacing="1" w:line="240" w:lineRule="auto"/>
        <w:ind w:left="1080"/>
        <w:rPr>
          <w:rFonts w:eastAsia="Times New Roman" w:cs="Times New Roman"/>
          <w:kern w:val="0"/>
          <w:lang w:eastAsia="en-GB"/>
          <w14:ligatures w14:val="none"/>
        </w:rPr>
      </w:pPr>
    </w:p>
    <w:p w14:paraId="23BE007B" w14:textId="77777777" w:rsidR="008132F9" w:rsidRPr="009642D8" w:rsidRDefault="008132F9" w:rsidP="008132F9">
      <w:pPr>
        <w:pStyle w:val="ListParagraph"/>
        <w:numPr>
          <w:ilvl w:val="0"/>
          <w:numId w:val="5"/>
        </w:numPr>
        <w:spacing w:before="100" w:beforeAutospacing="1" w:after="100" w:afterAutospacing="1" w:line="240" w:lineRule="auto"/>
        <w:ind w:hanging="796"/>
        <w:rPr>
          <w:rFonts w:eastAsia="Times New Roman" w:cs="Times New Roman"/>
          <w:kern w:val="0"/>
          <w:lang w:eastAsia="en-GB"/>
          <w14:ligatures w14:val="none"/>
        </w:rPr>
      </w:pPr>
      <w:r>
        <w:rPr>
          <w:rFonts w:eastAsia="Times New Roman" w:cs="Times New Roman"/>
          <w:b/>
          <w:bCs/>
          <w:kern w:val="0"/>
          <w:lang w:eastAsia="en-GB"/>
          <w14:ligatures w14:val="none"/>
        </w:rPr>
        <w:t>Methodology</w:t>
      </w:r>
    </w:p>
    <w:p w14:paraId="4B2522D5" w14:textId="77777777" w:rsidR="008132F9" w:rsidRDefault="008132F9" w:rsidP="008132F9">
      <w:pPr>
        <w:pStyle w:val="ListParagraph"/>
        <w:numPr>
          <w:ilvl w:val="1"/>
          <w:numId w:val="5"/>
        </w:numPr>
        <w:spacing w:before="100" w:beforeAutospacing="1" w:after="100" w:afterAutospacing="1" w:line="240" w:lineRule="auto"/>
        <w:ind w:left="1134" w:hanging="850"/>
        <w:rPr>
          <w:rFonts w:eastAsia="Times New Roman" w:cs="Times New Roman"/>
          <w:kern w:val="0"/>
          <w:lang w:eastAsia="en-GB"/>
          <w14:ligatures w14:val="none"/>
        </w:rPr>
      </w:pPr>
      <w:r w:rsidRPr="009642D8">
        <w:rPr>
          <w:rFonts w:eastAsia="Times New Roman" w:cs="Times New Roman"/>
          <w:kern w:val="0"/>
          <w:lang w:eastAsia="en-GB"/>
          <w14:ligatures w14:val="none"/>
        </w:rPr>
        <w:t>Research design</w:t>
      </w:r>
    </w:p>
    <w:p w14:paraId="6AB62F66" w14:textId="77777777" w:rsidR="008132F9" w:rsidRDefault="008132F9" w:rsidP="008132F9">
      <w:pPr>
        <w:pStyle w:val="ListParagraph"/>
        <w:numPr>
          <w:ilvl w:val="1"/>
          <w:numId w:val="5"/>
        </w:numPr>
        <w:spacing w:before="100" w:beforeAutospacing="1" w:after="100" w:afterAutospacing="1" w:line="240" w:lineRule="auto"/>
        <w:ind w:left="1134" w:hanging="850"/>
        <w:rPr>
          <w:rFonts w:eastAsia="Times New Roman" w:cs="Times New Roman"/>
          <w:kern w:val="0"/>
          <w:lang w:eastAsia="en-GB"/>
          <w14:ligatures w14:val="none"/>
        </w:rPr>
      </w:pPr>
      <w:r w:rsidRPr="009642D8">
        <w:rPr>
          <w:rFonts w:eastAsia="Times New Roman" w:cs="Times New Roman"/>
          <w:kern w:val="0"/>
          <w:lang w:eastAsia="en-GB"/>
          <w14:ligatures w14:val="none"/>
        </w:rPr>
        <w:t>Search strategy and source selection</w:t>
      </w:r>
    </w:p>
    <w:p w14:paraId="6A455D14" w14:textId="77777777" w:rsidR="008132F9" w:rsidRDefault="008132F9" w:rsidP="008132F9">
      <w:pPr>
        <w:pStyle w:val="ListParagraph"/>
        <w:numPr>
          <w:ilvl w:val="1"/>
          <w:numId w:val="5"/>
        </w:numPr>
        <w:spacing w:before="100" w:beforeAutospacing="1" w:after="100" w:afterAutospacing="1" w:line="240" w:lineRule="auto"/>
        <w:ind w:left="1134" w:hanging="850"/>
        <w:rPr>
          <w:rFonts w:eastAsia="Times New Roman" w:cs="Times New Roman"/>
          <w:kern w:val="0"/>
          <w:lang w:eastAsia="en-GB"/>
          <w14:ligatures w14:val="none"/>
        </w:rPr>
      </w:pPr>
      <w:r w:rsidRPr="009642D8">
        <w:rPr>
          <w:rFonts w:eastAsia="Times New Roman" w:cs="Times New Roman"/>
          <w:kern w:val="0"/>
          <w:lang w:eastAsia="en-GB"/>
          <w14:ligatures w14:val="none"/>
        </w:rPr>
        <w:t>Appraisal and analytical synthesis</w:t>
      </w:r>
    </w:p>
    <w:p w14:paraId="0210C03B" w14:textId="77777777" w:rsidR="008132F9" w:rsidRPr="009642D8" w:rsidRDefault="008132F9" w:rsidP="008132F9">
      <w:pPr>
        <w:pStyle w:val="ListParagraph"/>
        <w:numPr>
          <w:ilvl w:val="1"/>
          <w:numId w:val="5"/>
        </w:numPr>
        <w:spacing w:before="100" w:beforeAutospacing="1" w:after="100" w:afterAutospacing="1" w:line="240" w:lineRule="auto"/>
        <w:ind w:left="1134" w:hanging="850"/>
        <w:rPr>
          <w:rFonts w:eastAsia="Times New Roman" w:cs="Times New Roman"/>
          <w:kern w:val="0"/>
          <w:lang w:eastAsia="en-GB"/>
          <w14:ligatures w14:val="none"/>
        </w:rPr>
      </w:pPr>
      <w:r w:rsidRPr="009642D8">
        <w:rPr>
          <w:rFonts w:eastAsia="Times New Roman" w:cs="Times New Roman"/>
          <w:kern w:val="0"/>
          <w:lang w:eastAsia="en-GB"/>
          <w14:ligatures w14:val="none"/>
        </w:rPr>
        <w:t>Ethical considerations and limitations</w:t>
      </w:r>
    </w:p>
    <w:p w14:paraId="57AB437E" w14:textId="77777777" w:rsidR="008132F9" w:rsidRDefault="008132F9" w:rsidP="008132F9">
      <w:pPr>
        <w:pStyle w:val="ListParagraph"/>
        <w:spacing w:before="100" w:beforeAutospacing="1" w:after="100" w:afterAutospacing="1" w:line="240" w:lineRule="auto"/>
        <w:ind w:left="1080" w:hanging="796"/>
        <w:rPr>
          <w:rFonts w:eastAsia="Times New Roman" w:cs="Times New Roman"/>
          <w:kern w:val="0"/>
          <w:lang w:eastAsia="en-GB"/>
          <w14:ligatures w14:val="none"/>
        </w:rPr>
      </w:pPr>
    </w:p>
    <w:p w14:paraId="60490B1F" w14:textId="77777777" w:rsidR="008132F9" w:rsidRPr="00154C2D" w:rsidRDefault="008132F9" w:rsidP="008132F9">
      <w:pPr>
        <w:pStyle w:val="ListParagraph"/>
        <w:numPr>
          <w:ilvl w:val="0"/>
          <w:numId w:val="5"/>
        </w:numPr>
        <w:spacing w:before="100" w:beforeAutospacing="1" w:after="100" w:afterAutospacing="1" w:line="240" w:lineRule="auto"/>
        <w:ind w:hanging="796"/>
        <w:rPr>
          <w:rFonts w:eastAsia="Times New Roman" w:cs="Times New Roman"/>
          <w:b/>
          <w:bCs/>
          <w:kern w:val="0"/>
          <w:lang w:eastAsia="en-GB"/>
          <w14:ligatures w14:val="none"/>
        </w:rPr>
      </w:pPr>
      <w:r w:rsidRPr="007E3513">
        <w:rPr>
          <w:rFonts w:eastAsia="Times New Roman" w:cs="Times New Roman"/>
          <w:b/>
          <w:bCs/>
          <w:kern w:val="0"/>
          <w:lang w:eastAsia="en-GB"/>
          <w14:ligatures w14:val="none"/>
        </w:rPr>
        <w:t>Conceptual and Analytical Framework</w:t>
      </w:r>
    </w:p>
    <w:p w14:paraId="6D3C86A4" w14:textId="77777777" w:rsidR="008132F9" w:rsidRDefault="008132F9" w:rsidP="008132F9">
      <w:pPr>
        <w:pStyle w:val="ListParagraph"/>
        <w:numPr>
          <w:ilvl w:val="1"/>
          <w:numId w:val="5"/>
        </w:numPr>
        <w:spacing w:before="100" w:beforeAutospacing="1" w:after="100" w:afterAutospacing="1" w:line="240" w:lineRule="auto"/>
        <w:ind w:left="1134" w:hanging="850"/>
        <w:rPr>
          <w:rFonts w:eastAsia="Times New Roman" w:cs="Times New Roman"/>
          <w:kern w:val="0"/>
          <w:lang w:eastAsia="en-GB"/>
          <w14:ligatures w14:val="none"/>
        </w:rPr>
      </w:pPr>
      <w:r w:rsidRPr="00932598">
        <w:rPr>
          <w:rFonts w:eastAsia="Times New Roman" w:cs="Times New Roman"/>
          <w:kern w:val="0"/>
          <w:lang w:eastAsia="en-GB"/>
          <w14:ligatures w14:val="none"/>
        </w:rPr>
        <w:t>Defining professional workplace coaching</w:t>
      </w:r>
    </w:p>
    <w:p w14:paraId="46062E60" w14:textId="77777777" w:rsidR="008132F9" w:rsidRDefault="008132F9" w:rsidP="008132F9">
      <w:pPr>
        <w:pStyle w:val="ListParagraph"/>
        <w:numPr>
          <w:ilvl w:val="1"/>
          <w:numId w:val="5"/>
        </w:numPr>
        <w:spacing w:before="100" w:beforeAutospacing="1" w:after="100" w:afterAutospacing="1" w:line="240" w:lineRule="auto"/>
        <w:ind w:left="1134" w:hanging="850"/>
        <w:rPr>
          <w:rFonts w:eastAsia="Times New Roman" w:cs="Times New Roman"/>
          <w:kern w:val="0"/>
          <w:lang w:eastAsia="en-GB"/>
          <w14:ligatures w14:val="none"/>
        </w:rPr>
      </w:pPr>
      <w:r w:rsidRPr="00932598">
        <w:rPr>
          <w:rFonts w:eastAsia="Times New Roman" w:cs="Times New Roman"/>
          <w:kern w:val="0"/>
          <w:lang w:eastAsia="en-GB"/>
          <w14:ligatures w14:val="none"/>
        </w:rPr>
        <w:t>From coaching effectiveness to sustainable</w:t>
      </w:r>
      <w:r>
        <w:rPr>
          <w:rFonts w:eastAsia="Times New Roman" w:cs="Times New Roman"/>
          <w:kern w:val="0"/>
          <w:lang w:eastAsia="en-GB"/>
          <w14:ligatures w14:val="none"/>
        </w:rPr>
        <w:t xml:space="preserve"> </w:t>
      </w:r>
      <w:r w:rsidRPr="00932598">
        <w:rPr>
          <w:rFonts w:eastAsia="Times New Roman" w:cs="Times New Roman"/>
          <w:kern w:val="0"/>
          <w:lang w:eastAsia="en-GB"/>
          <w14:ligatures w14:val="none"/>
        </w:rPr>
        <w:t>development contribution</w:t>
      </w:r>
    </w:p>
    <w:p w14:paraId="762DE8D2" w14:textId="77777777" w:rsidR="008132F9" w:rsidRDefault="008132F9" w:rsidP="008132F9">
      <w:pPr>
        <w:pStyle w:val="ListParagraph"/>
        <w:numPr>
          <w:ilvl w:val="1"/>
          <w:numId w:val="5"/>
        </w:numPr>
        <w:spacing w:before="100" w:beforeAutospacing="1" w:after="100" w:afterAutospacing="1" w:line="240" w:lineRule="auto"/>
        <w:ind w:left="1134" w:hanging="850"/>
        <w:rPr>
          <w:rFonts w:eastAsia="Times New Roman" w:cs="Times New Roman"/>
          <w:kern w:val="0"/>
          <w:lang w:eastAsia="en-GB"/>
          <w14:ligatures w14:val="none"/>
        </w:rPr>
      </w:pPr>
      <w:r w:rsidRPr="00932598">
        <w:rPr>
          <w:rFonts w:eastAsia="Times New Roman" w:cs="Times New Roman"/>
          <w:kern w:val="0"/>
          <w:lang w:eastAsia="en-GB"/>
          <w14:ligatures w14:val="none"/>
        </w:rPr>
        <w:t>Operationalising SDG 4: Quality Education</w:t>
      </w:r>
    </w:p>
    <w:p w14:paraId="5A49B939" w14:textId="77777777" w:rsidR="008132F9" w:rsidRDefault="008132F9" w:rsidP="008132F9">
      <w:pPr>
        <w:pStyle w:val="ListParagraph"/>
        <w:numPr>
          <w:ilvl w:val="1"/>
          <w:numId w:val="5"/>
        </w:numPr>
        <w:spacing w:before="100" w:beforeAutospacing="1" w:after="100" w:afterAutospacing="1" w:line="240" w:lineRule="auto"/>
        <w:ind w:left="1134" w:hanging="850"/>
        <w:rPr>
          <w:rFonts w:eastAsia="Times New Roman" w:cs="Times New Roman"/>
          <w:kern w:val="0"/>
          <w:lang w:eastAsia="en-GB"/>
          <w14:ligatures w14:val="none"/>
        </w:rPr>
      </w:pPr>
      <w:r w:rsidRPr="00F10DFC">
        <w:rPr>
          <w:rFonts w:eastAsia="Times New Roman" w:cs="Times New Roman"/>
          <w:kern w:val="0"/>
          <w:lang w:eastAsia="en-GB"/>
          <w14:ligatures w14:val="none"/>
        </w:rPr>
        <w:t>Operationalising SDG 8: Decent Work and Economic Growth</w:t>
      </w:r>
    </w:p>
    <w:p w14:paraId="59539FFD" w14:textId="77777777" w:rsidR="008132F9" w:rsidRDefault="008132F9" w:rsidP="008132F9">
      <w:pPr>
        <w:pStyle w:val="ListParagraph"/>
        <w:numPr>
          <w:ilvl w:val="1"/>
          <w:numId w:val="5"/>
        </w:numPr>
        <w:spacing w:before="100" w:beforeAutospacing="1" w:after="100" w:afterAutospacing="1" w:line="240" w:lineRule="auto"/>
        <w:ind w:left="1134" w:hanging="850"/>
        <w:rPr>
          <w:rFonts w:eastAsia="Times New Roman" w:cs="Times New Roman"/>
          <w:kern w:val="0"/>
          <w:lang w:eastAsia="en-GB"/>
          <w14:ligatures w14:val="none"/>
        </w:rPr>
      </w:pPr>
      <w:r w:rsidRPr="00135565">
        <w:rPr>
          <w:rFonts w:eastAsia="Times New Roman" w:cs="Times New Roman"/>
          <w:kern w:val="0"/>
          <w:lang w:eastAsia="en-GB"/>
          <w14:ligatures w14:val="none"/>
        </w:rPr>
        <w:t>A multilevel coaching - SDG contribution framework</w:t>
      </w:r>
    </w:p>
    <w:p w14:paraId="782D9668" w14:textId="77777777" w:rsidR="008132F9" w:rsidRPr="00135565" w:rsidRDefault="008132F9" w:rsidP="008132F9">
      <w:pPr>
        <w:pStyle w:val="ListParagraph"/>
        <w:spacing w:before="100" w:beforeAutospacing="1" w:after="100" w:afterAutospacing="1" w:line="240" w:lineRule="auto"/>
        <w:ind w:left="1134"/>
        <w:rPr>
          <w:rFonts w:eastAsia="Times New Roman" w:cs="Times New Roman"/>
          <w:kern w:val="0"/>
          <w:lang w:eastAsia="en-GB"/>
          <w14:ligatures w14:val="none"/>
        </w:rPr>
      </w:pPr>
    </w:p>
    <w:p w14:paraId="07F00A66" w14:textId="77777777" w:rsidR="008132F9" w:rsidRDefault="008132F9" w:rsidP="008132F9">
      <w:pPr>
        <w:pStyle w:val="ListParagraph"/>
        <w:numPr>
          <w:ilvl w:val="0"/>
          <w:numId w:val="5"/>
        </w:numPr>
        <w:spacing w:before="100" w:beforeAutospacing="1" w:after="100" w:afterAutospacing="1" w:line="240" w:lineRule="auto"/>
        <w:ind w:hanging="796"/>
        <w:rPr>
          <w:rFonts w:eastAsia="Times New Roman" w:cs="Times New Roman"/>
          <w:b/>
          <w:bCs/>
          <w:kern w:val="0"/>
          <w:lang w:eastAsia="en-GB"/>
          <w14:ligatures w14:val="none"/>
        </w:rPr>
      </w:pPr>
      <w:r w:rsidRPr="00CD1E1F">
        <w:rPr>
          <w:rFonts w:eastAsia="Times New Roman" w:cs="Times New Roman"/>
          <w:b/>
          <w:bCs/>
          <w:kern w:val="0"/>
          <w:lang w:eastAsia="en-GB"/>
          <w14:ligatures w14:val="none"/>
        </w:rPr>
        <w:t>Findings and Critical Analysis</w:t>
      </w:r>
    </w:p>
    <w:p w14:paraId="1ECB8CDA" w14:textId="77777777" w:rsidR="008132F9" w:rsidRDefault="008132F9" w:rsidP="008132F9">
      <w:pPr>
        <w:pStyle w:val="ListParagraph"/>
        <w:numPr>
          <w:ilvl w:val="1"/>
          <w:numId w:val="5"/>
        </w:numPr>
        <w:spacing w:before="100" w:beforeAutospacing="1" w:after="100" w:afterAutospacing="1" w:line="240" w:lineRule="auto"/>
        <w:ind w:left="1134" w:hanging="850"/>
        <w:rPr>
          <w:rFonts w:eastAsia="Times New Roman" w:cs="Times New Roman"/>
          <w:kern w:val="0"/>
          <w:lang w:eastAsia="en-GB"/>
          <w14:ligatures w14:val="none"/>
        </w:rPr>
      </w:pPr>
      <w:r w:rsidRPr="00820FF4">
        <w:rPr>
          <w:rFonts w:eastAsia="Times New Roman" w:cs="Times New Roman"/>
          <w:kern w:val="0"/>
          <w:lang w:eastAsia="en-GB"/>
          <w14:ligatures w14:val="none"/>
        </w:rPr>
        <w:t>Evidence landscape: a strong case for individual effects, a weaker case for sustainable-development impact</w:t>
      </w:r>
    </w:p>
    <w:p w14:paraId="01E7379A" w14:textId="77777777" w:rsidR="008132F9" w:rsidRDefault="008132F9" w:rsidP="008132F9">
      <w:pPr>
        <w:pStyle w:val="ListParagraph"/>
        <w:numPr>
          <w:ilvl w:val="1"/>
          <w:numId w:val="5"/>
        </w:numPr>
        <w:spacing w:before="100" w:beforeAutospacing="1" w:after="100" w:afterAutospacing="1" w:line="240" w:lineRule="auto"/>
        <w:ind w:left="1134" w:hanging="850"/>
        <w:rPr>
          <w:rFonts w:eastAsia="Times New Roman" w:cs="Times New Roman"/>
          <w:kern w:val="0"/>
          <w:lang w:eastAsia="en-GB"/>
          <w14:ligatures w14:val="none"/>
        </w:rPr>
      </w:pPr>
      <w:r w:rsidRPr="00820FF4">
        <w:rPr>
          <w:rFonts w:eastAsia="Times New Roman" w:cs="Times New Roman"/>
          <w:kern w:val="0"/>
          <w:lang w:eastAsia="en-GB"/>
          <w14:ligatures w14:val="none"/>
        </w:rPr>
        <w:t>Coaching and SDG 4: Quality Education</w:t>
      </w:r>
    </w:p>
    <w:p w14:paraId="1E4CCF76" w14:textId="77777777" w:rsidR="008132F9" w:rsidRDefault="008132F9" w:rsidP="008132F9">
      <w:pPr>
        <w:pStyle w:val="ListParagraph"/>
        <w:numPr>
          <w:ilvl w:val="1"/>
          <w:numId w:val="5"/>
        </w:numPr>
        <w:spacing w:before="100" w:beforeAutospacing="1" w:after="100" w:afterAutospacing="1" w:line="240" w:lineRule="auto"/>
        <w:ind w:left="1134" w:hanging="850"/>
        <w:rPr>
          <w:rFonts w:eastAsia="Times New Roman" w:cs="Times New Roman"/>
          <w:kern w:val="0"/>
          <w:lang w:eastAsia="en-GB"/>
          <w14:ligatures w14:val="none"/>
        </w:rPr>
      </w:pPr>
      <w:r w:rsidRPr="00301591">
        <w:rPr>
          <w:rFonts w:eastAsia="Times New Roman" w:cs="Times New Roman"/>
          <w:kern w:val="0"/>
          <w:lang w:eastAsia="en-GB"/>
          <w14:ligatures w14:val="none"/>
        </w:rPr>
        <w:t>Coaching and SDG 8: Decent Work and Economic Growth</w:t>
      </w:r>
    </w:p>
    <w:p w14:paraId="03BFA469" w14:textId="77777777" w:rsidR="008132F9" w:rsidRDefault="008132F9" w:rsidP="008132F9">
      <w:pPr>
        <w:pStyle w:val="ListParagraph"/>
        <w:numPr>
          <w:ilvl w:val="1"/>
          <w:numId w:val="5"/>
        </w:numPr>
        <w:spacing w:before="100" w:beforeAutospacing="1" w:after="100" w:afterAutospacing="1" w:line="240" w:lineRule="auto"/>
        <w:ind w:left="1134" w:hanging="850"/>
        <w:rPr>
          <w:rFonts w:eastAsia="Times New Roman" w:cs="Times New Roman"/>
          <w:kern w:val="0"/>
          <w:lang w:eastAsia="en-GB"/>
          <w14:ligatures w14:val="none"/>
        </w:rPr>
      </w:pPr>
      <w:r w:rsidRPr="001C56E0">
        <w:rPr>
          <w:rFonts w:eastAsia="Times New Roman" w:cs="Times New Roman"/>
          <w:kern w:val="0"/>
          <w:lang w:eastAsia="en-GB"/>
          <w14:ligatures w14:val="none"/>
        </w:rPr>
        <w:t>Access, inequality and distribution: who receives the benefit?</w:t>
      </w:r>
    </w:p>
    <w:p w14:paraId="6A12FFA6" w14:textId="77777777" w:rsidR="008132F9" w:rsidRDefault="008132F9" w:rsidP="008132F9">
      <w:pPr>
        <w:pStyle w:val="ListParagraph"/>
        <w:numPr>
          <w:ilvl w:val="1"/>
          <w:numId w:val="5"/>
        </w:numPr>
        <w:spacing w:before="100" w:beforeAutospacing="1" w:after="100" w:afterAutospacing="1" w:line="240" w:lineRule="auto"/>
        <w:ind w:left="1134" w:hanging="850"/>
        <w:rPr>
          <w:rFonts w:eastAsia="Times New Roman" w:cs="Times New Roman"/>
          <w:kern w:val="0"/>
          <w:lang w:eastAsia="en-GB"/>
          <w14:ligatures w14:val="none"/>
        </w:rPr>
      </w:pPr>
      <w:r w:rsidRPr="001C56E0">
        <w:rPr>
          <w:rFonts w:eastAsia="Times New Roman" w:cs="Times New Roman"/>
          <w:kern w:val="0"/>
          <w:lang w:eastAsia="en-GB"/>
          <w14:ligatures w14:val="none"/>
        </w:rPr>
        <w:t>Ethics, power and the risk of individualising structural problems</w:t>
      </w:r>
    </w:p>
    <w:p w14:paraId="75E66349" w14:textId="77777777" w:rsidR="008132F9" w:rsidRDefault="008132F9" w:rsidP="008132F9">
      <w:pPr>
        <w:pStyle w:val="ListParagraph"/>
        <w:numPr>
          <w:ilvl w:val="1"/>
          <w:numId w:val="5"/>
        </w:numPr>
        <w:spacing w:before="100" w:beforeAutospacing="1" w:after="100" w:afterAutospacing="1" w:line="240" w:lineRule="auto"/>
        <w:ind w:left="1134" w:hanging="850"/>
        <w:rPr>
          <w:rFonts w:eastAsia="Times New Roman" w:cs="Times New Roman"/>
          <w:kern w:val="0"/>
          <w:lang w:eastAsia="en-GB"/>
          <w14:ligatures w14:val="none"/>
        </w:rPr>
      </w:pPr>
      <w:r w:rsidRPr="00E609F6">
        <w:rPr>
          <w:rFonts w:eastAsia="Times New Roman" w:cs="Times New Roman"/>
          <w:kern w:val="0"/>
          <w:lang w:eastAsia="en-GB"/>
          <w14:ligatures w14:val="none"/>
        </w:rPr>
        <w:t>How far does the evidence travel?</w:t>
      </w:r>
    </w:p>
    <w:p w14:paraId="227BDB83" w14:textId="77777777" w:rsidR="008132F9" w:rsidRPr="00E609F6" w:rsidRDefault="008132F9" w:rsidP="008132F9">
      <w:pPr>
        <w:pStyle w:val="ListParagraph"/>
        <w:spacing w:before="100" w:beforeAutospacing="1" w:after="100" w:afterAutospacing="1" w:line="240" w:lineRule="auto"/>
        <w:ind w:left="1134"/>
        <w:rPr>
          <w:rFonts w:eastAsia="Times New Roman" w:cs="Times New Roman"/>
          <w:kern w:val="0"/>
          <w:lang w:eastAsia="en-GB"/>
          <w14:ligatures w14:val="none"/>
        </w:rPr>
      </w:pPr>
    </w:p>
    <w:p w14:paraId="04A0EAF7" w14:textId="77777777" w:rsidR="008132F9" w:rsidRDefault="008132F9" w:rsidP="008132F9">
      <w:pPr>
        <w:pStyle w:val="ListParagraph"/>
        <w:numPr>
          <w:ilvl w:val="0"/>
          <w:numId w:val="5"/>
        </w:numPr>
        <w:spacing w:before="100" w:beforeAutospacing="1" w:after="100" w:afterAutospacing="1" w:line="240" w:lineRule="auto"/>
        <w:rPr>
          <w:rFonts w:eastAsia="Times New Roman" w:cs="Times New Roman"/>
          <w:b/>
          <w:bCs/>
          <w:kern w:val="0"/>
          <w:lang w:eastAsia="en-GB"/>
          <w14:ligatures w14:val="none"/>
        </w:rPr>
      </w:pPr>
      <w:r w:rsidRPr="00FA3ABE">
        <w:rPr>
          <w:rFonts w:eastAsia="Times New Roman" w:cs="Times New Roman"/>
          <w:b/>
          <w:bCs/>
          <w:kern w:val="0"/>
          <w:lang w:eastAsia="en-GB"/>
          <w14:ligatures w14:val="none"/>
        </w:rPr>
        <w:t>Recommended Future Actions</w:t>
      </w:r>
    </w:p>
    <w:p w14:paraId="2C62A5F3" w14:textId="77777777" w:rsidR="008132F9" w:rsidRPr="00CD1E1F" w:rsidRDefault="008132F9" w:rsidP="008132F9">
      <w:pPr>
        <w:pStyle w:val="ListParagraph"/>
        <w:spacing w:before="100" w:beforeAutospacing="1" w:after="100" w:afterAutospacing="1" w:line="240" w:lineRule="auto"/>
        <w:ind w:left="1080"/>
        <w:rPr>
          <w:rFonts w:eastAsia="Times New Roman" w:cs="Times New Roman"/>
          <w:b/>
          <w:bCs/>
          <w:kern w:val="0"/>
          <w:lang w:eastAsia="en-GB"/>
          <w14:ligatures w14:val="none"/>
        </w:rPr>
      </w:pPr>
    </w:p>
    <w:p w14:paraId="5F853929" w14:textId="77777777" w:rsidR="008132F9" w:rsidRPr="00E609F6" w:rsidRDefault="008132F9" w:rsidP="008132F9">
      <w:pPr>
        <w:pStyle w:val="ListParagraph"/>
        <w:numPr>
          <w:ilvl w:val="0"/>
          <w:numId w:val="5"/>
        </w:numPr>
        <w:spacing w:before="100" w:beforeAutospacing="1" w:after="100" w:afterAutospacing="1" w:line="240" w:lineRule="auto"/>
        <w:rPr>
          <w:rFonts w:eastAsia="Times New Roman" w:cs="Times New Roman"/>
          <w:kern w:val="0"/>
          <w:lang w:eastAsia="en-GB"/>
          <w14:ligatures w14:val="none"/>
        </w:rPr>
      </w:pPr>
      <w:r w:rsidRPr="00667D7F">
        <w:rPr>
          <w:rFonts w:eastAsia="Times New Roman" w:cs="Times New Roman"/>
          <w:b/>
          <w:bCs/>
          <w:kern w:val="0"/>
          <w:lang w:eastAsia="en-GB"/>
          <w14:ligatures w14:val="none"/>
        </w:rPr>
        <w:t>Conclusion</w:t>
      </w:r>
      <w:r w:rsidRPr="00667D7F">
        <w:rPr>
          <w:rFonts w:eastAsia="Times New Roman" w:cs="Times New Roman"/>
          <w:b/>
          <w:bCs/>
          <w:kern w:val="0"/>
          <w:lang w:eastAsia="en-GB"/>
          <w14:ligatures w14:val="none"/>
        </w:rPr>
        <w:br/>
      </w:r>
    </w:p>
    <w:p w14:paraId="14EECA97" w14:textId="77777777" w:rsidR="008132F9" w:rsidRPr="00E609F6" w:rsidRDefault="008132F9" w:rsidP="008132F9">
      <w:pPr>
        <w:pStyle w:val="ListParagraph"/>
        <w:spacing w:before="100" w:beforeAutospacing="1" w:after="100" w:afterAutospacing="1" w:line="240" w:lineRule="auto"/>
        <w:ind w:left="1080"/>
        <w:rPr>
          <w:rFonts w:eastAsia="Times New Roman" w:cs="Times New Roman"/>
          <w:b/>
          <w:bCs/>
          <w:kern w:val="0"/>
          <w:lang w:eastAsia="en-GB"/>
          <w14:ligatures w14:val="none"/>
        </w:rPr>
      </w:pPr>
      <w:r w:rsidRPr="00667D7F">
        <w:rPr>
          <w:rFonts w:eastAsia="Times New Roman" w:cs="Times New Roman"/>
          <w:b/>
          <w:bCs/>
          <w:kern w:val="0"/>
          <w:lang w:eastAsia="en-GB"/>
          <w14:ligatures w14:val="none"/>
        </w:rPr>
        <w:t>References</w:t>
      </w:r>
    </w:p>
    <w:p w14:paraId="27DEBD87" w14:textId="77777777" w:rsidR="008132F9" w:rsidRPr="007C31FF" w:rsidRDefault="008132F9" w:rsidP="008132F9">
      <w:pPr>
        <w:spacing w:before="100" w:beforeAutospacing="1" w:after="100" w:afterAutospacing="1" w:line="360" w:lineRule="auto"/>
        <w:contextualSpacing/>
        <w:rPr>
          <w:rFonts w:eastAsia="Times New Roman" w:cs="Times New Roman"/>
          <w:b/>
          <w:bCs/>
          <w:kern w:val="0"/>
          <w:lang w:eastAsia="en-GB"/>
          <w14:ligatures w14:val="none"/>
        </w:rPr>
      </w:pPr>
      <w:r w:rsidRPr="007C31FF">
        <w:rPr>
          <w:rFonts w:eastAsia="Times New Roman" w:cs="Times New Roman"/>
          <w:b/>
          <w:bCs/>
          <w:kern w:val="0"/>
          <w:lang w:eastAsia="en-GB"/>
          <w14:ligatures w14:val="none"/>
        </w:rPr>
        <w:t>Table of Figures</w:t>
      </w:r>
    </w:p>
    <w:p w14:paraId="2719A023" w14:textId="77777777" w:rsidR="008132F9" w:rsidRPr="00643C72" w:rsidRDefault="008132F9" w:rsidP="008132F9">
      <w:pPr>
        <w:spacing w:before="100" w:beforeAutospacing="1" w:after="100" w:afterAutospacing="1" w:line="360" w:lineRule="auto"/>
        <w:contextualSpacing/>
        <w:rPr>
          <w:rFonts w:eastAsia="Times New Roman" w:cs="Times New Roman"/>
          <w:kern w:val="0"/>
          <w:lang w:eastAsia="en-GB"/>
          <w14:ligatures w14:val="none"/>
        </w:rPr>
      </w:pPr>
      <w:r w:rsidRPr="00643C72">
        <w:rPr>
          <w:rFonts w:eastAsia="Times New Roman" w:cs="Times New Roman"/>
          <w:b/>
          <w:bCs/>
          <w:kern w:val="0"/>
          <w:lang w:eastAsia="en-GB"/>
          <w14:ligatures w14:val="none"/>
        </w:rPr>
        <w:t>Figure 1.</w:t>
      </w:r>
      <w:r w:rsidRPr="00643C72">
        <w:rPr>
          <w:rFonts w:eastAsia="Times New Roman" w:cs="Times New Roman"/>
          <w:kern w:val="0"/>
          <w:lang w:eastAsia="en-GB"/>
          <w14:ligatures w14:val="none"/>
        </w:rPr>
        <w:t xml:space="preserve"> </w:t>
      </w:r>
      <w:r>
        <w:t>Multilevel coaching – SDG contribution framework</w:t>
      </w:r>
      <w:r w:rsidRPr="00643C72">
        <w:rPr>
          <w:rFonts w:eastAsia="Times New Roman" w:cs="Times New Roman"/>
          <w:kern w:val="0"/>
          <w:lang w:eastAsia="en-GB"/>
          <w14:ligatures w14:val="none"/>
        </w:rPr>
        <w:br/>
      </w:r>
    </w:p>
    <w:p w14:paraId="1D212C1E" w14:textId="77777777" w:rsidR="008132F9" w:rsidRDefault="008132F9" w:rsidP="008132F9">
      <w:pPr>
        <w:spacing w:before="100" w:beforeAutospacing="1" w:after="100" w:afterAutospacing="1" w:line="360" w:lineRule="auto"/>
        <w:contextualSpacing/>
        <w:rPr>
          <w:rFonts w:eastAsia="Times New Roman" w:cs="Times New Roman"/>
          <w:b/>
          <w:bCs/>
          <w:kern w:val="0"/>
          <w:lang w:eastAsia="en-GB"/>
          <w14:ligatures w14:val="none"/>
        </w:rPr>
      </w:pPr>
      <w:r w:rsidRPr="00EE623C">
        <w:rPr>
          <w:rFonts w:eastAsia="Times New Roman" w:cs="Times New Roman"/>
          <w:b/>
          <w:bCs/>
          <w:kern w:val="0"/>
          <w:lang w:eastAsia="en-GB"/>
          <w14:ligatures w14:val="none"/>
        </w:rPr>
        <w:t>Tables</w:t>
      </w:r>
    </w:p>
    <w:p w14:paraId="1CA646BA" w14:textId="77777777" w:rsidR="008132F9" w:rsidRPr="00EE623C" w:rsidRDefault="008132F9" w:rsidP="008132F9">
      <w:pPr>
        <w:spacing w:before="100" w:beforeAutospacing="1" w:after="100" w:afterAutospacing="1" w:line="360" w:lineRule="auto"/>
        <w:contextualSpacing/>
        <w:rPr>
          <w:rFonts w:eastAsia="Times New Roman" w:cs="Times New Roman"/>
          <w:b/>
          <w:bCs/>
          <w:kern w:val="0"/>
          <w:lang w:eastAsia="en-GB"/>
          <w14:ligatures w14:val="none"/>
        </w:rPr>
      </w:pPr>
      <w:r>
        <w:rPr>
          <w:rFonts w:eastAsia="Times New Roman" w:cs="Times New Roman"/>
          <w:b/>
          <w:bCs/>
          <w:kern w:val="0"/>
          <w:lang w:eastAsia="en-GB"/>
          <w14:ligatures w14:val="none"/>
        </w:rPr>
        <w:t xml:space="preserve">Table 1. </w:t>
      </w:r>
      <w:r>
        <w:t>Levels of coaching–SDG contribution and permissible claims</w:t>
      </w:r>
    </w:p>
    <w:p w14:paraId="31F42084" w14:textId="77777777" w:rsidR="008132F9" w:rsidRDefault="008132F9" w:rsidP="008132F9">
      <w:pPr>
        <w:spacing w:before="100" w:beforeAutospacing="1" w:after="100" w:afterAutospacing="1" w:line="360" w:lineRule="auto"/>
        <w:contextualSpacing/>
        <w:rPr>
          <w:rFonts w:eastAsia="Times New Roman" w:cs="Times New Roman"/>
          <w:kern w:val="0"/>
          <w:lang w:eastAsia="en-GB"/>
          <w14:ligatures w14:val="none"/>
        </w:rPr>
      </w:pPr>
    </w:p>
    <w:p w14:paraId="7D9044B6" w14:textId="77777777" w:rsidR="008132F9" w:rsidRPr="00A55FB7" w:rsidRDefault="008132F9" w:rsidP="008132F9">
      <w:pPr>
        <w:spacing w:before="100" w:beforeAutospacing="1" w:after="100" w:afterAutospacing="1" w:line="360" w:lineRule="auto"/>
        <w:contextualSpacing/>
        <w:rPr>
          <w:rFonts w:eastAsia="Times New Roman" w:cs="Times New Roman"/>
          <w:b/>
          <w:bCs/>
          <w:kern w:val="0"/>
          <w:lang w:eastAsia="en-GB"/>
          <w14:ligatures w14:val="none"/>
        </w:rPr>
      </w:pPr>
      <w:r w:rsidRPr="00A55FB7">
        <w:rPr>
          <w:rFonts w:eastAsia="Times New Roman" w:cs="Times New Roman"/>
          <w:b/>
          <w:bCs/>
          <w:kern w:val="0"/>
          <w:lang w:eastAsia="en-GB"/>
          <w14:ligatures w14:val="none"/>
        </w:rPr>
        <w:t>AI Declaration</w:t>
      </w:r>
    </w:p>
    <w:p w14:paraId="22A8F560" w14:textId="77777777" w:rsidR="008132F9" w:rsidRDefault="008132F9" w:rsidP="008132F9">
      <w:pPr>
        <w:spacing w:before="100" w:beforeAutospacing="1" w:after="100" w:afterAutospacing="1" w:line="360" w:lineRule="auto"/>
        <w:contextualSpacing/>
        <w:rPr>
          <w:rFonts w:eastAsia="Times New Roman" w:cs="Times New Roman"/>
          <w:kern w:val="0"/>
          <w:lang w:eastAsia="en-GB"/>
          <w14:ligatures w14:val="none"/>
        </w:rPr>
      </w:pPr>
      <w:r w:rsidRPr="00643C72">
        <w:rPr>
          <w:rFonts w:eastAsia="Times New Roman" w:cs="Times New Roman"/>
          <w:kern w:val="0"/>
          <w:lang w:eastAsia="en-GB"/>
          <w14:ligatures w14:val="none"/>
        </w:rPr>
        <w:t>I acknowledge the use of ChatGPT (</w:t>
      </w:r>
      <w:hyperlink r:id="rId5" w:tgtFrame="_new" w:history="1">
        <w:r w:rsidRPr="00643C72">
          <w:rPr>
            <w:rFonts w:eastAsia="Times New Roman" w:cs="Times New Roman"/>
            <w:kern w:val="0"/>
            <w:lang w:eastAsia="en-GB"/>
            <w14:ligatures w14:val="none"/>
          </w:rPr>
          <w:t>https://chatgpt.com/</w:t>
        </w:r>
      </w:hyperlink>
      <w:r w:rsidRPr="00643C72">
        <w:rPr>
          <w:rFonts w:eastAsia="Times New Roman" w:cs="Times New Roman"/>
          <w:kern w:val="0"/>
          <w:lang w:eastAsia="en-GB"/>
          <w14:ligatures w14:val="none"/>
        </w:rPr>
        <w:t xml:space="preserve">) on 19 August 2026 to support the structure and visual presentation of a table </w:t>
      </w:r>
      <w:r>
        <w:rPr>
          <w:rFonts w:eastAsia="Times New Roman" w:cs="Times New Roman"/>
          <w:kern w:val="0"/>
          <w:lang w:eastAsia="en-GB"/>
          <w14:ligatures w14:val="none"/>
        </w:rPr>
        <w:t xml:space="preserve">and a figure </w:t>
      </w:r>
      <w:r w:rsidRPr="00643C72">
        <w:rPr>
          <w:rFonts w:eastAsia="Times New Roman" w:cs="Times New Roman"/>
          <w:kern w:val="0"/>
          <w:lang w:eastAsia="en-GB"/>
          <w14:ligatures w14:val="none"/>
        </w:rPr>
        <w:t>(Table 1</w:t>
      </w:r>
      <w:r>
        <w:rPr>
          <w:rFonts w:eastAsia="Times New Roman" w:cs="Times New Roman"/>
          <w:kern w:val="0"/>
          <w:lang w:eastAsia="en-GB"/>
          <w14:ligatures w14:val="none"/>
        </w:rPr>
        <w:t xml:space="preserve"> and Figure 1</w:t>
      </w:r>
      <w:r w:rsidRPr="00643C72">
        <w:rPr>
          <w:rFonts w:eastAsia="Times New Roman" w:cs="Times New Roman"/>
          <w:kern w:val="0"/>
          <w:lang w:eastAsia="en-GB"/>
          <w14:ligatures w14:val="none"/>
        </w:rPr>
        <w:t>) summarising my independently researched conceptual framework. I independently reviewed, revised and verified the resulting table against the cited academic literature.</w:t>
      </w:r>
    </w:p>
    <w:p w14:paraId="46DA3612" w14:textId="77777777" w:rsidR="008132F9" w:rsidRPr="00736458" w:rsidRDefault="008132F9" w:rsidP="008132F9">
      <w:pPr>
        <w:spacing w:before="100" w:beforeAutospacing="1" w:after="100" w:afterAutospacing="1" w:line="360" w:lineRule="auto"/>
        <w:contextualSpacing/>
        <w:rPr>
          <w:rFonts w:eastAsia="Times New Roman" w:cs="Times New Roman"/>
          <w:kern w:val="0"/>
          <w:lang w:eastAsia="en-GB"/>
          <w14:ligatures w14:val="none"/>
        </w:rPr>
      </w:pPr>
      <w:r>
        <w:rPr>
          <w:rFonts w:eastAsia="Times New Roman" w:cs="Times New Roman"/>
          <w:kern w:val="0"/>
          <w:lang w:eastAsia="en-GB"/>
          <w14:ligatures w14:val="none"/>
        </w:rPr>
        <w:lastRenderedPageBreak/>
        <w:t xml:space="preserve">Grammarly was used solely to support proofreading, including spelling, punctuation, grammar and clarity. </w:t>
      </w:r>
      <w:r>
        <w:rPr>
          <w:rFonts w:cs="Segoe UI"/>
          <w:smallCaps/>
          <w:color w:val="000000" w:themeColor="text1"/>
        </w:rPr>
        <w:br w:type="page"/>
      </w:r>
    </w:p>
    <w:p w14:paraId="3C593458" w14:textId="77777777" w:rsidR="008132F9" w:rsidRPr="0019638E" w:rsidRDefault="008132F9" w:rsidP="008132F9">
      <w:pPr>
        <w:pStyle w:val="Heading1"/>
        <w:pBdr>
          <w:top w:val="single" w:sz="4" w:space="1" w:color="auto"/>
          <w:left w:val="single" w:sz="4" w:space="4" w:color="auto"/>
          <w:bottom w:val="single" w:sz="4" w:space="1" w:color="auto"/>
          <w:right w:val="single" w:sz="4" w:space="4" w:color="auto"/>
        </w:pBdr>
        <w:shd w:val="clear" w:color="auto" w:fill="F3F3F3"/>
        <w:spacing w:before="0" w:after="0" w:line="360" w:lineRule="auto"/>
        <w:jc w:val="center"/>
        <w:rPr>
          <w:rFonts w:asciiTheme="minorHAnsi" w:hAnsiTheme="minorHAnsi" w:cs="Segoe UI"/>
          <w:smallCaps/>
          <w:color w:val="000000" w:themeColor="text1"/>
          <w:sz w:val="24"/>
          <w:szCs w:val="24"/>
        </w:rPr>
      </w:pPr>
    </w:p>
    <w:p w14:paraId="4539EBB6" w14:textId="77777777" w:rsidR="008132F9" w:rsidRPr="0019638E" w:rsidRDefault="008132F9" w:rsidP="008132F9">
      <w:pPr>
        <w:pStyle w:val="Heading1"/>
        <w:pBdr>
          <w:top w:val="single" w:sz="4" w:space="1" w:color="auto"/>
          <w:left w:val="single" w:sz="4" w:space="4" w:color="auto"/>
          <w:bottom w:val="single" w:sz="4" w:space="1" w:color="auto"/>
          <w:right w:val="single" w:sz="4" w:space="4" w:color="auto"/>
        </w:pBdr>
        <w:shd w:val="clear" w:color="auto" w:fill="F3F3F3"/>
        <w:spacing w:before="0" w:after="0" w:line="360" w:lineRule="auto"/>
        <w:jc w:val="center"/>
        <w:rPr>
          <w:rFonts w:asciiTheme="minorHAnsi" w:hAnsiTheme="minorHAnsi" w:cs="Segoe UI"/>
          <w:smallCaps/>
          <w:color w:val="000000" w:themeColor="text1"/>
          <w:sz w:val="32"/>
          <w:szCs w:val="32"/>
        </w:rPr>
      </w:pPr>
      <w:r w:rsidRPr="0019638E">
        <w:rPr>
          <w:rStyle w:val="Strong"/>
          <w:rFonts w:asciiTheme="minorHAnsi" w:hAnsiTheme="minorHAnsi" w:cs="Segoe UI"/>
          <w:b w:val="0"/>
          <w:bCs w:val="0"/>
          <w:color w:val="000000" w:themeColor="text1"/>
          <w:sz w:val="32"/>
          <w:szCs w:val="32"/>
        </w:rPr>
        <w:t xml:space="preserve">Part 1: </w:t>
      </w:r>
      <w:r>
        <w:rPr>
          <w:rStyle w:val="Strong"/>
          <w:rFonts w:asciiTheme="minorHAnsi" w:hAnsiTheme="minorHAnsi" w:cs="Segoe UI"/>
          <w:b w:val="0"/>
          <w:bCs w:val="0"/>
          <w:color w:val="000000" w:themeColor="text1"/>
          <w:sz w:val="32"/>
          <w:szCs w:val="32"/>
        </w:rPr>
        <w:t>Practitioner Learning</w:t>
      </w:r>
      <w:r w:rsidRPr="0019638E">
        <w:rPr>
          <w:rFonts w:asciiTheme="minorHAnsi" w:hAnsiTheme="minorHAnsi" w:cs="Segoe UI"/>
          <w:smallCaps/>
          <w:color w:val="000000" w:themeColor="text1"/>
          <w:sz w:val="32"/>
          <w:szCs w:val="32"/>
        </w:rPr>
        <w:t xml:space="preserve"> (BM</w:t>
      </w:r>
      <w:r>
        <w:rPr>
          <w:rFonts w:asciiTheme="minorHAnsi" w:hAnsiTheme="minorHAnsi" w:cs="Segoe UI"/>
          <w:smallCaps/>
          <w:color w:val="000000" w:themeColor="text1"/>
          <w:sz w:val="32"/>
          <w:szCs w:val="32"/>
        </w:rPr>
        <w:t>D</w:t>
      </w:r>
      <w:r w:rsidRPr="0019638E">
        <w:rPr>
          <w:rFonts w:asciiTheme="minorHAnsi" w:hAnsiTheme="minorHAnsi" w:cs="Segoe UI"/>
          <w:smallCaps/>
          <w:color w:val="000000" w:themeColor="text1"/>
          <w:sz w:val="32"/>
          <w:szCs w:val="32"/>
        </w:rPr>
        <w:t>P700</w:t>
      </w:r>
      <w:r>
        <w:rPr>
          <w:rFonts w:asciiTheme="minorHAnsi" w:hAnsiTheme="minorHAnsi" w:cs="Segoe UI"/>
          <w:smallCaps/>
          <w:color w:val="000000" w:themeColor="text1"/>
          <w:sz w:val="32"/>
          <w:szCs w:val="32"/>
        </w:rPr>
        <w:t>2</w:t>
      </w:r>
      <w:r w:rsidRPr="0019638E">
        <w:rPr>
          <w:rFonts w:asciiTheme="minorHAnsi" w:hAnsiTheme="minorHAnsi" w:cs="Segoe UI"/>
          <w:smallCaps/>
          <w:color w:val="000000" w:themeColor="text1"/>
          <w:sz w:val="32"/>
          <w:szCs w:val="32"/>
        </w:rPr>
        <w:t>)</w:t>
      </w:r>
    </w:p>
    <w:p w14:paraId="5A14737E" w14:textId="77777777" w:rsidR="008132F9" w:rsidRPr="0019638E" w:rsidRDefault="008132F9" w:rsidP="008132F9">
      <w:pPr>
        <w:pStyle w:val="Heading1"/>
        <w:pBdr>
          <w:top w:val="single" w:sz="4" w:space="1" w:color="auto"/>
          <w:left w:val="single" w:sz="4" w:space="4" w:color="auto"/>
          <w:bottom w:val="single" w:sz="4" w:space="1" w:color="auto"/>
          <w:right w:val="single" w:sz="4" w:space="4" w:color="auto"/>
        </w:pBdr>
        <w:shd w:val="clear" w:color="auto" w:fill="F3F3F3"/>
        <w:spacing w:before="0" w:after="0" w:line="360" w:lineRule="auto"/>
        <w:jc w:val="center"/>
        <w:rPr>
          <w:rFonts w:asciiTheme="minorHAnsi" w:hAnsiTheme="minorHAnsi" w:cs="Segoe UI"/>
          <w:smallCaps/>
          <w:color w:val="000000" w:themeColor="text1"/>
          <w:sz w:val="24"/>
          <w:szCs w:val="24"/>
        </w:rPr>
      </w:pPr>
      <w:r w:rsidRPr="0019638E">
        <w:rPr>
          <w:rFonts w:asciiTheme="minorHAnsi" w:hAnsiTheme="minorHAnsi" w:cs="Segoe UI"/>
          <w:smallCaps/>
          <w:color w:val="000000" w:themeColor="text1"/>
          <w:sz w:val="24"/>
          <w:szCs w:val="24"/>
        </w:rPr>
        <w:t xml:space="preserve"> </w:t>
      </w:r>
    </w:p>
    <w:p w14:paraId="5D9F8276" w14:textId="15F8DC03" w:rsidR="008132F9" w:rsidRPr="0019638E" w:rsidRDefault="008132F9" w:rsidP="008132F9">
      <w:pPr>
        <w:spacing w:before="100" w:beforeAutospacing="1" w:after="100" w:afterAutospacing="1" w:line="360" w:lineRule="auto"/>
        <w:outlineLvl w:val="2"/>
        <w:rPr>
          <w:rFonts w:eastAsia="Times New Roman" w:cs="Segoe UI"/>
          <w:b/>
          <w:bCs/>
          <w:color w:val="000000" w:themeColor="text1"/>
          <w:kern w:val="0"/>
          <w:lang w:eastAsia="en-GB"/>
          <w14:ligatures w14:val="none"/>
        </w:rPr>
      </w:pPr>
      <w:r w:rsidRPr="0019638E">
        <w:rPr>
          <w:rFonts w:eastAsia="Times New Roman" w:cs="Segoe UI"/>
          <w:b/>
          <w:bCs/>
          <w:color w:val="000000" w:themeColor="text1"/>
          <w:kern w:val="0"/>
          <w:lang w:eastAsia="en-GB"/>
          <w14:ligatures w14:val="none"/>
        </w:rPr>
        <w:t xml:space="preserve">Professional Coaching, Lifelong Learning and Decent Work: A Critical Secondary-Data Study of Contributions to SDG 4 and SDG </w:t>
      </w: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CCCC"/>
        <w:tblLook w:val="0000" w:firstRow="0" w:lastRow="0" w:firstColumn="0" w:lastColumn="0" w:noHBand="0" w:noVBand="0"/>
      </w:tblPr>
      <w:tblGrid>
        <w:gridCol w:w="9067"/>
      </w:tblGrid>
      <w:tr w:rsidR="008132F9" w:rsidRPr="0019638E" w14:paraId="43162F5D" w14:textId="77777777" w:rsidTr="00925C7C">
        <w:trPr>
          <w:trHeight w:val="305"/>
        </w:trPr>
        <w:tc>
          <w:tcPr>
            <w:tcW w:w="9067" w:type="dxa"/>
            <w:tcBorders>
              <w:top w:val="single" w:sz="4" w:space="0" w:color="auto"/>
              <w:left w:val="single" w:sz="4" w:space="0" w:color="auto"/>
              <w:bottom w:val="single" w:sz="4" w:space="0" w:color="auto"/>
              <w:right w:val="single" w:sz="4" w:space="0" w:color="auto"/>
            </w:tcBorders>
            <w:shd w:val="clear" w:color="auto" w:fill="CCCCCC"/>
          </w:tcPr>
          <w:p w14:paraId="4B5CD2F7" w14:textId="77777777" w:rsidR="008132F9" w:rsidRPr="0019638E" w:rsidRDefault="008132F9" w:rsidP="00925C7C">
            <w:pPr>
              <w:pStyle w:val="ListParagraph"/>
              <w:numPr>
                <w:ilvl w:val="0"/>
                <w:numId w:val="3"/>
              </w:numPr>
              <w:snapToGrid w:val="0"/>
              <w:spacing w:after="0" w:line="360" w:lineRule="auto"/>
              <w:rPr>
                <w:rFonts w:eastAsiaTheme="majorEastAsia" w:cs="Segoe UI"/>
                <w:color w:val="000000" w:themeColor="text1"/>
              </w:rPr>
            </w:pPr>
            <w:r w:rsidRPr="0019638E">
              <w:rPr>
                <w:rFonts w:eastAsia="Times New Roman" w:cs="Times New Roman"/>
                <w:b/>
                <w:bCs/>
                <w:color w:val="000000" w:themeColor="text1"/>
                <w:kern w:val="36"/>
                <w:lang w:eastAsia="en-GB"/>
                <w14:ligatures w14:val="none"/>
              </w:rPr>
              <w:t xml:space="preserve">Introduction - </w:t>
            </w:r>
            <w:r w:rsidRPr="00291C19">
              <w:rPr>
                <w:color w:val="000000" w:themeColor="text1"/>
              </w:rPr>
              <w:t>Who Benefits, Under What Conditions, and at What Cost?</w:t>
            </w:r>
          </w:p>
        </w:tc>
      </w:tr>
    </w:tbl>
    <w:p w14:paraId="4523D043" w14:textId="22363E18"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kern w:val="0"/>
          <w:lang w:eastAsia="en-GB"/>
          <w14:ligatures w14:val="none"/>
        </w:rPr>
        <w:t>The professional coaching industry has grown substantially in scale, visibility and organisational reach. The International Coaching Federation’s latest global study estimates 122,974 coach</w:t>
      </w:r>
      <w:r w:rsidR="00C84296">
        <w:rPr>
          <w:rFonts w:eastAsia="Times New Roman" w:cs="Times New Roman"/>
          <w:kern w:val="0"/>
          <w:lang w:eastAsia="en-GB"/>
          <w14:ligatures w14:val="none"/>
        </w:rPr>
        <w:t>ing</w:t>
      </w:r>
      <w:r w:rsidRPr="00121EC2">
        <w:rPr>
          <w:rFonts w:eastAsia="Times New Roman" w:cs="Times New Roman"/>
          <w:kern w:val="0"/>
          <w:lang w:eastAsia="en-GB"/>
          <w14:ligatures w14:val="none"/>
        </w:rPr>
        <w:t xml:space="preserve"> practitioners worldwide and annual coaching revenue of US$5.34 billion (International Coaching Federation, 2025). These figures establish coaching as a significant international professional</w:t>
      </w:r>
      <w:r>
        <w:rPr>
          <w:rFonts w:eastAsia="Times New Roman" w:cs="Times New Roman"/>
          <w:kern w:val="0"/>
          <w:lang w:eastAsia="en-GB"/>
          <w14:ligatures w14:val="none"/>
        </w:rPr>
        <w:t xml:space="preserve"> </w:t>
      </w:r>
      <w:r w:rsidRPr="00121EC2">
        <w:rPr>
          <w:rFonts w:eastAsia="Times New Roman" w:cs="Times New Roman"/>
          <w:kern w:val="0"/>
          <w:lang w:eastAsia="en-GB"/>
          <w14:ligatures w14:val="none"/>
        </w:rPr>
        <w:t xml:space="preserve">services industry, but they say little about the quality or distribution of its wider social contribution. The study was commissioned by a professional body to describe its own industry and </w:t>
      </w:r>
      <w:r>
        <w:rPr>
          <w:rFonts w:eastAsia="Times New Roman" w:cs="Times New Roman"/>
          <w:kern w:val="0"/>
          <w:lang w:eastAsia="en-GB"/>
          <w14:ligatures w14:val="none"/>
        </w:rPr>
        <w:t>provide</w:t>
      </w:r>
      <w:r w:rsidRPr="00121EC2">
        <w:rPr>
          <w:rFonts w:eastAsia="Times New Roman" w:cs="Times New Roman"/>
          <w:kern w:val="0"/>
          <w:lang w:eastAsia="en-GB"/>
          <w14:ligatures w14:val="none"/>
        </w:rPr>
        <w:t>s useful evidence of market development; it cannot, by itself, demonstrate that coaching advances sustainable development.</w:t>
      </w:r>
    </w:p>
    <w:p w14:paraId="09F96D24"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Pr>
          <w:rFonts w:eastAsia="Times New Roman" w:cs="Times New Roman"/>
          <w:kern w:val="0"/>
          <w:lang w:eastAsia="en-GB"/>
          <w14:ligatures w14:val="none"/>
        </w:rPr>
        <w:t xml:space="preserve">There is, however, a credible evidence base for coaching effectiveness. </w:t>
      </w:r>
      <w:proofErr w:type="spellStart"/>
      <w:r>
        <w:rPr>
          <w:rFonts w:eastAsia="Times New Roman" w:cs="Times New Roman"/>
          <w:kern w:val="0"/>
          <w:lang w:eastAsia="en-GB"/>
          <w14:ligatures w14:val="none"/>
        </w:rPr>
        <w:t>Theeboom</w:t>
      </w:r>
      <w:proofErr w:type="spellEnd"/>
      <w:r>
        <w:rPr>
          <w:rFonts w:eastAsia="Times New Roman" w:cs="Times New Roman"/>
          <w:kern w:val="0"/>
          <w:lang w:eastAsia="en-GB"/>
          <w14:ligatures w14:val="none"/>
        </w:rPr>
        <w:t xml:space="preserve">, </w:t>
      </w:r>
      <w:proofErr w:type="spellStart"/>
      <w:r>
        <w:rPr>
          <w:rFonts w:eastAsia="Times New Roman" w:cs="Times New Roman"/>
          <w:kern w:val="0"/>
          <w:lang w:eastAsia="en-GB"/>
          <w14:ligatures w14:val="none"/>
        </w:rPr>
        <w:t>Beersma</w:t>
      </w:r>
      <w:proofErr w:type="spellEnd"/>
      <w:r>
        <w:rPr>
          <w:rFonts w:eastAsia="Times New Roman" w:cs="Times New Roman"/>
          <w:kern w:val="0"/>
          <w:lang w:eastAsia="en-GB"/>
          <w14:ligatures w14:val="none"/>
        </w:rPr>
        <w:t xml:space="preserve"> and van Vianen (2014) found positive effects across performance and skills, wellbeing, coping, work attitudes and goal-directed self-regulation, and later meta-analyses reached broadly similar conclusions (de Haan and Nilsson, 2023; Cannon-Bowers et al., 2023). Coaching practice itself is diverse, although apparent differences between models can sometimes overstate substantive variation, as approaches may share common processes while differing mainly in terminology and packaging (Grant, 2017). The more important limitation is that positive outcomes for participants do not automatically demonstrate equitable learning, decent work or sustainable economic growth.</w:t>
      </w:r>
    </w:p>
    <w:p w14:paraId="40DCA68A"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Pr>
          <w:rFonts w:eastAsia="Times New Roman" w:cs="Times New Roman"/>
          <w:kern w:val="0"/>
          <w:lang w:eastAsia="en-GB"/>
          <w14:ligatures w14:val="none"/>
        </w:rPr>
        <w:t xml:space="preserve">These distinctions matter when coaching is considered alongside the Sustainable Development Goals. SDG 4 seeks to ensure inclusive and equitable quality education and lifelong learning opportunities for all, while SDG 8 focuses on sustained, inclusive economic growth, productive employment and decent work. At first glance, coaching </w:t>
      </w:r>
      <w:r>
        <w:rPr>
          <w:rFonts w:eastAsia="Times New Roman" w:cs="Times New Roman"/>
          <w:kern w:val="0"/>
          <w:lang w:eastAsia="en-GB"/>
          <w14:ligatures w14:val="none"/>
        </w:rPr>
        <w:lastRenderedPageBreak/>
        <w:t>appears relevant to both. It can serve as non-formal adult learning, strengthen work-relevant capabilities, support professional judgement and influence how people lead, relate and perform. Yet both Goals extend well beyond individual development. SDG 4 includes affordability, inclusion and equality of access; SDG 8 includes fair income, employment security, labour rights, social protection, employee voice and equality of opportunity.</w:t>
      </w:r>
    </w:p>
    <w:p w14:paraId="6BEDD944"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kern w:val="0"/>
          <w:lang w:eastAsia="en-GB"/>
          <w14:ligatures w14:val="none"/>
        </w:rPr>
        <w:t xml:space="preserve">There is therefore a </w:t>
      </w:r>
      <w:r>
        <w:rPr>
          <w:rFonts w:eastAsia="Times New Roman" w:cs="Times New Roman"/>
          <w:kern w:val="0"/>
          <w:lang w:eastAsia="en-GB"/>
          <w14:ligatures w14:val="none"/>
        </w:rPr>
        <w:t>risk</w:t>
      </w:r>
      <w:r w:rsidRPr="00121EC2">
        <w:rPr>
          <w:rFonts w:eastAsia="Times New Roman" w:cs="Times New Roman"/>
          <w:kern w:val="0"/>
          <w:lang w:eastAsia="en-GB"/>
          <w14:ligatures w14:val="none"/>
        </w:rPr>
        <w:t xml:space="preserve"> of conceptual overreach. A coaching intervention that strengthens self-efficacy, reflective capacity or leadership behaviour may </w:t>
      </w:r>
      <w:r>
        <w:rPr>
          <w:rFonts w:eastAsia="Times New Roman" w:cs="Times New Roman"/>
          <w:kern w:val="0"/>
          <w:lang w:eastAsia="en-GB"/>
          <w14:ligatures w14:val="none"/>
        </w:rPr>
        <w:t>support</w:t>
      </w:r>
      <w:r w:rsidRPr="00121EC2">
        <w:rPr>
          <w:rFonts w:eastAsia="Times New Roman" w:cs="Times New Roman"/>
          <w:kern w:val="0"/>
          <w:lang w:eastAsia="en-GB"/>
          <w14:ligatures w14:val="none"/>
        </w:rPr>
        <w:t xml:space="preserve"> workplace learning without widening access to learning among disadvantaged groups. Equally, coaching may help someone perform more effectively or cope with organisational pressure without making their employment more secure, equitable or decent. An intervention can improve an individual’s ability to navigate a difficult system while leaving the system largely unchanged.</w:t>
      </w:r>
    </w:p>
    <w:p w14:paraId="1EB4FD71"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kern w:val="0"/>
          <w:lang w:eastAsia="en-GB"/>
          <w14:ligatures w14:val="none"/>
        </w:rPr>
        <w:t>This study asks:</w:t>
      </w:r>
    </w:p>
    <w:p w14:paraId="206B9592"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b/>
          <w:bCs/>
          <w:kern w:val="0"/>
          <w:lang w:eastAsia="en-GB"/>
          <w14:ligatures w14:val="none"/>
        </w:rPr>
        <w:t>To what extent, through what mechanisms and under what conditions, does the professional workplace coaching industry contribute to SDG 4 (Quality Education) and SDG 8 (Decent Work and Economic Growth), and where might it instead individualise responsibility for structural educational and workplace inequalities?</w:t>
      </w:r>
    </w:p>
    <w:p w14:paraId="5A55BA62"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kern w:val="0"/>
          <w:lang w:eastAsia="en-GB"/>
          <w14:ligatures w14:val="none"/>
        </w:rPr>
        <w:t>Four subsidiary questions guide the analysis:</w:t>
      </w:r>
    </w:p>
    <w:p w14:paraId="25DC3239" w14:textId="77777777" w:rsidR="008132F9" w:rsidRPr="00121EC2" w:rsidRDefault="008132F9" w:rsidP="008132F9">
      <w:pPr>
        <w:numPr>
          <w:ilvl w:val="0"/>
          <w:numId w:val="1"/>
        </w:num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kern w:val="0"/>
          <w:lang w:eastAsia="en-GB"/>
          <w14:ligatures w14:val="none"/>
        </w:rPr>
        <w:t>What credible evidence exists that workplace coaching improves learning, skills, wellbeing, leadership, employability or work performance?</w:t>
      </w:r>
    </w:p>
    <w:p w14:paraId="0B7F6869" w14:textId="77777777" w:rsidR="008132F9" w:rsidRPr="00121EC2" w:rsidRDefault="008132F9" w:rsidP="008132F9">
      <w:pPr>
        <w:numPr>
          <w:ilvl w:val="0"/>
          <w:numId w:val="1"/>
        </w:num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kern w:val="0"/>
          <w:lang w:eastAsia="en-GB"/>
          <w14:ligatures w14:val="none"/>
        </w:rPr>
        <w:t>How directly do these outcomes correspond to relevant targets within SDG 4 and SDG 8?</w:t>
      </w:r>
    </w:p>
    <w:p w14:paraId="31D5445C" w14:textId="77777777" w:rsidR="008132F9" w:rsidRPr="00121EC2" w:rsidRDefault="008132F9" w:rsidP="008132F9">
      <w:pPr>
        <w:numPr>
          <w:ilvl w:val="0"/>
          <w:numId w:val="1"/>
        </w:num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kern w:val="0"/>
          <w:lang w:eastAsia="en-GB"/>
          <w14:ligatures w14:val="none"/>
        </w:rPr>
        <w:t>How are access to coaching and its benefits distributed between different groups of workers?</w:t>
      </w:r>
    </w:p>
    <w:p w14:paraId="5DAC4A72" w14:textId="77777777" w:rsidR="008132F9" w:rsidRPr="00121EC2" w:rsidRDefault="008132F9" w:rsidP="008132F9">
      <w:pPr>
        <w:numPr>
          <w:ilvl w:val="0"/>
          <w:numId w:val="1"/>
        </w:num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kern w:val="0"/>
          <w:lang w:eastAsia="en-GB"/>
          <w14:ligatures w14:val="none"/>
        </w:rPr>
        <w:t>What structural, ethical and evidential limitations constrain claims that coaching contributes to sustainable development?</w:t>
      </w:r>
    </w:p>
    <w:p w14:paraId="35B0ED21"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kern w:val="0"/>
          <w:lang w:eastAsia="en-GB"/>
          <w14:ligatures w14:val="none"/>
        </w:rPr>
        <w:t xml:space="preserve">The study focuses on professionally delivered workplace, business, executive and leadership coaching for adults in organisational or employment settings. Managerial </w:t>
      </w:r>
      <w:r w:rsidRPr="00121EC2">
        <w:rPr>
          <w:rFonts w:eastAsia="Times New Roman" w:cs="Times New Roman"/>
          <w:kern w:val="0"/>
          <w:lang w:eastAsia="en-GB"/>
          <w14:ligatures w14:val="none"/>
        </w:rPr>
        <w:lastRenderedPageBreak/>
        <w:t>coaching and leader-as-coach activity are included only whe</w:t>
      </w:r>
      <w:r>
        <w:rPr>
          <w:rFonts w:eastAsia="Times New Roman" w:cs="Times New Roman"/>
          <w:kern w:val="0"/>
          <w:lang w:eastAsia="en-GB"/>
          <w14:ligatures w14:val="none"/>
        </w:rPr>
        <w:t>n</w:t>
      </w:r>
      <w:r w:rsidRPr="00121EC2">
        <w:rPr>
          <w:rFonts w:eastAsia="Times New Roman" w:cs="Times New Roman"/>
          <w:kern w:val="0"/>
          <w:lang w:eastAsia="en-GB"/>
          <w14:ligatures w14:val="none"/>
        </w:rPr>
        <w:t xml:space="preserve"> they can be distinguished from instruction, appraisal, mentoring or routine performance management. Sports coaching, psychotherapy, school-based instructional coaching and general life coaching without a clear employment relationship are excluded. This boundary is necessary because treating substantially different practices as the same intervention weakens comparison and causal inference.</w:t>
      </w:r>
    </w:p>
    <w:p w14:paraId="5F85CC2D" w14:textId="77777777" w:rsidR="008132F9" w:rsidRPr="000E14B8" w:rsidRDefault="008132F9" w:rsidP="008132F9">
      <w:p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kern w:val="0"/>
          <w:lang w:eastAsia="en-GB"/>
          <w14:ligatures w14:val="none"/>
        </w:rPr>
        <w:t xml:space="preserve">The argument developed is that professional workplace coaching makes a plausible and evidence-based contribution to selected aspects of SDG 4 and SDG 8, particularly through reflective learning, self-regulation, behavioural development, leadership capability and individual work performance. </w:t>
      </w:r>
      <w:r>
        <w:rPr>
          <w:rFonts w:eastAsia="Times New Roman" w:cs="Times New Roman"/>
          <w:kern w:val="0"/>
          <w:lang w:eastAsia="en-GB"/>
          <w14:ligatures w14:val="none"/>
        </w:rPr>
        <w:t>However, i</w:t>
      </w:r>
      <w:r w:rsidRPr="00121EC2">
        <w:rPr>
          <w:rFonts w:eastAsia="Times New Roman" w:cs="Times New Roman"/>
          <w:kern w:val="0"/>
          <w:lang w:eastAsia="en-GB"/>
          <w14:ligatures w14:val="none"/>
        </w:rPr>
        <w:t>ts contribution is conditional and unevenly distributed, with the strongest evidence concentrated at</w:t>
      </w:r>
      <w:r>
        <w:rPr>
          <w:rFonts w:eastAsia="Times New Roman" w:cs="Times New Roman"/>
          <w:kern w:val="0"/>
          <w:lang w:eastAsia="en-GB"/>
          <w14:ligatures w14:val="none"/>
        </w:rPr>
        <w:t xml:space="preserve"> the</w:t>
      </w:r>
      <w:r w:rsidRPr="00121EC2">
        <w:rPr>
          <w:rFonts w:eastAsia="Times New Roman" w:cs="Times New Roman"/>
          <w:kern w:val="0"/>
          <w:lang w:eastAsia="en-GB"/>
          <w14:ligatures w14:val="none"/>
        </w:rPr>
        <w:t xml:space="preserve"> individual level. Much weaker evidence exists for equitable access, organisational reform, job security, fair income, labour rights or economy-wide development. Coaching is therefore better understood as a potentially valuable enabling intervention within supportive educational and organisational systems than as an independent solution to educational inequality, poor-quality employment or structural organisational failure.</w:t>
      </w: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CCCC"/>
        <w:tblLook w:val="0000" w:firstRow="0" w:lastRow="0" w:firstColumn="0" w:lastColumn="0" w:noHBand="0" w:noVBand="0"/>
      </w:tblPr>
      <w:tblGrid>
        <w:gridCol w:w="9067"/>
      </w:tblGrid>
      <w:tr w:rsidR="008132F9" w:rsidRPr="0019638E" w14:paraId="5593A54C" w14:textId="77777777" w:rsidTr="00925C7C">
        <w:trPr>
          <w:trHeight w:val="305"/>
        </w:trPr>
        <w:tc>
          <w:tcPr>
            <w:tcW w:w="9067" w:type="dxa"/>
            <w:tcBorders>
              <w:top w:val="single" w:sz="4" w:space="0" w:color="auto"/>
              <w:left w:val="single" w:sz="4" w:space="0" w:color="auto"/>
              <w:bottom w:val="single" w:sz="4" w:space="0" w:color="auto"/>
              <w:right w:val="single" w:sz="4" w:space="0" w:color="auto"/>
            </w:tcBorders>
            <w:shd w:val="clear" w:color="auto" w:fill="CCCCCC"/>
          </w:tcPr>
          <w:p w14:paraId="2AF6B53D" w14:textId="77777777" w:rsidR="008132F9" w:rsidRPr="0019638E" w:rsidRDefault="008132F9" w:rsidP="00925C7C">
            <w:pPr>
              <w:pStyle w:val="ListParagraph"/>
              <w:numPr>
                <w:ilvl w:val="0"/>
                <w:numId w:val="3"/>
              </w:numPr>
              <w:snapToGrid w:val="0"/>
              <w:spacing w:after="0" w:line="360" w:lineRule="auto"/>
              <w:rPr>
                <w:rFonts w:eastAsiaTheme="majorEastAsia" w:cs="Segoe UI"/>
                <w:b/>
                <w:bCs/>
                <w:color w:val="000000" w:themeColor="text1"/>
              </w:rPr>
            </w:pPr>
            <w:r w:rsidRPr="00AD3D02">
              <w:rPr>
                <w:rFonts w:eastAsia="Times New Roman" w:cs="Times New Roman"/>
                <w:b/>
                <w:bCs/>
                <w:kern w:val="0"/>
                <w:lang w:eastAsia="en-GB"/>
                <w14:ligatures w14:val="none"/>
              </w:rPr>
              <w:t>Methodology</w:t>
            </w:r>
          </w:p>
        </w:tc>
      </w:tr>
    </w:tbl>
    <w:p w14:paraId="1C394108" w14:textId="77777777" w:rsidR="008132F9" w:rsidRPr="00AD3D02" w:rsidRDefault="008132F9" w:rsidP="008132F9">
      <w:pPr>
        <w:spacing w:before="100" w:beforeAutospacing="1" w:after="100" w:afterAutospacing="1" w:line="360" w:lineRule="auto"/>
        <w:outlineLvl w:val="2"/>
        <w:rPr>
          <w:rFonts w:eastAsia="Times New Roman" w:cs="Times New Roman"/>
          <w:b/>
          <w:bCs/>
          <w:kern w:val="0"/>
          <w:lang w:eastAsia="en-GB"/>
          <w14:ligatures w14:val="none"/>
        </w:rPr>
      </w:pPr>
      <w:r w:rsidRPr="00AD3D02">
        <w:rPr>
          <w:rFonts w:eastAsia="Times New Roman" w:cs="Times New Roman"/>
          <w:b/>
          <w:bCs/>
          <w:kern w:val="0"/>
          <w:lang w:eastAsia="en-GB"/>
          <w14:ligatures w14:val="none"/>
        </w:rPr>
        <w:t>2.1 Research design</w:t>
      </w:r>
    </w:p>
    <w:p w14:paraId="5B80A360" w14:textId="77777777" w:rsidR="008132F9" w:rsidRPr="00AD3D02" w:rsidRDefault="008132F9" w:rsidP="008132F9">
      <w:pPr>
        <w:spacing w:before="100" w:beforeAutospacing="1" w:after="100" w:afterAutospacing="1" w:line="360" w:lineRule="auto"/>
        <w:rPr>
          <w:rFonts w:eastAsia="Times New Roman" w:cs="Times New Roman"/>
          <w:kern w:val="0"/>
          <w:lang w:eastAsia="en-GB"/>
          <w14:ligatures w14:val="none"/>
        </w:rPr>
      </w:pPr>
      <w:r>
        <w:rPr>
          <w:rFonts w:eastAsia="Times New Roman" w:cs="Times New Roman"/>
          <w:kern w:val="0"/>
          <w:lang w:eastAsia="en-GB"/>
          <w14:ligatures w14:val="none"/>
        </w:rPr>
        <w:t>This study adopted a structured critical review of secondary qualitative and quantitative evidence. A literature review can serve as a research method when the processes of searching, selecting, appraising and synthesising evidence are sufficiently transparent (Snyder, 2019). A critical review design was appropriate because the research question required integrating several bodies of knowledge: coaching effectiveness research, qualitative and critical scholarship on power and access, professional industry data, evaluation theory, and evidence concerning SDG 4 and SDG 8. The purpose was not to calculate a new pooled effect size, but to evaluate the strength and limits of the causal argument linking coaching to sustainable development outcomes.</w:t>
      </w:r>
    </w:p>
    <w:p w14:paraId="7108810C" w14:textId="77777777" w:rsidR="008132F9" w:rsidRPr="00AD3D02" w:rsidRDefault="008132F9" w:rsidP="008132F9">
      <w:pPr>
        <w:spacing w:before="100" w:beforeAutospacing="1" w:after="100" w:afterAutospacing="1" w:line="360" w:lineRule="auto"/>
        <w:rPr>
          <w:rFonts w:eastAsia="Times New Roman" w:cs="Times New Roman"/>
          <w:kern w:val="0"/>
          <w:lang w:eastAsia="en-GB"/>
          <w14:ligatures w14:val="none"/>
        </w:rPr>
      </w:pPr>
      <w:r w:rsidRPr="00AD3D02">
        <w:rPr>
          <w:rFonts w:eastAsia="Times New Roman" w:cs="Times New Roman"/>
          <w:kern w:val="0"/>
          <w:lang w:eastAsia="en-GB"/>
          <w14:ligatures w14:val="none"/>
        </w:rPr>
        <w:t>The review was structured but not presented as a fully systematic review. Its aim was to identify and critically synthesise the most relevant evidence rather than</w:t>
      </w:r>
      <w:r>
        <w:rPr>
          <w:rFonts w:eastAsia="Times New Roman" w:cs="Times New Roman"/>
          <w:kern w:val="0"/>
          <w:lang w:eastAsia="en-GB"/>
          <w14:ligatures w14:val="none"/>
        </w:rPr>
        <w:t xml:space="preserve"> to</w:t>
      </w:r>
      <w:r w:rsidRPr="00AD3D02">
        <w:rPr>
          <w:rFonts w:eastAsia="Times New Roman" w:cs="Times New Roman"/>
          <w:kern w:val="0"/>
          <w:lang w:eastAsia="en-GB"/>
          <w14:ligatures w14:val="none"/>
        </w:rPr>
        <w:t xml:space="preserve"> claim </w:t>
      </w:r>
      <w:r w:rsidRPr="00AD3D02">
        <w:rPr>
          <w:rFonts w:eastAsia="Times New Roman" w:cs="Times New Roman"/>
          <w:kern w:val="0"/>
          <w:lang w:eastAsia="en-GB"/>
          <w14:ligatures w14:val="none"/>
        </w:rPr>
        <w:lastRenderedPageBreak/>
        <w:t xml:space="preserve">exhaustive retrieval of every publication. This distinction is important because critical reviews can generate conceptual insight and new interpretations, but their selection processes must remain </w:t>
      </w:r>
      <w:r>
        <w:rPr>
          <w:rFonts w:eastAsia="Times New Roman" w:cs="Times New Roman"/>
          <w:kern w:val="0"/>
          <w:lang w:eastAsia="en-GB"/>
          <w14:ligatures w14:val="none"/>
        </w:rPr>
        <w:t>transparent</w:t>
      </w:r>
      <w:r w:rsidRPr="00AD3D02">
        <w:rPr>
          <w:rFonts w:eastAsia="Times New Roman" w:cs="Times New Roman"/>
          <w:kern w:val="0"/>
          <w:lang w:eastAsia="en-GB"/>
          <w14:ligatures w14:val="none"/>
        </w:rPr>
        <w:t xml:space="preserve"> and their limitations acknowledged (Grant and Booth, 2009).</w:t>
      </w:r>
    </w:p>
    <w:p w14:paraId="6E4BAE21" w14:textId="77777777" w:rsidR="008132F9" w:rsidRPr="00AD3D02" w:rsidRDefault="008132F9" w:rsidP="008132F9">
      <w:pPr>
        <w:spacing w:before="100" w:beforeAutospacing="1" w:after="100" w:afterAutospacing="1" w:line="360" w:lineRule="auto"/>
        <w:outlineLvl w:val="2"/>
        <w:rPr>
          <w:rFonts w:eastAsia="Times New Roman" w:cs="Times New Roman"/>
          <w:b/>
          <w:bCs/>
          <w:kern w:val="0"/>
          <w:lang w:eastAsia="en-GB"/>
          <w14:ligatures w14:val="none"/>
        </w:rPr>
      </w:pPr>
      <w:r w:rsidRPr="00AD3D02">
        <w:rPr>
          <w:rFonts w:eastAsia="Times New Roman" w:cs="Times New Roman"/>
          <w:b/>
          <w:bCs/>
          <w:kern w:val="0"/>
          <w:lang w:eastAsia="en-GB"/>
          <w14:ligatures w14:val="none"/>
        </w:rPr>
        <w:t>2.2 Search strategy and source selection</w:t>
      </w:r>
    </w:p>
    <w:p w14:paraId="68642318" w14:textId="77777777" w:rsidR="008132F9" w:rsidRPr="00AD3D02" w:rsidRDefault="008132F9" w:rsidP="008132F9">
      <w:pPr>
        <w:spacing w:before="100" w:beforeAutospacing="1" w:after="100" w:afterAutospacing="1" w:line="360" w:lineRule="auto"/>
        <w:rPr>
          <w:rFonts w:eastAsia="Times New Roman" w:cs="Times New Roman"/>
          <w:kern w:val="0"/>
          <w:lang w:eastAsia="en-GB"/>
          <w14:ligatures w14:val="none"/>
        </w:rPr>
      </w:pPr>
      <w:r w:rsidRPr="00AD3D02">
        <w:rPr>
          <w:rFonts w:eastAsia="Times New Roman" w:cs="Times New Roman"/>
          <w:kern w:val="0"/>
          <w:lang w:eastAsia="en-GB"/>
          <w14:ligatures w14:val="none"/>
        </w:rPr>
        <w:t>Evidence was identified through searches of</w:t>
      </w:r>
      <w:r>
        <w:rPr>
          <w:rFonts w:eastAsia="Times New Roman" w:cs="Times New Roman"/>
          <w:kern w:val="0"/>
          <w:lang w:eastAsia="en-GB"/>
          <w14:ligatures w14:val="none"/>
        </w:rPr>
        <w:t xml:space="preserve"> </w:t>
      </w:r>
      <w:r w:rsidRPr="00AD3D02">
        <w:rPr>
          <w:rFonts w:eastAsia="Times New Roman" w:cs="Times New Roman"/>
          <w:kern w:val="0"/>
          <w:lang w:eastAsia="en-GB"/>
          <w14:ligatures w14:val="none"/>
        </w:rPr>
        <w:t>Google Scholar, reference</w:t>
      </w:r>
      <w:r>
        <w:rPr>
          <w:rFonts w:eastAsia="Times New Roman" w:cs="Times New Roman"/>
          <w:kern w:val="0"/>
          <w:lang w:eastAsia="en-GB"/>
          <w14:ligatures w14:val="none"/>
        </w:rPr>
        <w:t xml:space="preserve"> </w:t>
      </w:r>
      <w:r w:rsidRPr="00AD3D02">
        <w:rPr>
          <w:rFonts w:eastAsia="Times New Roman" w:cs="Times New Roman"/>
          <w:kern w:val="0"/>
          <w:lang w:eastAsia="en-GB"/>
          <w14:ligatures w14:val="none"/>
        </w:rPr>
        <w:t>list search</w:t>
      </w:r>
      <w:r>
        <w:rPr>
          <w:rFonts w:eastAsia="Times New Roman" w:cs="Times New Roman"/>
          <w:kern w:val="0"/>
          <w:lang w:eastAsia="en-GB"/>
          <w14:ligatures w14:val="none"/>
        </w:rPr>
        <w:t>es</w:t>
      </w:r>
      <w:r w:rsidRPr="00AD3D02">
        <w:rPr>
          <w:rFonts w:eastAsia="Times New Roman" w:cs="Times New Roman"/>
          <w:kern w:val="0"/>
          <w:lang w:eastAsia="en-GB"/>
          <w14:ligatures w14:val="none"/>
        </w:rPr>
        <w:t xml:space="preserve"> and forward citation tracking. Searches were conducted between 1 August 2026 and 19 </w:t>
      </w:r>
      <w:r>
        <w:rPr>
          <w:rFonts w:eastAsia="Times New Roman" w:cs="Times New Roman"/>
          <w:kern w:val="0"/>
          <w:lang w:eastAsia="en-GB"/>
          <w14:ligatures w14:val="none"/>
        </w:rPr>
        <w:t>A</w:t>
      </w:r>
      <w:r w:rsidRPr="00AD3D02">
        <w:rPr>
          <w:rFonts w:eastAsia="Times New Roman" w:cs="Times New Roman"/>
          <w:kern w:val="0"/>
          <w:lang w:eastAsia="en-GB"/>
          <w14:ligatures w14:val="none"/>
        </w:rPr>
        <w:t>ugust 2026.  Search terms combined variants of:</w:t>
      </w:r>
    </w:p>
    <w:p w14:paraId="64A33A57" w14:textId="77777777" w:rsidR="008132F9" w:rsidRPr="00AD3D02" w:rsidRDefault="008132F9" w:rsidP="008132F9">
      <w:pPr>
        <w:numPr>
          <w:ilvl w:val="0"/>
          <w:numId w:val="6"/>
        </w:numPr>
        <w:spacing w:before="100" w:beforeAutospacing="1" w:after="100" w:afterAutospacing="1" w:line="360" w:lineRule="auto"/>
        <w:rPr>
          <w:rFonts w:eastAsia="Times New Roman" w:cs="Times New Roman"/>
          <w:kern w:val="0"/>
          <w:lang w:eastAsia="en-GB"/>
          <w14:ligatures w14:val="none"/>
        </w:rPr>
      </w:pPr>
      <w:r w:rsidRPr="00AD3D02">
        <w:rPr>
          <w:rFonts w:eastAsia="Times New Roman" w:cs="Times New Roman"/>
          <w:kern w:val="0"/>
          <w:lang w:eastAsia="en-GB"/>
          <w14:ligatures w14:val="none"/>
        </w:rPr>
        <w:t>“</w:t>
      </w:r>
      <w:proofErr w:type="gramStart"/>
      <w:r w:rsidRPr="00AD3D02">
        <w:rPr>
          <w:rFonts w:eastAsia="Times New Roman" w:cs="Times New Roman"/>
          <w:kern w:val="0"/>
          <w:lang w:eastAsia="en-GB"/>
          <w14:ligatures w14:val="none"/>
        </w:rPr>
        <w:t>workplace</w:t>
      </w:r>
      <w:proofErr w:type="gramEnd"/>
      <w:r w:rsidRPr="00AD3D02">
        <w:rPr>
          <w:rFonts w:eastAsia="Times New Roman" w:cs="Times New Roman"/>
          <w:kern w:val="0"/>
          <w:lang w:eastAsia="en-GB"/>
          <w14:ligatures w14:val="none"/>
        </w:rPr>
        <w:t xml:space="preserve"> coaching”, “executive coaching”, “business coaching”, “leadership coaching” and “manager as coach”;</w:t>
      </w:r>
    </w:p>
    <w:p w14:paraId="650207A6" w14:textId="77777777" w:rsidR="008132F9" w:rsidRPr="00AD3D02" w:rsidRDefault="008132F9" w:rsidP="008132F9">
      <w:pPr>
        <w:numPr>
          <w:ilvl w:val="0"/>
          <w:numId w:val="6"/>
        </w:numPr>
        <w:spacing w:before="100" w:beforeAutospacing="1" w:after="100" w:afterAutospacing="1" w:line="360" w:lineRule="auto"/>
        <w:rPr>
          <w:rFonts w:eastAsia="Times New Roman" w:cs="Times New Roman"/>
          <w:kern w:val="0"/>
          <w:lang w:eastAsia="en-GB"/>
          <w14:ligatures w14:val="none"/>
        </w:rPr>
      </w:pPr>
      <w:r w:rsidRPr="00AD3D02">
        <w:rPr>
          <w:rFonts w:eastAsia="Times New Roman" w:cs="Times New Roman"/>
          <w:kern w:val="0"/>
          <w:lang w:eastAsia="en-GB"/>
          <w14:ligatures w14:val="none"/>
        </w:rPr>
        <w:t>“effectiveness”, “performance”, “learning”, “skills”, “wellbeing”, “employment”, “productivity” and “negative effects”;</w:t>
      </w:r>
    </w:p>
    <w:p w14:paraId="19EC68AA" w14:textId="77777777" w:rsidR="008132F9" w:rsidRPr="00AD3D02" w:rsidRDefault="008132F9" w:rsidP="008132F9">
      <w:pPr>
        <w:numPr>
          <w:ilvl w:val="0"/>
          <w:numId w:val="6"/>
        </w:numPr>
        <w:spacing w:before="100" w:beforeAutospacing="1" w:after="100" w:afterAutospacing="1" w:line="360" w:lineRule="auto"/>
        <w:rPr>
          <w:rFonts w:eastAsia="Times New Roman" w:cs="Times New Roman"/>
          <w:kern w:val="0"/>
          <w:lang w:eastAsia="en-GB"/>
          <w14:ligatures w14:val="none"/>
        </w:rPr>
      </w:pPr>
      <w:r w:rsidRPr="00AD3D02">
        <w:rPr>
          <w:rFonts w:eastAsia="Times New Roman" w:cs="Times New Roman"/>
          <w:kern w:val="0"/>
          <w:lang w:eastAsia="en-GB"/>
          <w14:ligatures w14:val="none"/>
        </w:rPr>
        <w:t>“access”, “inequality”, “power”, “ethics”, “coaching culture” and “organisational change”; and</w:t>
      </w:r>
    </w:p>
    <w:p w14:paraId="1D77F0D1" w14:textId="77777777" w:rsidR="008132F9" w:rsidRPr="00AD3D02" w:rsidRDefault="008132F9" w:rsidP="008132F9">
      <w:pPr>
        <w:numPr>
          <w:ilvl w:val="0"/>
          <w:numId w:val="6"/>
        </w:numPr>
        <w:spacing w:before="100" w:beforeAutospacing="1" w:after="100" w:afterAutospacing="1" w:line="360" w:lineRule="auto"/>
        <w:rPr>
          <w:rFonts w:eastAsia="Times New Roman" w:cs="Times New Roman"/>
          <w:kern w:val="0"/>
          <w:lang w:eastAsia="en-GB"/>
          <w14:ligatures w14:val="none"/>
        </w:rPr>
      </w:pPr>
      <w:r w:rsidRPr="00AD3D02">
        <w:rPr>
          <w:rFonts w:eastAsia="Times New Roman" w:cs="Times New Roman"/>
          <w:kern w:val="0"/>
          <w:lang w:eastAsia="en-GB"/>
          <w14:ligatures w14:val="none"/>
        </w:rPr>
        <w:t>“SDG 4”, “quality education”, “lifelong learning”, “SDG 8”, “decent work” and “economic growth”.</w:t>
      </w:r>
    </w:p>
    <w:p w14:paraId="1D5E381A" w14:textId="77777777" w:rsidR="008132F9" w:rsidRPr="00AD3D02" w:rsidRDefault="008132F9" w:rsidP="008132F9">
      <w:pPr>
        <w:spacing w:before="100" w:beforeAutospacing="1" w:after="100" w:afterAutospacing="1" w:line="360" w:lineRule="auto"/>
        <w:rPr>
          <w:rFonts w:eastAsia="Times New Roman" w:cs="Times New Roman"/>
          <w:kern w:val="0"/>
          <w:lang w:eastAsia="en-GB"/>
          <w14:ligatures w14:val="none"/>
        </w:rPr>
      </w:pPr>
      <w:r w:rsidRPr="00AD3D02">
        <w:rPr>
          <w:rFonts w:eastAsia="Times New Roman" w:cs="Times New Roman"/>
          <w:kern w:val="0"/>
          <w:lang w:eastAsia="en-GB"/>
          <w14:ligatures w14:val="none"/>
        </w:rPr>
        <w:t>No rigid lower publication date was applied because the analysis required established work on contribution analysis, realist evaluation and the conceptual boundaries of coaching. Nevertheless, priority was given to recent research and the latest available industry evidence. Older publications were retained where they were seminal, provided important conceptual foundations, or addressed questions not adequately covered by newer research.</w:t>
      </w:r>
    </w:p>
    <w:p w14:paraId="429AFD6F" w14:textId="77777777" w:rsidR="008132F9" w:rsidRPr="00AD3D02" w:rsidRDefault="008132F9" w:rsidP="008132F9">
      <w:pPr>
        <w:spacing w:before="100" w:beforeAutospacing="1" w:after="100" w:afterAutospacing="1" w:line="360" w:lineRule="auto"/>
        <w:rPr>
          <w:rFonts w:eastAsia="Times New Roman" w:cs="Times New Roman"/>
          <w:kern w:val="0"/>
          <w:lang w:eastAsia="en-GB"/>
          <w14:ligatures w14:val="none"/>
        </w:rPr>
      </w:pPr>
      <w:r w:rsidRPr="00AD3D02">
        <w:rPr>
          <w:rFonts w:eastAsia="Times New Roman" w:cs="Times New Roman"/>
          <w:kern w:val="0"/>
          <w:lang w:eastAsia="en-GB"/>
          <w14:ligatures w14:val="none"/>
        </w:rPr>
        <w:t>Sources were included when they addressed professionally delivered coaching for adults in workplace, organisational or employment settings; reported outcomes relevant to learning, capability, wellbeing, performance or work; examined access, power, ethics or adverse effects; or provided authoritative definitions and data relating to SDG 4, SDG 8 and decent work. Meta-analyses, systematic and integrative reviews, primary qualitative and quantitative studies, and authoritative institutional or professional reports were eligible.</w:t>
      </w:r>
    </w:p>
    <w:p w14:paraId="4EF969CF" w14:textId="77777777" w:rsidR="008132F9" w:rsidRPr="00AD3D02" w:rsidRDefault="008132F9" w:rsidP="008132F9">
      <w:pPr>
        <w:spacing w:before="100" w:beforeAutospacing="1" w:after="100" w:afterAutospacing="1" w:line="360" w:lineRule="auto"/>
        <w:rPr>
          <w:rFonts w:eastAsia="Times New Roman" w:cs="Times New Roman"/>
          <w:kern w:val="0"/>
          <w:lang w:eastAsia="en-GB"/>
          <w14:ligatures w14:val="none"/>
        </w:rPr>
      </w:pPr>
      <w:r w:rsidRPr="00AD3D02">
        <w:rPr>
          <w:rFonts w:eastAsia="Times New Roman" w:cs="Times New Roman"/>
          <w:kern w:val="0"/>
          <w:lang w:eastAsia="en-GB"/>
          <w14:ligatures w14:val="none"/>
        </w:rPr>
        <w:lastRenderedPageBreak/>
        <w:t xml:space="preserve">Sports coaching, psychotherapy, school-based instructional coaching and general life coaching without a clear employment connection were excluded. Sources that were solely promotional, lacked an identifiable evidential basis, or did not distinguish coaching from mentoring, training or routine performance management were not relied upon as evidence of effectiveness. </w:t>
      </w:r>
    </w:p>
    <w:p w14:paraId="515D05E9" w14:textId="77777777" w:rsidR="008132F9" w:rsidRPr="00AD3D02" w:rsidRDefault="008132F9" w:rsidP="008132F9">
      <w:pPr>
        <w:spacing w:before="100" w:beforeAutospacing="1" w:after="100" w:afterAutospacing="1" w:line="360" w:lineRule="auto"/>
        <w:outlineLvl w:val="2"/>
        <w:rPr>
          <w:rFonts w:eastAsia="Times New Roman" w:cs="Times New Roman"/>
          <w:b/>
          <w:bCs/>
          <w:kern w:val="0"/>
          <w:lang w:eastAsia="en-GB"/>
          <w14:ligatures w14:val="none"/>
        </w:rPr>
      </w:pPr>
      <w:r w:rsidRPr="00AD3D02">
        <w:rPr>
          <w:rFonts w:eastAsia="Times New Roman" w:cs="Times New Roman"/>
          <w:b/>
          <w:bCs/>
          <w:kern w:val="0"/>
          <w:lang w:eastAsia="en-GB"/>
          <w14:ligatures w14:val="none"/>
        </w:rPr>
        <w:t>2.3 Appraisal and analytical synthesis</w:t>
      </w:r>
    </w:p>
    <w:p w14:paraId="78B8A212" w14:textId="07BA68B8" w:rsidR="008132F9" w:rsidRPr="00AD3D02" w:rsidRDefault="008132F9" w:rsidP="008132F9">
      <w:pPr>
        <w:spacing w:before="100" w:beforeAutospacing="1" w:after="100" w:afterAutospacing="1" w:line="360" w:lineRule="auto"/>
        <w:rPr>
          <w:rFonts w:eastAsia="Times New Roman" w:cs="Times New Roman"/>
          <w:kern w:val="0"/>
          <w:lang w:eastAsia="en-GB"/>
          <w14:ligatures w14:val="none"/>
        </w:rPr>
      </w:pPr>
      <w:r w:rsidRPr="00AD3D02">
        <w:rPr>
          <w:rFonts w:eastAsia="Times New Roman" w:cs="Times New Roman"/>
          <w:kern w:val="0"/>
          <w:lang w:eastAsia="en-GB"/>
          <w14:ligatures w14:val="none"/>
        </w:rPr>
        <w:t xml:space="preserve">Sources were critically appraised rather than assigned a single numerical quality score. </w:t>
      </w:r>
      <w:r w:rsidR="00865519">
        <w:rPr>
          <w:rFonts w:eastAsia="Times New Roman" w:cs="Times New Roman"/>
          <w:kern w:val="0"/>
          <w:lang w:eastAsia="en-GB"/>
          <w14:ligatures w14:val="none"/>
        </w:rPr>
        <w:t>The a</w:t>
      </w:r>
      <w:r w:rsidRPr="00AD3D02">
        <w:rPr>
          <w:rFonts w:eastAsia="Times New Roman" w:cs="Times New Roman"/>
          <w:kern w:val="0"/>
          <w:lang w:eastAsia="en-GB"/>
          <w14:ligatures w14:val="none"/>
        </w:rPr>
        <w:t>ppraisal considered relevance to the research question, research design, sample and setting, transparency of the intervention, appropriateness of outcome measures, use of comparison groups, reliance on self-report, duration of follow-up, independence of the source</w:t>
      </w:r>
      <w:r w:rsidR="00865519">
        <w:rPr>
          <w:rFonts w:eastAsia="Times New Roman" w:cs="Times New Roman"/>
          <w:kern w:val="0"/>
          <w:lang w:eastAsia="en-GB"/>
          <w14:ligatures w14:val="none"/>
        </w:rPr>
        <w:t>,</w:t>
      </w:r>
      <w:r w:rsidRPr="00AD3D02">
        <w:rPr>
          <w:rFonts w:eastAsia="Times New Roman" w:cs="Times New Roman"/>
          <w:kern w:val="0"/>
          <w:lang w:eastAsia="en-GB"/>
          <w14:ligatures w14:val="none"/>
        </w:rPr>
        <w:t xml:space="preserve"> and acknowledgement of limitations. Meta-analyses and randomised controlled evidence were given greater weight when assessing effectiveness and attribution. Qualitative and critical studies were used to examine mechanisms, organisational context, power</w:t>
      </w:r>
      <w:r w:rsidR="00865519">
        <w:rPr>
          <w:rFonts w:eastAsia="Times New Roman" w:cs="Times New Roman"/>
          <w:kern w:val="0"/>
          <w:lang w:eastAsia="en-GB"/>
          <w14:ligatures w14:val="none"/>
        </w:rPr>
        <w:t>,</w:t>
      </w:r>
      <w:r w:rsidRPr="00AD3D02">
        <w:rPr>
          <w:rFonts w:eastAsia="Times New Roman" w:cs="Times New Roman"/>
          <w:kern w:val="0"/>
          <w:lang w:eastAsia="en-GB"/>
          <w14:ligatures w14:val="none"/>
        </w:rPr>
        <w:t xml:space="preserve"> and unintended consequences. Professional</w:t>
      </w:r>
      <w:r>
        <w:rPr>
          <w:rFonts w:eastAsia="Times New Roman" w:cs="Times New Roman"/>
          <w:kern w:val="0"/>
          <w:lang w:eastAsia="en-GB"/>
          <w14:ligatures w14:val="none"/>
        </w:rPr>
        <w:t xml:space="preserve"> </w:t>
      </w:r>
      <w:r w:rsidRPr="00AD3D02">
        <w:rPr>
          <w:rFonts w:eastAsia="Times New Roman" w:cs="Times New Roman"/>
          <w:kern w:val="0"/>
          <w:lang w:eastAsia="en-GB"/>
          <w14:ligatures w14:val="none"/>
        </w:rPr>
        <w:t>body evidence was considered appropriate for industry scale and characteristics but was not treated as independent proof of impact.</w:t>
      </w:r>
    </w:p>
    <w:p w14:paraId="5E2E71FE" w14:textId="77777777" w:rsidR="008132F9" w:rsidRPr="00AD3D02" w:rsidRDefault="008132F9" w:rsidP="008132F9">
      <w:pPr>
        <w:spacing w:before="100" w:beforeAutospacing="1" w:after="100" w:afterAutospacing="1" w:line="360" w:lineRule="auto"/>
        <w:rPr>
          <w:rFonts w:eastAsia="Times New Roman" w:cs="Times New Roman"/>
          <w:kern w:val="0"/>
          <w:lang w:eastAsia="en-GB"/>
          <w14:ligatures w14:val="none"/>
        </w:rPr>
      </w:pPr>
      <w:r w:rsidRPr="00AD3D02">
        <w:rPr>
          <w:rFonts w:eastAsia="Times New Roman" w:cs="Times New Roman"/>
          <w:kern w:val="0"/>
          <w:lang w:eastAsia="en-GB"/>
          <w14:ligatures w14:val="none"/>
        </w:rPr>
        <w:t>The evidence was synthesised narratively because the included sources differed substantially in intervention, population, outcome and method</w:t>
      </w:r>
      <w:r>
        <w:rPr>
          <w:rFonts w:eastAsia="Times New Roman" w:cs="Times New Roman"/>
          <w:kern w:val="0"/>
          <w:lang w:eastAsia="en-GB"/>
          <w14:ligatures w14:val="none"/>
        </w:rPr>
        <w:t>ology</w:t>
      </w:r>
      <w:r w:rsidRPr="00AD3D02">
        <w:rPr>
          <w:rFonts w:eastAsia="Times New Roman" w:cs="Times New Roman"/>
          <w:kern w:val="0"/>
          <w:lang w:eastAsia="en-GB"/>
          <w14:ligatures w14:val="none"/>
        </w:rPr>
        <w:t>. Findings were first organised around the subsidiary research questions and relevant SDG targets. They were then mapped across micro-level individual outcomes, meso-level organisational outcomes and macro-level societal or economic claims.</w:t>
      </w:r>
    </w:p>
    <w:p w14:paraId="36D7F4DE" w14:textId="77777777" w:rsidR="008132F9" w:rsidRPr="00AD3D02" w:rsidRDefault="008132F9" w:rsidP="008132F9">
      <w:pPr>
        <w:spacing w:before="100" w:beforeAutospacing="1" w:after="100" w:afterAutospacing="1" w:line="360" w:lineRule="auto"/>
        <w:rPr>
          <w:rFonts w:eastAsia="Times New Roman" w:cs="Times New Roman"/>
          <w:kern w:val="0"/>
          <w:lang w:eastAsia="en-GB"/>
          <w14:ligatures w14:val="none"/>
        </w:rPr>
      </w:pPr>
      <w:r>
        <w:rPr>
          <w:rFonts w:eastAsia="Times New Roman" w:cs="Times New Roman"/>
          <w:kern w:val="0"/>
          <w:lang w:eastAsia="en-GB"/>
          <w14:ligatures w14:val="none"/>
        </w:rPr>
        <w:t xml:space="preserve">Contribution analysis provided the primary evaluative logic (Mayne, 2001; 2012). Rather than </w:t>
      </w:r>
      <w:proofErr w:type="gramStart"/>
      <w:r>
        <w:rPr>
          <w:rFonts w:eastAsia="Times New Roman" w:cs="Times New Roman"/>
          <w:kern w:val="0"/>
          <w:lang w:eastAsia="en-GB"/>
          <w14:ligatures w14:val="none"/>
        </w:rPr>
        <w:t>assuming that</w:t>
      </w:r>
      <w:proofErr w:type="gramEnd"/>
      <w:r>
        <w:rPr>
          <w:rFonts w:eastAsia="Times New Roman" w:cs="Times New Roman"/>
          <w:kern w:val="0"/>
          <w:lang w:eastAsia="en-GB"/>
          <w14:ligatures w14:val="none"/>
        </w:rPr>
        <w:t xml:space="preserve"> coaching alone caused progress towards an SDG, the analysis examined whether coaching was a credible component of a broader causal explanation. Each proposed contribution was assessed against effectiveness, equity, ethicality and power, organisational embeddedness, and evidential confidence. </w:t>
      </w:r>
      <w:proofErr w:type="gramStart"/>
      <w:r>
        <w:rPr>
          <w:rFonts w:eastAsia="Times New Roman" w:cs="Times New Roman"/>
          <w:kern w:val="0"/>
          <w:lang w:eastAsia="en-GB"/>
          <w14:ligatures w14:val="none"/>
        </w:rPr>
        <w:t>Particular attention</w:t>
      </w:r>
      <w:proofErr w:type="gramEnd"/>
      <w:r>
        <w:rPr>
          <w:rFonts w:eastAsia="Times New Roman" w:cs="Times New Roman"/>
          <w:kern w:val="0"/>
          <w:lang w:eastAsia="en-GB"/>
          <w14:ligatures w14:val="none"/>
        </w:rPr>
        <w:t xml:space="preserve"> was paid to contradictory evidence, missing causal links, and alternative explanations. This prevented individual-level outcomes from being presented automatically as evidence of organisational transformation or societal impact.</w:t>
      </w:r>
    </w:p>
    <w:p w14:paraId="15D9A917" w14:textId="77777777" w:rsidR="008132F9" w:rsidRPr="00AD3D02" w:rsidRDefault="008132F9" w:rsidP="008132F9">
      <w:pPr>
        <w:spacing w:before="100" w:beforeAutospacing="1" w:after="100" w:afterAutospacing="1" w:line="360" w:lineRule="auto"/>
        <w:outlineLvl w:val="2"/>
        <w:rPr>
          <w:rFonts w:eastAsia="Times New Roman" w:cs="Times New Roman"/>
          <w:b/>
          <w:bCs/>
          <w:kern w:val="0"/>
          <w:lang w:eastAsia="en-GB"/>
          <w14:ligatures w14:val="none"/>
        </w:rPr>
      </w:pPr>
      <w:r w:rsidRPr="00AD3D02">
        <w:rPr>
          <w:rFonts w:eastAsia="Times New Roman" w:cs="Times New Roman"/>
          <w:b/>
          <w:bCs/>
          <w:kern w:val="0"/>
          <w:lang w:eastAsia="en-GB"/>
          <w14:ligatures w14:val="none"/>
        </w:rPr>
        <w:lastRenderedPageBreak/>
        <w:t>2.4 Ethical considerations and limitations</w:t>
      </w:r>
    </w:p>
    <w:p w14:paraId="5A3892EC" w14:textId="77777777" w:rsidR="008132F9" w:rsidRPr="00AD3D02" w:rsidRDefault="008132F9" w:rsidP="008132F9">
      <w:pPr>
        <w:spacing w:before="100" w:beforeAutospacing="1" w:after="100" w:afterAutospacing="1" w:line="360" w:lineRule="auto"/>
        <w:rPr>
          <w:rFonts w:eastAsia="Times New Roman" w:cs="Times New Roman"/>
          <w:kern w:val="0"/>
          <w:lang w:eastAsia="en-GB"/>
          <w14:ligatures w14:val="none"/>
        </w:rPr>
      </w:pPr>
      <w:r w:rsidRPr="00AD3D02">
        <w:rPr>
          <w:rFonts w:eastAsia="Times New Roman" w:cs="Times New Roman"/>
          <w:kern w:val="0"/>
          <w:lang w:eastAsia="en-GB"/>
          <w14:ligatures w14:val="none"/>
        </w:rPr>
        <w:t>The study used publicly available secondary sources and did not involve research participants or confidential personal data. Ethical responsibility therefore centred on representing sources accurately, distinguishing evidence from inference, avoiding causal overstatement and recognising potential conflicts of interest in industry-sponsored material.</w:t>
      </w:r>
    </w:p>
    <w:p w14:paraId="47695115" w14:textId="77777777" w:rsidR="008132F9" w:rsidRPr="00AD3D02" w:rsidRDefault="008132F9" w:rsidP="008132F9">
      <w:pPr>
        <w:spacing w:before="100" w:beforeAutospacing="1" w:after="100" w:afterAutospacing="1" w:line="360" w:lineRule="auto"/>
        <w:rPr>
          <w:rFonts w:eastAsia="Times New Roman" w:cs="Times New Roman"/>
          <w:kern w:val="0"/>
          <w:lang w:eastAsia="en-GB"/>
          <w14:ligatures w14:val="none"/>
        </w:rPr>
      </w:pPr>
      <w:r w:rsidRPr="00AD3D02">
        <w:rPr>
          <w:rFonts w:eastAsia="Times New Roman" w:cs="Times New Roman"/>
          <w:kern w:val="0"/>
          <w:lang w:eastAsia="en-GB"/>
          <w14:ligatures w14:val="none"/>
        </w:rPr>
        <w:t>The researcher’s professional involvement in coaching created both insight and a risk of positive confirmation bias. This was addressed by including critical literature on power, inequality, adverse effects and the individualisation of structural problems, and by maintaining a distinction between coaching effectiveness and wider SDG contribution.</w:t>
      </w:r>
    </w:p>
    <w:p w14:paraId="2E587B4E" w14:textId="77777777" w:rsidR="008132F9" w:rsidRPr="00AD3D02" w:rsidRDefault="008132F9" w:rsidP="008132F9">
      <w:pPr>
        <w:spacing w:before="100" w:beforeAutospacing="1" w:after="100" w:afterAutospacing="1" w:line="360" w:lineRule="auto"/>
        <w:rPr>
          <w:rFonts w:eastAsia="Times New Roman" w:cs="Times New Roman"/>
          <w:kern w:val="0"/>
          <w:lang w:eastAsia="en-GB"/>
          <w14:ligatures w14:val="none"/>
        </w:rPr>
      </w:pPr>
      <w:r w:rsidRPr="00AD3D02">
        <w:rPr>
          <w:rFonts w:eastAsia="Times New Roman" w:cs="Times New Roman"/>
          <w:kern w:val="0"/>
          <w:lang w:eastAsia="en-GB"/>
          <w14:ligatures w14:val="none"/>
        </w:rPr>
        <w:t>The review nevertheless has limitations. It was conducted by a single researcher, was not independently double</w:t>
      </w:r>
      <w:r>
        <w:rPr>
          <w:rFonts w:eastAsia="Times New Roman" w:cs="Times New Roman"/>
          <w:kern w:val="0"/>
          <w:lang w:eastAsia="en-GB"/>
          <w14:ligatures w14:val="none"/>
        </w:rPr>
        <w:t>-screened,</w:t>
      </w:r>
      <w:r w:rsidRPr="00AD3D02">
        <w:rPr>
          <w:rFonts w:eastAsia="Times New Roman" w:cs="Times New Roman"/>
          <w:kern w:val="0"/>
          <w:lang w:eastAsia="en-GB"/>
          <w14:ligatures w14:val="none"/>
        </w:rPr>
        <w:t xml:space="preserve"> and cannot claim exhaustive coverage. Restriction to English-language and accessible material may have excluded relevant international evidence. Heterogeneity within coaching research also limits direct comparison, while publication and self-report biases may inflate apparent effects. These limitations reduce confidence in claims of attribution, particularly as the analysis moves from individual outcomes towards organisational, societal and macroeconomic effects.</w:t>
      </w:r>
    </w:p>
    <w:p w14:paraId="137F2FAA" w14:textId="77777777" w:rsidR="008132F9" w:rsidRPr="000E14B8" w:rsidRDefault="008132F9" w:rsidP="008132F9">
      <w:pPr>
        <w:spacing w:before="100" w:beforeAutospacing="1" w:after="100" w:afterAutospacing="1" w:line="360" w:lineRule="auto"/>
        <w:rPr>
          <w:rFonts w:eastAsia="Times New Roman" w:cs="Times New Roman"/>
          <w:kern w:val="0"/>
          <w:lang w:eastAsia="en-GB"/>
          <w14:ligatures w14:val="none"/>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CCCC"/>
        <w:tblLook w:val="0000" w:firstRow="0" w:lastRow="0" w:firstColumn="0" w:lastColumn="0" w:noHBand="0" w:noVBand="0"/>
      </w:tblPr>
      <w:tblGrid>
        <w:gridCol w:w="9067"/>
      </w:tblGrid>
      <w:tr w:rsidR="008132F9" w:rsidRPr="0019638E" w14:paraId="66932217" w14:textId="77777777" w:rsidTr="00925C7C">
        <w:trPr>
          <w:trHeight w:val="305"/>
        </w:trPr>
        <w:tc>
          <w:tcPr>
            <w:tcW w:w="9067" w:type="dxa"/>
            <w:tcBorders>
              <w:top w:val="single" w:sz="4" w:space="0" w:color="auto"/>
              <w:left w:val="single" w:sz="4" w:space="0" w:color="auto"/>
              <w:bottom w:val="single" w:sz="4" w:space="0" w:color="auto"/>
              <w:right w:val="single" w:sz="4" w:space="0" w:color="auto"/>
            </w:tcBorders>
            <w:shd w:val="clear" w:color="auto" w:fill="CCCCCC"/>
          </w:tcPr>
          <w:p w14:paraId="11543572" w14:textId="77777777" w:rsidR="008132F9" w:rsidRPr="0019638E" w:rsidRDefault="008132F9" w:rsidP="00925C7C">
            <w:pPr>
              <w:pStyle w:val="ListParagraph"/>
              <w:numPr>
                <w:ilvl w:val="0"/>
                <w:numId w:val="3"/>
              </w:numPr>
              <w:snapToGrid w:val="0"/>
              <w:spacing w:after="0" w:line="360" w:lineRule="auto"/>
              <w:rPr>
                <w:rFonts w:eastAsiaTheme="majorEastAsia" w:cs="Segoe UI"/>
                <w:b/>
                <w:bCs/>
                <w:color w:val="000000" w:themeColor="text1"/>
              </w:rPr>
            </w:pPr>
            <w:r w:rsidRPr="0019638E">
              <w:rPr>
                <w:rFonts w:eastAsia="Times New Roman" w:cs="Times New Roman"/>
                <w:b/>
                <w:bCs/>
                <w:color w:val="000000" w:themeColor="text1"/>
                <w:kern w:val="36"/>
                <w:lang w:eastAsia="en-GB"/>
                <w14:ligatures w14:val="none"/>
              </w:rPr>
              <w:t>Conceptual and Analytical Framework</w:t>
            </w:r>
          </w:p>
        </w:tc>
      </w:tr>
    </w:tbl>
    <w:p w14:paraId="358FB7BB" w14:textId="77777777" w:rsidR="008132F9" w:rsidRPr="00121EC2" w:rsidRDefault="008132F9" w:rsidP="008132F9">
      <w:pPr>
        <w:spacing w:before="100" w:beforeAutospacing="1" w:after="100" w:afterAutospacing="1" w:line="360" w:lineRule="auto"/>
        <w:outlineLvl w:val="2"/>
        <w:rPr>
          <w:rFonts w:eastAsia="Times New Roman" w:cs="Times New Roman"/>
          <w:b/>
          <w:bCs/>
          <w:kern w:val="0"/>
          <w:lang w:eastAsia="en-GB"/>
          <w14:ligatures w14:val="none"/>
        </w:rPr>
      </w:pPr>
      <w:r>
        <w:rPr>
          <w:rFonts w:eastAsia="Times New Roman" w:cs="Times New Roman"/>
          <w:b/>
          <w:bCs/>
          <w:kern w:val="0"/>
          <w:lang w:eastAsia="en-GB"/>
          <w14:ligatures w14:val="none"/>
        </w:rPr>
        <w:t>3</w:t>
      </w:r>
      <w:r w:rsidRPr="00121EC2">
        <w:rPr>
          <w:rFonts w:eastAsia="Times New Roman" w:cs="Times New Roman"/>
          <w:b/>
          <w:bCs/>
          <w:kern w:val="0"/>
          <w:lang w:eastAsia="en-GB"/>
          <w14:ligatures w14:val="none"/>
        </w:rPr>
        <w:t>.1 Defining professional workplace coaching</w:t>
      </w:r>
    </w:p>
    <w:p w14:paraId="65883F92"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kern w:val="0"/>
          <w:lang w:eastAsia="en-GB"/>
          <w14:ligatures w14:val="none"/>
        </w:rPr>
        <w:t xml:space="preserve">Coaching remains a contested and inconsistently bounded practice. The International Coaching Federation defines it as “partnering with clients in a thought-provoking and creative process that inspires them to maximize their personal and professional potential” (International Coaching Federation, n.d.). This </w:t>
      </w:r>
      <w:r>
        <w:rPr>
          <w:rFonts w:eastAsia="Times New Roman" w:cs="Times New Roman"/>
          <w:kern w:val="0"/>
          <w:lang w:eastAsia="en-GB"/>
          <w14:ligatures w14:val="none"/>
        </w:rPr>
        <w:t xml:space="preserve">definition </w:t>
      </w:r>
      <w:r w:rsidRPr="00121EC2">
        <w:rPr>
          <w:rFonts w:eastAsia="Times New Roman" w:cs="Times New Roman"/>
          <w:kern w:val="0"/>
          <w:lang w:eastAsia="en-GB"/>
          <w14:ligatures w14:val="none"/>
        </w:rPr>
        <w:t>foregrounds partnership and client agency, but is too broad for analytical purposes</w:t>
      </w:r>
      <w:r>
        <w:rPr>
          <w:rFonts w:eastAsia="Times New Roman" w:cs="Times New Roman"/>
          <w:kern w:val="0"/>
          <w:lang w:eastAsia="en-GB"/>
          <w14:ligatures w14:val="none"/>
        </w:rPr>
        <w:t>,</w:t>
      </w:r>
      <w:r w:rsidRPr="00121EC2">
        <w:rPr>
          <w:rFonts w:eastAsia="Times New Roman" w:cs="Times New Roman"/>
          <w:kern w:val="0"/>
          <w:lang w:eastAsia="en-GB"/>
          <w14:ligatures w14:val="none"/>
        </w:rPr>
        <w:t xml:space="preserve"> </w:t>
      </w:r>
      <w:r>
        <w:rPr>
          <w:rFonts w:eastAsia="Times New Roman" w:cs="Times New Roman"/>
          <w:kern w:val="0"/>
          <w:lang w:eastAsia="en-GB"/>
          <w14:ligatures w14:val="none"/>
        </w:rPr>
        <w:t>as</w:t>
      </w:r>
      <w:r w:rsidRPr="00121EC2">
        <w:rPr>
          <w:rFonts w:eastAsia="Times New Roman" w:cs="Times New Roman"/>
          <w:kern w:val="0"/>
          <w:lang w:eastAsia="en-GB"/>
          <w14:ligatures w14:val="none"/>
        </w:rPr>
        <w:t xml:space="preserve"> it says little about organisational sponsorship, intended outcomes or the boundaries between coaching and adjacent interventions.</w:t>
      </w:r>
    </w:p>
    <w:p w14:paraId="36FBBE8C"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kern w:val="0"/>
          <w:lang w:eastAsia="en-GB"/>
          <w14:ligatures w14:val="none"/>
        </w:rPr>
        <w:t>For this study, professional workplace coaching is defined as:</w:t>
      </w:r>
    </w:p>
    <w:p w14:paraId="72C9DA05"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b/>
          <w:bCs/>
          <w:kern w:val="0"/>
          <w:lang w:eastAsia="en-GB"/>
          <w14:ligatures w14:val="none"/>
        </w:rPr>
        <w:lastRenderedPageBreak/>
        <w:t>A purposeful, relational and systematically contracted developmental process in which a coach facilitates an adult participant’s reflection, learning, self-regulation and action in relation to work, professional identity or organisational practice.</w:t>
      </w:r>
    </w:p>
    <w:p w14:paraId="44BDF7DD"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kern w:val="0"/>
          <w:lang w:eastAsia="en-GB"/>
          <w14:ligatures w14:val="none"/>
        </w:rPr>
        <w:t xml:space="preserve">The definition emphasises five features. Coaching is intentional rather than incidental; relational rather than a set of techniques applied independently of context; contracted because </w:t>
      </w:r>
      <w:r>
        <w:rPr>
          <w:rFonts w:eastAsia="Times New Roman" w:cs="Times New Roman"/>
          <w:kern w:val="0"/>
          <w:lang w:eastAsia="en-GB"/>
          <w14:ligatures w14:val="none"/>
        </w:rPr>
        <w:t xml:space="preserve">the interests of the </w:t>
      </w:r>
      <w:r w:rsidRPr="00121EC2">
        <w:rPr>
          <w:rFonts w:eastAsia="Times New Roman" w:cs="Times New Roman"/>
          <w:kern w:val="0"/>
          <w:lang w:eastAsia="en-GB"/>
          <w14:ligatures w14:val="none"/>
        </w:rPr>
        <w:t>participant, coach and sponsor require clarification; primarily facilitative rather than instructional; and connected to work, employment or organisational practice.</w:t>
      </w:r>
    </w:p>
    <w:p w14:paraId="46DAB17A"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kern w:val="0"/>
          <w:lang w:eastAsia="en-GB"/>
          <w14:ligatures w14:val="none"/>
        </w:rPr>
        <w:t>This distinguishes coaching from mentoring, training, consultancy, therapy and formal performance management</w:t>
      </w:r>
      <w:r>
        <w:rPr>
          <w:rFonts w:eastAsia="Times New Roman" w:cs="Times New Roman"/>
          <w:kern w:val="0"/>
          <w:lang w:eastAsia="en-GB"/>
          <w14:ligatures w14:val="none"/>
        </w:rPr>
        <w:t>,</w:t>
      </w:r>
      <w:r w:rsidRPr="00121EC2">
        <w:rPr>
          <w:rFonts w:eastAsia="Times New Roman" w:cs="Times New Roman"/>
          <w:kern w:val="0"/>
          <w:lang w:eastAsia="en-GB"/>
          <w14:ligatures w14:val="none"/>
        </w:rPr>
        <w:t xml:space="preserve"> without </w:t>
      </w:r>
      <w:r>
        <w:rPr>
          <w:rFonts w:eastAsia="Times New Roman" w:cs="Times New Roman"/>
          <w:kern w:val="0"/>
          <w:lang w:eastAsia="en-GB"/>
          <w14:ligatures w14:val="none"/>
        </w:rPr>
        <w:t>imply</w:t>
      </w:r>
      <w:r w:rsidRPr="00121EC2">
        <w:rPr>
          <w:rFonts w:eastAsia="Times New Roman" w:cs="Times New Roman"/>
          <w:kern w:val="0"/>
          <w:lang w:eastAsia="en-GB"/>
          <w14:ligatures w14:val="none"/>
        </w:rPr>
        <w:t>ing the boundaries are absolute. Mentors may advise from experience; trainers usually work towards predetermined learning outcomes; consultants diagnose and recommend; therapists may address psychological distress; and managers retain authority over standards and performance</w:t>
      </w:r>
      <w:r w:rsidRPr="00F91EF2">
        <w:rPr>
          <w:rFonts w:eastAsia="Times New Roman" w:cs="Times New Roman"/>
          <w:kern w:val="0"/>
          <w:lang w:eastAsia="en-GB"/>
          <w14:ligatures w14:val="none"/>
        </w:rPr>
        <w:t xml:space="preserve"> (Hart, Blattner and Leipsic, 2001; Joo, 2005; Lawton-Smith and Cox, 2007; Passmore, 2007)</w:t>
      </w:r>
      <w:r w:rsidRPr="00121EC2">
        <w:rPr>
          <w:rFonts w:eastAsia="Times New Roman" w:cs="Times New Roman"/>
          <w:kern w:val="0"/>
          <w:lang w:eastAsia="en-GB"/>
          <w14:ligatures w14:val="none"/>
        </w:rPr>
        <w:t>. Coaching may overlap with these activities, but conceptual clarity matters particularly in hierarchical organisations, where a conversation described by a manager as coaching may not be experienced by the participant as genuinely voluntary</w:t>
      </w:r>
      <w:r>
        <w:rPr>
          <w:rFonts w:eastAsia="Times New Roman" w:cs="Times New Roman"/>
          <w:kern w:val="0"/>
          <w:lang w:eastAsia="en-GB"/>
          <w14:ligatures w14:val="none"/>
        </w:rPr>
        <w:t xml:space="preserve"> </w:t>
      </w:r>
      <w:r w:rsidRPr="00B32E6E">
        <w:rPr>
          <w:rFonts w:eastAsia="Times New Roman" w:cs="Times New Roman"/>
          <w:kern w:val="0"/>
          <w:lang w:eastAsia="en-GB"/>
          <w14:ligatures w14:val="none"/>
        </w:rPr>
        <w:t xml:space="preserve">(Louis and </w:t>
      </w:r>
      <w:proofErr w:type="spellStart"/>
      <w:r w:rsidRPr="00B32E6E">
        <w:rPr>
          <w:rFonts w:eastAsia="Times New Roman" w:cs="Times New Roman"/>
          <w:kern w:val="0"/>
          <w:lang w:eastAsia="en-GB"/>
          <w14:ligatures w14:val="none"/>
        </w:rPr>
        <w:t>Fatien</w:t>
      </w:r>
      <w:proofErr w:type="spellEnd"/>
      <w:r w:rsidRPr="00B32E6E">
        <w:rPr>
          <w:rFonts w:eastAsia="Times New Roman" w:cs="Times New Roman"/>
          <w:kern w:val="0"/>
          <w:lang w:eastAsia="en-GB"/>
          <w14:ligatures w14:val="none"/>
        </w:rPr>
        <w:t xml:space="preserve"> Diochon, 2018; Ben-</w:t>
      </w:r>
      <w:proofErr w:type="spellStart"/>
      <w:r w:rsidRPr="00B32E6E">
        <w:rPr>
          <w:rFonts w:eastAsia="Times New Roman" w:cs="Times New Roman"/>
          <w:kern w:val="0"/>
          <w:lang w:eastAsia="en-GB"/>
          <w14:ligatures w14:val="none"/>
        </w:rPr>
        <w:t>Hador</w:t>
      </w:r>
      <w:proofErr w:type="spellEnd"/>
      <w:r w:rsidRPr="00B32E6E">
        <w:rPr>
          <w:rFonts w:eastAsia="Times New Roman" w:cs="Times New Roman"/>
          <w:kern w:val="0"/>
          <w:lang w:eastAsia="en-GB"/>
          <w14:ligatures w14:val="none"/>
        </w:rPr>
        <w:t>, 2024).</w:t>
      </w:r>
    </w:p>
    <w:p w14:paraId="4ED76724"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kern w:val="0"/>
          <w:lang w:eastAsia="en-GB"/>
          <w14:ligatures w14:val="none"/>
        </w:rPr>
        <w:t>Coaching is also treated here as situated professional learning. People learn as they interpret experience, question assumptions and test alternative action</w:t>
      </w:r>
      <w:r>
        <w:rPr>
          <w:rFonts w:eastAsia="Times New Roman" w:cs="Times New Roman"/>
          <w:kern w:val="0"/>
          <w:lang w:eastAsia="en-GB"/>
          <w14:ligatures w14:val="none"/>
        </w:rPr>
        <w:t>s</w:t>
      </w:r>
      <w:r w:rsidRPr="00121EC2">
        <w:rPr>
          <w:rFonts w:eastAsia="Times New Roman" w:cs="Times New Roman"/>
          <w:kern w:val="0"/>
          <w:lang w:eastAsia="en-GB"/>
          <w14:ligatures w14:val="none"/>
        </w:rPr>
        <w:t xml:space="preserve">, but they do so within organisational norms, relationships, resources and power structures. Coaching may create a reflective space in which experience can be examined more deliberately. </w:t>
      </w:r>
      <w:r>
        <w:rPr>
          <w:rFonts w:eastAsia="Times New Roman" w:cs="Times New Roman"/>
          <w:kern w:val="0"/>
          <w:lang w:eastAsia="en-GB"/>
          <w14:ligatures w14:val="none"/>
        </w:rPr>
        <w:t>However, w</w:t>
      </w:r>
      <w:r w:rsidRPr="00121EC2">
        <w:rPr>
          <w:rFonts w:eastAsia="Times New Roman" w:cs="Times New Roman"/>
          <w:kern w:val="0"/>
          <w:lang w:eastAsia="en-GB"/>
          <w14:ligatures w14:val="none"/>
        </w:rPr>
        <w:t>hat follows from that learning depends partly on the environment in which it must be applied. Greater awareness or judgement may have limited practical effect where authority is restricted, demands are excessive, discrimination persists or resources are inadequate.</w:t>
      </w:r>
    </w:p>
    <w:p w14:paraId="389CB768" w14:textId="77777777" w:rsidR="008132F9" w:rsidRDefault="008132F9" w:rsidP="008132F9">
      <w:pPr>
        <w:spacing w:before="100" w:beforeAutospacing="1" w:after="100" w:afterAutospacing="1" w:line="360" w:lineRule="auto"/>
        <w:outlineLvl w:val="2"/>
        <w:rPr>
          <w:rFonts w:eastAsia="Times New Roman" w:cs="Times New Roman"/>
          <w:b/>
          <w:bCs/>
          <w:kern w:val="0"/>
          <w:lang w:eastAsia="en-GB"/>
          <w14:ligatures w14:val="none"/>
        </w:rPr>
      </w:pPr>
    </w:p>
    <w:p w14:paraId="6F34D6C3" w14:textId="77777777" w:rsidR="008132F9" w:rsidRPr="00121EC2" w:rsidRDefault="008132F9" w:rsidP="008132F9">
      <w:pPr>
        <w:spacing w:before="100" w:beforeAutospacing="1" w:after="100" w:afterAutospacing="1" w:line="360" w:lineRule="auto"/>
        <w:outlineLvl w:val="2"/>
        <w:rPr>
          <w:rFonts w:eastAsia="Times New Roman" w:cs="Times New Roman"/>
          <w:b/>
          <w:bCs/>
          <w:kern w:val="0"/>
          <w:lang w:eastAsia="en-GB"/>
          <w14:ligatures w14:val="none"/>
        </w:rPr>
      </w:pPr>
      <w:r>
        <w:rPr>
          <w:rFonts w:eastAsia="Times New Roman" w:cs="Times New Roman"/>
          <w:b/>
          <w:bCs/>
          <w:kern w:val="0"/>
          <w:lang w:eastAsia="en-GB"/>
          <w14:ligatures w14:val="none"/>
        </w:rPr>
        <w:t>3</w:t>
      </w:r>
      <w:r w:rsidRPr="00121EC2">
        <w:rPr>
          <w:rFonts w:eastAsia="Times New Roman" w:cs="Times New Roman"/>
          <w:b/>
          <w:bCs/>
          <w:kern w:val="0"/>
          <w:lang w:eastAsia="en-GB"/>
          <w14:ligatures w14:val="none"/>
        </w:rPr>
        <w:t>.2 From coaching effectiveness to sustainable-development contribution</w:t>
      </w:r>
    </w:p>
    <w:p w14:paraId="591FE9B4"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kern w:val="0"/>
          <w:lang w:eastAsia="en-GB"/>
          <w14:ligatures w14:val="none"/>
        </w:rPr>
        <w:t>The analysis depends on distinguishing effectiveness, contribution and attribution.</w:t>
      </w:r>
    </w:p>
    <w:p w14:paraId="385589C3"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kern w:val="0"/>
          <w:lang w:eastAsia="en-GB"/>
          <w14:ligatures w14:val="none"/>
        </w:rPr>
        <w:lastRenderedPageBreak/>
        <w:t>Effectiveness asks whether coaching produces change in an identified outcome. Meta-analytic evidence indicates positive effects on performance, skills, wellbeing, coping and self-regulation (</w:t>
      </w:r>
      <w:proofErr w:type="spellStart"/>
      <w:r w:rsidRPr="00121EC2">
        <w:rPr>
          <w:rFonts w:eastAsia="Times New Roman" w:cs="Times New Roman"/>
          <w:kern w:val="0"/>
          <w:lang w:eastAsia="en-GB"/>
          <w14:ligatures w14:val="none"/>
        </w:rPr>
        <w:t>Theeboom</w:t>
      </w:r>
      <w:proofErr w:type="spellEnd"/>
      <w:r w:rsidRPr="00121EC2">
        <w:rPr>
          <w:rFonts w:eastAsia="Times New Roman" w:cs="Times New Roman"/>
          <w:kern w:val="0"/>
          <w:lang w:eastAsia="en-GB"/>
          <w14:ligatures w14:val="none"/>
        </w:rPr>
        <w:t xml:space="preserve">, </w:t>
      </w:r>
      <w:proofErr w:type="spellStart"/>
      <w:r w:rsidRPr="00121EC2">
        <w:rPr>
          <w:rFonts w:eastAsia="Times New Roman" w:cs="Times New Roman"/>
          <w:kern w:val="0"/>
          <w:lang w:eastAsia="en-GB"/>
          <w14:ligatures w14:val="none"/>
        </w:rPr>
        <w:t>Beersma</w:t>
      </w:r>
      <w:proofErr w:type="spellEnd"/>
      <w:r w:rsidRPr="00121EC2">
        <w:rPr>
          <w:rFonts w:eastAsia="Times New Roman" w:cs="Times New Roman"/>
          <w:kern w:val="0"/>
          <w:lang w:eastAsia="en-GB"/>
          <w14:ligatures w14:val="none"/>
        </w:rPr>
        <w:t xml:space="preserve"> and van Vianen, 2014)</w:t>
      </w:r>
      <w:r>
        <w:rPr>
          <w:rFonts w:eastAsia="Times New Roman" w:cs="Times New Roman"/>
          <w:kern w:val="0"/>
          <w:lang w:eastAsia="en-GB"/>
          <w14:ligatures w14:val="none"/>
        </w:rPr>
        <w:t>.</w:t>
      </w:r>
      <w:r w:rsidRPr="00121EC2">
        <w:rPr>
          <w:rFonts w:eastAsia="Times New Roman" w:cs="Times New Roman"/>
          <w:kern w:val="0"/>
          <w:lang w:eastAsia="en-GB"/>
          <w14:ligatures w14:val="none"/>
        </w:rPr>
        <w:t xml:space="preserve"> </w:t>
      </w:r>
      <w:r>
        <w:rPr>
          <w:rFonts w:eastAsia="Times New Roman" w:cs="Times New Roman"/>
          <w:kern w:val="0"/>
          <w:lang w:eastAsia="en-GB"/>
          <w14:ligatures w14:val="none"/>
        </w:rPr>
        <w:t>M</w:t>
      </w:r>
      <w:r w:rsidRPr="00121EC2">
        <w:rPr>
          <w:rFonts w:eastAsia="Times New Roman" w:cs="Times New Roman"/>
          <w:kern w:val="0"/>
          <w:lang w:eastAsia="en-GB"/>
          <w14:ligatures w14:val="none"/>
        </w:rPr>
        <w:t>ore recent research reinforces the overall case but continues to identify uncertainty around mechanisms, intervention differences, measurement and longer-term outcomes (Cannon-Bowers et al., 2023).</w:t>
      </w:r>
    </w:p>
    <w:p w14:paraId="4492E2D8"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Pr>
          <w:rFonts w:eastAsia="Times New Roman" w:cs="Times New Roman"/>
          <w:kern w:val="0"/>
          <w:lang w:eastAsia="en-GB"/>
          <w14:ligatures w14:val="none"/>
        </w:rPr>
        <w:t xml:space="preserve">Contribution is a more demanding claim. Contribution analysis asks whether an intervention forms a credible part of the causal explanation for an observed result, while recognising that outcomes are usually produced by several interacting conditions (Mayne, 2001; 2012). Theory-based evaluation similarly requires the pathway from intervention to intermediate outcomes and wider effects to be made explicit and tested (White, 2009). Increased confidence may therefore be a valid coaching outcome without, on its own, demonstrating a contribution to equitable lifelong learning or decent work. A broader claim requires a plausible and evidence-based pathway to the relevant SDG outcome (Belcher and </w:t>
      </w:r>
      <w:proofErr w:type="spellStart"/>
      <w:r>
        <w:rPr>
          <w:rFonts w:eastAsia="Times New Roman" w:cs="Times New Roman"/>
          <w:kern w:val="0"/>
          <w:lang w:eastAsia="en-GB"/>
          <w14:ligatures w14:val="none"/>
        </w:rPr>
        <w:t>Palenberg</w:t>
      </w:r>
      <w:proofErr w:type="spellEnd"/>
      <w:r>
        <w:rPr>
          <w:rFonts w:eastAsia="Times New Roman" w:cs="Times New Roman"/>
          <w:kern w:val="0"/>
          <w:lang w:eastAsia="en-GB"/>
          <w14:ligatures w14:val="none"/>
        </w:rPr>
        <w:t>, 2018; Mayne, 2012).</w:t>
      </w:r>
    </w:p>
    <w:p w14:paraId="52154C9D"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kern w:val="0"/>
          <w:lang w:eastAsia="en-GB"/>
          <w14:ligatures w14:val="none"/>
        </w:rPr>
        <w:t xml:space="preserve">Attribution is stronger again: it asks whether change can be ascribed to coaching rather than to other influences (Mayne, 2001). Such claims become less defensible as causal distance increases, </w:t>
      </w:r>
      <w:r>
        <w:rPr>
          <w:rFonts w:eastAsia="Times New Roman" w:cs="Times New Roman"/>
          <w:kern w:val="0"/>
          <w:lang w:eastAsia="en-GB"/>
          <w14:ligatures w14:val="none"/>
        </w:rPr>
        <w:t>particular</w:t>
      </w:r>
      <w:r w:rsidRPr="00121EC2">
        <w:rPr>
          <w:rFonts w:eastAsia="Times New Roman" w:cs="Times New Roman"/>
          <w:kern w:val="0"/>
          <w:lang w:eastAsia="en-GB"/>
          <w14:ligatures w14:val="none"/>
        </w:rPr>
        <w:t>ly in complex organisations where leadership, resources, employment practices, workforce characteristics and wider economic conditions interact (Pawson and Tilley, 1997; White, 2009). Mayne (2012) therefore treats interventions as contributory causes rather than assuming they are independently necessary or sufficient.</w:t>
      </w:r>
    </w:p>
    <w:p w14:paraId="1628FC34"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Pr>
          <w:rFonts w:eastAsia="Times New Roman" w:cs="Times New Roman"/>
          <w:kern w:val="0"/>
          <w:lang w:eastAsia="en-GB"/>
          <w14:ligatures w14:val="none"/>
        </w:rPr>
        <w:t>This study therefore does not attempt to attribute progress towards SDG 4 or SDG 8 to coaching. Instead, it asks where coaching can reasonably be identified as a contributor, through what mechanisms, under which conditions, and with what degree of evidential confidence.</w:t>
      </w:r>
    </w:p>
    <w:p w14:paraId="3D601036" w14:textId="77777777" w:rsidR="008132F9" w:rsidRPr="00121EC2" w:rsidRDefault="008132F9" w:rsidP="008132F9">
      <w:pPr>
        <w:spacing w:before="100" w:beforeAutospacing="1" w:after="100" w:afterAutospacing="1" w:line="360" w:lineRule="auto"/>
        <w:outlineLvl w:val="2"/>
        <w:rPr>
          <w:rFonts w:eastAsia="Times New Roman" w:cs="Times New Roman"/>
          <w:b/>
          <w:bCs/>
          <w:kern w:val="0"/>
          <w:lang w:eastAsia="en-GB"/>
          <w14:ligatures w14:val="none"/>
        </w:rPr>
      </w:pPr>
      <w:r>
        <w:rPr>
          <w:rFonts w:eastAsia="Times New Roman" w:cs="Times New Roman"/>
          <w:b/>
          <w:bCs/>
          <w:kern w:val="0"/>
          <w:lang w:eastAsia="en-GB"/>
          <w14:ligatures w14:val="none"/>
        </w:rPr>
        <w:t>3</w:t>
      </w:r>
      <w:r w:rsidRPr="00121EC2">
        <w:rPr>
          <w:rFonts w:eastAsia="Times New Roman" w:cs="Times New Roman"/>
          <w:b/>
          <w:bCs/>
          <w:kern w:val="0"/>
          <w:lang w:eastAsia="en-GB"/>
          <w14:ligatures w14:val="none"/>
        </w:rPr>
        <w:t>.3 Operationalising SDG 4: Quality Education</w:t>
      </w:r>
    </w:p>
    <w:p w14:paraId="295ABFBC"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Pr>
          <w:rFonts w:eastAsia="Times New Roman" w:cs="Times New Roman"/>
          <w:kern w:val="0"/>
          <w:lang w:eastAsia="en-GB"/>
          <w14:ligatures w14:val="none"/>
        </w:rPr>
        <w:t xml:space="preserve">SDG 4 cannot be taken as a blanket endorsement of anything labelled developmental. </w:t>
      </w:r>
      <w:proofErr w:type="spellStart"/>
      <w:r>
        <w:rPr>
          <w:rFonts w:eastAsia="Times New Roman" w:cs="Times New Roman"/>
          <w:kern w:val="0"/>
          <w:lang w:eastAsia="en-GB"/>
          <w14:ligatures w14:val="none"/>
        </w:rPr>
        <w:t>Unterhalter</w:t>
      </w:r>
      <w:proofErr w:type="spellEnd"/>
      <w:r>
        <w:rPr>
          <w:rFonts w:eastAsia="Times New Roman" w:cs="Times New Roman"/>
          <w:kern w:val="0"/>
          <w:lang w:eastAsia="en-GB"/>
          <w14:ligatures w14:val="none"/>
        </w:rPr>
        <w:t xml:space="preserve"> (2019) shows that “quality education” has multiple meanings, and that </w:t>
      </w:r>
      <w:r>
        <w:rPr>
          <w:rFonts w:eastAsia="Times New Roman" w:cs="Times New Roman"/>
          <w:kern w:val="0"/>
          <w:lang w:eastAsia="en-GB"/>
          <w14:ligatures w14:val="none"/>
        </w:rPr>
        <w:lastRenderedPageBreak/>
        <w:t>targets and indicators embody political choices about what counts as quality and whose outcomes become visible. Therefore, participant satisfaction or self-reported learning is insufficient evidence of educational quality.</w:t>
      </w:r>
    </w:p>
    <w:p w14:paraId="197A5A27"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Pr>
          <w:rFonts w:eastAsia="Times New Roman" w:cs="Times New Roman"/>
          <w:kern w:val="0"/>
          <w:lang w:eastAsia="en-GB"/>
          <w14:ligatures w14:val="none"/>
        </w:rPr>
        <w:t>Three targets are particularly relevant. Target 4.3 addresses equal access to affordable, high-quality technical, vocational and tertiary education, and to adult participation in formal and non-formal learning. Target 4.4 aims to increase work-relevant skills for employment, decent jobs and entrepreneurship. Target 4.5 focuses on eliminating educational disparities and ensuring equal access for vulnerable groups.</w:t>
      </w:r>
    </w:p>
    <w:p w14:paraId="05E14F41"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Pr>
          <w:rFonts w:eastAsia="Times New Roman" w:cs="Times New Roman"/>
          <w:kern w:val="0"/>
          <w:lang w:eastAsia="en-GB"/>
          <w14:ligatures w14:val="none"/>
        </w:rPr>
        <w:t>Coaching may contribute to 4.3 and 4.4 when it constitutes meaningful non-formal learning and develops capabilities relevant to professional practice. Likely mechanisms include reflection, feedback, goal-directed experimentation, perspective-taking, self-regulation and the transfer of learning into action. By contrast, contribution to 4.5 cannot be inferred from effectiveness among existing participants. It requires evidence of who receives coaching, who is excluded, and whether access narrows or reproduces existing inequalities.</w:t>
      </w:r>
    </w:p>
    <w:p w14:paraId="2FAA3639"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kern w:val="0"/>
          <w:lang w:eastAsia="en-GB"/>
          <w14:ligatures w14:val="none"/>
        </w:rPr>
        <w:t>For this study, SDG 4</w:t>
      </w:r>
      <w:r>
        <w:rPr>
          <w:rFonts w:eastAsia="Times New Roman" w:cs="Times New Roman"/>
          <w:kern w:val="0"/>
          <w:lang w:eastAsia="en-GB"/>
          <w14:ligatures w14:val="none"/>
        </w:rPr>
        <w:t>’s</w:t>
      </w:r>
      <w:r w:rsidRPr="00121EC2">
        <w:rPr>
          <w:rFonts w:eastAsia="Times New Roman" w:cs="Times New Roman"/>
          <w:kern w:val="0"/>
          <w:lang w:eastAsia="en-GB"/>
          <w14:ligatures w14:val="none"/>
        </w:rPr>
        <w:t xml:space="preserve"> contribution therefore requires attention not only to learning outcomes but</w:t>
      </w:r>
      <w:r>
        <w:rPr>
          <w:rFonts w:eastAsia="Times New Roman" w:cs="Times New Roman"/>
          <w:kern w:val="0"/>
          <w:lang w:eastAsia="en-GB"/>
          <w14:ligatures w14:val="none"/>
        </w:rPr>
        <w:t xml:space="preserve"> also</w:t>
      </w:r>
      <w:r w:rsidRPr="00121EC2">
        <w:rPr>
          <w:rFonts w:eastAsia="Times New Roman" w:cs="Times New Roman"/>
          <w:kern w:val="0"/>
          <w:lang w:eastAsia="en-GB"/>
          <w14:ligatures w14:val="none"/>
        </w:rPr>
        <w:t xml:space="preserve"> to their work relevance, quality, ethical conditions and distribution. This resists reducing Quality Education to skills acquisition alone.</w:t>
      </w:r>
    </w:p>
    <w:p w14:paraId="2FEEF8BB" w14:textId="77777777" w:rsidR="008132F9" w:rsidRPr="00121EC2" w:rsidRDefault="008132F9" w:rsidP="008132F9">
      <w:pPr>
        <w:spacing w:before="100" w:beforeAutospacing="1" w:after="100" w:afterAutospacing="1" w:line="360" w:lineRule="auto"/>
        <w:outlineLvl w:val="2"/>
        <w:rPr>
          <w:rFonts w:eastAsia="Times New Roman" w:cs="Times New Roman"/>
          <w:b/>
          <w:bCs/>
          <w:kern w:val="0"/>
          <w:lang w:eastAsia="en-GB"/>
          <w14:ligatures w14:val="none"/>
        </w:rPr>
      </w:pPr>
      <w:r>
        <w:rPr>
          <w:rFonts w:eastAsia="Times New Roman" w:cs="Times New Roman"/>
          <w:b/>
          <w:bCs/>
          <w:kern w:val="0"/>
          <w:lang w:eastAsia="en-GB"/>
          <w14:ligatures w14:val="none"/>
        </w:rPr>
        <w:t>3</w:t>
      </w:r>
      <w:r w:rsidRPr="00121EC2">
        <w:rPr>
          <w:rFonts w:eastAsia="Times New Roman" w:cs="Times New Roman"/>
          <w:b/>
          <w:bCs/>
          <w:kern w:val="0"/>
          <w:lang w:eastAsia="en-GB"/>
          <w14:ligatures w14:val="none"/>
        </w:rPr>
        <w:t>.4 Operationalising SDG 8: Decent Work and Economic Growth</w:t>
      </w:r>
    </w:p>
    <w:p w14:paraId="7DC8F778"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Pr>
          <w:rFonts w:eastAsia="Times New Roman" w:cs="Times New Roman"/>
          <w:kern w:val="0"/>
          <w:lang w:eastAsia="en-GB"/>
          <w14:ligatures w14:val="none"/>
        </w:rPr>
        <w:t>The coaching literature often treats improved performance as evidence of organisational value. While performance is relevant to SDG 8, it captures only part of the Goal. Target 8.2 concerns productivity; Target 8.5 addresses full and productive employment, decent work and equal pay; and Target 8.8 addresses labour rights and safe, secure working environments.</w:t>
      </w:r>
    </w:p>
    <w:p w14:paraId="21CAB91F"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kern w:val="0"/>
          <w:lang w:eastAsia="en-GB"/>
          <w14:ligatures w14:val="none"/>
        </w:rPr>
        <w:t xml:space="preserve">The International Labour Organization’s conception of decent work is </w:t>
      </w:r>
      <w:r>
        <w:rPr>
          <w:rFonts w:eastAsia="Times New Roman" w:cs="Times New Roman"/>
          <w:kern w:val="0"/>
          <w:lang w:eastAsia="en-GB"/>
          <w14:ligatures w14:val="none"/>
        </w:rPr>
        <w:t>even</w:t>
      </w:r>
      <w:r w:rsidRPr="00121EC2">
        <w:rPr>
          <w:rFonts w:eastAsia="Times New Roman" w:cs="Times New Roman"/>
          <w:kern w:val="0"/>
          <w:lang w:eastAsia="en-GB"/>
          <w14:ligatures w14:val="none"/>
        </w:rPr>
        <w:t xml:space="preserve"> </w:t>
      </w:r>
      <w:r>
        <w:rPr>
          <w:rFonts w:eastAsia="Times New Roman" w:cs="Times New Roman"/>
          <w:kern w:val="0"/>
          <w:lang w:eastAsia="en-GB"/>
          <w14:ligatures w14:val="none"/>
        </w:rPr>
        <w:t>broader</w:t>
      </w:r>
      <w:r w:rsidRPr="00121EC2">
        <w:rPr>
          <w:rFonts w:eastAsia="Times New Roman" w:cs="Times New Roman"/>
          <w:kern w:val="0"/>
          <w:lang w:eastAsia="en-GB"/>
          <w14:ligatures w14:val="none"/>
        </w:rPr>
        <w:t xml:space="preserve">, encompassing productive employment, fair income, workplace security, social protection, prospects for development, voice and equality of opportunity. Productivity and decent work are therefore related, not synonymous. A worker may become more </w:t>
      </w:r>
      <w:r w:rsidRPr="00121EC2">
        <w:rPr>
          <w:rFonts w:eastAsia="Times New Roman" w:cs="Times New Roman"/>
          <w:kern w:val="0"/>
          <w:lang w:eastAsia="en-GB"/>
          <w14:ligatures w14:val="none"/>
        </w:rPr>
        <w:lastRenderedPageBreak/>
        <w:t xml:space="preserve">productive without becoming more secure, </w:t>
      </w:r>
      <w:proofErr w:type="gramStart"/>
      <w:r w:rsidRPr="00121EC2">
        <w:rPr>
          <w:rFonts w:eastAsia="Times New Roman" w:cs="Times New Roman"/>
          <w:kern w:val="0"/>
          <w:lang w:eastAsia="en-GB"/>
          <w14:ligatures w14:val="none"/>
        </w:rPr>
        <w:t>fairly rewarded</w:t>
      </w:r>
      <w:proofErr w:type="gramEnd"/>
      <w:r w:rsidRPr="00121EC2">
        <w:rPr>
          <w:rFonts w:eastAsia="Times New Roman" w:cs="Times New Roman"/>
          <w:kern w:val="0"/>
          <w:lang w:eastAsia="en-GB"/>
          <w14:ligatures w14:val="none"/>
        </w:rPr>
        <w:t xml:space="preserve"> or influential in decisions affecting them.</w:t>
      </w:r>
    </w:p>
    <w:p w14:paraId="792C9DC5"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kern w:val="0"/>
          <w:lang w:eastAsia="en-GB"/>
          <w14:ligatures w14:val="none"/>
        </w:rPr>
        <w:t xml:space="preserve">Coaching could contribute through professional capability, leadership behaviour, adaptability, relationships, career agency, wellbeing and goal attainment. It may also help individuals articulate concerns or make more deliberate career choices. Most of these pathways operate at </w:t>
      </w:r>
      <w:r>
        <w:rPr>
          <w:rFonts w:eastAsia="Times New Roman" w:cs="Times New Roman"/>
          <w:kern w:val="0"/>
          <w:lang w:eastAsia="en-GB"/>
          <w14:ligatures w14:val="none"/>
        </w:rPr>
        <w:t xml:space="preserve">the </w:t>
      </w:r>
      <w:r w:rsidRPr="00121EC2">
        <w:rPr>
          <w:rFonts w:eastAsia="Times New Roman" w:cs="Times New Roman"/>
          <w:kern w:val="0"/>
          <w:lang w:eastAsia="en-GB"/>
          <w14:ligatures w14:val="none"/>
        </w:rPr>
        <w:t xml:space="preserve">individual or relational level. Mäkinen (2014) is therefore important because she shows how tensions rooted in labour and organisational structures can be reframed as individual problems through working-life coaching. Coaching may support agency, but it may also individualise responsibility for circumstances </w:t>
      </w:r>
      <w:r>
        <w:rPr>
          <w:rFonts w:eastAsia="Times New Roman" w:cs="Times New Roman"/>
          <w:kern w:val="0"/>
          <w:lang w:eastAsia="en-GB"/>
          <w14:ligatures w14:val="none"/>
        </w:rPr>
        <w:t>that require</w:t>
      </w:r>
      <w:r w:rsidRPr="00121EC2">
        <w:rPr>
          <w:rFonts w:eastAsia="Times New Roman" w:cs="Times New Roman"/>
          <w:kern w:val="0"/>
          <w:lang w:eastAsia="en-GB"/>
          <w14:ligatures w14:val="none"/>
        </w:rPr>
        <w:t xml:space="preserve"> organisational or collective action.</w:t>
      </w:r>
    </w:p>
    <w:p w14:paraId="3FAD81A8"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kern w:val="0"/>
          <w:lang w:eastAsia="en-GB"/>
          <w14:ligatures w14:val="none"/>
        </w:rPr>
        <w:t xml:space="preserve">This does not make coping or resilience inherently problematic. The concern arises when coaching is commissioned </w:t>
      </w:r>
      <w:r>
        <w:rPr>
          <w:rFonts w:eastAsia="Times New Roman" w:cs="Times New Roman"/>
          <w:kern w:val="0"/>
          <w:lang w:eastAsia="en-GB"/>
          <w14:ligatures w14:val="none"/>
        </w:rPr>
        <w:t>instead</w:t>
      </w:r>
      <w:r w:rsidRPr="00121EC2">
        <w:rPr>
          <w:rFonts w:eastAsia="Times New Roman" w:cs="Times New Roman"/>
          <w:kern w:val="0"/>
          <w:lang w:eastAsia="en-GB"/>
          <w14:ligatures w14:val="none"/>
        </w:rPr>
        <w:t xml:space="preserve"> </w:t>
      </w:r>
      <w:r>
        <w:rPr>
          <w:rFonts w:eastAsia="Times New Roman" w:cs="Times New Roman"/>
          <w:kern w:val="0"/>
          <w:lang w:eastAsia="en-GB"/>
          <w14:ligatures w14:val="none"/>
        </w:rPr>
        <w:t>of</w:t>
      </w:r>
      <w:r w:rsidRPr="00121EC2">
        <w:rPr>
          <w:rFonts w:eastAsia="Times New Roman" w:cs="Times New Roman"/>
          <w:kern w:val="0"/>
          <w:lang w:eastAsia="en-GB"/>
          <w14:ligatures w14:val="none"/>
        </w:rPr>
        <w:t xml:space="preserve"> addressing excessive workload, insecure employment, discrimination, harmful leadership or inadequate resources. In those circumstances, individual improvement may coexist with organisational inaction.</w:t>
      </w:r>
    </w:p>
    <w:p w14:paraId="7E53E3DE" w14:textId="77777777" w:rsidR="008132F9" w:rsidRPr="00121EC2" w:rsidRDefault="008132F9" w:rsidP="008132F9">
      <w:pPr>
        <w:spacing w:before="100" w:beforeAutospacing="1" w:after="100" w:afterAutospacing="1" w:line="360" w:lineRule="auto"/>
        <w:outlineLvl w:val="2"/>
        <w:rPr>
          <w:rFonts w:eastAsia="Times New Roman" w:cs="Times New Roman"/>
          <w:b/>
          <w:bCs/>
          <w:kern w:val="0"/>
          <w:lang w:eastAsia="en-GB"/>
          <w14:ligatures w14:val="none"/>
        </w:rPr>
      </w:pPr>
      <w:r>
        <w:rPr>
          <w:rFonts w:eastAsia="Times New Roman" w:cs="Times New Roman"/>
          <w:b/>
          <w:bCs/>
          <w:kern w:val="0"/>
          <w:lang w:eastAsia="en-GB"/>
          <w14:ligatures w14:val="none"/>
        </w:rPr>
        <w:t>3</w:t>
      </w:r>
      <w:r w:rsidRPr="00121EC2">
        <w:rPr>
          <w:rFonts w:eastAsia="Times New Roman" w:cs="Times New Roman"/>
          <w:b/>
          <w:bCs/>
          <w:kern w:val="0"/>
          <w:lang w:eastAsia="en-GB"/>
          <w14:ligatures w14:val="none"/>
        </w:rPr>
        <w:t>.5 A multilevel coaching</w:t>
      </w:r>
      <w:r>
        <w:rPr>
          <w:rFonts w:eastAsia="Times New Roman" w:cs="Times New Roman"/>
          <w:b/>
          <w:bCs/>
          <w:kern w:val="0"/>
          <w:lang w:eastAsia="en-GB"/>
          <w14:ligatures w14:val="none"/>
        </w:rPr>
        <w:t xml:space="preserve"> - </w:t>
      </w:r>
      <w:r w:rsidRPr="00121EC2">
        <w:rPr>
          <w:rFonts w:eastAsia="Times New Roman" w:cs="Times New Roman"/>
          <w:b/>
          <w:bCs/>
          <w:kern w:val="0"/>
          <w:lang w:eastAsia="en-GB"/>
          <w14:ligatures w14:val="none"/>
        </w:rPr>
        <w:t>SDG contribution framework</w:t>
      </w:r>
    </w:p>
    <w:p w14:paraId="7359B3AE"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kern w:val="0"/>
          <w:lang w:eastAsia="en-GB"/>
          <w14:ligatures w14:val="none"/>
        </w:rPr>
        <w:t xml:space="preserve">The preceding discussion suggests that neither coaching effectiveness nor simple linguistic alignment with an SDG target demonstrates </w:t>
      </w:r>
      <w:r>
        <w:rPr>
          <w:rFonts w:eastAsia="Times New Roman" w:cs="Times New Roman"/>
          <w:kern w:val="0"/>
          <w:lang w:eastAsia="en-GB"/>
          <w14:ligatures w14:val="none"/>
        </w:rPr>
        <w:t>a contribution</w:t>
      </w:r>
      <w:r w:rsidRPr="00121EC2">
        <w:rPr>
          <w:rFonts w:eastAsia="Times New Roman" w:cs="Times New Roman"/>
          <w:kern w:val="0"/>
          <w:lang w:eastAsia="en-GB"/>
          <w14:ligatures w14:val="none"/>
        </w:rPr>
        <w:t xml:space="preserve"> </w:t>
      </w:r>
      <w:r>
        <w:rPr>
          <w:rFonts w:eastAsia="Times New Roman" w:cs="Times New Roman"/>
          <w:kern w:val="0"/>
          <w:lang w:eastAsia="en-GB"/>
          <w14:ligatures w14:val="none"/>
        </w:rPr>
        <w:t>to sustainable development</w:t>
      </w:r>
      <w:r w:rsidRPr="00121EC2">
        <w:rPr>
          <w:rFonts w:eastAsia="Times New Roman" w:cs="Times New Roman"/>
          <w:kern w:val="0"/>
          <w:lang w:eastAsia="en-GB"/>
          <w14:ligatures w14:val="none"/>
        </w:rPr>
        <w:t>. The analysis therefore distinguishes three levels of outcome.</w:t>
      </w:r>
    </w:p>
    <w:p w14:paraId="534F19F6"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b/>
          <w:bCs/>
          <w:kern w:val="0"/>
          <w:lang w:eastAsia="en-GB"/>
          <w14:ligatures w14:val="none"/>
        </w:rPr>
        <w:t>Micro-level contribution</w:t>
      </w:r>
      <w:r w:rsidRPr="00121EC2">
        <w:rPr>
          <w:rFonts w:eastAsia="Times New Roman" w:cs="Times New Roman"/>
          <w:kern w:val="0"/>
          <w:lang w:eastAsia="en-GB"/>
          <w14:ligatures w14:val="none"/>
        </w:rPr>
        <w:t xml:space="preserve"> concerns changes experienced principally by the participant: learning, awareness, self-regulation, wellbeing, behaviour, skills, judgement and individual performance.</w:t>
      </w:r>
    </w:p>
    <w:p w14:paraId="1CA3E708"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b/>
          <w:bCs/>
          <w:kern w:val="0"/>
          <w:lang w:eastAsia="en-GB"/>
          <w14:ligatures w14:val="none"/>
        </w:rPr>
        <w:t>Meso-level contribution</w:t>
      </w:r>
      <w:r w:rsidRPr="00121EC2">
        <w:rPr>
          <w:rFonts w:eastAsia="Times New Roman" w:cs="Times New Roman"/>
          <w:kern w:val="0"/>
          <w:lang w:eastAsia="en-GB"/>
          <w14:ligatures w14:val="none"/>
        </w:rPr>
        <w:t xml:space="preserve"> concerns teams and organisations: leadership practice, relationships, learning culture, employee voice, access to development, organisational capability and working conditions.</w:t>
      </w:r>
    </w:p>
    <w:p w14:paraId="56E2F0A0"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b/>
          <w:bCs/>
          <w:kern w:val="0"/>
          <w:lang w:eastAsia="en-GB"/>
          <w14:ligatures w14:val="none"/>
        </w:rPr>
        <w:t>Macro-level contribution</w:t>
      </w:r>
      <w:r w:rsidRPr="00121EC2">
        <w:rPr>
          <w:rFonts w:eastAsia="Times New Roman" w:cs="Times New Roman"/>
          <w:kern w:val="0"/>
          <w:lang w:eastAsia="en-GB"/>
          <w14:ligatures w14:val="none"/>
        </w:rPr>
        <w:t xml:space="preserve"> concerns industry, labour-market or societal effects: inclusive lifelong learning, equality of opportunity, job quality, employment and sustainable economic development.</w:t>
      </w:r>
    </w:p>
    <w:p w14:paraId="5B361858" w14:textId="77777777" w:rsidR="008132F9" w:rsidRDefault="008132F9" w:rsidP="008132F9">
      <w:pPr>
        <w:spacing w:before="100" w:beforeAutospacing="1" w:after="100" w:afterAutospacing="1" w:line="360" w:lineRule="auto"/>
        <w:rPr>
          <w:rFonts w:eastAsia="Times New Roman" w:cs="Times New Roman"/>
          <w:kern w:val="0"/>
          <w:lang w:eastAsia="en-GB"/>
          <w14:ligatures w14:val="none"/>
        </w:rPr>
      </w:pPr>
      <w:r>
        <w:lastRenderedPageBreak/>
        <w:t xml:space="preserve">These levels do not form a deterministic sequence. Evidence of a micro-level outcome may support a bounded contribution to an SDG </w:t>
      </w:r>
      <w:proofErr w:type="gramStart"/>
      <w:r>
        <w:t>target, but</w:t>
      </w:r>
      <w:proofErr w:type="gramEnd"/>
      <w:r>
        <w:t xml:space="preserve"> cannot establish meso- or macro-level effects without evidence of the intervening mechanisms.</w:t>
      </w:r>
      <w:r w:rsidRPr="00121EC2">
        <w:rPr>
          <w:rFonts w:eastAsia="Times New Roman" w:cs="Times New Roman"/>
          <w:kern w:val="0"/>
          <w:lang w:eastAsia="en-GB"/>
          <w14:ligatures w14:val="none"/>
        </w:rPr>
        <w:t xml:space="preserve"> </w:t>
      </w:r>
    </w:p>
    <w:p w14:paraId="4550C93A"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kern w:val="0"/>
          <w:lang w:eastAsia="en-GB"/>
          <w14:ligatures w14:val="none"/>
        </w:rPr>
        <w:t xml:space="preserve">Contribution is therefore treated as a causal pathway rather than a simple intervention–outcome relationship. Consistent with Mayne (2001; 2012) and White (2009), the question is whether there is a credible explanation linking coaching to a relevant outcome, whether intermediate changes and contextual conditions are </w:t>
      </w:r>
      <w:r>
        <w:rPr>
          <w:rFonts w:eastAsia="Times New Roman" w:cs="Times New Roman"/>
          <w:kern w:val="0"/>
          <w:lang w:eastAsia="en-GB"/>
          <w14:ligatures w14:val="none"/>
        </w:rPr>
        <w:t>observa</w:t>
      </w:r>
      <w:r w:rsidRPr="00121EC2">
        <w:rPr>
          <w:rFonts w:eastAsia="Times New Roman" w:cs="Times New Roman"/>
          <w:kern w:val="0"/>
          <w:lang w:eastAsia="en-GB"/>
          <w14:ligatures w14:val="none"/>
        </w:rPr>
        <w:t>ble, and how strongly the evidence supports that explanation.</w:t>
      </w:r>
    </w:p>
    <w:p w14:paraId="47448711"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kern w:val="0"/>
          <w:lang w:eastAsia="en-GB"/>
          <w14:ligatures w14:val="none"/>
        </w:rPr>
        <w:t>Five evaluative dimensions are used:</w:t>
      </w:r>
    </w:p>
    <w:p w14:paraId="2AFE7E94" w14:textId="77777777" w:rsidR="008132F9" w:rsidRPr="00121EC2" w:rsidRDefault="008132F9" w:rsidP="008132F9">
      <w:pPr>
        <w:numPr>
          <w:ilvl w:val="0"/>
          <w:numId w:val="2"/>
        </w:num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b/>
          <w:bCs/>
          <w:kern w:val="0"/>
          <w:lang w:eastAsia="en-GB"/>
          <w14:ligatures w14:val="none"/>
        </w:rPr>
        <w:t>Effectiveness</w:t>
      </w:r>
      <w:r w:rsidRPr="00121EC2">
        <w:rPr>
          <w:rFonts w:eastAsia="Times New Roman" w:cs="Times New Roman"/>
          <w:kern w:val="0"/>
          <w:lang w:eastAsia="en-GB"/>
          <w14:ligatures w14:val="none"/>
        </w:rPr>
        <w:t xml:space="preserve"> – whether coaching produces a substantive and reasonably durable outcome.</w:t>
      </w:r>
    </w:p>
    <w:p w14:paraId="004AC0B9" w14:textId="77777777" w:rsidR="008132F9" w:rsidRPr="00121EC2" w:rsidRDefault="008132F9" w:rsidP="008132F9">
      <w:pPr>
        <w:numPr>
          <w:ilvl w:val="0"/>
          <w:numId w:val="2"/>
        </w:num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b/>
          <w:bCs/>
          <w:kern w:val="0"/>
          <w:lang w:eastAsia="en-GB"/>
          <w14:ligatures w14:val="none"/>
        </w:rPr>
        <w:t>Equity</w:t>
      </w:r>
      <w:r w:rsidRPr="00121EC2">
        <w:rPr>
          <w:rFonts w:eastAsia="Times New Roman" w:cs="Times New Roman"/>
          <w:kern w:val="0"/>
          <w:lang w:eastAsia="en-GB"/>
          <w14:ligatures w14:val="none"/>
        </w:rPr>
        <w:t xml:space="preserve"> – who receives coaching, who benefits and who may be excluded.</w:t>
      </w:r>
    </w:p>
    <w:p w14:paraId="4ED01B39" w14:textId="77777777" w:rsidR="008132F9" w:rsidRPr="00121EC2" w:rsidRDefault="008132F9" w:rsidP="008132F9">
      <w:pPr>
        <w:numPr>
          <w:ilvl w:val="0"/>
          <w:numId w:val="2"/>
        </w:num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b/>
          <w:bCs/>
          <w:kern w:val="0"/>
          <w:lang w:eastAsia="en-GB"/>
          <w14:ligatures w14:val="none"/>
        </w:rPr>
        <w:t>Ethicality and power</w:t>
      </w:r>
      <w:r w:rsidRPr="00121EC2">
        <w:rPr>
          <w:rFonts w:eastAsia="Times New Roman" w:cs="Times New Roman"/>
          <w:kern w:val="0"/>
          <w:lang w:eastAsia="en-GB"/>
          <w14:ligatures w14:val="none"/>
        </w:rPr>
        <w:t xml:space="preserve"> – how consent, confidentiality, sponsor interests, organisational authority and potential harms are managed.</w:t>
      </w:r>
    </w:p>
    <w:p w14:paraId="20B14562" w14:textId="77777777" w:rsidR="008132F9" w:rsidRPr="00121EC2" w:rsidRDefault="008132F9" w:rsidP="008132F9">
      <w:pPr>
        <w:numPr>
          <w:ilvl w:val="0"/>
          <w:numId w:val="2"/>
        </w:num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b/>
          <w:bCs/>
          <w:kern w:val="0"/>
          <w:lang w:eastAsia="en-GB"/>
          <w14:ligatures w14:val="none"/>
        </w:rPr>
        <w:t>Organisational and structural embeddedness</w:t>
      </w:r>
      <w:r w:rsidRPr="00121EC2">
        <w:rPr>
          <w:rFonts w:eastAsia="Times New Roman" w:cs="Times New Roman"/>
          <w:kern w:val="0"/>
          <w:lang w:eastAsia="en-GB"/>
          <w14:ligatures w14:val="none"/>
        </w:rPr>
        <w:t xml:space="preserve"> – whether surrounding systems support, constrain or contradict individual change.</w:t>
      </w:r>
    </w:p>
    <w:p w14:paraId="4BBF8323" w14:textId="77777777" w:rsidR="008132F9" w:rsidRPr="00121EC2" w:rsidRDefault="008132F9" w:rsidP="008132F9">
      <w:pPr>
        <w:numPr>
          <w:ilvl w:val="0"/>
          <w:numId w:val="2"/>
        </w:num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b/>
          <w:bCs/>
          <w:kern w:val="0"/>
          <w:lang w:eastAsia="en-GB"/>
          <w14:ligatures w14:val="none"/>
        </w:rPr>
        <w:t>Evidential confidence</w:t>
      </w:r>
      <w:r w:rsidRPr="00121EC2">
        <w:rPr>
          <w:rFonts w:eastAsia="Times New Roman" w:cs="Times New Roman"/>
          <w:kern w:val="0"/>
          <w:lang w:eastAsia="en-GB"/>
          <w14:ligatures w14:val="none"/>
        </w:rPr>
        <w:t xml:space="preserve"> – how direct, independent, consistent and methodologically robust the evidence is, particularly as causal distance increases.</w:t>
      </w:r>
    </w:p>
    <w:p w14:paraId="0D16BAF2"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kern w:val="0"/>
          <w:lang w:eastAsia="en-GB"/>
          <w14:ligatures w14:val="none"/>
        </w:rPr>
        <w:t xml:space="preserve">These are not identical threshold conditions. Effectiveness </w:t>
      </w:r>
      <w:r>
        <w:rPr>
          <w:rFonts w:eastAsia="Times New Roman" w:cs="Times New Roman"/>
          <w:kern w:val="0"/>
          <w:lang w:eastAsia="en-GB"/>
          <w14:ligatures w14:val="none"/>
        </w:rPr>
        <w:t>determin</w:t>
      </w:r>
      <w:r w:rsidRPr="00121EC2">
        <w:rPr>
          <w:rFonts w:eastAsia="Times New Roman" w:cs="Times New Roman"/>
          <w:kern w:val="0"/>
          <w:lang w:eastAsia="en-GB"/>
          <w14:ligatures w14:val="none"/>
        </w:rPr>
        <w:t xml:space="preserve">es whether change exists; equity and ethicality examine its distribution and conditions; embeddedness asks whether the surrounding system enables wider effects; and evidential confidence limits how far claims can </w:t>
      </w:r>
      <w:r>
        <w:rPr>
          <w:rFonts w:eastAsia="Times New Roman" w:cs="Times New Roman"/>
          <w:kern w:val="0"/>
          <w:lang w:eastAsia="en-GB"/>
          <w14:ligatures w14:val="none"/>
        </w:rPr>
        <w:t>extend</w:t>
      </w:r>
      <w:r w:rsidRPr="00121EC2">
        <w:rPr>
          <w:rFonts w:eastAsia="Times New Roman" w:cs="Times New Roman"/>
          <w:kern w:val="0"/>
          <w:lang w:eastAsia="en-GB"/>
          <w14:ligatures w14:val="none"/>
        </w:rPr>
        <w:t>.</w:t>
      </w:r>
    </w:p>
    <w:p w14:paraId="3C0E989A"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t>Organisational context remains central because systems may amplify, absorb or frustrate individual learning. The same coaching intervention can therefore have different developmental significance depending on authority, resources, organisational support and opportunities to influence others.</w:t>
      </w:r>
      <w:r w:rsidRPr="00121EC2">
        <w:rPr>
          <w:rFonts w:eastAsia="Times New Roman" w:cs="Times New Roman"/>
          <w:kern w:val="0"/>
          <w:lang w:eastAsia="en-GB"/>
          <w14:ligatures w14:val="none"/>
        </w:rPr>
        <w:t xml:space="preserve"> The central analytical question is therefore:</w:t>
      </w:r>
    </w:p>
    <w:p w14:paraId="170118C0"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b/>
          <w:bCs/>
          <w:kern w:val="0"/>
          <w:lang w:eastAsia="en-GB"/>
          <w14:ligatures w14:val="none"/>
        </w:rPr>
        <w:lastRenderedPageBreak/>
        <w:t>How far along the causal pathway from coaching intervention to SDG</w:t>
      </w:r>
      <w:r>
        <w:rPr>
          <w:rFonts w:eastAsia="Times New Roman" w:cs="Times New Roman"/>
          <w:b/>
          <w:bCs/>
          <w:kern w:val="0"/>
          <w:lang w:eastAsia="en-GB"/>
          <w14:ligatures w14:val="none"/>
        </w:rPr>
        <w:t xml:space="preserve"> </w:t>
      </w:r>
      <w:r w:rsidRPr="00121EC2">
        <w:rPr>
          <w:rFonts w:eastAsia="Times New Roman" w:cs="Times New Roman"/>
          <w:b/>
          <w:bCs/>
          <w:kern w:val="0"/>
          <w:lang w:eastAsia="en-GB"/>
          <w14:ligatures w14:val="none"/>
        </w:rPr>
        <w:t>relevant outcomes does the available evidence reasonably permit the claim of contribution to travel?</w:t>
      </w:r>
    </w:p>
    <w:p w14:paraId="201F3832"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Pr>
          <w:rFonts w:eastAsia="Times New Roman" w:cs="Times New Roman"/>
          <w:kern w:val="0"/>
          <w:lang w:eastAsia="en-GB"/>
          <w14:ligatures w14:val="none"/>
        </w:rPr>
        <w:t>This generates the provisional proposition that professional workplace coaching can make a credible but limited contribution to SDG 4 and SDG 8 when it produces evidence-based learning, capability, relational or work-related outcomes. That contribution strengthens where access is equitable, practice is ethically governed, and organisational conditions allow individual learning to translate into wider effects. Where these conditions are absent, the evidence may support only an individual-level contribution, and, in some circumstances, coaching may assist adaptation to conditions that sustainable development would require institutions to change.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59"/>
        <w:gridCol w:w="3144"/>
        <w:gridCol w:w="1716"/>
        <w:gridCol w:w="3507"/>
      </w:tblGrid>
      <w:tr w:rsidR="008132F9" w:rsidRPr="000957AB" w14:paraId="7EF57976" w14:textId="77777777" w:rsidTr="00925C7C">
        <w:trPr>
          <w:tblHeader/>
          <w:tblCellSpacing w:w="15" w:type="dxa"/>
        </w:trPr>
        <w:tc>
          <w:tcPr>
            <w:tcW w:w="0" w:type="auto"/>
            <w:tcBorders>
              <w:bottom w:val="single" w:sz="4" w:space="0" w:color="auto"/>
              <w:right w:val="single" w:sz="4" w:space="0" w:color="auto"/>
            </w:tcBorders>
            <w:vAlign w:val="center"/>
            <w:hideMark/>
          </w:tcPr>
          <w:p w14:paraId="68BBA3B6" w14:textId="77777777" w:rsidR="008132F9" w:rsidRPr="0028434A" w:rsidRDefault="008132F9" w:rsidP="00925C7C">
            <w:pPr>
              <w:spacing w:before="100" w:beforeAutospacing="1" w:after="100" w:afterAutospacing="1" w:line="360" w:lineRule="auto"/>
              <w:jc w:val="center"/>
              <w:rPr>
                <w:rFonts w:eastAsia="Times New Roman" w:cs="Times New Roman"/>
                <w:kern w:val="0"/>
                <w:sz w:val="21"/>
                <w:szCs w:val="21"/>
                <w:lang w:eastAsia="en-GB"/>
                <w14:ligatures w14:val="none"/>
              </w:rPr>
            </w:pPr>
            <w:r w:rsidRPr="0028434A">
              <w:rPr>
                <w:rFonts w:eastAsia="Times New Roman" w:cs="Times New Roman"/>
                <w:kern w:val="0"/>
                <w:sz w:val="21"/>
                <w:szCs w:val="21"/>
                <w:lang w:eastAsia="en-GB"/>
                <w14:ligatures w14:val="none"/>
              </w:rPr>
              <w:t>Level</w:t>
            </w:r>
          </w:p>
        </w:tc>
        <w:tc>
          <w:tcPr>
            <w:tcW w:w="0" w:type="auto"/>
            <w:tcBorders>
              <w:bottom w:val="single" w:sz="4" w:space="0" w:color="auto"/>
              <w:right w:val="single" w:sz="4" w:space="0" w:color="auto"/>
            </w:tcBorders>
            <w:vAlign w:val="center"/>
            <w:hideMark/>
          </w:tcPr>
          <w:p w14:paraId="01847D40" w14:textId="77777777" w:rsidR="008132F9" w:rsidRPr="0028434A" w:rsidRDefault="008132F9" w:rsidP="00925C7C">
            <w:pPr>
              <w:spacing w:before="100" w:beforeAutospacing="1" w:after="100" w:afterAutospacing="1" w:line="360" w:lineRule="auto"/>
              <w:jc w:val="center"/>
              <w:rPr>
                <w:rFonts w:eastAsia="Times New Roman" w:cs="Times New Roman"/>
                <w:kern w:val="0"/>
                <w:sz w:val="21"/>
                <w:szCs w:val="21"/>
                <w:lang w:eastAsia="en-GB"/>
                <w14:ligatures w14:val="none"/>
              </w:rPr>
            </w:pPr>
            <w:r w:rsidRPr="0028434A">
              <w:rPr>
                <w:rFonts w:eastAsia="Times New Roman" w:cs="Times New Roman"/>
                <w:kern w:val="0"/>
                <w:sz w:val="21"/>
                <w:szCs w:val="21"/>
                <w:lang w:eastAsia="en-GB"/>
                <w14:ligatures w14:val="none"/>
              </w:rPr>
              <w:t>Illustrative outcomes</w:t>
            </w:r>
          </w:p>
        </w:tc>
        <w:tc>
          <w:tcPr>
            <w:tcW w:w="0" w:type="auto"/>
            <w:tcBorders>
              <w:bottom w:val="single" w:sz="4" w:space="0" w:color="auto"/>
              <w:right w:val="single" w:sz="4" w:space="0" w:color="auto"/>
            </w:tcBorders>
            <w:vAlign w:val="center"/>
            <w:hideMark/>
          </w:tcPr>
          <w:p w14:paraId="52C5A497" w14:textId="77777777" w:rsidR="008132F9" w:rsidRPr="0028434A" w:rsidRDefault="008132F9" w:rsidP="00925C7C">
            <w:pPr>
              <w:spacing w:before="100" w:beforeAutospacing="1" w:after="100" w:afterAutospacing="1" w:line="360" w:lineRule="auto"/>
              <w:jc w:val="center"/>
              <w:rPr>
                <w:rFonts w:eastAsia="Times New Roman" w:cs="Times New Roman"/>
                <w:kern w:val="0"/>
                <w:sz w:val="21"/>
                <w:szCs w:val="21"/>
                <w:lang w:eastAsia="en-GB"/>
                <w14:ligatures w14:val="none"/>
              </w:rPr>
            </w:pPr>
            <w:r w:rsidRPr="0028434A">
              <w:rPr>
                <w:rFonts w:eastAsia="Times New Roman" w:cs="Times New Roman"/>
                <w:kern w:val="0"/>
                <w:sz w:val="21"/>
                <w:szCs w:val="21"/>
                <w:lang w:eastAsia="en-GB"/>
                <w14:ligatures w14:val="none"/>
              </w:rPr>
              <w:t>Potential SDG relevance</w:t>
            </w:r>
          </w:p>
        </w:tc>
        <w:tc>
          <w:tcPr>
            <w:tcW w:w="0" w:type="auto"/>
            <w:tcBorders>
              <w:bottom w:val="single" w:sz="4" w:space="0" w:color="auto"/>
            </w:tcBorders>
            <w:vAlign w:val="center"/>
            <w:hideMark/>
          </w:tcPr>
          <w:p w14:paraId="0348125F" w14:textId="77777777" w:rsidR="008132F9" w:rsidRPr="0028434A" w:rsidRDefault="008132F9" w:rsidP="00925C7C">
            <w:pPr>
              <w:spacing w:before="100" w:beforeAutospacing="1" w:after="100" w:afterAutospacing="1" w:line="360" w:lineRule="auto"/>
              <w:jc w:val="center"/>
              <w:rPr>
                <w:rFonts w:eastAsia="Times New Roman" w:cs="Times New Roman"/>
                <w:kern w:val="0"/>
                <w:sz w:val="21"/>
                <w:szCs w:val="21"/>
                <w:lang w:eastAsia="en-GB"/>
                <w14:ligatures w14:val="none"/>
              </w:rPr>
            </w:pPr>
            <w:r w:rsidRPr="0028434A">
              <w:rPr>
                <w:rFonts w:eastAsia="Times New Roman" w:cs="Times New Roman"/>
                <w:kern w:val="0"/>
                <w:sz w:val="21"/>
                <w:szCs w:val="21"/>
                <w:lang w:eastAsia="en-GB"/>
                <w14:ligatures w14:val="none"/>
              </w:rPr>
              <w:t>Potential Permissible claim</w:t>
            </w:r>
          </w:p>
        </w:tc>
      </w:tr>
      <w:tr w:rsidR="008132F9" w:rsidRPr="000957AB" w14:paraId="4CE20A35" w14:textId="77777777" w:rsidTr="00925C7C">
        <w:trPr>
          <w:tblCellSpacing w:w="15" w:type="dxa"/>
        </w:trPr>
        <w:tc>
          <w:tcPr>
            <w:tcW w:w="0" w:type="auto"/>
            <w:tcBorders>
              <w:bottom w:val="single" w:sz="4" w:space="0" w:color="auto"/>
              <w:right w:val="single" w:sz="4" w:space="0" w:color="auto"/>
            </w:tcBorders>
            <w:vAlign w:val="center"/>
            <w:hideMark/>
          </w:tcPr>
          <w:p w14:paraId="2A41917E" w14:textId="77777777" w:rsidR="008132F9" w:rsidRPr="0028434A" w:rsidRDefault="008132F9" w:rsidP="00925C7C">
            <w:pPr>
              <w:spacing w:before="100" w:beforeAutospacing="1" w:after="100" w:afterAutospacing="1" w:line="360" w:lineRule="auto"/>
              <w:rPr>
                <w:rFonts w:eastAsia="Times New Roman" w:cs="Times New Roman"/>
                <w:kern w:val="0"/>
                <w:sz w:val="21"/>
                <w:szCs w:val="21"/>
                <w:lang w:eastAsia="en-GB"/>
                <w14:ligatures w14:val="none"/>
              </w:rPr>
            </w:pPr>
            <w:r w:rsidRPr="0028434A">
              <w:rPr>
                <w:rFonts w:eastAsia="Times New Roman" w:cs="Times New Roman"/>
                <w:kern w:val="0"/>
                <w:sz w:val="21"/>
                <w:szCs w:val="21"/>
                <w:lang w:eastAsia="en-GB"/>
                <w14:ligatures w14:val="none"/>
              </w:rPr>
              <w:t>Micro</w:t>
            </w:r>
          </w:p>
        </w:tc>
        <w:tc>
          <w:tcPr>
            <w:tcW w:w="0" w:type="auto"/>
            <w:tcBorders>
              <w:bottom w:val="single" w:sz="4" w:space="0" w:color="auto"/>
              <w:right w:val="single" w:sz="4" w:space="0" w:color="auto"/>
            </w:tcBorders>
            <w:vAlign w:val="center"/>
            <w:hideMark/>
          </w:tcPr>
          <w:p w14:paraId="30774F4A" w14:textId="77777777" w:rsidR="008132F9" w:rsidRPr="0028434A" w:rsidRDefault="008132F9" w:rsidP="00925C7C">
            <w:pPr>
              <w:spacing w:before="100" w:beforeAutospacing="1" w:after="100" w:afterAutospacing="1" w:line="360" w:lineRule="auto"/>
              <w:rPr>
                <w:rFonts w:eastAsia="Times New Roman" w:cs="Times New Roman"/>
                <w:kern w:val="0"/>
                <w:sz w:val="21"/>
                <w:szCs w:val="21"/>
                <w:lang w:eastAsia="en-GB"/>
                <w14:ligatures w14:val="none"/>
              </w:rPr>
            </w:pPr>
            <w:r w:rsidRPr="0028434A">
              <w:rPr>
                <w:rFonts w:eastAsia="Times New Roman" w:cs="Times New Roman"/>
                <w:kern w:val="0"/>
                <w:sz w:val="21"/>
                <w:szCs w:val="21"/>
                <w:lang w:eastAsia="en-GB"/>
                <w14:ligatures w14:val="none"/>
              </w:rPr>
              <w:t>Learning, skills, wellbeing, self-regulation, judgement and performance</w:t>
            </w:r>
          </w:p>
        </w:tc>
        <w:tc>
          <w:tcPr>
            <w:tcW w:w="0" w:type="auto"/>
            <w:tcBorders>
              <w:bottom w:val="single" w:sz="4" w:space="0" w:color="auto"/>
              <w:right w:val="single" w:sz="4" w:space="0" w:color="auto"/>
            </w:tcBorders>
            <w:vAlign w:val="center"/>
            <w:hideMark/>
          </w:tcPr>
          <w:p w14:paraId="6C298C6B" w14:textId="77777777" w:rsidR="008132F9" w:rsidRPr="0028434A" w:rsidRDefault="008132F9" w:rsidP="00925C7C">
            <w:pPr>
              <w:spacing w:before="100" w:beforeAutospacing="1" w:after="100" w:afterAutospacing="1" w:line="360" w:lineRule="auto"/>
              <w:rPr>
                <w:rFonts w:eastAsia="Times New Roman" w:cs="Times New Roman"/>
                <w:kern w:val="0"/>
                <w:sz w:val="21"/>
                <w:szCs w:val="21"/>
                <w:lang w:eastAsia="en-GB"/>
                <w14:ligatures w14:val="none"/>
              </w:rPr>
            </w:pPr>
            <w:r w:rsidRPr="0028434A">
              <w:rPr>
                <w:rFonts w:eastAsia="Times New Roman" w:cs="Times New Roman"/>
                <w:kern w:val="0"/>
                <w:sz w:val="21"/>
                <w:szCs w:val="21"/>
                <w:lang w:eastAsia="en-GB"/>
                <w14:ligatures w14:val="none"/>
              </w:rPr>
              <w:t>SDG 4.4; productive capability within SDG 8</w:t>
            </w:r>
          </w:p>
        </w:tc>
        <w:tc>
          <w:tcPr>
            <w:tcW w:w="0" w:type="auto"/>
            <w:tcBorders>
              <w:bottom w:val="single" w:sz="4" w:space="0" w:color="auto"/>
            </w:tcBorders>
            <w:vAlign w:val="center"/>
            <w:hideMark/>
          </w:tcPr>
          <w:p w14:paraId="10FCCA1A" w14:textId="77777777" w:rsidR="008132F9" w:rsidRPr="0028434A" w:rsidRDefault="008132F9" w:rsidP="00925C7C">
            <w:pPr>
              <w:spacing w:before="100" w:beforeAutospacing="1" w:after="100" w:afterAutospacing="1" w:line="360" w:lineRule="auto"/>
              <w:rPr>
                <w:rFonts w:eastAsia="Times New Roman" w:cs="Times New Roman"/>
                <w:kern w:val="0"/>
                <w:sz w:val="21"/>
                <w:szCs w:val="21"/>
                <w:lang w:eastAsia="en-GB"/>
                <w14:ligatures w14:val="none"/>
              </w:rPr>
            </w:pPr>
            <w:r w:rsidRPr="0028434A">
              <w:rPr>
                <w:rFonts w:eastAsia="Times New Roman" w:cs="Times New Roman"/>
                <w:kern w:val="0"/>
                <w:sz w:val="21"/>
                <w:szCs w:val="21"/>
                <w:lang w:eastAsia="en-GB"/>
                <w14:ligatures w14:val="none"/>
              </w:rPr>
              <w:t>Coaching may be effective and make a bounded individual contribution.</w:t>
            </w:r>
          </w:p>
        </w:tc>
      </w:tr>
      <w:tr w:rsidR="008132F9" w:rsidRPr="000957AB" w14:paraId="28BBE268" w14:textId="77777777" w:rsidTr="00925C7C">
        <w:trPr>
          <w:tblCellSpacing w:w="15" w:type="dxa"/>
        </w:trPr>
        <w:tc>
          <w:tcPr>
            <w:tcW w:w="0" w:type="auto"/>
            <w:tcBorders>
              <w:bottom w:val="single" w:sz="4" w:space="0" w:color="auto"/>
              <w:right w:val="single" w:sz="4" w:space="0" w:color="auto"/>
            </w:tcBorders>
            <w:vAlign w:val="center"/>
            <w:hideMark/>
          </w:tcPr>
          <w:p w14:paraId="16AE6707" w14:textId="77777777" w:rsidR="008132F9" w:rsidRPr="0028434A" w:rsidRDefault="008132F9" w:rsidP="00925C7C">
            <w:pPr>
              <w:spacing w:before="100" w:beforeAutospacing="1" w:after="100" w:afterAutospacing="1" w:line="360" w:lineRule="auto"/>
              <w:rPr>
                <w:rFonts w:eastAsia="Times New Roman" w:cs="Times New Roman"/>
                <w:kern w:val="0"/>
                <w:sz w:val="21"/>
                <w:szCs w:val="21"/>
                <w:lang w:eastAsia="en-GB"/>
                <w14:ligatures w14:val="none"/>
              </w:rPr>
            </w:pPr>
            <w:proofErr w:type="spellStart"/>
            <w:r w:rsidRPr="0028434A">
              <w:rPr>
                <w:rFonts w:eastAsia="Times New Roman" w:cs="Times New Roman"/>
                <w:kern w:val="0"/>
                <w:sz w:val="21"/>
                <w:szCs w:val="21"/>
                <w:lang w:eastAsia="en-GB"/>
                <w14:ligatures w14:val="none"/>
              </w:rPr>
              <w:t>Meso</w:t>
            </w:r>
            <w:proofErr w:type="spellEnd"/>
          </w:p>
        </w:tc>
        <w:tc>
          <w:tcPr>
            <w:tcW w:w="0" w:type="auto"/>
            <w:tcBorders>
              <w:bottom w:val="single" w:sz="4" w:space="0" w:color="auto"/>
              <w:right w:val="single" w:sz="4" w:space="0" w:color="auto"/>
            </w:tcBorders>
            <w:vAlign w:val="center"/>
            <w:hideMark/>
          </w:tcPr>
          <w:p w14:paraId="3BB32DDE" w14:textId="77777777" w:rsidR="008132F9" w:rsidRPr="0028434A" w:rsidRDefault="008132F9" w:rsidP="00925C7C">
            <w:pPr>
              <w:spacing w:before="100" w:beforeAutospacing="1" w:after="100" w:afterAutospacing="1" w:line="360" w:lineRule="auto"/>
              <w:rPr>
                <w:rFonts w:eastAsia="Times New Roman" w:cs="Times New Roman"/>
                <w:kern w:val="0"/>
                <w:sz w:val="21"/>
                <w:szCs w:val="21"/>
                <w:lang w:eastAsia="en-GB"/>
                <w14:ligatures w14:val="none"/>
              </w:rPr>
            </w:pPr>
            <w:r w:rsidRPr="0028434A">
              <w:rPr>
                <w:rFonts w:eastAsia="Times New Roman" w:cs="Times New Roman"/>
                <w:kern w:val="0"/>
                <w:sz w:val="21"/>
                <w:szCs w:val="21"/>
                <w:lang w:eastAsia="en-GB"/>
                <w14:ligatures w14:val="none"/>
              </w:rPr>
              <w:t>Leadership practice, relationships, employee voice, access to development and working conditions</w:t>
            </w:r>
          </w:p>
        </w:tc>
        <w:tc>
          <w:tcPr>
            <w:tcW w:w="0" w:type="auto"/>
            <w:tcBorders>
              <w:bottom w:val="single" w:sz="4" w:space="0" w:color="auto"/>
              <w:right w:val="single" w:sz="4" w:space="0" w:color="auto"/>
            </w:tcBorders>
            <w:vAlign w:val="center"/>
            <w:hideMark/>
          </w:tcPr>
          <w:p w14:paraId="63F36B92" w14:textId="77777777" w:rsidR="008132F9" w:rsidRPr="0028434A" w:rsidRDefault="008132F9" w:rsidP="00925C7C">
            <w:pPr>
              <w:spacing w:before="100" w:beforeAutospacing="1" w:after="100" w:afterAutospacing="1" w:line="360" w:lineRule="auto"/>
              <w:rPr>
                <w:rFonts w:eastAsia="Times New Roman" w:cs="Times New Roman"/>
                <w:kern w:val="0"/>
                <w:sz w:val="21"/>
                <w:szCs w:val="21"/>
                <w:lang w:eastAsia="en-GB"/>
                <w14:ligatures w14:val="none"/>
              </w:rPr>
            </w:pPr>
            <w:r w:rsidRPr="0028434A">
              <w:rPr>
                <w:rFonts w:eastAsia="Times New Roman" w:cs="Times New Roman"/>
                <w:kern w:val="0"/>
                <w:sz w:val="21"/>
                <w:szCs w:val="21"/>
                <w:lang w:eastAsia="en-GB"/>
                <w14:ligatures w14:val="none"/>
              </w:rPr>
              <w:t>SDG 4.3/4.5; SDG 8.5/8.8</w:t>
            </w:r>
          </w:p>
        </w:tc>
        <w:tc>
          <w:tcPr>
            <w:tcW w:w="0" w:type="auto"/>
            <w:tcBorders>
              <w:bottom w:val="single" w:sz="4" w:space="0" w:color="auto"/>
            </w:tcBorders>
            <w:vAlign w:val="center"/>
            <w:hideMark/>
          </w:tcPr>
          <w:p w14:paraId="0C72BCA6" w14:textId="77777777" w:rsidR="008132F9" w:rsidRPr="0028434A" w:rsidRDefault="008132F9" w:rsidP="00925C7C">
            <w:pPr>
              <w:spacing w:before="100" w:beforeAutospacing="1" w:after="100" w:afterAutospacing="1" w:line="360" w:lineRule="auto"/>
              <w:rPr>
                <w:rFonts w:eastAsia="Times New Roman" w:cs="Times New Roman"/>
                <w:kern w:val="0"/>
                <w:sz w:val="21"/>
                <w:szCs w:val="21"/>
                <w:lang w:eastAsia="en-GB"/>
                <w14:ligatures w14:val="none"/>
              </w:rPr>
            </w:pPr>
            <w:r w:rsidRPr="0028434A">
              <w:rPr>
                <w:rFonts w:eastAsia="Times New Roman" w:cs="Times New Roman"/>
                <w:kern w:val="0"/>
                <w:sz w:val="21"/>
                <w:szCs w:val="21"/>
                <w:lang w:eastAsia="en-GB"/>
                <w14:ligatures w14:val="none"/>
              </w:rPr>
              <w:t>Contribution requires evidence that individual change translated into organisational practice.</w:t>
            </w:r>
          </w:p>
        </w:tc>
      </w:tr>
      <w:tr w:rsidR="008132F9" w:rsidRPr="000957AB" w14:paraId="538F06C2" w14:textId="77777777" w:rsidTr="00925C7C">
        <w:trPr>
          <w:tblCellSpacing w:w="15" w:type="dxa"/>
        </w:trPr>
        <w:tc>
          <w:tcPr>
            <w:tcW w:w="0" w:type="auto"/>
            <w:tcBorders>
              <w:right w:val="single" w:sz="4" w:space="0" w:color="auto"/>
            </w:tcBorders>
            <w:vAlign w:val="center"/>
            <w:hideMark/>
          </w:tcPr>
          <w:p w14:paraId="4AE968CD" w14:textId="77777777" w:rsidR="008132F9" w:rsidRPr="0028434A" w:rsidRDefault="008132F9" w:rsidP="00925C7C">
            <w:pPr>
              <w:spacing w:before="100" w:beforeAutospacing="1" w:after="100" w:afterAutospacing="1" w:line="360" w:lineRule="auto"/>
              <w:rPr>
                <w:rFonts w:eastAsia="Times New Roman" w:cs="Times New Roman"/>
                <w:kern w:val="0"/>
                <w:sz w:val="21"/>
                <w:szCs w:val="21"/>
                <w:lang w:eastAsia="en-GB"/>
                <w14:ligatures w14:val="none"/>
              </w:rPr>
            </w:pPr>
            <w:r w:rsidRPr="0028434A">
              <w:rPr>
                <w:rFonts w:eastAsia="Times New Roman" w:cs="Times New Roman"/>
                <w:kern w:val="0"/>
                <w:sz w:val="21"/>
                <w:szCs w:val="21"/>
                <w:lang w:eastAsia="en-GB"/>
                <w14:ligatures w14:val="none"/>
              </w:rPr>
              <w:t>Macro</w:t>
            </w:r>
          </w:p>
        </w:tc>
        <w:tc>
          <w:tcPr>
            <w:tcW w:w="0" w:type="auto"/>
            <w:tcBorders>
              <w:right w:val="single" w:sz="4" w:space="0" w:color="auto"/>
            </w:tcBorders>
            <w:vAlign w:val="center"/>
            <w:hideMark/>
          </w:tcPr>
          <w:p w14:paraId="77666313" w14:textId="77777777" w:rsidR="008132F9" w:rsidRPr="0028434A" w:rsidRDefault="008132F9" w:rsidP="00925C7C">
            <w:pPr>
              <w:spacing w:before="100" w:beforeAutospacing="1" w:after="100" w:afterAutospacing="1" w:line="360" w:lineRule="auto"/>
              <w:rPr>
                <w:rFonts w:eastAsia="Times New Roman" w:cs="Times New Roman"/>
                <w:kern w:val="0"/>
                <w:sz w:val="21"/>
                <w:szCs w:val="21"/>
                <w:lang w:eastAsia="en-GB"/>
                <w14:ligatures w14:val="none"/>
              </w:rPr>
            </w:pPr>
            <w:r w:rsidRPr="0028434A">
              <w:rPr>
                <w:rFonts w:eastAsia="Times New Roman" w:cs="Times New Roman"/>
                <w:kern w:val="0"/>
                <w:sz w:val="21"/>
                <w:szCs w:val="21"/>
                <w:lang w:eastAsia="en-GB"/>
                <w14:ligatures w14:val="none"/>
              </w:rPr>
              <w:t>Inclusive lifelong learning, equality of opportunity, decent work and sustainable economic development</w:t>
            </w:r>
          </w:p>
        </w:tc>
        <w:tc>
          <w:tcPr>
            <w:tcW w:w="0" w:type="auto"/>
            <w:tcBorders>
              <w:right w:val="single" w:sz="4" w:space="0" w:color="auto"/>
            </w:tcBorders>
            <w:vAlign w:val="center"/>
            <w:hideMark/>
          </w:tcPr>
          <w:p w14:paraId="2DF3D19B" w14:textId="77777777" w:rsidR="008132F9" w:rsidRPr="0028434A" w:rsidRDefault="008132F9" w:rsidP="00925C7C">
            <w:pPr>
              <w:spacing w:before="100" w:beforeAutospacing="1" w:after="100" w:afterAutospacing="1" w:line="360" w:lineRule="auto"/>
              <w:rPr>
                <w:rFonts w:eastAsia="Times New Roman" w:cs="Times New Roman"/>
                <w:kern w:val="0"/>
                <w:sz w:val="21"/>
                <w:szCs w:val="21"/>
                <w:lang w:eastAsia="en-GB"/>
                <w14:ligatures w14:val="none"/>
              </w:rPr>
            </w:pPr>
            <w:r w:rsidRPr="0028434A">
              <w:rPr>
                <w:rFonts w:eastAsia="Times New Roman" w:cs="Times New Roman"/>
                <w:kern w:val="0"/>
                <w:sz w:val="21"/>
                <w:szCs w:val="21"/>
                <w:lang w:eastAsia="en-GB"/>
                <w14:ligatures w14:val="none"/>
              </w:rPr>
              <w:t>Wider progress towards SDG 4 and SDG 8</w:t>
            </w:r>
          </w:p>
        </w:tc>
        <w:tc>
          <w:tcPr>
            <w:tcW w:w="0" w:type="auto"/>
            <w:vAlign w:val="center"/>
            <w:hideMark/>
          </w:tcPr>
          <w:p w14:paraId="7DBCEAF7" w14:textId="77777777" w:rsidR="008132F9" w:rsidRPr="0028434A" w:rsidRDefault="008132F9" w:rsidP="00925C7C">
            <w:pPr>
              <w:spacing w:before="100" w:beforeAutospacing="1" w:after="100" w:afterAutospacing="1" w:line="360" w:lineRule="auto"/>
              <w:rPr>
                <w:rFonts w:eastAsia="Times New Roman" w:cs="Times New Roman"/>
                <w:kern w:val="0"/>
                <w:sz w:val="21"/>
                <w:szCs w:val="21"/>
                <w:lang w:eastAsia="en-GB"/>
                <w14:ligatures w14:val="none"/>
              </w:rPr>
            </w:pPr>
            <w:r w:rsidRPr="0028434A">
              <w:rPr>
                <w:rFonts w:eastAsia="Times New Roman" w:cs="Times New Roman"/>
                <w:kern w:val="0"/>
                <w:sz w:val="21"/>
                <w:szCs w:val="21"/>
                <w:lang w:eastAsia="en-GB"/>
                <w14:ligatures w14:val="none"/>
              </w:rPr>
              <w:t>Requires evidence across the causal pathway; effectiveness alone is insufficient and attribution should not be claimed.</w:t>
            </w:r>
          </w:p>
        </w:tc>
      </w:tr>
    </w:tbl>
    <w:p w14:paraId="31031213" w14:textId="77777777" w:rsidR="008132F9" w:rsidRDefault="008132F9" w:rsidP="008132F9">
      <w:pPr>
        <w:spacing w:before="100" w:beforeAutospacing="1" w:after="100" w:afterAutospacing="1" w:line="360" w:lineRule="auto"/>
      </w:pPr>
      <w:r w:rsidRPr="0028434A">
        <w:rPr>
          <w:b/>
          <w:bCs/>
        </w:rPr>
        <w:t>Table 1</w:t>
      </w:r>
      <w:r>
        <w:t>: Levels of coaching – SDG contribution and permissible claims</w:t>
      </w:r>
    </w:p>
    <w:p w14:paraId="5DD93552" w14:textId="77777777" w:rsidR="008132F9" w:rsidRPr="001E67BD" w:rsidRDefault="008132F9" w:rsidP="008132F9">
      <w:pPr>
        <w:spacing w:before="100" w:beforeAutospacing="1" w:after="100" w:afterAutospacing="1" w:line="360" w:lineRule="auto"/>
        <w:rPr>
          <w:rFonts w:eastAsia="Times New Roman" w:cs="Times New Roman"/>
          <w:kern w:val="0"/>
          <w:lang w:eastAsia="en-GB"/>
          <w14:ligatures w14:val="none"/>
        </w:rPr>
      </w:pPr>
      <w:r w:rsidRPr="001E67BD">
        <w:rPr>
          <w:rFonts w:eastAsia="Times New Roman" w:cs="Times New Roman"/>
          <w:b/>
          <w:bCs/>
          <w:kern w:val="0"/>
          <w:lang w:eastAsia="en-GB"/>
          <w14:ligatures w14:val="none"/>
        </w:rPr>
        <w:t>Source:</w:t>
      </w:r>
      <w:r w:rsidRPr="001E67BD">
        <w:rPr>
          <w:rFonts w:eastAsia="Times New Roman" w:cs="Times New Roman"/>
          <w:kern w:val="0"/>
          <w:lang w:eastAsia="en-GB"/>
          <w14:ligatures w14:val="none"/>
        </w:rPr>
        <w:t xml:space="preserve"> Author’s synthesis, informed by Mayne (2001, 2012), Pawson and Tilley (1997) and White (2009).</w:t>
      </w:r>
    </w:p>
    <w:p w14:paraId="70DF837F" w14:textId="77777777" w:rsidR="008132F9" w:rsidRPr="009A458E" w:rsidRDefault="008132F9" w:rsidP="008132F9">
      <w:pPr>
        <w:rPr>
          <w:rFonts w:ascii="artlistSans Fallback" w:eastAsia="Times New Roman" w:hAnsi="artlistSans Fallback" w:cs="Times New Roman"/>
          <w:color w:val="FFFFFF"/>
          <w:kern w:val="0"/>
          <w:lang w:eastAsia="en-GB"/>
          <w14:ligatures w14:val="none"/>
        </w:rPr>
      </w:pPr>
      <w:r>
        <w:fldChar w:fldCharType="begin"/>
      </w:r>
      <w:r>
        <w:instrText xml:space="preserve"> INCLUDEPICTURE "https://cms-toolkit-artifacts.artlist.io/content/-e-x-t-e-r-n-a-l_-i-m-a-g-e_-t-o_-i-m-a-g-e-v1/media__8/image-c2f3772d-dcb6-4055-b613-00db74ef400b.png?Expires=2102583689&amp;Key-Pair-Id=K2ZDLYDZI2R1DF&amp;Signature=eRmVVKD0cQkcRosV8FGr~L23mO9ZlKrbYriFkKKBaDgxuiG7Kupgz2iISiR7pmRcbgvfQSh3zuI4YiaujCUkpszO8z6xk6Aong3qrTCLMQp984CiozHvcTUO~NJdQANh-BrOm2Kj8emPFti-cuRGqhhKeqXNHjy2XD4XL2G-Mecbr6vErMKbxSoxN21kRH8eFWlP1SFaR0n0tvx2vPcRqcYqCYZoTwXaD8qK33hiMVyORt61uraS8Xz7BvW8QCjs886-ypM0lGyrCHx7~W58F36TvOTAQOYpwmkqUnlffP9ykadd7EkW3RwFg7mM510RO5-bVkoV38Enc3kv-NGX8w__" \* MERGEFORMATINET </w:instrText>
      </w:r>
      <w:r>
        <w:fldChar w:fldCharType="separate"/>
      </w:r>
      <w:r w:rsidRPr="009A458E">
        <w:rPr>
          <w:rFonts w:ascii="artlistSans Fallback" w:eastAsia="Times New Roman" w:hAnsi="artlistSans Fallback" w:cs="Times New Roman"/>
          <w:color w:val="FFFFFF"/>
          <w:kern w:val="0"/>
          <w:lang w:eastAsia="en-GB"/>
          <w14:ligatures w14:val="none"/>
        </w:rPr>
        <w:fldChar w:fldCharType="begin"/>
      </w:r>
      <w:r w:rsidRPr="009A458E">
        <w:rPr>
          <w:rFonts w:ascii="artlistSans Fallback" w:eastAsia="Times New Roman" w:hAnsi="artlistSans Fallback" w:cs="Times New Roman"/>
          <w:color w:val="FFFFFF"/>
          <w:kern w:val="0"/>
          <w:lang w:eastAsia="en-GB"/>
          <w14:ligatures w14:val="none"/>
        </w:rPr>
        <w:instrText xml:space="preserve"> INCLUDEPICTURE "https://cms-toolkit-artifacts.artlist.io/content/-e-x-t-e-r-n-a-l_-i-m-a-g-e_-t-o_-i-m-a-g-e-v1/media__10/image-1ea771fc-e490-4870-b649-c0af699eee09.png?Expires=2102583787&amp;Key-Pair-Id=K2ZDLYDZI2R1DF&amp;Signature=zji0DtaLK8lcCk6AVqY9n-t7tMdlWTyYZWUdJMKapXlL1JTIXSOGFwg7u3dbiZS7lbf08J93XpXK8QB1azmp9m98941JggcJDxkA4Ite0Ff-35RAbCG6CIiMgCdepjBgcR62cnK56xYuANA0CMHWKfzLPbG7a5PV-nVm7L0lQY6VcqurHcEJoUU4abKGT57ATBeznCKRUvJVzuLHECWIPLT9uq-kjN9JV3PxdBYvn-Goe5WSna3NLAvQjWaoc3o0Q7DQWPB0UhB808bpfwLCJKQjCOXkcdrxDShofgbgtE7lK1dTXCT7T0pNVL9VC5IIPm~ZZq05B0FLSfTczjr-1A__" \* MERGEFORMATINET </w:instrText>
      </w:r>
      <w:r w:rsidRPr="009A458E">
        <w:rPr>
          <w:rFonts w:ascii="artlistSans Fallback" w:eastAsia="Times New Roman" w:hAnsi="artlistSans Fallback" w:cs="Times New Roman"/>
          <w:color w:val="FFFFFF"/>
          <w:kern w:val="0"/>
          <w:lang w:eastAsia="en-GB"/>
          <w14:ligatures w14:val="none"/>
        </w:rPr>
        <w:fldChar w:fldCharType="separate"/>
      </w:r>
      <w:r w:rsidRPr="009A458E">
        <w:rPr>
          <w:rFonts w:ascii="artlistSans Fallback" w:eastAsia="Times New Roman" w:hAnsi="artlistSans Fallback" w:cs="Times New Roman"/>
          <w:noProof/>
          <w:color w:val="FFFFFF"/>
          <w:kern w:val="0"/>
          <w:lang w:eastAsia="en-GB"/>
          <w14:ligatures w14:val="none"/>
        </w:rPr>
        <w:drawing>
          <wp:inline distT="0" distB="0" distL="0" distR="0" wp14:anchorId="193B2841" wp14:editId="0D8408D4">
            <wp:extent cx="5731510" cy="3199130"/>
            <wp:effectExtent l="0" t="0" r="0" b="1270"/>
            <wp:docPr id="1438765096" name="Picture 2" descr="Asset 01a01ed6-cb89-7dbe-bb50-2d73e7deb8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sset 01a01ed6-cb89-7dbe-bb50-2d73e7deb86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199130"/>
                    </a:xfrm>
                    <a:prstGeom prst="rect">
                      <a:avLst/>
                    </a:prstGeom>
                    <a:noFill/>
                    <a:ln>
                      <a:noFill/>
                    </a:ln>
                  </pic:spPr>
                </pic:pic>
              </a:graphicData>
            </a:graphic>
          </wp:inline>
        </w:drawing>
      </w:r>
      <w:r w:rsidRPr="009A458E">
        <w:rPr>
          <w:rFonts w:ascii="artlistSans Fallback" w:eastAsia="Times New Roman" w:hAnsi="artlistSans Fallback" w:cs="Times New Roman"/>
          <w:color w:val="FFFFFF"/>
          <w:kern w:val="0"/>
          <w:lang w:eastAsia="en-GB"/>
          <w14:ligatures w14:val="none"/>
        </w:rPr>
        <w:fldChar w:fldCharType="end"/>
      </w:r>
    </w:p>
    <w:p w14:paraId="49C490E1" w14:textId="77777777" w:rsidR="008132F9" w:rsidRPr="009A458E" w:rsidRDefault="008132F9" w:rsidP="008132F9">
      <w:pPr>
        <w:spacing w:after="0" w:line="240" w:lineRule="auto"/>
        <w:rPr>
          <w:rFonts w:ascii="Times New Roman" w:eastAsia="Times New Roman" w:hAnsi="Times New Roman" w:cs="Times New Roman"/>
          <w:kern w:val="0"/>
          <w:lang w:eastAsia="en-GB"/>
          <w14:ligatures w14:val="none"/>
        </w:rPr>
      </w:pPr>
    </w:p>
    <w:p w14:paraId="14F6D73D" w14:textId="77777777" w:rsidR="008132F9" w:rsidRPr="00A4480F" w:rsidRDefault="008132F9" w:rsidP="008132F9">
      <w:pPr>
        <w:spacing w:before="100" w:beforeAutospacing="1" w:after="100" w:afterAutospacing="1" w:line="360" w:lineRule="auto"/>
        <w:outlineLvl w:val="1"/>
        <w:rPr>
          <w:rFonts w:eastAsia="Times New Roman" w:cs="Times New Roman"/>
          <w:b/>
          <w:bCs/>
          <w:kern w:val="0"/>
          <w:lang w:eastAsia="en-GB"/>
          <w14:ligatures w14:val="none"/>
        </w:rPr>
      </w:pPr>
      <w:r>
        <w:rPr>
          <w:noProof/>
        </w:rPr>
        <w:lastRenderedPageBreak/>
        <w:drawing>
          <wp:anchor distT="0" distB="0" distL="114300" distR="114300" simplePos="0" relativeHeight="251660288" behindDoc="0" locked="0" layoutInCell="1" allowOverlap="1" wp14:anchorId="1D5374E0" wp14:editId="25B77045">
            <wp:simplePos x="0" y="0"/>
            <wp:positionH relativeFrom="column">
              <wp:posOffset>452581</wp:posOffset>
            </wp:positionH>
            <wp:positionV relativeFrom="paragraph">
              <wp:posOffset>266</wp:posOffset>
            </wp:positionV>
            <wp:extent cx="4498109" cy="4731620"/>
            <wp:effectExtent l="0" t="0" r="0" b="5715"/>
            <wp:wrapSquare wrapText="bothSides"/>
            <wp:docPr id="1423084090" name="Picture 1" descr="Asset 01a01ed5-4d1c-794a-a9dc-a97862232f1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set 01a01ed5-4d1c-794a-a9dc-a97862232f1b"/>
                    <pic:cNvPicPr>
                      <a:picLocks noChangeAspect="1" noChangeArrowheads="1"/>
                    </pic:cNvPicPr>
                  </pic:nvPicPr>
                  <pic:blipFill rotWithShape="1">
                    <a:blip r:embed="rId7">
                      <a:extLst>
                        <a:ext uri="{28A0092B-C50C-407E-A947-70E740481C1C}">
                          <a14:useLocalDpi xmlns:a14="http://schemas.microsoft.com/office/drawing/2010/main" val="0"/>
                        </a:ext>
                      </a:extLst>
                    </a:blip>
                    <a:srcRect l="14829" r="13773"/>
                    <a:stretch>
                      <a:fillRect/>
                    </a:stretch>
                  </pic:blipFill>
                  <pic:spPr bwMode="auto">
                    <a:xfrm>
                      <a:off x="0" y="0"/>
                      <a:ext cx="4508858" cy="4742927"/>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fldChar w:fldCharType="end"/>
      </w:r>
    </w:p>
    <w:p w14:paraId="5CAC0E48" w14:textId="77777777" w:rsidR="008132F9" w:rsidRDefault="008132F9" w:rsidP="008132F9">
      <w:pPr>
        <w:spacing w:before="100" w:beforeAutospacing="1" w:after="100" w:afterAutospacing="1" w:line="360" w:lineRule="auto"/>
        <w:outlineLvl w:val="1"/>
      </w:pPr>
    </w:p>
    <w:p w14:paraId="4FACD92A" w14:textId="77777777" w:rsidR="008132F9" w:rsidRDefault="008132F9" w:rsidP="008132F9">
      <w:pPr>
        <w:spacing w:before="100" w:beforeAutospacing="1" w:after="100" w:afterAutospacing="1" w:line="360" w:lineRule="auto"/>
        <w:contextualSpacing/>
        <w:outlineLvl w:val="1"/>
      </w:pPr>
    </w:p>
    <w:p w14:paraId="35140783" w14:textId="77777777" w:rsidR="008132F9" w:rsidRDefault="008132F9" w:rsidP="008132F9">
      <w:pPr>
        <w:spacing w:before="100" w:beforeAutospacing="1" w:after="100" w:afterAutospacing="1" w:line="360" w:lineRule="auto"/>
        <w:contextualSpacing/>
        <w:outlineLvl w:val="1"/>
      </w:pPr>
    </w:p>
    <w:p w14:paraId="5C70EB9A" w14:textId="77777777" w:rsidR="008132F9" w:rsidRDefault="008132F9" w:rsidP="008132F9">
      <w:pPr>
        <w:spacing w:before="100" w:beforeAutospacing="1" w:after="100" w:afterAutospacing="1" w:line="360" w:lineRule="auto"/>
        <w:contextualSpacing/>
        <w:outlineLvl w:val="1"/>
      </w:pPr>
    </w:p>
    <w:p w14:paraId="730B69EE" w14:textId="77777777" w:rsidR="008132F9" w:rsidRDefault="008132F9" w:rsidP="008132F9">
      <w:pPr>
        <w:spacing w:before="100" w:beforeAutospacing="1" w:after="100" w:afterAutospacing="1" w:line="360" w:lineRule="auto"/>
        <w:contextualSpacing/>
        <w:outlineLvl w:val="1"/>
      </w:pPr>
    </w:p>
    <w:p w14:paraId="17EBBA63" w14:textId="77777777" w:rsidR="008132F9" w:rsidRDefault="008132F9" w:rsidP="008132F9">
      <w:pPr>
        <w:spacing w:before="100" w:beforeAutospacing="1" w:after="100" w:afterAutospacing="1" w:line="360" w:lineRule="auto"/>
        <w:contextualSpacing/>
        <w:outlineLvl w:val="1"/>
      </w:pPr>
    </w:p>
    <w:p w14:paraId="495A233C" w14:textId="77777777" w:rsidR="008132F9" w:rsidRDefault="008132F9" w:rsidP="008132F9">
      <w:pPr>
        <w:spacing w:before="100" w:beforeAutospacing="1" w:after="100" w:afterAutospacing="1" w:line="360" w:lineRule="auto"/>
        <w:contextualSpacing/>
        <w:outlineLvl w:val="1"/>
      </w:pPr>
    </w:p>
    <w:p w14:paraId="22068246" w14:textId="77777777" w:rsidR="008132F9" w:rsidRDefault="008132F9" w:rsidP="008132F9">
      <w:pPr>
        <w:spacing w:before="100" w:beforeAutospacing="1" w:after="100" w:afterAutospacing="1" w:line="360" w:lineRule="auto"/>
        <w:contextualSpacing/>
        <w:outlineLvl w:val="1"/>
      </w:pPr>
    </w:p>
    <w:p w14:paraId="6EC08A39" w14:textId="77777777" w:rsidR="008132F9" w:rsidRDefault="008132F9" w:rsidP="008132F9">
      <w:pPr>
        <w:spacing w:before="100" w:beforeAutospacing="1" w:after="100" w:afterAutospacing="1" w:line="360" w:lineRule="auto"/>
        <w:contextualSpacing/>
        <w:outlineLvl w:val="1"/>
      </w:pPr>
    </w:p>
    <w:p w14:paraId="6B83A1E4" w14:textId="77777777" w:rsidR="008132F9" w:rsidRDefault="008132F9" w:rsidP="008132F9">
      <w:pPr>
        <w:spacing w:before="100" w:beforeAutospacing="1" w:after="100" w:afterAutospacing="1" w:line="360" w:lineRule="auto"/>
        <w:contextualSpacing/>
        <w:outlineLvl w:val="1"/>
      </w:pPr>
    </w:p>
    <w:p w14:paraId="33E6AB54" w14:textId="77777777" w:rsidR="008132F9" w:rsidRDefault="008132F9" w:rsidP="008132F9">
      <w:pPr>
        <w:spacing w:before="100" w:beforeAutospacing="1" w:after="100" w:afterAutospacing="1" w:line="360" w:lineRule="auto"/>
        <w:contextualSpacing/>
        <w:outlineLvl w:val="1"/>
      </w:pPr>
    </w:p>
    <w:p w14:paraId="334786F7" w14:textId="77777777" w:rsidR="008132F9" w:rsidRDefault="008132F9" w:rsidP="008132F9">
      <w:pPr>
        <w:spacing w:before="100" w:beforeAutospacing="1" w:after="100" w:afterAutospacing="1" w:line="360" w:lineRule="auto"/>
        <w:contextualSpacing/>
        <w:outlineLvl w:val="1"/>
      </w:pPr>
    </w:p>
    <w:p w14:paraId="5A117637" w14:textId="77777777" w:rsidR="008132F9" w:rsidRDefault="008132F9" w:rsidP="008132F9">
      <w:pPr>
        <w:spacing w:before="100" w:beforeAutospacing="1" w:after="100" w:afterAutospacing="1" w:line="360" w:lineRule="auto"/>
        <w:contextualSpacing/>
        <w:outlineLvl w:val="1"/>
      </w:pPr>
    </w:p>
    <w:p w14:paraId="6AF0F691" w14:textId="77777777" w:rsidR="008132F9" w:rsidRDefault="008132F9" w:rsidP="008132F9">
      <w:pPr>
        <w:spacing w:before="100" w:beforeAutospacing="1" w:after="100" w:afterAutospacing="1" w:line="360" w:lineRule="auto"/>
        <w:contextualSpacing/>
        <w:outlineLvl w:val="1"/>
      </w:pPr>
    </w:p>
    <w:p w14:paraId="393009AB" w14:textId="77777777" w:rsidR="008132F9" w:rsidRDefault="008132F9" w:rsidP="008132F9">
      <w:pPr>
        <w:spacing w:before="100" w:beforeAutospacing="1" w:after="100" w:afterAutospacing="1" w:line="360" w:lineRule="auto"/>
        <w:contextualSpacing/>
        <w:outlineLvl w:val="1"/>
      </w:pPr>
    </w:p>
    <w:p w14:paraId="02EFBBAB" w14:textId="77777777" w:rsidR="008132F9" w:rsidRDefault="008132F9" w:rsidP="008132F9">
      <w:pPr>
        <w:spacing w:before="100" w:beforeAutospacing="1" w:after="100" w:afterAutospacing="1" w:line="360" w:lineRule="auto"/>
        <w:contextualSpacing/>
        <w:outlineLvl w:val="1"/>
      </w:pPr>
      <w:r>
        <w:t>Figure 1. Multilevel coaching – SDG contribution framework</w:t>
      </w:r>
    </w:p>
    <w:p w14:paraId="41FF3ABB" w14:textId="77777777" w:rsidR="008132F9" w:rsidRDefault="008132F9" w:rsidP="008132F9">
      <w:pPr>
        <w:spacing w:before="100" w:beforeAutospacing="1" w:after="100" w:afterAutospacing="1" w:line="360" w:lineRule="auto"/>
        <w:contextualSpacing/>
        <w:outlineLvl w:val="1"/>
      </w:pPr>
    </w:p>
    <w:p w14:paraId="777CE6D5" w14:textId="77777777" w:rsidR="008132F9" w:rsidRPr="00A4480F" w:rsidRDefault="008132F9" w:rsidP="008132F9">
      <w:pPr>
        <w:spacing w:before="100" w:beforeAutospacing="1" w:after="100" w:afterAutospacing="1" w:line="360" w:lineRule="auto"/>
        <w:contextualSpacing/>
        <w:rPr>
          <w:rFonts w:eastAsia="Times New Roman" w:cs="Times New Roman"/>
          <w:kern w:val="0"/>
          <w:lang w:eastAsia="en-GB"/>
          <w14:ligatures w14:val="none"/>
        </w:rPr>
      </w:pPr>
      <w:r w:rsidRPr="00A4480F">
        <w:rPr>
          <w:rFonts w:eastAsia="Times New Roman" w:cs="Times New Roman"/>
          <w:b/>
          <w:bCs/>
          <w:kern w:val="0"/>
          <w:lang w:eastAsia="en-GB"/>
          <w14:ligatures w14:val="none"/>
        </w:rPr>
        <w:t>Source:</w:t>
      </w:r>
      <w:r w:rsidRPr="00A4480F">
        <w:rPr>
          <w:rFonts w:eastAsia="Times New Roman" w:cs="Times New Roman"/>
          <w:kern w:val="0"/>
          <w:lang w:eastAsia="en-GB"/>
          <w14:ligatures w14:val="none"/>
        </w:rPr>
        <w:t xml:space="preserve"> Author’s synthesis, informed by Mayne (2001, 2012), Pawson and Tilley (1997) and White (2009).</w:t>
      </w:r>
    </w:p>
    <w:p w14:paraId="0DB0747D" w14:textId="77777777" w:rsidR="008132F9" w:rsidRPr="00A4480F" w:rsidRDefault="008132F9" w:rsidP="008132F9">
      <w:pPr>
        <w:spacing w:before="100" w:beforeAutospacing="1" w:after="100" w:afterAutospacing="1" w:line="360" w:lineRule="auto"/>
        <w:contextualSpacing/>
        <w:rPr>
          <w:rFonts w:eastAsia="Times New Roman" w:cs="Times New Roman"/>
          <w:kern w:val="0"/>
          <w:lang w:eastAsia="en-GB"/>
          <w14:ligatures w14:val="none"/>
        </w:rPr>
      </w:pPr>
    </w:p>
    <w:p w14:paraId="4571A3AB" w14:textId="77777777" w:rsidR="008132F9" w:rsidRPr="00C21DE4" w:rsidRDefault="008132F9" w:rsidP="008132F9">
      <w:pPr>
        <w:spacing w:before="100" w:beforeAutospacing="1" w:after="100" w:afterAutospacing="1" w:line="360" w:lineRule="auto"/>
        <w:contextualSpacing/>
        <w:outlineLvl w:val="1"/>
        <w:rPr>
          <w:rFonts w:eastAsia="Times New Roman" w:cs="Times New Roman"/>
          <w:b/>
          <w:bCs/>
          <w:kern w:val="0"/>
          <w:sz w:val="20"/>
          <w:szCs w:val="20"/>
          <w:lang w:eastAsia="en-GB"/>
          <w14:ligatures w14:val="none"/>
        </w:rPr>
      </w:pPr>
      <w:r w:rsidRPr="00A4480F">
        <w:rPr>
          <w:rStyle w:val="Strong"/>
        </w:rPr>
        <w:t>Note:</w:t>
      </w:r>
      <w:r w:rsidRPr="00A4480F">
        <w:t xml:space="preserve"> Solid arrows represent the immediate coaching process. Dashed arrows represent contingent causal pathways that depend on organisational and structural conditions. The evidential burden increases as claims move from individual outcomes towards organisational and societal effects.</w:t>
      </w:r>
      <w:r>
        <w:rPr>
          <w:rFonts w:eastAsia="Times New Roman" w:cs="Times New Roman"/>
          <w:b/>
          <w:bCs/>
          <w:kern w:val="0"/>
          <w:lang w:eastAsia="en-GB"/>
          <w14:ligatures w14:val="none"/>
        </w:rPr>
        <w:br w:type="page"/>
      </w: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CCCC"/>
        <w:tblLook w:val="0000" w:firstRow="0" w:lastRow="0" w:firstColumn="0" w:lastColumn="0" w:noHBand="0" w:noVBand="0"/>
      </w:tblPr>
      <w:tblGrid>
        <w:gridCol w:w="9067"/>
      </w:tblGrid>
      <w:tr w:rsidR="008132F9" w:rsidRPr="0019638E" w14:paraId="396C1F9D" w14:textId="77777777" w:rsidTr="00925C7C">
        <w:trPr>
          <w:trHeight w:val="305"/>
        </w:trPr>
        <w:tc>
          <w:tcPr>
            <w:tcW w:w="9067" w:type="dxa"/>
            <w:tcBorders>
              <w:top w:val="single" w:sz="4" w:space="0" w:color="auto"/>
              <w:left w:val="single" w:sz="4" w:space="0" w:color="auto"/>
              <w:bottom w:val="single" w:sz="4" w:space="0" w:color="auto"/>
              <w:right w:val="single" w:sz="4" w:space="0" w:color="auto"/>
            </w:tcBorders>
            <w:shd w:val="clear" w:color="auto" w:fill="CCCCCC"/>
          </w:tcPr>
          <w:p w14:paraId="33A0C32B" w14:textId="77777777" w:rsidR="008132F9" w:rsidRPr="0019638E" w:rsidRDefault="008132F9" w:rsidP="00925C7C">
            <w:pPr>
              <w:pStyle w:val="ListParagraph"/>
              <w:numPr>
                <w:ilvl w:val="0"/>
                <w:numId w:val="3"/>
              </w:numPr>
              <w:snapToGrid w:val="0"/>
              <w:spacing w:after="0" w:line="360" w:lineRule="auto"/>
              <w:rPr>
                <w:rFonts w:eastAsiaTheme="majorEastAsia" w:cs="Segoe UI"/>
                <w:b/>
                <w:bCs/>
                <w:color w:val="000000" w:themeColor="text1"/>
              </w:rPr>
            </w:pPr>
            <w:r w:rsidRPr="00121EC2">
              <w:rPr>
                <w:rFonts w:eastAsia="Times New Roman" w:cs="Times New Roman"/>
                <w:b/>
                <w:bCs/>
                <w:kern w:val="0"/>
                <w:lang w:eastAsia="en-GB"/>
                <w14:ligatures w14:val="none"/>
              </w:rPr>
              <w:lastRenderedPageBreak/>
              <w:t>Findings and Critical Analysis</w:t>
            </w:r>
          </w:p>
        </w:tc>
      </w:tr>
    </w:tbl>
    <w:p w14:paraId="04059F75" w14:textId="77777777" w:rsidR="008132F9" w:rsidRPr="00121EC2" w:rsidRDefault="008132F9" w:rsidP="008132F9">
      <w:pPr>
        <w:spacing w:before="100" w:beforeAutospacing="1" w:after="100" w:afterAutospacing="1" w:line="360" w:lineRule="auto"/>
        <w:outlineLvl w:val="2"/>
        <w:rPr>
          <w:rFonts w:eastAsia="Times New Roman" w:cs="Times New Roman"/>
          <w:b/>
          <w:bCs/>
          <w:kern w:val="0"/>
          <w:lang w:eastAsia="en-GB"/>
          <w14:ligatures w14:val="none"/>
        </w:rPr>
      </w:pPr>
      <w:r>
        <w:rPr>
          <w:rFonts w:eastAsia="Times New Roman" w:cs="Times New Roman"/>
          <w:b/>
          <w:bCs/>
          <w:kern w:val="0"/>
          <w:lang w:eastAsia="en-GB"/>
          <w14:ligatures w14:val="none"/>
        </w:rPr>
        <w:t>4</w:t>
      </w:r>
      <w:r w:rsidRPr="00121EC2">
        <w:rPr>
          <w:rFonts w:eastAsia="Times New Roman" w:cs="Times New Roman"/>
          <w:b/>
          <w:bCs/>
          <w:kern w:val="0"/>
          <w:lang w:eastAsia="en-GB"/>
          <w14:ligatures w14:val="none"/>
        </w:rPr>
        <w:t>.1 Evidence landscape: a strong case for individual effects, a weaker case for sustainable-development impact</w:t>
      </w:r>
    </w:p>
    <w:p w14:paraId="66C301AD"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t>Evidence of coaching effectiveness is considerably stronger than evidence of sustainable development impact.</w:t>
      </w:r>
      <w:r w:rsidRPr="00121EC2">
        <w:rPr>
          <w:rFonts w:eastAsia="Times New Roman" w:cs="Times New Roman"/>
          <w:kern w:val="0"/>
          <w:lang w:eastAsia="en-GB"/>
          <w14:ligatures w14:val="none"/>
        </w:rPr>
        <w:t xml:space="preserve"> Meta-analyses report positive effects across goal attainment, self-efficacy, learning, performance, wellbeing and other individual or work-related outcomes (</w:t>
      </w:r>
      <w:proofErr w:type="spellStart"/>
      <w:r w:rsidRPr="00121EC2">
        <w:rPr>
          <w:rFonts w:eastAsia="Times New Roman" w:cs="Times New Roman"/>
          <w:kern w:val="0"/>
          <w:lang w:eastAsia="en-GB"/>
          <w14:ligatures w14:val="none"/>
        </w:rPr>
        <w:t>Theeboom</w:t>
      </w:r>
      <w:proofErr w:type="spellEnd"/>
      <w:r w:rsidRPr="00121EC2">
        <w:rPr>
          <w:rFonts w:eastAsia="Times New Roman" w:cs="Times New Roman"/>
          <w:kern w:val="0"/>
          <w:lang w:eastAsia="en-GB"/>
          <w14:ligatures w14:val="none"/>
        </w:rPr>
        <w:t xml:space="preserve">, </w:t>
      </w:r>
      <w:proofErr w:type="spellStart"/>
      <w:r w:rsidRPr="00121EC2">
        <w:rPr>
          <w:rFonts w:eastAsia="Times New Roman" w:cs="Times New Roman"/>
          <w:kern w:val="0"/>
          <w:lang w:eastAsia="en-GB"/>
          <w14:ligatures w14:val="none"/>
        </w:rPr>
        <w:t>Beersma</w:t>
      </w:r>
      <w:proofErr w:type="spellEnd"/>
      <w:r w:rsidRPr="00121EC2">
        <w:rPr>
          <w:rFonts w:eastAsia="Times New Roman" w:cs="Times New Roman"/>
          <w:kern w:val="0"/>
          <w:lang w:eastAsia="en-GB"/>
          <w14:ligatures w14:val="none"/>
        </w:rPr>
        <w:t xml:space="preserve"> and van Vianen, 2014; Jones, Woods and Guillaume, 2016; Wang et al., 2022; Cannon-Bowers et al., 2023; de Haan and Nilsson, 2023; Nicolau et al., 2023). The growing number of randomised controlled trials also strengthens confidence that at least some effects are attributable to coaching rather than </w:t>
      </w:r>
      <w:r>
        <w:rPr>
          <w:rFonts w:eastAsia="Times New Roman" w:cs="Times New Roman"/>
          <w:kern w:val="0"/>
          <w:lang w:eastAsia="en-GB"/>
          <w14:ligatures w14:val="none"/>
        </w:rPr>
        <w:t xml:space="preserve">to </w:t>
      </w:r>
      <w:r w:rsidRPr="00121EC2">
        <w:rPr>
          <w:rFonts w:eastAsia="Times New Roman" w:cs="Times New Roman"/>
          <w:kern w:val="0"/>
          <w:lang w:eastAsia="en-GB"/>
          <w14:ligatures w14:val="none"/>
        </w:rPr>
        <w:t>participant enthusiasm alone. Even so, Cannon-Bowers et al. (2023) identify limited controlled research, inconsistent intervention specification and insufficient longer-term, results-level measurement. Woods, Jones and Guillaume (2026) similarly identify unresolved questions concerning mechanisms, context, sustainability and for whom coaching works.</w:t>
      </w:r>
    </w:p>
    <w:p w14:paraId="62243033"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Pr>
          <w:rFonts w:eastAsia="Times New Roman" w:cs="Times New Roman"/>
          <w:kern w:val="0"/>
          <w:lang w:eastAsia="en-GB"/>
          <w14:ligatures w14:val="none"/>
        </w:rPr>
        <w:t>A clear evidence gradient emerges. Confidence is highest close to the intervention, particularly for individual and relational outcomes, and declines as claims move through organisational change towards SDG level effects. The remainder of the analysis therefore distinguishes demonstrated effects from plausible but less directly evidenced contributions.</w:t>
      </w:r>
    </w:p>
    <w:p w14:paraId="2159F304"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kern w:val="0"/>
          <w:lang w:eastAsia="en-GB"/>
          <w14:ligatures w14:val="none"/>
        </w:rPr>
        <w:t>There are also reasons to be cautious about treating the coaching evidence base as more settled than it is. Studies vary in what they call coaching, who delivers it, how long it lasts</w:t>
      </w:r>
      <w:r>
        <w:rPr>
          <w:rFonts w:eastAsia="Times New Roman" w:cs="Times New Roman"/>
          <w:kern w:val="0"/>
          <w:lang w:eastAsia="en-GB"/>
          <w14:ligatures w14:val="none"/>
        </w:rPr>
        <w:t>,</w:t>
      </w:r>
      <w:r w:rsidRPr="00121EC2">
        <w:rPr>
          <w:rFonts w:eastAsia="Times New Roman" w:cs="Times New Roman"/>
          <w:kern w:val="0"/>
          <w:lang w:eastAsia="en-GB"/>
          <w14:ligatures w14:val="none"/>
        </w:rPr>
        <w:t xml:space="preserve"> and which outcomes are measured. Some rely heavily on self-report, while even objective performance measures may capture </w:t>
      </w:r>
      <w:r>
        <w:rPr>
          <w:rFonts w:eastAsia="Times New Roman" w:cs="Times New Roman"/>
          <w:kern w:val="0"/>
          <w:lang w:eastAsia="en-GB"/>
          <w14:ligatures w14:val="none"/>
        </w:rPr>
        <w:t>on</w:t>
      </w:r>
      <w:r w:rsidRPr="00121EC2">
        <w:rPr>
          <w:rFonts w:eastAsia="Times New Roman" w:cs="Times New Roman"/>
          <w:kern w:val="0"/>
          <w:lang w:eastAsia="en-GB"/>
          <w14:ligatures w14:val="none"/>
        </w:rPr>
        <w:t xml:space="preserve">ly narrow aspects of working life. Meta-analysis can establish whether a pattern of positive effects is present across studies, but it does not </w:t>
      </w:r>
      <w:r>
        <w:rPr>
          <w:rFonts w:eastAsia="Times New Roman" w:cs="Times New Roman"/>
          <w:kern w:val="0"/>
          <w:lang w:eastAsia="en-GB"/>
          <w14:ligatures w14:val="none"/>
        </w:rPr>
        <w:t>eliminat</w:t>
      </w:r>
      <w:r w:rsidRPr="00121EC2">
        <w:rPr>
          <w:rFonts w:eastAsia="Times New Roman" w:cs="Times New Roman"/>
          <w:kern w:val="0"/>
          <w:lang w:eastAsia="en-GB"/>
          <w14:ligatures w14:val="none"/>
        </w:rPr>
        <w:t xml:space="preserve">e underlying heterogeneity or answer every question about mechanism and transfer. This matters particularly here because sustainable-development claims require more than evidence that participants felt or performed better at the end of an intervention. They require some indication that the change was </w:t>
      </w:r>
      <w:r w:rsidRPr="00121EC2">
        <w:rPr>
          <w:rFonts w:eastAsia="Times New Roman" w:cs="Times New Roman"/>
          <w:kern w:val="0"/>
          <w:lang w:eastAsia="en-GB"/>
          <w14:ligatures w14:val="none"/>
        </w:rPr>
        <w:lastRenderedPageBreak/>
        <w:t xml:space="preserve">durable, relevant to the </w:t>
      </w:r>
      <w:proofErr w:type="gramStart"/>
      <w:r w:rsidRPr="00121EC2">
        <w:rPr>
          <w:rFonts w:eastAsia="Times New Roman" w:cs="Times New Roman"/>
          <w:kern w:val="0"/>
          <w:lang w:eastAsia="en-GB"/>
          <w14:ligatures w14:val="none"/>
        </w:rPr>
        <w:t>particular SDG</w:t>
      </w:r>
      <w:proofErr w:type="gramEnd"/>
      <w:r w:rsidRPr="00121EC2">
        <w:rPr>
          <w:rFonts w:eastAsia="Times New Roman" w:cs="Times New Roman"/>
          <w:kern w:val="0"/>
          <w:lang w:eastAsia="en-GB"/>
          <w14:ligatures w14:val="none"/>
        </w:rPr>
        <w:t xml:space="preserve"> target, and capable of travelling beyond the immediate coaching relationship.</w:t>
      </w:r>
    </w:p>
    <w:p w14:paraId="12CC95CE" w14:textId="77777777" w:rsidR="008132F9" w:rsidRPr="00121EC2" w:rsidRDefault="008132F9" w:rsidP="008132F9">
      <w:pPr>
        <w:spacing w:before="100" w:beforeAutospacing="1" w:after="100" w:afterAutospacing="1" w:line="360" w:lineRule="auto"/>
        <w:outlineLvl w:val="2"/>
        <w:rPr>
          <w:rFonts w:eastAsia="Times New Roman" w:cs="Times New Roman"/>
          <w:b/>
          <w:bCs/>
          <w:kern w:val="0"/>
          <w:lang w:eastAsia="en-GB"/>
          <w14:ligatures w14:val="none"/>
        </w:rPr>
      </w:pPr>
      <w:r>
        <w:rPr>
          <w:rFonts w:eastAsia="Times New Roman" w:cs="Times New Roman"/>
          <w:b/>
          <w:bCs/>
          <w:kern w:val="0"/>
          <w:lang w:eastAsia="en-GB"/>
          <w14:ligatures w14:val="none"/>
        </w:rPr>
        <w:t>4</w:t>
      </w:r>
      <w:r w:rsidRPr="00121EC2">
        <w:rPr>
          <w:rFonts w:eastAsia="Times New Roman" w:cs="Times New Roman"/>
          <w:b/>
          <w:bCs/>
          <w:kern w:val="0"/>
          <w:lang w:eastAsia="en-GB"/>
          <w14:ligatures w14:val="none"/>
        </w:rPr>
        <w:t>.2 Coaching and SDG 4: Quality Education</w:t>
      </w:r>
    </w:p>
    <w:p w14:paraId="4D9BBFE6"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Pr>
          <w:rFonts w:eastAsia="Times New Roman" w:cs="Times New Roman"/>
          <w:kern w:val="0"/>
          <w:lang w:eastAsia="en-GB"/>
          <w14:ligatures w14:val="none"/>
        </w:rPr>
        <w:t xml:space="preserve">The strongest connection between professional coaching and SDG 4 lies in lifelong learning rather than conventional education. Elfert (2019) places lifelong learning within the SDG 4 agenda, but </w:t>
      </w:r>
      <w:proofErr w:type="spellStart"/>
      <w:r>
        <w:rPr>
          <w:rFonts w:eastAsia="Times New Roman" w:cs="Times New Roman"/>
          <w:kern w:val="0"/>
          <w:lang w:eastAsia="en-GB"/>
          <w14:ligatures w14:val="none"/>
        </w:rPr>
        <w:t>Unterhalter</w:t>
      </w:r>
      <w:proofErr w:type="spellEnd"/>
      <w:r>
        <w:rPr>
          <w:rFonts w:eastAsia="Times New Roman" w:cs="Times New Roman"/>
          <w:kern w:val="0"/>
          <w:lang w:eastAsia="en-GB"/>
          <w14:ligatures w14:val="none"/>
        </w:rPr>
        <w:t xml:space="preserve"> (2019) warns against reducing educational quality to what is most easily measured. Inclusion, equality and the purposes of learning matter alongside outcomes. Coaching should therefore be assessed against specific SDG 4 targets rather than assumed to contribute simply because participants learn.</w:t>
      </w:r>
    </w:p>
    <w:p w14:paraId="6B1DC001"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Pr>
          <w:rFonts w:eastAsia="Times New Roman" w:cs="Times New Roman"/>
          <w:kern w:val="0"/>
          <w:lang w:eastAsia="en-GB"/>
          <w14:ligatures w14:val="none"/>
        </w:rPr>
        <w:t xml:space="preserve">Target 4.4 provides the strongest alignment. It seeks to increase the number of adults with relevant skills for employment, decent jobs and entrepreneurship. </w:t>
      </w:r>
      <w:proofErr w:type="spellStart"/>
      <w:r>
        <w:rPr>
          <w:rFonts w:eastAsia="Times New Roman" w:cs="Times New Roman"/>
          <w:kern w:val="0"/>
          <w:lang w:eastAsia="en-GB"/>
          <w14:ligatures w14:val="none"/>
        </w:rPr>
        <w:t>Theeboom</w:t>
      </w:r>
      <w:proofErr w:type="spellEnd"/>
      <w:r>
        <w:rPr>
          <w:rFonts w:eastAsia="Times New Roman" w:cs="Times New Roman"/>
          <w:kern w:val="0"/>
          <w:lang w:eastAsia="en-GB"/>
          <w14:ligatures w14:val="none"/>
        </w:rPr>
        <w:t xml:space="preserve">, </w:t>
      </w:r>
      <w:proofErr w:type="spellStart"/>
      <w:r>
        <w:rPr>
          <w:rFonts w:eastAsia="Times New Roman" w:cs="Times New Roman"/>
          <w:kern w:val="0"/>
          <w:lang w:eastAsia="en-GB"/>
          <w14:ligatures w14:val="none"/>
        </w:rPr>
        <w:t>Beersma</w:t>
      </w:r>
      <w:proofErr w:type="spellEnd"/>
      <w:r>
        <w:rPr>
          <w:rFonts w:eastAsia="Times New Roman" w:cs="Times New Roman"/>
          <w:kern w:val="0"/>
          <w:lang w:eastAsia="en-GB"/>
          <w14:ligatures w14:val="none"/>
        </w:rPr>
        <w:t xml:space="preserve"> and van Vianen (2014) found positive effects across performance and skills, wellbeing, coping, work attitudes and self-regulation. Jones, Woods and Guillaume (2016) identified positive effects on learning and performance, while Wang et al. (2022) reported particularly strong effects on goal attainment, alongside positive effects on self-efficacy and externally assessed work performance. Cannon-Bowers et al. (2023) and de Haan and Nilsson (2023) broadly reinforce the conclusion that coaching can support individual development and work-related outcomes.</w:t>
      </w:r>
    </w:p>
    <w:p w14:paraId="6F5BE451"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Pr>
          <w:rFonts w:eastAsia="Times New Roman" w:cs="Times New Roman"/>
          <w:kern w:val="0"/>
          <w:lang w:eastAsia="en-GB"/>
          <w14:ligatures w14:val="none"/>
        </w:rPr>
        <w:t>This provides a reasonable basis for claiming contribution to the capability-development element of Target 4.4, but only within limits. The SDG indicator focuses on measurable skills, whereas coaching research often emphasises psychological, behavioural and self-regulatory outcomes. Reflection, self-efficacy and goal attainment may enhance learning or performance, but they are not equivalent to technical or vocational competence. Coaching can therefore support employment-relevant capability without being said to achieve Target 4.4 in any comprehensive sense.</w:t>
      </w:r>
    </w:p>
    <w:p w14:paraId="3352DE4E"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kern w:val="0"/>
          <w:lang w:eastAsia="en-GB"/>
          <w14:ligatures w14:val="none"/>
        </w:rPr>
        <w:t xml:space="preserve">Target 4.3 has a plausible but weaker relationship. Its inclusion of adult participation in non-formal education allows coaching to be understood as structured adult development, and coaching may support reflection and transfer from other learning experiences. Yet the target concerns equal access to affordable, high-quality technical, </w:t>
      </w:r>
      <w:r w:rsidRPr="00121EC2">
        <w:rPr>
          <w:rFonts w:eastAsia="Times New Roman" w:cs="Times New Roman"/>
          <w:kern w:val="0"/>
          <w:lang w:eastAsia="en-GB"/>
          <w14:ligatures w14:val="none"/>
        </w:rPr>
        <w:lastRenderedPageBreak/>
        <w:t>vocational and tertiary education. Executive coaching received by an already established manager does not demonstrate widened participation. Much workplace coaching is accessed after individuals have entered employment and gained organisational status. Its contribution to 4.3 is therefore indirect and contingent.</w:t>
      </w:r>
    </w:p>
    <w:p w14:paraId="0D2718F3"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Pr>
          <w:rFonts w:eastAsia="Times New Roman" w:cs="Times New Roman"/>
          <w:kern w:val="0"/>
          <w:lang w:eastAsia="en-GB"/>
          <w14:ligatures w14:val="none"/>
        </w:rPr>
        <w:t>Target 4.5 shows the largest gap. This target addresses educational disparities and equal access for vulnerable groups. The effectiveness literature says relatively little about who receives coaching compared with those who do not, how provision varies by socioeconomic or occupational position, or whether coaching reduces inequality in access to development. Virtual provision may reduce some geographical barriers, and employer sponsorship may remove direct costs for participants, but neither demonstrates equity. The fact that more than half of clients are employer sponsored also means that organisational selection remains an important gateway to access (International Coaching Federation, 2025).</w:t>
      </w:r>
    </w:p>
    <w:p w14:paraId="2FF4E81D"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Pr>
          <w:rFonts w:eastAsia="Times New Roman" w:cs="Times New Roman"/>
          <w:kern w:val="0"/>
          <w:lang w:eastAsia="en-GB"/>
          <w14:ligatures w14:val="none"/>
        </w:rPr>
        <w:t>The SDG 4 judgement is therefore nuanced. Coaching has a credible, relatively strong connection to 4.4, a weaker, indirect relationship with 4.3, and insufficient evidence of a meaningful industry-level contribution to 4.5. This does not diminish the educational value of coaching for participants. It does mean that benefits to participants should not be inflated into a claim that the industry provides inclusive and equitable Quality Education.</w:t>
      </w:r>
    </w:p>
    <w:p w14:paraId="61795F19" w14:textId="77777777" w:rsidR="008132F9" w:rsidRPr="00121EC2" w:rsidRDefault="008132F9" w:rsidP="008132F9">
      <w:pPr>
        <w:spacing w:before="100" w:beforeAutospacing="1" w:after="100" w:afterAutospacing="1" w:line="360" w:lineRule="auto"/>
        <w:outlineLvl w:val="2"/>
        <w:rPr>
          <w:rFonts w:eastAsia="Times New Roman" w:cs="Times New Roman"/>
          <w:b/>
          <w:bCs/>
          <w:kern w:val="0"/>
          <w:lang w:eastAsia="en-GB"/>
          <w14:ligatures w14:val="none"/>
        </w:rPr>
      </w:pPr>
      <w:r>
        <w:rPr>
          <w:rFonts w:eastAsia="Times New Roman" w:cs="Times New Roman"/>
          <w:b/>
          <w:bCs/>
          <w:kern w:val="0"/>
          <w:lang w:eastAsia="en-GB"/>
          <w14:ligatures w14:val="none"/>
        </w:rPr>
        <w:t>4</w:t>
      </w:r>
      <w:r w:rsidRPr="00121EC2">
        <w:rPr>
          <w:rFonts w:eastAsia="Times New Roman" w:cs="Times New Roman"/>
          <w:b/>
          <w:bCs/>
          <w:kern w:val="0"/>
          <w:lang w:eastAsia="en-GB"/>
          <w14:ligatures w14:val="none"/>
        </w:rPr>
        <w:t>.3 Coaching and SDG 8: Decent Work and Economic Growth</w:t>
      </w:r>
    </w:p>
    <w:p w14:paraId="084235A0"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kern w:val="0"/>
          <w:lang w:eastAsia="en-GB"/>
          <w14:ligatures w14:val="none"/>
        </w:rPr>
        <w:t xml:space="preserve">SDG 8 requires a more </w:t>
      </w:r>
      <w:r>
        <w:rPr>
          <w:rFonts w:eastAsia="Times New Roman" w:cs="Times New Roman"/>
          <w:kern w:val="0"/>
          <w:lang w:eastAsia="en-GB"/>
          <w14:ligatures w14:val="none"/>
        </w:rPr>
        <w:t>rigorous</w:t>
      </w:r>
      <w:r w:rsidRPr="00121EC2">
        <w:rPr>
          <w:rFonts w:eastAsia="Times New Roman" w:cs="Times New Roman"/>
          <w:kern w:val="0"/>
          <w:lang w:eastAsia="en-GB"/>
          <w14:ligatures w14:val="none"/>
        </w:rPr>
        <w:t xml:space="preserve"> causal test because the </w:t>
      </w:r>
      <w:r>
        <w:rPr>
          <w:rFonts w:eastAsia="Times New Roman" w:cs="Times New Roman"/>
          <w:kern w:val="0"/>
          <w:lang w:eastAsia="en-GB"/>
          <w14:ligatures w14:val="none"/>
        </w:rPr>
        <w:t>g</w:t>
      </w:r>
      <w:r w:rsidRPr="00121EC2">
        <w:rPr>
          <w:rFonts w:eastAsia="Times New Roman" w:cs="Times New Roman"/>
          <w:kern w:val="0"/>
          <w:lang w:eastAsia="en-GB"/>
          <w14:ligatures w14:val="none"/>
        </w:rPr>
        <w:t xml:space="preserve">oal </w:t>
      </w:r>
      <w:r>
        <w:rPr>
          <w:rFonts w:eastAsia="Times New Roman" w:cs="Times New Roman"/>
          <w:kern w:val="0"/>
          <w:lang w:eastAsia="en-GB"/>
          <w14:ligatures w14:val="none"/>
        </w:rPr>
        <w:t>brings together</w:t>
      </w:r>
      <w:r w:rsidRPr="00121EC2">
        <w:rPr>
          <w:rFonts w:eastAsia="Times New Roman" w:cs="Times New Roman"/>
          <w:kern w:val="0"/>
          <w:lang w:eastAsia="en-GB"/>
          <w14:ligatures w14:val="none"/>
        </w:rPr>
        <w:t xml:space="preserve"> several distinct ideas. The evidence cannot simply be allowed to move from:</w:t>
      </w:r>
    </w:p>
    <w:p w14:paraId="6F0FF20B"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b/>
          <w:bCs/>
          <w:kern w:val="0"/>
          <w:lang w:eastAsia="en-GB"/>
          <w14:ligatures w14:val="none"/>
        </w:rPr>
        <w:t>performance → productivity → productive work → decent work → economic growth.</w:t>
      </w:r>
    </w:p>
    <w:p w14:paraId="51C595AB"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kern w:val="0"/>
          <w:lang w:eastAsia="en-GB"/>
          <w14:ligatures w14:val="none"/>
        </w:rPr>
        <w:t>Each step adds a new causal claim.</w:t>
      </w:r>
    </w:p>
    <w:p w14:paraId="240B9CC3"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kern w:val="0"/>
          <w:lang w:eastAsia="en-GB"/>
          <w14:ligatures w14:val="none"/>
        </w:rPr>
        <w:t xml:space="preserve">The strongest evidence </w:t>
      </w:r>
      <w:r>
        <w:rPr>
          <w:rFonts w:eastAsia="Times New Roman" w:cs="Times New Roman"/>
          <w:kern w:val="0"/>
          <w:lang w:eastAsia="en-GB"/>
          <w14:ligatures w14:val="none"/>
        </w:rPr>
        <w:t>lie</w:t>
      </w:r>
      <w:r w:rsidRPr="00121EC2">
        <w:rPr>
          <w:rFonts w:eastAsia="Times New Roman" w:cs="Times New Roman"/>
          <w:kern w:val="0"/>
          <w:lang w:eastAsia="en-GB"/>
          <w14:ligatures w14:val="none"/>
        </w:rPr>
        <w:t xml:space="preserve">s at the beginning of the chain. Jones, Woods and Guillaume (2016) found positive effects on organisationally relevant outcomes; Wang et al. (2022) found positive effects on goal attainment, self-efficacy and objective work performance; and Cannon-Bowers et al. (2023) concluded that the accumulated </w:t>
      </w:r>
      <w:r w:rsidRPr="00121EC2">
        <w:rPr>
          <w:rFonts w:eastAsia="Times New Roman" w:cs="Times New Roman"/>
          <w:kern w:val="0"/>
          <w:lang w:eastAsia="en-GB"/>
          <w14:ligatures w14:val="none"/>
        </w:rPr>
        <w:lastRenderedPageBreak/>
        <w:t xml:space="preserve">evidence supports workplace coaching as an effective intervention. These findings </w:t>
      </w:r>
      <w:r>
        <w:rPr>
          <w:rFonts w:eastAsia="Times New Roman" w:cs="Times New Roman"/>
          <w:kern w:val="0"/>
          <w:lang w:eastAsia="en-GB"/>
          <w14:ligatures w14:val="none"/>
        </w:rPr>
        <w:t>establish</w:t>
      </w:r>
      <w:r w:rsidRPr="00121EC2">
        <w:rPr>
          <w:rFonts w:eastAsia="Times New Roman" w:cs="Times New Roman"/>
          <w:kern w:val="0"/>
          <w:lang w:eastAsia="en-GB"/>
          <w14:ligatures w14:val="none"/>
        </w:rPr>
        <w:t xml:space="preserve"> a credible link to the human-capability aspects of productive employment and potentially to Target 8.2.</w:t>
      </w:r>
    </w:p>
    <w:p w14:paraId="6C899DEF"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kern w:val="0"/>
          <w:lang w:eastAsia="en-GB"/>
          <w14:ligatures w14:val="none"/>
        </w:rPr>
        <w:t>Yet job performance is not the same as economic productivity. SDG indicator 8.2.1 concerns growth in real GDP per employed person, whereas coaching studies generally measure individual outcomes. It is plausible that widespread improvements in performance contribute to organisational productivity, but the literature reviewed here does not demonstrate th</w:t>
      </w:r>
      <w:r>
        <w:rPr>
          <w:rFonts w:eastAsia="Times New Roman" w:cs="Times New Roman"/>
          <w:kern w:val="0"/>
          <w:lang w:eastAsia="en-GB"/>
          <w14:ligatures w14:val="none"/>
        </w:rPr>
        <w:t>is</w:t>
      </w:r>
      <w:r w:rsidRPr="00121EC2">
        <w:rPr>
          <w:rFonts w:eastAsia="Times New Roman" w:cs="Times New Roman"/>
          <w:kern w:val="0"/>
          <w:lang w:eastAsia="en-GB"/>
          <w14:ligatures w14:val="none"/>
        </w:rPr>
        <w:t xml:space="preserve"> aggregation. The size of the coaching industry makes scaled effects conceivable; it does not establish them. There is no basis in the evidence reviewed for attributing macroeconomic productivity or GDP growth to professional coaching.</w:t>
      </w:r>
    </w:p>
    <w:p w14:paraId="767CC365"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kern w:val="0"/>
          <w:lang w:eastAsia="en-GB"/>
          <w14:ligatures w14:val="none"/>
        </w:rPr>
        <w:t xml:space="preserve">The distinction becomes sharper when decent work is considered. Louis and </w:t>
      </w:r>
      <w:proofErr w:type="spellStart"/>
      <w:r w:rsidRPr="00121EC2">
        <w:rPr>
          <w:rFonts w:eastAsia="Times New Roman" w:cs="Times New Roman"/>
          <w:kern w:val="0"/>
          <w:lang w:eastAsia="en-GB"/>
          <w14:ligatures w14:val="none"/>
        </w:rPr>
        <w:t>Fatien</w:t>
      </w:r>
      <w:proofErr w:type="spellEnd"/>
      <w:r w:rsidRPr="00121EC2">
        <w:rPr>
          <w:rFonts w:eastAsia="Times New Roman" w:cs="Times New Roman"/>
          <w:kern w:val="0"/>
          <w:lang w:eastAsia="en-GB"/>
          <w14:ligatures w14:val="none"/>
        </w:rPr>
        <w:t xml:space="preserve"> Diochon (2018), using a </w:t>
      </w:r>
      <w:proofErr w:type="spellStart"/>
      <w:r w:rsidRPr="00121EC2">
        <w:rPr>
          <w:rFonts w:eastAsia="Times New Roman" w:cs="Times New Roman"/>
          <w:kern w:val="0"/>
          <w:lang w:eastAsia="en-GB"/>
          <w14:ligatures w14:val="none"/>
        </w:rPr>
        <w:t>Lefebvrian</w:t>
      </w:r>
      <w:proofErr w:type="spellEnd"/>
      <w:r w:rsidRPr="00121EC2">
        <w:rPr>
          <w:rFonts w:eastAsia="Times New Roman" w:cs="Times New Roman"/>
          <w:kern w:val="0"/>
          <w:lang w:eastAsia="en-GB"/>
          <w14:ligatures w14:val="none"/>
        </w:rPr>
        <w:t xml:space="preserve"> political approach to space, argue that organisational coaching </w:t>
      </w:r>
      <w:r>
        <w:rPr>
          <w:rFonts w:eastAsia="Times New Roman" w:cs="Times New Roman"/>
          <w:kern w:val="0"/>
          <w:lang w:eastAsia="en-GB"/>
          <w14:ligatures w14:val="none"/>
        </w:rPr>
        <w:t>occurs</w:t>
      </w:r>
      <w:r w:rsidRPr="00121EC2">
        <w:rPr>
          <w:rFonts w:eastAsia="Times New Roman" w:cs="Times New Roman"/>
          <w:kern w:val="0"/>
          <w:lang w:eastAsia="en-GB"/>
          <w14:ligatures w14:val="none"/>
        </w:rPr>
        <w:t xml:space="preserve"> within a coach–coachee–organisation triad shaped by power. Coaching space is therefore not neutral. It may help people manage workload, uncertainty or difficult relationships while leaving the organisational structures </w:t>
      </w:r>
      <w:r>
        <w:rPr>
          <w:rFonts w:eastAsia="Times New Roman" w:cs="Times New Roman"/>
          <w:kern w:val="0"/>
          <w:lang w:eastAsia="en-GB"/>
          <w14:ligatures w14:val="none"/>
        </w:rPr>
        <w:t>that produce</w:t>
      </w:r>
      <w:r w:rsidRPr="00121EC2">
        <w:rPr>
          <w:rFonts w:eastAsia="Times New Roman" w:cs="Times New Roman"/>
          <w:kern w:val="0"/>
          <w:lang w:eastAsia="en-GB"/>
          <w14:ligatures w14:val="none"/>
        </w:rPr>
        <w:t xml:space="preserve"> those experiences intact. An employee becoming better able to tolerate a poor working environment is not evidence that the work itself has become more decent.</w:t>
      </w:r>
    </w:p>
    <w:p w14:paraId="2B60F759"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Pr>
          <w:rFonts w:eastAsia="Times New Roman" w:cs="Times New Roman"/>
          <w:kern w:val="0"/>
          <w:lang w:eastAsia="en-GB"/>
          <w14:ligatures w14:val="none"/>
        </w:rPr>
        <w:t>The ILO Decent Work Agenda reinforces this boundary by emphasising employment, rights at work, social protection and social dialogue. SDG Targets 8.5 and 8.8 likewise address employment, equal pay, labour rights and safe working conditions. Coaching may influence some proximal conditions by increasing career agency, confidence, leadership capability or the quality of workplace conversations. Coaching leaders could also contribute indirectly to improved management. It cannot, by itself, determine pay equity, establish labour rights, guarantee employment security or provide social protection. Those outcomes depend substantially on organisational and institutional arrangements.</w:t>
      </w:r>
    </w:p>
    <w:p w14:paraId="41FDDC56"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kern w:val="0"/>
          <w:lang w:eastAsia="en-GB"/>
          <w14:ligatures w14:val="none"/>
        </w:rPr>
        <w:t xml:space="preserve">There is also tension between productivity and decent work. Rai, Brown and Ruwanpura (2019) identify contradictions within SDG 8 between growth objectives and </w:t>
      </w:r>
      <w:r>
        <w:rPr>
          <w:rFonts w:eastAsia="Times New Roman" w:cs="Times New Roman"/>
          <w:kern w:val="0"/>
          <w:lang w:eastAsia="en-GB"/>
          <w14:ligatures w14:val="none"/>
        </w:rPr>
        <w:t>broa</w:t>
      </w:r>
      <w:r w:rsidRPr="00121EC2">
        <w:rPr>
          <w:rFonts w:eastAsia="Times New Roman" w:cs="Times New Roman"/>
          <w:kern w:val="0"/>
          <w:lang w:eastAsia="en-GB"/>
          <w14:ligatures w14:val="none"/>
        </w:rPr>
        <w:t xml:space="preserve">der concerns about labour rights, gender and social reproduction. Frey and MacNaughton </w:t>
      </w:r>
      <w:r w:rsidRPr="00121EC2">
        <w:rPr>
          <w:rFonts w:eastAsia="Times New Roman" w:cs="Times New Roman"/>
          <w:kern w:val="0"/>
          <w:lang w:eastAsia="en-GB"/>
          <w14:ligatures w14:val="none"/>
        </w:rPr>
        <w:lastRenderedPageBreak/>
        <w:t xml:space="preserve">(2016) likewise question whether growth-focused development frameworks adequately capture the human-rights dimensions of decent work. Increased output should therefore not be assumed to advance SDG 8 </w:t>
      </w:r>
      <w:r>
        <w:rPr>
          <w:rFonts w:eastAsia="Times New Roman" w:cs="Times New Roman"/>
          <w:kern w:val="0"/>
          <w:lang w:eastAsia="en-GB"/>
          <w14:ligatures w14:val="none"/>
        </w:rPr>
        <w:t>if</w:t>
      </w:r>
      <w:r w:rsidRPr="00121EC2">
        <w:rPr>
          <w:rFonts w:eastAsia="Times New Roman" w:cs="Times New Roman"/>
          <w:kern w:val="0"/>
          <w:lang w:eastAsia="en-GB"/>
          <w14:ligatures w14:val="none"/>
        </w:rPr>
        <w:t xml:space="preserve"> it coexists with insecurity, inequality or deteriorating working conditions.</w:t>
      </w:r>
    </w:p>
    <w:p w14:paraId="42FAA243"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kern w:val="0"/>
          <w:lang w:eastAsia="en-GB"/>
          <w14:ligatures w14:val="none"/>
        </w:rPr>
        <w:t xml:space="preserve">The link to economic growth is the least </w:t>
      </w:r>
      <w:r>
        <w:rPr>
          <w:rFonts w:eastAsia="Times New Roman" w:cs="Times New Roman"/>
          <w:kern w:val="0"/>
          <w:lang w:eastAsia="en-GB"/>
          <w14:ligatures w14:val="none"/>
        </w:rPr>
        <w:t xml:space="preserve">well </w:t>
      </w:r>
      <w:r w:rsidRPr="00121EC2">
        <w:rPr>
          <w:rFonts w:eastAsia="Times New Roman" w:cs="Times New Roman"/>
          <w:kern w:val="0"/>
          <w:lang w:eastAsia="en-GB"/>
          <w14:ligatures w14:val="none"/>
        </w:rPr>
        <w:t>evidenced. Existing research supports the view that coaching can improve capabilities relevant to productive work. It provides much less evidence that coaching improves the institutional conditions defining decent work, and no convincing basis for attributing macroeconomic growth to the industry. Professional coaching can therefore be said to make a plausible, partly evidenced contribution to human capability and workplace performance under SDG 8; claims that it creates decent work or sustainable economic growth exceed what the evidence presently supports.</w:t>
      </w:r>
    </w:p>
    <w:p w14:paraId="242FC812" w14:textId="77777777" w:rsidR="008132F9" w:rsidRPr="00121EC2" w:rsidRDefault="008132F9" w:rsidP="008132F9">
      <w:pPr>
        <w:spacing w:before="100" w:beforeAutospacing="1" w:after="100" w:afterAutospacing="1" w:line="360" w:lineRule="auto"/>
        <w:outlineLvl w:val="2"/>
        <w:rPr>
          <w:rFonts w:eastAsia="Times New Roman" w:cs="Times New Roman"/>
          <w:b/>
          <w:bCs/>
          <w:kern w:val="0"/>
          <w:lang w:eastAsia="en-GB"/>
          <w14:ligatures w14:val="none"/>
        </w:rPr>
      </w:pPr>
      <w:r>
        <w:rPr>
          <w:rFonts w:eastAsia="Times New Roman" w:cs="Times New Roman"/>
          <w:b/>
          <w:bCs/>
          <w:kern w:val="0"/>
          <w:lang w:eastAsia="en-GB"/>
          <w14:ligatures w14:val="none"/>
        </w:rPr>
        <w:t>4</w:t>
      </w:r>
      <w:r w:rsidRPr="00121EC2">
        <w:rPr>
          <w:rFonts w:eastAsia="Times New Roman" w:cs="Times New Roman"/>
          <w:b/>
          <w:bCs/>
          <w:kern w:val="0"/>
          <w:lang w:eastAsia="en-GB"/>
          <w14:ligatures w14:val="none"/>
        </w:rPr>
        <w:t>.4 Access, inequality and distribution: who receives the benefit?</w:t>
      </w:r>
    </w:p>
    <w:p w14:paraId="581B2B50"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kern w:val="0"/>
          <w:lang w:eastAsia="en-GB"/>
          <w14:ligatures w14:val="none"/>
        </w:rPr>
        <w:t xml:space="preserve">The difference between individual effectiveness and industry contribution becomes most </w:t>
      </w:r>
      <w:r>
        <w:rPr>
          <w:rFonts w:eastAsia="Times New Roman" w:cs="Times New Roman"/>
          <w:kern w:val="0"/>
          <w:lang w:eastAsia="en-GB"/>
          <w14:ligatures w14:val="none"/>
        </w:rPr>
        <w:t>apparent</w:t>
      </w:r>
      <w:r w:rsidRPr="00121EC2">
        <w:rPr>
          <w:rFonts w:eastAsia="Times New Roman" w:cs="Times New Roman"/>
          <w:kern w:val="0"/>
          <w:lang w:eastAsia="en-GB"/>
          <w14:ligatures w14:val="none"/>
        </w:rPr>
        <w:t xml:space="preserve"> when distribution is considered. SDG 4 and SDG 8 are universalising goals: both are concerned with opportunities for all. An industry could therefore generate substantial benefits for its clients while making only a limited sustainable-development contribution if those benefits remain concentrated among already advantaged groups.</w:t>
      </w:r>
    </w:p>
    <w:p w14:paraId="25596E8F"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Pr>
          <w:rFonts w:eastAsia="Times New Roman" w:cs="Times New Roman"/>
          <w:kern w:val="0"/>
          <w:lang w:eastAsia="en-GB"/>
          <w14:ligatures w14:val="none"/>
        </w:rPr>
        <w:t>Current industry data more clearly establish growth than equitable reach. ICF estimates demonstrate substantial global capacity, and digital provision may reduce geographical barriers. Employer sponsorship can also remove direct costs for participants. Yet when employers fund coaching, they often decide who receives it. The relevant question is therefore not only whether coaching has moved beyond senior executives, but also how access varies across occupational level, income, disability, gender, region and other dimensions relevant to 4.5 and 8.5.</w:t>
      </w:r>
    </w:p>
    <w:p w14:paraId="72F33D43"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kern w:val="0"/>
          <w:lang w:eastAsia="en-GB"/>
          <w14:ligatures w14:val="none"/>
        </w:rPr>
        <w:t>Selection itself may also shape the evidence base. Employees chosen for coaching may already be regarded as high</w:t>
      </w:r>
      <w:r>
        <w:rPr>
          <w:rFonts w:eastAsia="Times New Roman" w:cs="Times New Roman"/>
          <w:kern w:val="0"/>
          <w:lang w:eastAsia="en-GB"/>
          <w14:ligatures w14:val="none"/>
        </w:rPr>
        <w:t xml:space="preserve"> potential</w:t>
      </w:r>
      <w:r w:rsidRPr="00121EC2">
        <w:rPr>
          <w:rFonts w:eastAsia="Times New Roman" w:cs="Times New Roman"/>
          <w:kern w:val="0"/>
          <w:lang w:eastAsia="en-GB"/>
          <w14:ligatures w14:val="none"/>
        </w:rPr>
        <w:t xml:space="preserve">, occupy roles with greater discretion, or work in organisations willing to invest in development. Their subsequent outcomes cannot </w:t>
      </w:r>
      <w:r w:rsidRPr="00121EC2">
        <w:rPr>
          <w:rFonts w:eastAsia="Times New Roman" w:cs="Times New Roman"/>
          <w:kern w:val="0"/>
          <w:lang w:eastAsia="en-GB"/>
          <w14:ligatures w14:val="none"/>
        </w:rPr>
        <w:lastRenderedPageBreak/>
        <w:t>be assumed to generalise to workers with less autonomy or fewer resources. This creates a distributional problem alongside the methodological one: the people for whom coaching is most often studied may not be those most exposed to constrained learning opportunities or poor-quality work.</w:t>
      </w:r>
    </w:p>
    <w:p w14:paraId="788220F5"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Pr>
          <w:rFonts w:eastAsia="Times New Roman" w:cs="Times New Roman"/>
          <w:kern w:val="0"/>
          <w:lang w:eastAsia="en-GB"/>
          <w14:ligatures w14:val="none"/>
        </w:rPr>
        <w:t xml:space="preserve">This is more than an inconvenient gap in the data. If coaching disproportionately reaches people who already have educational, occupational and organisational advantages, its benefits could compound existing inequalities. If </w:t>
      </w:r>
      <w:proofErr w:type="gramStart"/>
      <w:r>
        <w:rPr>
          <w:rFonts w:eastAsia="Times New Roman" w:cs="Times New Roman"/>
          <w:kern w:val="0"/>
          <w:lang w:eastAsia="en-GB"/>
          <w14:ligatures w14:val="none"/>
        </w:rPr>
        <w:t>high quality</w:t>
      </w:r>
      <w:proofErr w:type="gramEnd"/>
      <w:r>
        <w:rPr>
          <w:rFonts w:eastAsia="Times New Roman" w:cs="Times New Roman"/>
          <w:kern w:val="0"/>
          <w:lang w:eastAsia="en-GB"/>
          <w14:ligatures w14:val="none"/>
        </w:rPr>
        <w:t xml:space="preserve"> coaching </w:t>
      </w:r>
      <w:proofErr w:type="gramStart"/>
      <w:r>
        <w:rPr>
          <w:rFonts w:eastAsia="Times New Roman" w:cs="Times New Roman"/>
          <w:kern w:val="0"/>
          <w:lang w:eastAsia="en-GB"/>
          <w14:ligatures w14:val="none"/>
        </w:rPr>
        <w:t>were</w:t>
      </w:r>
      <w:proofErr w:type="gramEnd"/>
      <w:r>
        <w:rPr>
          <w:rFonts w:eastAsia="Times New Roman" w:cs="Times New Roman"/>
          <w:kern w:val="0"/>
          <w:lang w:eastAsia="en-GB"/>
          <w14:ligatures w14:val="none"/>
        </w:rPr>
        <w:t xml:space="preserve"> deliberately extended to those with fewer developmental resources, it might instead widen capability and agency. The present evidence base does not allow either proposition to be confidently established.</w:t>
      </w:r>
    </w:p>
    <w:p w14:paraId="33374D51"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kern w:val="0"/>
          <w:lang w:eastAsia="en-GB"/>
          <w14:ligatures w14:val="none"/>
        </w:rPr>
        <w:t xml:space="preserve">Equity must therefore be assessed separately from effectiveness. </w:t>
      </w:r>
      <w:r w:rsidRPr="00121EC2">
        <w:rPr>
          <w:rFonts w:eastAsia="Times New Roman" w:cs="Times New Roman"/>
          <w:b/>
          <w:bCs/>
          <w:kern w:val="0"/>
          <w:lang w:eastAsia="en-GB"/>
          <w14:ligatures w14:val="none"/>
        </w:rPr>
        <w:t xml:space="preserve">Does coaching work? Who </w:t>
      </w:r>
      <w:r>
        <w:rPr>
          <w:rFonts w:eastAsia="Times New Roman" w:cs="Times New Roman"/>
          <w:b/>
          <w:bCs/>
          <w:kern w:val="0"/>
          <w:lang w:eastAsia="en-GB"/>
          <w14:ligatures w14:val="none"/>
        </w:rPr>
        <w:t>receive</w:t>
      </w:r>
      <w:r w:rsidRPr="00121EC2">
        <w:rPr>
          <w:rFonts w:eastAsia="Times New Roman" w:cs="Times New Roman"/>
          <w:b/>
          <w:bCs/>
          <w:kern w:val="0"/>
          <w:lang w:eastAsia="en-GB"/>
          <w14:ligatures w14:val="none"/>
        </w:rPr>
        <w:t>s coaching? And are its benefits reaching those whose access to learning and decent work is most constrained?</w:t>
      </w:r>
      <w:r w:rsidRPr="00121EC2">
        <w:rPr>
          <w:rFonts w:eastAsia="Times New Roman" w:cs="Times New Roman"/>
          <w:kern w:val="0"/>
          <w:lang w:eastAsia="en-GB"/>
          <w14:ligatures w14:val="none"/>
        </w:rPr>
        <w:t xml:space="preserve"> The first question has a much stronger answer than the second and third. That asymmetry materially limits claims of</w:t>
      </w:r>
      <w:r>
        <w:rPr>
          <w:rFonts w:eastAsia="Times New Roman" w:cs="Times New Roman"/>
          <w:kern w:val="0"/>
          <w:lang w:eastAsia="en-GB"/>
          <w14:ligatures w14:val="none"/>
        </w:rPr>
        <w:t xml:space="preserve"> an</w:t>
      </w:r>
      <w:r w:rsidRPr="00121EC2">
        <w:rPr>
          <w:rFonts w:eastAsia="Times New Roman" w:cs="Times New Roman"/>
          <w:kern w:val="0"/>
          <w:lang w:eastAsia="en-GB"/>
          <w14:ligatures w14:val="none"/>
        </w:rPr>
        <w:t xml:space="preserve"> inclusive, industry</w:t>
      </w:r>
      <w:r>
        <w:rPr>
          <w:rFonts w:eastAsia="Times New Roman" w:cs="Times New Roman"/>
          <w:kern w:val="0"/>
          <w:lang w:eastAsia="en-GB"/>
          <w14:ligatures w14:val="none"/>
        </w:rPr>
        <w:t xml:space="preserve"> </w:t>
      </w:r>
      <w:r w:rsidRPr="00121EC2">
        <w:rPr>
          <w:rFonts w:eastAsia="Times New Roman" w:cs="Times New Roman"/>
          <w:kern w:val="0"/>
          <w:lang w:eastAsia="en-GB"/>
          <w14:ligatures w14:val="none"/>
        </w:rPr>
        <w:t>level contribution.</w:t>
      </w:r>
    </w:p>
    <w:p w14:paraId="6B9DEF12" w14:textId="77777777" w:rsidR="008132F9" w:rsidRPr="00121EC2" w:rsidRDefault="008132F9" w:rsidP="008132F9">
      <w:pPr>
        <w:spacing w:before="100" w:beforeAutospacing="1" w:after="100" w:afterAutospacing="1" w:line="360" w:lineRule="auto"/>
        <w:outlineLvl w:val="2"/>
        <w:rPr>
          <w:rFonts w:eastAsia="Times New Roman" w:cs="Times New Roman"/>
          <w:b/>
          <w:bCs/>
          <w:kern w:val="0"/>
          <w:lang w:eastAsia="en-GB"/>
          <w14:ligatures w14:val="none"/>
        </w:rPr>
      </w:pPr>
      <w:r>
        <w:rPr>
          <w:rFonts w:eastAsia="Times New Roman" w:cs="Times New Roman"/>
          <w:b/>
          <w:bCs/>
          <w:kern w:val="0"/>
          <w:lang w:eastAsia="en-GB"/>
          <w14:ligatures w14:val="none"/>
        </w:rPr>
        <w:t>4</w:t>
      </w:r>
      <w:r w:rsidRPr="00121EC2">
        <w:rPr>
          <w:rFonts w:eastAsia="Times New Roman" w:cs="Times New Roman"/>
          <w:b/>
          <w:bCs/>
          <w:kern w:val="0"/>
          <w:lang w:eastAsia="en-GB"/>
          <w14:ligatures w14:val="none"/>
        </w:rPr>
        <w:t>.5 Ethics, power and the risk of individualising structural problems</w:t>
      </w:r>
    </w:p>
    <w:p w14:paraId="24E96CCB"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Pr>
          <w:rFonts w:eastAsia="Times New Roman" w:cs="Times New Roman"/>
          <w:kern w:val="0"/>
          <w:lang w:eastAsia="en-GB"/>
          <w14:ligatures w14:val="none"/>
        </w:rPr>
        <w:t xml:space="preserve">A further limitation concerns the location of problems. Shoukry and Cox (2018) challenge the individualistic discourse surrounding much coaching and argue for greater attention to social processes, power and neoliberal assumptions. Louis and </w:t>
      </w:r>
      <w:proofErr w:type="spellStart"/>
      <w:r>
        <w:rPr>
          <w:rFonts w:eastAsia="Times New Roman" w:cs="Times New Roman"/>
          <w:kern w:val="0"/>
          <w:lang w:eastAsia="en-GB"/>
          <w14:ligatures w14:val="none"/>
        </w:rPr>
        <w:t>Fatien</w:t>
      </w:r>
      <w:proofErr w:type="spellEnd"/>
      <w:r>
        <w:rPr>
          <w:rFonts w:eastAsia="Times New Roman" w:cs="Times New Roman"/>
          <w:kern w:val="0"/>
          <w:lang w:eastAsia="en-GB"/>
          <w14:ligatures w14:val="none"/>
        </w:rPr>
        <w:t xml:space="preserve"> Diochon (2018) likewise show that organisational coaching is embedded within sponsor relationships and organisational power. Confidentiality and developmental intent do not render the coaching space politically neutral.</w:t>
      </w:r>
    </w:p>
    <w:p w14:paraId="29FF66C3"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Pr>
          <w:rFonts w:eastAsia="Times New Roman" w:cs="Times New Roman"/>
          <w:kern w:val="0"/>
          <w:lang w:eastAsia="en-GB"/>
          <w14:ligatures w14:val="none"/>
        </w:rPr>
        <w:t xml:space="preserve">This matters when a presenting difficulty has structural origins. Excessive workload, insecure employment, discrimination, inadequate resources, poor role design or dysfunctional management may cause genuine individual distress or underperformance, but these are not primarily due to individual psychological deficits. Coaching may still help a person think, act or exercise agency more effectively. The risk arises when improved coping is treated as evidence that the original problem has been solved. Responsibility can then shift, often subtly, from the organisation that creates </w:t>
      </w:r>
      <w:r>
        <w:rPr>
          <w:rFonts w:eastAsia="Times New Roman" w:cs="Times New Roman"/>
          <w:kern w:val="0"/>
          <w:lang w:eastAsia="en-GB"/>
          <w14:ligatures w14:val="none"/>
        </w:rPr>
        <w:lastRenderedPageBreak/>
        <w:t>the conditions to the individual expected to become sufficiently resilient or adaptable to withstand them.</w:t>
      </w:r>
    </w:p>
    <w:p w14:paraId="46161776"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kern w:val="0"/>
          <w:lang w:eastAsia="en-GB"/>
          <w14:ligatures w14:val="none"/>
        </w:rPr>
        <w:t>Coaching need not play that role. It can help participants question assumptions, challenge practice, use their voice</w:t>
      </w:r>
      <w:r>
        <w:rPr>
          <w:rFonts w:eastAsia="Times New Roman" w:cs="Times New Roman"/>
          <w:kern w:val="0"/>
          <w:lang w:eastAsia="en-GB"/>
          <w14:ligatures w14:val="none"/>
        </w:rPr>
        <w:t>,</w:t>
      </w:r>
      <w:r w:rsidRPr="00121EC2">
        <w:rPr>
          <w:rFonts w:eastAsia="Times New Roman" w:cs="Times New Roman"/>
          <w:kern w:val="0"/>
          <w:lang w:eastAsia="en-GB"/>
          <w14:ligatures w14:val="none"/>
        </w:rPr>
        <w:t xml:space="preserve"> and contribute to change. In that sense, coaching may support structural transformation rather than substitute for it. Whether it does so depend partly on organisational receptiveness and on whether insights generated in coaching can influence the system beyond the individual. Research on coaching culture begins to address this wider context, but evidence on system-level mechanisms remains less mature than evidence of individual effects (</w:t>
      </w:r>
      <w:proofErr w:type="spellStart"/>
      <w:r w:rsidRPr="00121EC2">
        <w:rPr>
          <w:rFonts w:eastAsia="Times New Roman" w:cs="Times New Roman"/>
          <w:kern w:val="0"/>
          <w:lang w:eastAsia="en-GB"/>
          <w14:ligatures w14:val="none"/>
        </w:rPr>
        <w:t>Kapoutzis</w:t>
      </w:r>
      <w:proofErr w:type="spellEnd"/>
      <w:r w:rsidRPr="00121EC2">
        <w:rPr>
          <w:rFonts w:eastAsia="Times New Roman" w:cs="Times New Roman"/>
          <w:kern w:val="0"/>
          <w:lang w:eastAsia="en-GB"/>
          <w14:ligatures w14:val="none"/>
        </w:rPr>
        <w:t xml:space="preserve"> et al., 2024; Woods, Jones and Guillaume, 2026).</w:t>
      </w:r>
    </w:p>
    <w:p w14:paraId="588EF4CA"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Pr>
          <w:rFonts w:eastAsia="Times New Roman" w:cs="Times New Roman"/>
          <w:kern w:val="0"/>
          <w:lang w:eastAsia="en-GB"/>
          <w14:ligatures w14:val="none"/>
        </w:rPr>
        <w:t>This is where the political reading of coaching becomes useful rather than merely critical. If the coaching relationship creates a temporary space in which dominant organisational assumptions can be questioned, it may increase the participant’s capacity to see and contest conditions previously treated as inevitable. The same space can, however, be used in the opposite direction: to help an employee adjust to expectations that remain unquestioned by the sponsor. The developmental value of coaching therefore cannot be assessed solely by whether the participant changes. It also matters what they are enabled to change, whose interests the change serves, and whether the organisation is prepared to learn from what becomes visible through coaching.</w:t>
      </w:r>
    </w:p>
    <w:p w14:paraId="7F51CAF0"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kern w:val="0"/>
          <w:lang w:eastAsia="en-GB"/>
          <w14:ligatures w14:val="none"/>
        </w:rPr>
        <w:t>Ethical assessment must also a</w:t>
      </w:r>
      <w:r>
        <w:rPr>
          <w:rFonts w:eastAsia="Times New Roman" w:cs="Times New Roman"/>
          <w:kern w:val="0"/>
          <w:lang w:eastAsia="en-GB"/>
          <w14:ligatures w14:val="none"/>
        </w:rPr>
        <w:t>ccount</w:t>
      </w:r>
      <w:r w:rsidRPr="00121EC2">
        <w:rPr>
          <w:rFonts w:eastAsia="Times New Roman" w:cs="Times New Roman"/>
          <w:kern w:val="0"/>
          <w:lang w:eastAsia="en-GB"/>
          <w14:ligatures w14:val="none"/>
        </w:rPr>
        <w:t xml:space="preserve"> for unintended harm. </w:t>
      </w:r>
      <w:proofErr w:type="spellStart"/>
      <w:r w:rsidRPr="00121EC2">
        <w:rPr>
          <w:rFonts w:eastAsia="Times New Roman" w:cs="Times New Roman"/>
          <w:kern w:val="0"/>
          <w:lang w:eastAsia="en-GB"/>
          <w14:ligatures w14:val="none"/>
        </w:rPr>
        <w:t>Graßmann</w:t>
      </w:r>
      <w:proofErr w:type="spellEnd"/>
      <w:r w:rsidRPr="00121EC2">
        <w:rPr>
          <w:rFonts w:eastAsia="Times New Roman" w:cs="Times New Roman"/>
          <w:kern w:val="0"/>
          <w:lang w:eastAsia="en-GB"/>
          <w14:ligatures w14:val="none"/>
        </w:rPr>
        <w:t xml:space="preserve"> and </w:t>
      </w:r>
      <w:proofErr w:type="spellStart"/>
      <w:r w:rsidRPr="00121EC2">
        <w:rPr>
          <w:rFonts w:eastAsia="Times New Roman" w:cs="Times New Roman"/>
          <w:kern w:val="0"/>
          <w:lang w:eastAsia="en-GB"/>
          <w14:ligatures w14:val="none"/>
        </w:rPr>
        <w:t>Schermuly</w:t>
      </w:r>
      <w:proofErr w:type="spellEnd"/>
      <w:r w:rsidRPr="00121EC2">
        <w:rPr>
          <w:rFonts w:eastAsia="Times New Roman" w:cs="Times New Roman"/>
          <w:kern w:val="0"/>
          <w:lang w:eastAsia="en-GB"/>
          <w14:ligatures w14:val="none"/>
        </w:rPr>
        <w:t xml:space="preserve"> (2016) found that </w:t>
      </w:r>
      <w:proofErr w:type="spellStart"/>
      <w:r w:rsidRPr="00121EC2">
        <w:rPr>
          <w:rFonts w:eastAsia="Times New Roman" w:cs="Times New Roman"/>
          <w:kern w:val="0"/>
          <w:lang w:eastAsia="en-GB"/>
          <w14:ligatures w14:val="none"/>
        </w:rPr>
        <w:t>coachees</w:t>
      </w:r>
      <w:proofErr w:type="spellEnd"/>
      <w:r w:rsidRPr="00121EC2">
        <w:rPr>
          <w:rFonts w:eastAsia="Times New Roman" w:cs="Times New Roman"/>
          <w:kern w:val="0"/>
          <w:lang w:eastAsia="en-GB"/>
          <w14:ligatures w14:val="none"/>
        </w:rPr>
        <w:t xml:space="preserve"> can experience adverse side-effects, and </w:t>
      </w:r>
      <w:proofErr w:type="spellStart"/>
      <w:r w:rsidRPr="00121EC2">
        <w:rPr>
          <w:rFonts w:eastAsia="Times New Roman" w:cs="Times New Roman"/>
          <w:kern w:val="0"/>
          <w:lang w:eastAsia="en-GB"/>
          <w14:ligatures w14:val="none"/>
        </w:rPr>
        <w:t>Schermuly</w:t>
      </w:r>
      <w:proofErr w:type="spellEnd"/>
      <w:r w:rsidRPr="00121EC2">
        <w:rPr>
          <w:rFonts w:eastAsia="Times New Roman" w:cs="Times New Roman"/>
          <w:kern w:val="0"/>
          <w:lang w:eastAsia="en-GB"/>
          <w14:ligatures w14:val="none"/>
        </w:rPr>
        <w:t xml:space="preserve"> and </w:t>
      </w:r>
      <w:proofErr w:type="spellStart"/>
      <w:r w:rsidRPr="00121EC2">
        <w:rPr>
          <w:rFonts w:eastAsia="Times New Roman" w:cs="Times New Roman"/>
          <w:kern w:val="0"/>
          <w:lang w:eastAsia="en-GB"/>
          <w14:ligatures w14:val="none"/>
        </w:rPr>
        <w:t>Graßmann</w:t>
      </w:r>
      <w:proofErr w:type="spellEnd"/>
      <w:r w:rsidRPr="00121EC2">
        <w:rPr>
          <w:rFonts w:eastAsia="Times New Roman" w:cs="Times New Roman"/>
          <w:kern w:val="0"/>
          <w:lang w:eastAsia="en-GB"/>
          <w14:ligatures w14:val="none"/>
        </w:rPr>
        <w:t xml:space="preserve"> (2019) concluded that negative effects do occur, although most reported effects were of relatively low intensity. Cannon-Bowers et al. (2023) likewise identify unwanted effects as an area requiring further study. Positive average outcomes therefore do not remove the need for competence, ethical contracting, supervision and attention to power.</w:t>
      </w:r>
    </w:p>
    <w:p w14:paraId="7FE3460E"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Pr>
          <w:rFonts w:eastAsia="Times New Roman" w:cs="Times New Roman"/>
          <w:kern w:val="0"/>
          <w:lang w:eastAsia="en-GB"/>
          <w14:ligatures w14:val="none"/>
        </w:rPr>
        <w:t xml:space="preserve">The more defensible relationship between coaching and organisational development is symbiotic rather than substitutive. Coaching can strengthen individual and relational capabilities, while organisational action addresses systems, resources, employment </w:t>
      </w:r>
      <w:r>
        <w:rPr>
          <w:rFonts w:eastAsia="Times New Roman" w:cs="Times New Roman"/>
          <w:kern w:val="0"/>
          <w:lang w:eastAsia="en-GB"/>
          <w14:ligatures w14:val="none"/>
        </w:rPr>
        <w:lastRenderedPageBreak/>
        <w:t>conditions, leadership practice and power. When the two reinforce one another, individual learning has a more plausible route to wider, sustainable change. Where structural action is absent, coaching may remain valuable to participants, but the claim of contribution to sustainable development should remain correspondingly modest.</w:t>
      </w:r>
    </w:p>
    <w:p w14:paraId="4D038471" w14:textId="77777777" w:rsidR="008132F9" w:rsidRPr="00121EC2" w:rsidRDefault="008132F9" w:rsidP="008132F9">
      <w:pPr>
        <w:spacing w:before="100" w:beforeAutospacing="1" w:after="100" w:afterAutospacing="1" w:line="360" w:lineRule="auto"/>
        <w:outlineLvl w:val="2"/>
        <w:rPr>
          <w:rFonts w:eastAsia="Times New Roman" w:cs="Times New Roman"/>
          <w:b/>
          <w:bCs/>
          <w:kern w:val="0"/>
          <w:lang w:eastAsia="en-GB"/>
          <w14:ligatures w14:val="none"/>
        </w:rPr>
      </w:pPr>
      <w:r>
        <w:rPr>
          <w:rFonts w:eastAsia="Times New Roman" w:cs="Times New Roman"/>
          <w:b/>
          <w:bCs/>
          <w:kern w:val="0"/>
          <w:lang w:eastAsia="en-GB"/>
          <w14:ligatures w14:val="none"/>
        </w:rPr>
        <w:t>4</w:t>
      </w:r>
      <w:r w:rsidRPr="00121EC2">
        <w:rPr>
          <w:rFonts w:eastAsia="Times New Roman" w:cs="Times New Roman"/>
          <w:b/>
          <w:bCs/>
          <w:kern w:val="0"/>
          <w:lang w:eastAsia="en-GB"/>
          <w14:ligatures w14:val="none"/>
        </w:rPr>
        <w:t>.6 How far does the evidence travel?</w:t>
      </w:r>
    </w:p>
    <w:p w14:paraId="1AFCB88C" w14:textId="77777777" w:rsidR="008132F9" w:rsidRDefault="008132F9" w:rsidP="008132F9">
      <w:pPr>
        <w:spacing w:before="100" w:beforeAutospacing="1" w:after="100" w:afterAutospacing="1" w:line="360" w:lineRule="auto"/>
        <w:rPr>
          <w:rFonts w:eastAsia="Times New Roman" w:cs="Times New Roman"/>
          <w:kern w:val="0"/>
          <w:lang w:eastAsia="en-GB"/>
          <w14:ligatures w14:val="none"/>
        </w:rPr>
      </w:pPr>
      <w:r>
        <w:t>Applying the framework from Section 2.5 produces a qualified but clear conclusion: evidence supports coaching’s individual and workplace developmental value.</w:t>
      </w:r>
      <w:r w:rsidRPr="00121EC2">
        <w:rPr>
          <w:rFonts w:eastAsia="Times New Roman" w:cs="Times New Roman"/>
          <w:kern w:val="0"/>
          <w:lang w:eastAsia="en-GB"/>
          <w14:ligatures w14:val="none"/>
        </w:rPr>
        <w:t xml:space="preserve"> </w:t>
      </w:r>
    </w:p>
    <w:p w14:paraId="6C409000"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kern w:val="0"/>
          <w:lang w:eastAsia="en-GB"/>
          <w14:ligatures w14:val="none"/>
        </w:rPr>
        <w:t xml:space="preserve">For </w:t>
      </w:r>
      <w:r w:rsidRPr="00C1721D">
        <w:rPr>
          <w:rFonts w:eastAsia="Times New Roman" w:cs="Times New Roman"/>
          <w:kern w:val="0"/>
          <w:lang w:eastAsia="en-GB"/>
          <w14:ligatures w14:val="none"/>
        </w:rPr>
        <w:t>SDG 4</w:t>
      </w:r>
      <w:r w:rsidRPr="00121EC2">
        <w:rPr>
          <w:rFonts w:eastAsia="Times New Roman" w:cs="Times New Roman"/>
          <w:kern w:val="0"/>
          <w:lang w:eastAsia="en-GB"/>
          <w14:ligatures w14:val="none"/>
        </w:rPr>
        <w:t xml:space="preserve">, the evidence </w:t>
      </w:r>
      <w:r>
        <w:rPr>
          <w:rFonts w:eastAsia="Times New Roman" w:cs="Times New Roman"/>
          <w:kern w:val="0"/>
          <w:lang w:eastAsia="en-GB"/>
          <w14:ligatures w14:val="none"/>
        </w:rPr>
        <w:t>extend</w:t>
      </w:r>
      <w:r w:rsidRPr="00121EC2">
        <w:rPr>
          <w:rFonts w:eastAsia="Times New Roman" w:cs="Times New Roman"/>
          <w:kern w:val="0"/>
          <w:lang w:eastAsia="en-GB"/>
          <w14:ligatures w14:val="none"/>
        </w:rPr>
        <w:t xml:space="preserve">s furthest towards Target 4.4: coaching can support learning, self-regulation and employment-relevant capability. Its contribution to 4.3 is more indirect, while evidence is insufficient to establish the equitable access demanded by 4.5. For </w:t>
      </w:r>
      <w:r w:rsidRPr="00C1721D">
        <w:rPr>
          <w:rFonts w:eastAsia="Times New Roman" w:cs="Times New Roman"/>
          <w:kern w:val="0"/>
          <w:lang w:eastAsia="en-GB"/>
          <w14:ligatures w14:val="none"/>
        </w:rPr>
        <w:t>SDG 8</w:t>
      </w:r>
      <w:r w:rsidRPr="00121EC2">
        <w:rPr>
          <w:rFonts w:eastAsia="Times New Roman" w:cs="Times New Roman"/>
          <w:kern w:val="0"/>
          <w:lang w:eastAsia="en-GB"/>
          <w14:ligatures w14:val="none"/>
        </w:rPr>
        <w:t xml:space="preserve">, the evidence supports </w:t>
      </w:r>
      <w:r>
        <w:rPr>
          <w:rFonts w:eastAsia="Times New Roman" w:cs="Times New Roman"/>
          <w:kern w:val="0"/>
          <w:lang w:eastAsia="en-GB"/>
          <w14:ligatures w14:val="none"/>
        </w:rPr>
        <w:t>the link</w:t>
      </w:r>
      <w:r w:rsidRPr="00121EC2">
        <w:rPr>
          <w:rFonts w:eastAsia="Times New Roman" w:cs="Times New Roman"/>
          <w:kern w:val="0"/>
          <w:lang w:eastAsia="en-GB"/>
          <w14:ligatures w14:val="none"/>
        </w:rPr>
        <w:t xml:space="preserve"> from coaching to individual capability and performance but becomes progressively more inferential as the argument moves towards productivity, productive employment and decent work. It does not support attributi</w:t>
      </w:r>
      <w:r>
        <w:rPr>
          <w:rFonts w:eastAsia="Times New Roman" w:cs="Times New Roman"/>
          <w:kern w:val="0"/>
          <w:lang w:eastAsia="en-GB"/>
          <w14:ligatures w14:val="none"/>
        </w:rPr>
        <w:t>ng</w:t>
      </w:r>
      <w:r w:rsidRPr="00121EC2">
        <w:rPr>
          <w:rFonts w:eastAsia="Times New Roman" w:cs="Times New Roman"/>
          <w:kern w:val="0"/>
          <w:lang w:eastAsia="en-GB"/>
          <w14:ligatures w14:val="none"/>
        </w:rPr>
        <w:t xml:space="preserve"> macroeconomic growth.</w:t>
      </w:r>
    </w:p>
    <w:p w14:paraId="03E1323C"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Pr>
          <w:rFonts w:eastAsia="Times New Roman" w:cs="Times New Roman"/>
          <w:kern w:val="0"/>
          <w:lang w:eastAsia="en-GB"/>
          <w14:ligatures w14:val="none"/>
        </w:rPr>
        <w:t>The other evaluative dimensions further narrow the claim. Equity remains under-evidenced because the distribution of coaching opportunities and outcomes is poorly understood. Ethicality is conditional, as coaching operates within organisational power relationships and may have both intended and unintended effects. Organisational embeddedness matters because individual learning is more likely to produce wider effects where systems permit and reinforce its application. Evidential confidence declines with causal distance: outcomes demonstrated for an individual coachee should not be redescribed as organisational or societal impact without evidence of the intervening steps.</w:t>
      </w:r>
    </w:p>
    <w:p w14:paraId="7150E05D" w14:textId="77777777" w:rsidR="008132F9" w:rsidRDefault="008132F9" w:rsidP="008132F9">
      <w:p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kern w:val="0"/>
          <w:lang w:eastAsia="en-GB"/>
          <w14:ligatures w14:val="none"/>
        </w:rPr>
        <w:t xml:space="preserve">The resulting judgement is neither promotional nor dismissive. </w:t>
      </w:r>
    </w:p>
    <w:p w14:paraId="46BC554F"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rsidRPr="00121EC2">
        <w:rPr>
          <w:rFonts w:eastAsia="Times New Roman" w:cs="Times New Roman"/>
          <w:b/>
          <w:bCs/>
          <w:kern w:val="0"/>
          <w:lang w:eastAsia="en-GB"/>
          <w14:ligatures w14:val="none"/>
        </w:rPr>
        <w:t xml:space="preserve">The professional coaching industry makes a credible but limited contribution to SDG 4 and SDG 8. Its strongest contribution lies in </w:t>
      </w:r>
      <w:r>
        <w:rPr>
          <w:rFonts w:eastAsia="Times New Roman" w:cs="Times New Roman"/>
          <w:b/>
          <w:bCs/>
          <w:kern w:val="0"/>
          <w:lang w:eastAsia="en-GB"/>
          <w14:ligatures w14:val="none"/>
        </w:rPr>
        <w:t xml:space="preserve">developing </w:t>
      </w:r>
      <w:r w:rsidRPr="00121EC2">
        <w:rPr>
          <w:rFonts w:eastAsia="Times New Roman" w:cs="Times New Roman"/>
          <w:b/>
          <w:bCs/>
          <w:kern w:val="0"/>
          <w:lang w:eastAsia="en-GB"/>
          <w14:ligatures w14:val="none"/>
        </w:rPr>
        <w:t xml:space="preserve">individual and relational capabilities relevant to lifelong learning and productive working life. </w:t>
      </w:r>
      <w:r>
        <w:rPr>
          <w:rFonts w:eastAsia="Times New Roman" w:cs="Times New Roman"/>
          <w:b/>
          <w:bCs/>
          <w:kern w:val="0"/>
          <w:lang w:eastAsia="en-GB"/>
          <w14:ligatures w14:val="none"/>
        </w:rPr>
        <w:t>A b</w:t>
      </w:r>
      <w:r w:rsidRPr="00121EC2">
        <w:rPr>
          <w:rFonts w:eastAsia="Times New Roman" w:cs="Times New Roman"/>
          <w:b/>
          <w:bCs/>
          <w:kern w:val="0"/>
          <w:lang w:eastAsia="en-GB"/>
          <w14:ligatures w14:val="none"/>
        </w:rPr>
        <w:t xml:space="preserve">roader contribution is conditional on equitable access, organisational context, </w:t>
      </w:r>
      <w:r w:rsidRPr="00121EC2">
        <w:rPr>
          <w:rFonts w:eastAsia="Times New Roman" w:cs="Times New Roman"/>
          <w:b/>
          <w:bCs/>
          <w:kern w:val="0"/>
          <w:lang w:eastAsia="en-GB"/>
          <w14:ligatures w14:val="none"/>
        </w:rPr>
        <w:lastRenderedPageBreak/>
        <w:t>employment structures and ethical governance, and remains largely unproven at</w:t>
      </w:r>
      <w:r>
        <w:rPr>
          <w:rFonts w:eastAsia="Times New Roman" w:cs="Times New Roman"/>
          <w:b/>
          <w:bCs/>
          <w:kern w:val="0"/>
          <w:lang w:eastAsia="en-GB"/>
          <w14:ligatures w14:val="none"/>
        </w:rPr>
        <w:t xml:space="preserve"> the</w:t>
      </w:r>
      <w:r w:rsidRPr="00121EC2">
        <w:rPr>
          <w:rFonts w:eastAsia="Times New Roman" w:cs="Times New Roman"/>
          <w:b/>
          <w:bCs/>
          <w:kern w:val="0"/>
          <w:lang w:eastAsia="en-GB"/>
          <w14:ligatures w14:val="none"/>
        </w:rPr>
        <w:t xml:space="preserve"> structural and macroeconomic levels.</w:t>
      </w:r>
    </w:p>
    <w:p w14:paraId="42218566" w14:textId="77777777" w:rsidR="008132F9" w:rsidRDefault="008132F9" w:rsidP="008132F9">
      <w:pPr>
        <w:spacing w:before="100" w:beforeAutospacing="1" w:after="100" w:afterAutospacing="1" w:line="360" w:lineRule="auto"/>
        <w:rPr>
          <w:rFonts w:eastAsia="Times New Roman" w:cs="Times New Roman"/>
          <w:kern w:val="0"/>
          <w:lang w:eastAsia="en-GB"/>
          <w14:ligatures w14:val="none"/>
        </w:rPr>
      </w:pPr>
      <w:r>
        <w:rPr>
          <w:rFonts w:eastAsia="Times New Roman" w:cs="Times New Roman"/>
          <w:kern w:val="0"/>
          <w:lang w:eastAsia="en-GB"/>
          <w14:ligatures w14:val="none"/>
        </w:rPr>
        <w:t xml:space="preserve">That distinction also affects how industry claims should be interpreted. Evidence of a positive coaching effect is not trivial; nor should it be dismissed simply because the intervention cannot be shown to alter labour markets or national productivity. The problem arises when the level of the claim shifts without the evidence shifting with it. Individual development can be a worthwhile end </w:t>
      </w:r>
      <w:proofErr w:type="gramStart"/>
      <w:r>
        <w:rPr>
          <w:rFonts w:eastAsia="Times New Roman" w:cs="Times New Roman"/>
          <w:kern w:val="0"/>
          <w:lang w:eastAsia="en-GB"/>
          <w14:ligatures w14:val="none"/>
        </w:rPr>
        <w:t>in itself and</w:t>
      </w:r>
      <w:proofErr w:type="gramEnd"/>
      <w:r>
        <w:rPr>
          <w:rFonts w:eastAsia="Times New Roman" w:cs="Times New Roman"/>
          <w:kern w:val="0"/>
          <w:lang w:eastAsia="en-GB"/>
          <w14:ligatures w14:val="none"/>
        </w:rPr>
        <w:t xml:space="preserve"> a plausible contributor to wider change. What it cannot do is serve as a proxy for equitable access, decent work or economic growth. Maintaining that boundary allows the evidence for coaching to be taken seriously without asking it to prove more than the underlying studies were designed to test.</w:t>
      </w:r>
    </w:p>
    <w:p w14:paraId="1B0781C2" w14:textId="77777777" w:rsidR="008132F9" w:rsidRPr="00121EC2" w:rsidRDefault="008132F9" w:rsidP="008132F9">
      <w:pPr>
        <w:spacing w:before="100" w:beforeAutospacing="1" w:after="100" w:afterAutospacing="1" w:line="360" w:lineRule="auto"/>
        <w:rPr>
          <w:rFonts w:eastAsia="Times New Roman" w:cs="Times New Roman"/>
          <w:kern w:val="0"/>
          <w:lang w:eastAsia="en-GB"/>
          <w14:ligatures w14:val="none"/>
        </w:rPr>
      </w:pPr>
      <w:r>
        <w:t>The professional coaching industry makes a credible but limited contribution to SDG 4 and SDG 8. Its strongest contribution is to developing individual and relational capabilities relevant to lifelong learning and productive working life. A broader contribution is conditional on equitable access, organisational context, employment structures and ethical governance, and remains largely unproven at the structural and macroeconomic levels.</w:t>
      </w: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CCCC"/>
        <w:tblLook w:val="0000" w:firstRow="0" w:lastRow="0" w:firstColumn="0" w:lastColumn="0" w:noHBand="0" w:noVBand="0"/>
      </w:tblPr>
      <w:tblGrid>
        <w:gridCol w:w="9067"/>
      </w:tblGrid>
      <w:tr w:rsidR="008132F9" w:rsidRPr="0019638E" w14:paraId="30FC2273" w14:textId="77777777" w:rsidTr="00925C7C">
        <w:trPr>
          <w:trHeight w:val="305"/>
        </w:trPr>
        <w:tc>
          <w:tcPr>
            <w:tcW w:w="9067" w:type="dxa"/>
            <w:tcBorders>
              <w:top w:val="single" w:sz="4" w:space="0" w:color="auto"/>
              <w:left w:val="single" w:sz="4" w:space="0" w:color="auto"/>
              <w:bottom w:val="single" w:sz="4" w:space="0" w:color="auto"/>
              <w:right w:val="single" w:sz="4" w:space="0" w:color="auto"/>
            </w:tcBorders>
            <w:shd w:val="clear" w:color="auto" w:fill="CCCCCC"/>
          </w:tcPr>
          <w:p w14:paraId="0A09B1F1" w14:textId="77777777" w:rsidR="008132F9" w:rsidRPr="0019638E" w:rsidRDefault="008132F9" w:rsidP="00925C7C">
            <w:pPr>
              <w:pStyle w:val="ListParagraph"/>
              <w:numPr>
                <w:ilvl w:val="0"/>
                <w:numId w:val="3"/>
              </w:numPr>
              <w:snapToGrid w:val="0"/>
              <w:spacing w:after="0" w:line="360" w:lineRule="auto"/>
              <w:rPr>
                <w:rFonts w:eastAsiaTheme="majorEastAsia" w:cs="Segoe UI"/>
                <w:b/>
                <w:bCs/>
                <w:color w:val="000000" w:themeColor="text1"/>
              </w:rPr>
            </w:pPr>
            <w:r w:rsidRPr="00FA3ABE">
              <w:rPr>
                <w:rFonts w:eastAsia="Times New Roman" w:cs="Times New Roman"/>
                <w:b/>
                <w:bCs/>
                <w:kern w:val="0"/>
                <w:lang w:eastAsia="en-GB"/>
                <w14:ligatures w14:val="none"/>
              </w:rPr>
              <w:t>Recommended Future Actions</w:t>
            </w:r>
          </w:p>
        </w:tc>
      </w:tr>
    </w:tbl>
    <w:p w14:paraId="53C25C95" w14:textId="77777777" w:rsidR="008132F9" w:rsidRDefault="008132F9" w:rsidP="008132F9">
      <w:pPr>
        <w:rPr>
          <w:rFonts w:eastAsia="Times New Roman" w:cs="Times New Roman"/>
          <w:b/>
          <w:bCs/>
          <w:kern w:val="0"/>
          <w:lang w:eastAsia="en-GB"/>
          <w14:ligatures w14:val="none"/>
        </w:rPr>
      </w:pPr>
    </w:p>
    <w:p w14:paraId="6266B2EB" w14:textId="36139043" w:rsidR="008132F9" w:rsidRDefault="008132F9" w:rsidP="008132F9">
      <w:pPr>
        <w:spacing w:before="100" w:beforeAutospacing="1" w:after="100" w:afterAutospacing="1" w:line="360" w:lineRule="auto"/>
        <w:rPr>
          <w:rFonts w:eastAsia="Times New Roman" w:cs="Times New Roman"/>
          <w:kern w:val="0"/>
          <w:lang w:eastAsia="en-GB"/>
          <w14:ligatures w14:val="none"/>
        </w:rPr>
      </w:pPr>
      <w:r>
        <w:t>Future action should not equate industry expansion or additional coach training with sustainable</w:t>
      </w:r>
      <w:r w:rsidR="00D55F24">
        <w:t xml:space="preserve"> </w:t>
      </w:r>
      <w:r>
        <w:t xml:space="preserve">development impact. Instead, it should </w:t>
      </w:r>
      <w:r w:rsidR="00D55F24">
        <w:t>link</w:t>
      </w:r>
      <w:r>
        <w:t xml:space="preserve"> demonstrated effectiveness </w:t>
      </w:r>
      <w:r w:rsidR="00D55F24">
        <w:t>to</w:t>
      </w:r>
      <w:r>
        <w:t xml:space="preserve"> equitable provision, supportive organisational conditions and defensible claims across micro, </w:t>
      </w:r>
      <w:proofErr w:type="spellStart"/>
      <w:r>
        <w:t>meso</w:t>
      </w:r>
      <w:proofErr w:type="spellEnd"/>
      <w:r>
        <w:t xml:space="preserve"> and macro levels.</w:t>
      </w:r>
      <w:r>
        <w:rPr>
          <w:rFonts w:eastAsia="Times New Roman" w:cs="Times New Roman"/>
          <w:kern w:val="0"/>
          <w:lang w:eastAsia="en-GB"/>
          <w14:ligatures w14:val="none"/>
        </w:rPr>
        <w:t xml:space="preserve"> </w:t>
      </w:r>
    </w:p>
    <w:p w14:paraId="18EAC5B4" w14:textId="77777777" w:rsidR="008132F9" w:rsidRPr="00FA3ABE" w:rsidRDefault="008132F9" w:rsidP="008132F9">
      <w:pPr>
        <w:spacing w:before="100" w:beforeAutospacing="1" w:after="100" w:afterAutospacing="1" w:line="360" w:lineRule="auto"/>
        <w:rPr>
          <w:rFonts w:eastAsia="Times New Roman" w:cs="Times New Roman"/>
          <w:kern w:val="0"/>
          <w:lang w:eastAsia="en-GB"/>
          <w14:ligatures w14:val="none"/>
        </w:rPr>
      </w:pPr>
      <w:r>
        <w:rPr>
          <w:rFonts w:eastAsia="Times New Roman" w:cs="Times New Roman"/>
          <w:kern w:val="0"/>
          <w:lang w:eastAsia="en-GB"/>
          <w14:ligatures w14:val="none"/>
        </w:rPr>
        <w:t xml:space="preserve">First, professional bodies and coaching providers should establish clearer standards for sustainable development claims. Claims should specify whether the evidence relates to individual, organisational or societal outcomes, and should not equate improvements in confidence, learning or performance with claims about equitable education, decent work or economic growth. Providers should articulate a theory of contribution that sets out the mechanisms and contextual conditions through which coaching is expected to influence a specific SDG target. This would apply the </w:t>
      </w:r>
      <w:r>
        <w:rPr>
          <w:rFonts w:eastAsia="Times New Roman" w:cs="Times New Roman"/>
          <w:kern w:val="0"/>
          <w:lang w:eastAsia="en-GB"/>
          <w14:ligatures w14:val="none"/>
        </w:rPr>
        <w:lastRenderedPageBreak/>
        <w:t>distinction between effectiveness, contribution and attribution developed throughout this study (Mayne, 2001; 2012; White, 2009).</w:t>
      </w:r>
    </w:p>
    <w:p w14:paraId="01AF4630" w14:textId="685C67BA" w:rsidR="008132F9" w:rsidRPr="00FA3ABE" w:rsidRDefault="003438D3" w:rsidP="008132F9">
      <w:pPr>
        <w:spacing w:before="100" w:beforeAutospacing="1" w:after="100" w:afterAutospacing="1" w:line="360" w:lineRule="auto"/>
        <w:rPr>
          <w:rFonts w:eastAsia="Times New Roman" w:cs="Times New Roman"/>
          <w:kern w:val="0"/>
          <w:lang w:eastAsia="en-GB"/>
          <w14:ligatures w14:val="none"/>
        </w:rPr>
      </w:pPr>
      <w:r>
        <w:rPr>
          <w:rFonts w:eastAsia="Times New Roman" w:cs="Times New Roman"/>
          <w:kern w:val="0"/>
          <w:lang w:eastAsia="en-GB"/>
          <w14:ligatures w14:val="none"/>
        </w:rPr>
        <w:t>Second, employers should wish to, and then seek to, evaluate coaching using a broader range of evidence. This may require them to better understand their relationship with coaching. Participant satisfaction, goal attainment and self-reported development remain useful, but they alone cannot demonstrate organisational or structural impact. Evaluation should include baseline and follow-up measures, evidence of learning transfer, organisational conditions and any relevant unintended consequences. Where wider impact is claimed, organisations should assess whether coaching has influenced employee voice, leadership practice, access to development or working conditions. Coaching culture research may support this organisational perspective, but the presence of trained coaches should not</w:t>
      </w:r>
      <w:proofErr w:type="gramStart"/>
      <w:r>
        <w:rPr>
          <w:rFonts w:eastAsia="Times New Roman" w:cs="Times New Roman"/>
          <w:kern w:val="0"/>
          <w:lang w:eastAsia="en-GB"/>
          <w14:ligatures w14:val="none"/>
        </w:rPr>
        <w:t>, in itself, be</w:t>
      </w:r>
      <w:proofErr w:type="gramEnd"/>
      <w:r>
        <w:rPr>
          <w:rFonts w:eastAsia="Times New Roman" w:cs="Times New Roman"/>
          <w:kern w:val="0"/>
          <w:lang w:eastAsia="en-GB"/>
          <w14:ligatures w14:val="none"/>
        </w:rPr>
        <w:t xml:space="preserve"> treated as evidence of cultural transformation (</w:t>
      </w:r>
      <w:proofErr w:type="spellStart"/>
      <w:r>
        <w:rPr>
          <w:rFonts w:eastAsia="Times New Roman" w:cs="Times New Roman"/>
          <w:kern w:val="0"/>
          <w:lang w:eastAsia="en-GB"/>
          <w14:ligatures w14:val="none"/>
        </w:rPr>
        <w:t>Kapoutzis</w:t>
      </w:r>
      <w:proofErr w:type="spellEnd"/>
      <w:r>
        <w:rPr>
          <w:rFonts w:eastAsia="Times New Roman" w:cs="Times New Roman"/>
          <w:kern w:val="0"/>
          <w:lang w:eastAsia="en-GB"/>
          <w14:ligatures w14:val="none"/>
        </w:rPr>
        <w:t xml:space="preserve"> et al., 2024). Coaches within an organisation do not, in themselves, constitute an organisational coaching culture.</w:t>
      </w:r>
    </w:p>
    <w:p w14:paraId="3C2450F7" w14:textId="3262F206" w:rsidR="008132F9" w:rsidRPr="00FA3ABE" w:rsidRDefault="003438D3" w:rsidP="008132F9">
      <w:pPr>
        <w:spacing w:before="100" w:beforeAutospacing="1" w:after="100" w:afterAutospacing="1" w:line="360" w:lineRule="auto"/>
        <w:rPr>
          <w:rFonts w:eastAsia="Times New Roman" w:cs="Times New Roman"/>
          <w:kern w:val="0"/>
          <w:lang w:eastAsia="en-GB"/>
          <w14:ligatures w14:val="none"/>
        </w:rPr>
      </w:pPr>
      <w:r>
        <w:rPr>
          <w:rFonts w:eastAsia="Times New Roman" w:cs="Times New Roman"/>
          <w:kern w:val="0"/>
          <w:lang w:eastAsia="en-GB"/>
          <w14:ligatures w14:val="none"/>
        </w:rPr>
        <w:t>Third, equity should be made an explicit element of commissioning and industry reporting. Employers and professional bodies should examine who is offered coaching, who participates, who benefits, and who remains excluded. Where ethically and practically possible, data should be disaggregated by occupational level, employment status, gender, disability, socioeconomic position, and other relevant characteristics. Evaluation should also include the perspectives of recipients, non-recipients, frontline workers, sponsors, and employee representatives. This would provide a more credible basis for assessing contributions to SDG Targets 4.5 and 8.5.</w:t>
      </w:r>
    </w:p>
    <w:p w14:paraId="5842F00B" w14:textId="7B3B3B43" w:rsidR="008132F9" w:rsidRPr="00FA3ABE" w:rsidRDefault="003438D3" w:rsidP="008132F9">
      <w:pPr>
        <w:spacing w:before="100" w:beforeAutospacing="1" w:after="100" w:afterAutospacing="1" w:line="360" w:lineRule="auto"/>
        <w:rPr>
          <w:rFonts w:eastAsia="Times New Roman" w:cs="Times New Roman"/>
          <w:kern w:val="0"/>
          <w:lang w:eastAsia="en-GB"/>
          <w14:ligatures w14:val="none"/>
        </w:rPr>
      </w:pPr>
      <w:r>
        <w:rPr>
          <w:rFonts w:eastAsia="Times New Roman" w:cs="Times New Roman"/>
          <w:kern w:val="0"/>
          <w:lang w:eastAsia="en-GB"/>
          <w14:ligatures w14:val="none"/>
        </w:rPr>
        <w:t>Fourth, coaching should complement rather than replace organisational development. Before commissioning coaching to address resilience, performance or wellbeing, organisations should assess whether problems stem from workload, job design, discrimination, inadequate resources or harmful management. Coaching can strengthen agency and capability, but structural problems require structural responses.</w:t>
      </w:r>
    </w:p>
    <w:p w14:paraId="1AFFBE73" w14:textId="77777777" w:rsidR="008132F9" w:rsidRPr="00FA3ABE" w:rsidRDefault="008132F9" w:rsidP="008132F9">
      <w:pPr>
        <w:spacing w:before="100" w:beforeAutospacing="1" w:after="100" w:afterAutospacing="1" w:line="360" w:lineRule="auto"/>
        <w:rPr>
          <w:rFonts w:eastAsia="Times New Roman" w:cs="Times New Roman"/>
          <w:kern w:val="0"/>
          <w:lang w:eastAsia="en-GB"/>
          <w14:ligatures w14:val="none"/>
        </w:rPr>
      </w:pPr>
      <w:r w:rsidRPr="00FA3ABE">
        <w:rPr>
          <w:rFonts w:eastAsia="Times New Roman" w:cs="Times New Roman"/>
          <w:kern w:val="0"/>
          <w:lang w:eastAsia="en-GB"/>
          <w14:ligatures w14:val="none"/>
        </w:rPr>
        <w:t>Finally, researchers, professional bodies and employers should support longitudinal, multi-site and mixed-method</w:t>
      </w:r>
      <w:r>
        <w:rPr>
          <w:rFonts w:eastAsia="Times New Roman" w:cs="Times New Roman"/>
          <w:kern w:val="0"/>
          <w:lang w:eastAsia="en-GB"/>
          <w14:ligatures w14:val="none"/>
        </w:rPr>
        <w:t>s</w:t>
      </w:r>
      <w:r w:rsidRPr="00FA3ABE">
        <w:rPr>
          <w:rFonts w:eastAsia="Times New Roman" w:cs="Times New Roman"/>
          <w:kern w:val="0"/>
          <w:lang w:eastAsia="en-GB"/>
          <w14:ligatures w14:val="none"/>
        </w:rPr>
        <w:t xml:space="preserve"> studies. These should test whether individual outcomes </w:t>
      </w:r>
      <w:r w:rsidRPr="00FA3ABE">
        <w:rPr>
          <w:rFonts w:eastAsia="Times New Roman" w:cs="Times New Roman"/>
          <w:kern w:val="0"/>
          <w:lang w:eastAsia="en-GB"/>
          <w14:ligatures w14:val="none"/>
        </w:rPr>
        <w:lastRenderedPageBreak/>
        <w:t>endure, how they trans</w:t>
      </w:r>
      <w:r>
        <w:rPr>
          <w:rFonts w:eastAsia="Times New Roman" w:cs="Times New Roman"/>
          <w:kern w:val="0"/>
          <w:lang w:eastAsia="en-GB"/>
          <w14:ligatures w14:val="none"/>
        </w:rPr>
        <w:t>late</w:t>
      </w:r>
      <w:r w:rsidRPr="00FA3ABE">
        <w:rPr>
          <w:rFonts w:eastAsia="Times New Roman" w:cs="Times New Roman"/>
          <w:kern w:val="0"/>
          <w:lang w:eastAsia="en-GB"/>
          <w14:ligatures w14:val="none"/>
        </w:rPr>
        <w:t xml:space="preserve"> into organisational practice, under what conditions wider effects occur, and whether coaching narrows or reproduces inequalities. This would strengthen the evidence for coaching’s contribution while maintaining appropriate limits on claims about sustainable development.</w:t>
      </w: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CCCC"/>
        <w:tblLook w:val="0000" w:firstRow="0" w:lastRow="0" w:firstColumn="0" w:lastColumn="0" w:noHBand="0" w:noVBand="0"/>
      </w:tblPr>
      <w:tblGrid>
        <w:gridCol w:w="9067"/>
      </w:tblGrid>
      <w:tr w:rsidR="008132F9" w:rsidRPr="0019638E" w14:paraId="2BB34294" w14:textId="77777777" w:rsidTr="00925C7C">
        <w:trPr>
          <w:trHeight w:val="305"/>
        </w:trPr>
        <w:tc>
          <w:tcPr>
            <w:tcW w:w="9067" w:type="dxa"/>
            <w:tcBorders>
              <w:top w:val="single" w:sz="4" w:space="0" w:color="auto"/>
              <w:left w:val="single" w:sz="4" w:space="0" w:color="auto"/>
              <w:bottom w:val="single" w:sz="4" w:space="0" w:color="auto"/>
              <w:right w:val="single" w:sz="4" w:space="0" w:color="auto"/>
            </w:tcBorders>
            <w:shd w:val="clear" w:color="auto" w:fill="CCCCCC"/>
          </w:tcPr>
          <w:p w14:paraId="6039FD32" w14:textId="77777777" w:rsidR="008132F9" w:rsidRPr="0019638E" w:rsidRDefault="008132F9" w:rsidP="00925C7C">
            <w:pPr>
              <w:pStyle w:val="ListParagraph"/>
              <w:numPr>
                <w:ilvl w:val="0"/>
                <w:numId w:val="3"/>
              </w:numPr>
              <w:snapToGrid w:val="0"/>
              <w:spacing w:after="0" w:line="360" w:lineRule="auto"/>
              <w:rPr>
                <w:rFonts w:eastAsiaTheme="majorEastAsia" w:cs="Segoe UI"/>
                <w:b/>
                <w:bCs/>
                <w:color w:val="000000" w:themeColor="text1"/>
              </w:rPr>
            </w:pPr>
            <w:r>
              <w:rPr>
                <w:rFonts w:eastAsia="Times New Roman" w:cs="Times New Roman"/>
                <w:b/>
                <w:bCs/>
                <w:kern w:val="0"/>
                <w:lang w:eastAsia="en-GB"/>
                <w14:ligatures w14:val="none"/>
              </w:rPr>
              <w:t>Conclusion</w:t>
            </w:r>
          </w:p>
        </w:tc>
      </w:tr>
    </w:tbl>
    <w:p w14:paraId="170DF252" w14:textId="77777777" w:rsidR="008132F9" w:rsidRDefault="008132F9" w:rsidP="008132F9"/>
    <w:p w14:paraId="0D16035E" w14:textId="2DE51273" w:rsidR="008132F9" w:rsidRPr="00FA3ABE" w:rsidRDefault="008132F9" w:rsidP="008132F9">
      <w:pPr>
        <w:spacing w:before="100" w:beforeAutospacing="1" w:after="100" w:afterAutospacing="1" w:line="360" w:lineRule="auto"/>
        <w:rPr>
          <w:rFonts w:eastAsia="Times New Roman" w:cs="Times New Roman"/>
          <w:kern w:val="0"/>
          <w:lang w:eastAsia="en-GB"/>
          <w14:ligatures w14:val="none"/>
        </w:rPr>
      </w:pPr>
      <w:r w:rsidRPr="00FA3ABE">
        <w:rPr>
          <w:rFonts w:eastAsia="Times New Roman" w:cs="Times New Roman"/>
          <w:kern w:val="0"/>
          <w:lang w:eastAsia="en-GB"/>
          <w14:ligatures w14:val="none"/>
        </w:rPr>
        <w:t xml:space="preserve">This study </w:t>
      </w:r>
      <w:r>
        <w:rPr>
          <w:rFonts w:eastAsia="Times New Roman" w:cs="Times New Roman"/>
          <w:kern w:val="0"/>
          <w:lang w:eastAsia="en-GB"/>
          <w14:ligatures w14:val="none"/>
        </w:rPr>
        <w:t xml:space="preserve">explored </w:t>
      </w:r>
      <w:r w:rsidRPr="00FA3ABE">
        <w:rPr>
          <w:rFonts w:eastAsia="Times New Roman" w:cs="Times New Roman"/>
          <w:kern w:val="0"/>
          <w:lang w:eastAsia="en-GB"/>
          <w14:ligatures w14:val="none"/>
        </w:rPr>
        <w:t>t</w:t>
      </w:r>
      <w:r>
        <w:rPr>
          <w:rFonts w:eastAsia="Times New Roman" w:cs="Times New Roman"/>
          <w:kern w:val="0"/>
          <w:lang w:eastAsia="en-GB"/>
          <w14:ligatures w14:val="none"/>
        </w:rPr>
        <w:t>he</w:t>
      </w:r>
      <w:r w:rsidRPr="00FA3ABE">
        <w:rPr>
          <w:rFonts w:eastAsia="Times New Roman" w:cs="Times New Roman"/>
          <w:kern w:val="0"/>
          <w:lang w:eastAsia="en-GB"/>
          <w14:ligatures w14:val="none"/>
        </w:rPr>
        <w:t xml:space="preserve"> extent</w:t>
      </w:r>
      <w:r>
        <w:rPr>
          <w:rFonts w:eastAsia="Times New Roman" w:cs="Times New Roman"/>
          <w:kern w:val="0"/>
          <w:lang w:eastAsia="en-GB"/>
          <w14:ligatures w14:val="none"/>
        </w:rPr>
        <w:t xml:space="preserve"> to which</w:t>
      </w:r>
      <w:r w:rsidRPr="00FA3ABE">
        <w:rPr>
          <w:rFonts w:eastAsia="Times New Roman" w:cs="Times New Roman"/>
          <w:kern w:val="0"/>
          <w:lang w:eastAsia="en-GB"/>
          <w14:ligatures w14:val="none"/>
        </w:rPr>
        <w:t>, through what mechanisms</w:t>
      </w:r>
      <w:r>
        <w:rPr>
          <w:rFonts w:eastAsia="Times New Roman" w:cs="Times New Roman"/>
          <w:kern w:val="0"/>
          <w:lang w:eastAsia="en-GB"/>
          <w14:ligatures w14:val="none"/>
        </w:rPr>
        <w:t>,</w:t>
      </w:r>
      <w:r w:rsidRPr="00FA3ABE">
        <w:rPr>
          <w:rFonts w:eastAsia="Times New Roman" w:cs="Times New Roman"/>
          <w:kern w:val="0"/>
          <w:lang w:eastAsia="en-GB"/>
          <w14:ligatures w14:val="none"/>
        </w:rPr>
        <w:t xml:space="preserve"> and under what conditions, professional workplace coaching contributes to SDG 4 and SDG 8. The evidence supports a qualified conclusion: coaching contributes credibly to elements of both Goals, but its </w:t>
      </w:r>
      <w:r w:rsidR="003438D3">
        <w:rPr>
          <w:rFonts w:eastAsia="Times New Roman" w:cs="Times New Roman"/>
          <w:kern w:val="0"/>
          <w:lang w:eastAsia="en-GB"/>
          <w14:ligatures w14:val="none"/>
        </w:rPr>
        <w:t>impact</w:t>
      </w:r>
      <w:r w:rsidRPr="00FA3ABE">
        <w:rPr>
          <w:rFonts w:eastAsia="Times New Roman" w:cs="Times New Roman"/>
          <w:kern w:val="0"/>
          <w:lang w:eastAsia="en-GB"/>
          <w14:ligatures w14:val="none"/>
        </w:rPr>
        <w:t xml:space="preserve"> is strongest </w:t>
      </w:r>
      <w:r w:rsidR="003438D3">
        <w:rPr>
          <w:rFonts w:eastAsia="Times New Roman" w:cs="Times New Roman"/>
          <w:kern w:val="0"/>
          <w:lang w:eastAsia="en-GB"/>
          <w14:ligatures w14:val="none"/>
        </w:rPr>
        <w:t>at the individual level</w:t>
      </w:r>
      <w:r w:rsidRPr="00FA3ABE">
        <w:rPr>
          <w:rFonts w:eastAsia="Times New Roman" w:cs="Times New Roman"/>
          <w:kern w:val="0"/>
          <w:lang w:eastAsia="en-GB"/>
          <w14:ligatures w14:val="none"/>
        </w:rPr>
        <w:t xml:space="preserve"> and diminishes as claims become organisational, structural or macroeconomic.</w:t>
      </w:r>
    </w:p>
    <w:p w14:paraId="208BDCE1" w14:textId="6797D268" w:rsidR="008132F9" w:rsidRPr="00FA3ABE" w:rsidRDefault="008132F9" w:rsidP="008132F9">
      <w:pPr>
        <w:spacing w:before="100" w:beforeAutospacing="1" w:after="100" w:afterAutospacing="1" w:line="360" w:lineRule="auto"/>
        <w:rPr>
          <w:rFonts w:eastAsia="Times New Roman" w:cs="Times New Roman"/>
          <w:kern w:val="0"/>
          <w:lang w:eastAsia="en-GB"/>
          <w14:ligatures w14:val="none"/>
        </w:rPr>
      </w:pPr>
      <w:r w:rsidRPr="00FA3ABE">
        <w:rPr>
          <w:rFonts w:eastAsia="Times New Roman" w:cs="Times New Roman"/>
          <w:kern w:val="0"/>
          <w:lang w:eastAsia="en-GB"/>
          <w14:ligatures w14:val="none"/>
        </w:rPr>
        <w:t>For SDG 4, the strongest relationship is with Target 4.4. Coaching constitutes non-formal adult learning and can strengthen reflection, self-regulation and employment-relevant capabilities. Its relationship with Target 4.3 is indirect, while evidence for Target 4.5 remains insufficient</w:t>
      </w:r>
      <w:r>
        <w:rPr>
          <w:rFonts w:eastAsia="Times New Roman" w:cs="Times New Roman"/>
          <w:kern w:val="0"/>
          <w:lang w:eastAsia="en-GB"/>
          <w14:ligatures w14:val="none"/>
        </w:rPr>
        <w:t>,</w:t>
      </w:r>
      <w:r w:rsidRPr="00FA3ABE">
        <w:rPr>
          <w:rFonts w:eastAsia="Times New Roman" w:cs="Times New Roman"/>
          <w:kern w:val="0"/>
          <w:lang w:eastAsia="en-GB"/>
          <w14:ligatures w14:val="none"/>
        </w:rPr>
        <w:t xml:space="preserve"> </w:t>
      </w:r>
      <w:r>
        <w:rPr>
          <w:rFonts w:eastAsia="Times New Roman" w:cs="Times New Roman"/>
          <w:kern w:val="0"/>
          <w:lang w:eastAsia="en-GB"/>
          <w14:ligatures w14:val="none"/>
        </w:rPr>
        <w:t>as</w:t>
      </w:r>
      <w:r w:rsidRPr="00FA3ABE">
        <w:rPr>
          <w:rFonts w:eastAsia="Times New Roman" w:cs="Times New Roman"/>
          <w:kern w:val="0"/>
          <w:lang w:eastAsia="en-GB"/>
          <w14:ligatures w14:val="none"/>
        </w:rPr>
        <w:t xml:space="preserve"> employer sponsorship does not e</w:t>
      </w:r>
      <w:r>
        <w:rPr>
          <w:rFonts w:eastAsia="Times New Roman" w:cs="Times New Roman"/>
          <w:kern w:val="0"/>
          <w:lang w:eastAsia="en-GB"/>
          <w14:ligatures w14:val="none"/>
        </w:rPr>
        <w:t>nsure</w:t>
      </w:r>
      <w:r w:rsidRPr="00FA3ABE">
        <w:rPr>
          <w:rFonts w:eastAsia="Times New Roman" w:cs="Times New Roman"/>
          <w:kern w:val="0"/>
          <w:lang w:eastAsia="en-GB"/>
          <w14:ligatures w14:val="none"/>
        </w:rPr>
        <w:t xml:space="preserve"> equitable access. For SDG 8, coaching can improve capability, performance, leadership behaviour and workplace relationships, making a plausible contribution to productive working life. However, improved performance does not automatically </w:t>
      </w:r>
      <w:r>
        <w:rPr>
          <w:rFonts w:eastAsia="Times New Roman" w:cs="Times New Roman"/>
          <w:kern w:val="0"/>
          <w:lang w:eastAsia="en-GB"/>
          <w14:ligatures w14:val="none"/>
        </w:rPr>
        <w:t>translate into</w:t>
      </w:r>
      <w:r w:rsidRPr="00FA3ABE">
        <w:rPr>
          <w:rFonts w:eastAsia="Times New Roman" w:cs="Times New Roman"/>
          <w:kern w:val="0"/>
          <w:lang w:eastAsia="en-GB"/>
          <w14:ligatures w14:val="none"/>
        </w:rPr>
        <w:t xml:space="preserve"> productivity, decent work or economic growth. The literature does not demonstrate that coaching secures fair pay, employment security, labour rights, social protection or safe working conditions, nor does it support macroeconomic attribution.</w:t>
      </w:r>
    </w:p>
    <w:p w14:paraId="30A57244" w14:textId="2602045A" w:rsidR="008132F9" w:rsidRPr="00FA3ABE" w:rsidRDefault="008132F9" w:rsidP="008132F9">
      <w:pPr>
        <w:spacing w:before="100" w:beforeAutospacing="1" w:after="100" w:afterAutospacing="1" w:line="360" w:lineRule="auto"/>
        <w:rPr>
          <w:rFonts w:eastAsia="Times New Roman" w:cs="Times New Roman"/>
          <w:kern w:val="0"/>
          <w:lang w:eastAsia="en-GB"/>
          <w14:ligatures w14:val="none"/>
        </w:rPr>
      </w:pPr>
      <w:r w:rsidRPr="00FA3ABE">
        <w:rPr>
          <w:rFonts w:eastAsia="Times New Roman" w:cs="Times New Roman"/>
          <w:kern w:val="0"/>
          <w:lang w:eastAsia="en-GB"/>
          <w14:ligatures w14:val="none"/>
        </w:rPr>
        <w:t xml:space="preserve">Contribution is therefore conditional. Coaching is more likely to produce wider effects when </w:t>
      </w:r>
      <w:r>
        <w:rPr>
          <w:rFonts w:eastAsia="Times New Roman" w:cs="Times New Roman"/>
          <w:kern w:val="0"/>
          <w:lang w:eastAsia="en-GB"/>
          <w14:ligatures w14:val="none"/>
        </w:rPr>
        <w:t xml:space="preserve">it is </w:t>
      </w:r>
      <w:r w:rsidRPr="00FA3ABE">
        <w:rPr>
          <w:rFonts w:eastAsia="Times New Roman" w:cs="Times New Roman"/>
          <w:kern w:val="0"/>
          <w:lang w:eastAsia="en-GB"/>
          <w14:ligatures w14:val="none"/>
        </w:rPr>
        <w:t xml:space="preserve">equitably accessible, ethically contracted, governed and embedded within receptive organisational systems. Conversely, when used to address excessive workload, discrimination, poor job design or harmful management without structural action, it may individualise responsibility and </w:t>
      </w:r>
      <w:r w:rsidR="006C72EE">
        <w:rPr>
          <w:rFonts w:eastAsia="Times New Roman" w:cs="Times New Roman"/>
          <w:kern w:val="0"/>
          <w:lang w:eastAsia="en-GB"/>
          <w14:ligatures w14:val="none"/>
        </w:rPr>
        <w:t>encourage</w:t>
      </w:r>
      <w:r w:rsidRPr="00FA3ABE">
        <w:rPr>
          <w:rFonts w:eastAsia="Times New Roman" w:cs="Times New Roman"/>
          <w:kern w:val="0"/>
          <w:lang w:eastAsia="en-GB"/>
          <w14:ligatures w14:val="none"/>
        </w:rPr>
        <w:t xml:space="preserve"> employees</w:t>
      </w:r>
      <w:r w:rsidR="006C72EE">
        <w:rPr>
          <w:rFonts w:eastAsia="Times New Roman" w:cs="Times New Roman"/>
          <w:kern w:val="0"/>
          <w:lang w:eastAsia="en-GB"/>
          <w14:ligatures w14:val="none"/>
        </w:rPr>
        <w:t xml:space="preserve"> to</w:t>
      </w:r>
      <w:r w:rsidRPr="00FA3ABE">
        <w:rPr>
          <w:rFonts w:eastAsia="Times New Roman" w:cs="Times New Roman"/>
          <w:kern w:val="0"/>
          <w:lang w:eastAsia="en-GB"/>
          <w14:ligatures w14:val="none"/>
        </w:rPr>
        <w:t xml:space="preserve"> adapt to conditions that should be changed. Coaching can complement, but cannot replace, organisational development, collective voice or institutional intervention.</w:t>
      </w:r>
    </w:p>
    <w:p w14:paraId="561D5BF7" w14:textId="0FA7B9D4" w:rsidR="008132F9" w:rsidRPr="00FA3ABE" w:rsidRDefault="008132F9" w:rsidP="008132F9">
      <w:pPr>
        <w:spacing w:before="100" w:beforeAutospacing="1" w:after="100" w:afterAutospacing="1" w:line="360" w:lineRule="auto"/>
        <w:rPr>
          <w:rFonts w:eastAsia="Times New Roman" w:cs="Times New Roman"/>
          <w:kern w:val="0"/>
          <w:lang w:eastAsia="en-GB"/>
          <w14:ligatures w14:val="none"/>
        </w:rPr>
      </w:pPr>
      <w:r w:rsidRPr="00FA3ABE">
        <w:rPr>
          <w:rFonts w:eastAsia="Times New Roman" w:cs="Times New Roman"/>
          <w:kern w:val="0"/>
          <w:lang w:eastAsia="en-GB"/>
          <w14:ligatures w14:val="none"/>
        </w:rPr>
        <w:t xml:space="preserve">Overall, the professional coaching industry should </w:t>
      </w:r>
      <w:r w:rsidR="006C72EE">
        <w:rPr>
          <w:rFonts w:eastAsia="Times New Roman" w:cs="Times New Roman"/>
          <w:kern w:val="0"/>
          <w:lang w:eastAsia="en-GB"/>
          <w14:ligatures w14:val="none"/>
        </w:rPr>
        <w:t>make</w:t>
      </w:r>
      <w:r w:rsidRPr="00FA3ABE">
        <w:rPr>
          <w:rFonts w:eastAsia="Times New Roman" w:cs="Times New Roman"/>
          <w:kern w:val="0"/>
          <w:lang w:eastAsia="en-GB"/>
          <w14:ligatures w14:val="none"/>
        </w:rPr>
        <w:t xml:space="preserve"> </w:t>
      </w:r>
      <w:r w:rsidR="006C72EE">
        <w:rPr>
          <w:rFonts w:eastAsia="Times New Roman" w:cs="Times New Roman"/>
          <w:kern w:val="0"/>
          <w:lang w:eastAsia="en-GB"/>
          <w14:ligatures w14:val="none"/>
        </w:rPr>
        <w:t>fewer claim</w:t>
      </w:r>
      <w:r w:rsidRPr="00FA3ABE">
        <w:rPr>
          <w:rFonts w:eastAsia="Times New Roman" w:cs="Times New Roman"/>
          <w:kern w:val="0"/>
          <w:lang w:eastAsia="en-GB"/>
          <w14:ligatures w14:val="none"/>
        </w:rPr>
        <w:t xml:space="preserve">s and </w:t>
      </w:r>
      <w:r>
        <w:rPr>
          <w:rFonts w:eastAsia="Times New Roman" w:cs="Times New Roman"/>
          <w:kern w:val="0"/>
          <w:lang w:eastAsia="en-GB"/>
          <w14:ligatures w14:val="none"/>
        </w:rPr>
        <w:t>provid</w:t>
      </w:r>
      <w:r w:rsidRPr="00FA3ABE">
        <w:rPr>
          <w:rFonts w:eastAsia="Times New Roman" w:cs="Times New Roman"/>
          <w:kern w:val="0"/>
          <w:lang w:eastAsia="en-GB"/>
          <w14:ligatures w14:val="none"/>
        </w:rPr>
        <w:t>e more</w:t>
      </w:r>
      <w:r>
        <w:rPr>
          <w:rFonts w:eastAsia="Times New Roman" w:cs="Times New Roman"/>
          <w:kern w:val="0"/>
          <w:lang w:eastAsia="en-GB"/>
          <w14:ligatures w14:val="none"/>
        </w:rPr>
        <w:t xml:space="preserve"> evidence</w:t>
      </w:r>
      <w:r w:rsidRPr="00FA3ABE">
        <w:rPr>
          <w:rFonts w:eastAsia="Times New Roman" w:cs="Times New Roman"/>
          <w:kern w:val="0"/>
          <w:lang w:eastAsia="en-GB"/>
          <w14:ligatures w14:val="none"/>
        </w:rPr>
        <w:t xml:space="preserve">. Its most defensible contribution lies in enabling adult learning, agency, </w:t>
      </w:r>
      <w:r w:rsidRPr="00FA3ABE">
        <w:rPr>
          <w:rFonts w:eastAsia="Times New Roman" w:cs="Times New Roman"/>
          <w:kern w:val="0"/>
          <w:lang w:eastAsia="en-GB"/>
          <w14:ligatures w14:val="none"/>
        </w:rPr>
        <w:lastRenderedPageBreak/>
        <w:t>relational capability and productive participation. Broader SDG claims require evidence across the causal pathway, including distribution, organisational transfer and structural outcomes. Coaching is neither irrelevant nor transformative by default: it is a conditional enabling intervention whose sustainable-development significance depends on who receives it, what changes, and whether surrounding systems allow individual learning to tra</w:t>
      </w:r>
      <w:r>
        <w:rPr>
          <w:rFonts w:eastAsia="Times New Roman" w:cs="Times New Roman"/>
          <w:kern w:val="0"/>
          <w:lang w:eastAsia="en-GB"/>
          <w14:ligatures w14:val="none"/>
        </w:rPr>
        <w:t>nslate into action</w:t>
      </w:r>
      <w:r w:rsidRPr="00FA3ABE">
        <w:rPr>
          <w:rFonts w:eastAsia="Times New Roman" w:cs="Times New Roman"/>
          <w:kern w:val="0"/>
          <w:lang w:eastAsia="en-GB"/>
          <w14:ligatures w14:val="none"/>
        </w:rPr>
        <w:t>.</w:t>
      </w:r>
    </w:p>
    <w:p w14:paraId="3F5DF496" w14:textId="77777777" w:rsidR="008132F9" w:rsidRDefault="008132F9" w:rsidP="008132F9">
      <w:r>
        <w:br w:type="page"/>
      </w:r>
    </w:p>
    <w:p w14:paraId="127D00E0" w14:textId="77777777" w:rsidR="008132F9" w:rsidRDefault="008132F9" w:rsidP="008132F9"/>
    <w:p w14:paraId="609757CE" w14:textId="77777777" w:rsidR="008132F9" w:rsidRPr="00710082" w:rsidRDefault="008132F9" w:rsidP="008132F9">
      <w:pPr>
        <w:pStyle w:val="Heading1"/>
        <w:pBdr>
          <w:top w:val="single" w:sz="4" w:space="1" w:color="auto"/>
          <w:left w:val="single" w:sz="4" w:space="4" w:color="auto"/>
          <w:bottom w:val="single" w:sz="4" w:space="1" w:color="auto"/>
          <w:right w:val="single" w:sz="4" w:space="4" w:color="auto"/>
        </w:pBdr>
        <w:shd w:val="clear" w:color="auto" w:fill="F3F3F3"/>
        <w:spacing w:before="0" w:after="0"/>
        <w:jc w:val="center"/>
        <w:rPr>
          <w:b/>
          <w:bCs/>
          <w:smallCaps/>
          <w:color w:val="000000" w:themeColor="text1"/>
        </w:rPr>
      </w:pPr>
      <w:r w:rsidRPr="00710082">
        <w:rPr>
          <w:smallCaps/>
          <w:color w:val="000000" w:themeColor="text1"/>
        </w:rPr>
        <w:t>References</w:t>
      </w:r>
    </w:p>
    <w:p w14:paraId="29107026" w14:textId="77777777" w:rsidR="008132F9" w:rsidRDefault="008132F9" w:rsidP="008132F9"/>
    <w:p w14:paraId="76AB345F" w14:textId="77777777" w:rsidR="008132F9" w:rsidRPr="00115477" w:rsidRDefault="008132F9" w:rsidP="008132F9">
      <w:pPr>
        <w:pStyle w:val="artifact-docx-previewreferenceentry"/>
        <w:numPr>
          <w:ilvl w:val="0"/>
          <w:numId w:val="4"/>
        </w:numPr>
        <w:spacing w:before="0" w:beforeAutospacing="0" w:after="0" w:afterAutospacing="0"/>
        <w:rPr>
          <w:rFonts w:asciiTheme="minorHAnsi" w:hAnsiTheme="minorHAnsi" w:cs="Calibri"/>
          <w:color w:val="000000" w:themeColor="text1"/>
        </w:rPr>
      </w:pPr>
      <w:r w:rsidRPr="00115477">
        <w:rPr>
          <w:rFonts w:asciiTheme="minorHAnsi" w:hAnsiTheme="minorHAnsi" w:cs="Calibri"/>
          <w:color w:val="000000" w:themeColor="text1"/>
        </w:rPr>
        <w:t xml:space="preserve">Belcher, B. and </w:t>
      </w:r>
      <w:proofErr w:type="spellStart"/>
      <w:r w:rsidRPr="00115477">
        <w:rPr>
          <w:rFonts w:asciiTheme="minorHAnsi" w:hAnsiTheme="minorHAnsi" w:cs="Calibri"/>
          <w:color w:val="000000" w:themeColor="text1"/>
        </w:rPr>
        <w:t>Palenberg</w:t>
      </w:r>
      <w:proofErr w:type="spellEnd"/>
      <w:r w:rsidRPr="00115477">
        <w:rPr>
          <w:rFonts w:asciiTheme="minorHAnsi" w:hAnsiTheme="minorHAnsi" w:cs="Calibri"/>
          <w:color w:val="000000" w:themeColor="text1"/>
        </w:rPr>
        <w:t xml:space="preserve">, M. (2018) ‘Outcomes and impacts of development interventions: toward conceptual clarity’, </w:t>
      </w:r>
      <w:r w:rsidRPr="00710082">
        <w:rPr>
          <w:rFonts w:asciiTheme="minorHAnsi" w:hAnsiTheme="minorHAnsi" w:cs="Calibri"/>
          <w:color w:val="000000" w:themeColor="text1"/>
        </w:rPr>
        <w:t>American Journal of Evaluation</w:t>
      </w:r>
      <w:r w:rsidRPr="00115477">
        <w:rPr>
          <w:rFonts w:asciiTheme="minorHAnsi" w:hAnsiTheme="minorHAnsi" w:cs="Calibri"/>
          <w:color w:val="000000" w:themeColor="text1"/>
        </w:rPr>
        <w:t xml:space="preserve">, 39(4), pp. 478-495. </w:t>
      </w:r>
    </w:p>
    <w:p w14:paraId="21052729" w14:textId="77777777" w:rsidR="008132F9" w:rsidRPr="00115477" w:rsidRDefault="008132F9" w:rsidP="008132F9">
      <w:pPr>
        <w:pStyle w:val="artifact-docx-previewreferenceentry"/>
        <w:spacing w:before="0" w:beforeAutospacing="0" w:after="0" w:afterAutospacing="0"/>
        <w:ind w:left="720"/>
        <w:rPr>
          <w:rFonts w:asciiTheme="minorHAnsi" w:hAnsiTheme="minorHAnsi" w:cs="Calibri"/>
          <w:color w:val="000000" w:themeColor="text1"/>
        </w:rPr>
      </w:pPr>
    </w:p>
    <w:p w14:paraId="5DBC131B" w14:textId="77777777" w:rsidR="008132F9" w:rsidRDefault="008132F9" w:rsidP="008132F9">
      <w:pPr>
        <w:pStyle w:val="artifact-docx-previewreferenceentry"/>
        <w:numPr>
          <w:ilvl w:val="0"/>
          <w:numId w:val="4"/>
        </w:numPr>
        <w:spacing w:before="0" w:beforeAutospacing="0" w:after="0" w:afterAutospacing="0"/>
        <w:rPr>
          <w:rFonts w:asciiTheme="minorHAnsi" w:hAnsiTheme="minorHAnsi" w:cs="Calibri"/>
          <w:color w:val="000000" w:themeColor="text1"/>
        </w:rPr>
      </w:pPr>
      <w:r w:rsidRPr="00115477">
        <w:rPr>
          <w:rFonts w:asciiTheme="minorHAnsi" w:hAnsiTheme="minorHAnsi" w:cs="Calibri"/>
          <w:color w:val="000000" w:themeColor="text1"/>
        </w:rPr>
        <w:t>Ben-</w:t>
      </w:r>
      <w:proofErr w:type="spellStart"/>
      <w:r w:rsidRPr="00115477">
        <w:rPr>
          <w:rFonts w:asciiTheme="minorHAnsi" w:hAnsiTheme="minorHAnsi" w:cs="Calibri"/>
          <w:color w:val="000000" w:themeColor="text1"/>
        </w:rPr>
        <w:t>Hador</w:t>
      </w:r>
      <w:proofErr w:type="spellEnd"/>
      <w:r w:rsidRPr="00115477">
        <w:rPr>
          <w:rFonts w:asciiTheme="minorHAnsi" w:hAnsiTheme="minorHAnsi" w:cs="Calibri"/>
          <w:color w:val="000000" w:themeColor="text1"/>
        </w:rPr>
        <w:t xml:space="preserve">, B. (2024) ‘The practice of manager as coach (MAC): unequal power relations and their effect on feelings toward the organization’, </w:t>
      </w:r>
      <w:r w:rsidRPr="00710082">
        <w:rPr>
          <w:rFonts w:asciiTheme="minorHAnsi" w:hAnsiTheme="minorHAnsi" w:cs="Calibri"/>
          <w:color w:val="000000" w:themeColor="text1"/>
        </w:rPr>
        <w:t>Human Resource Development Quarterly</w:t>
      </w:r>
      <w:r w:rsidRPr="00115477">
        <w:rPr>
          <w:rFonts w:asciiTheme="minorHAnsi" w:hAnsiTheme="minorHAnsi" w:cs="Calibri"/>
          <w:color w:val="000000" w:themeColor="text1"/>
        </w:rPr>
        <w:t xml:space="preserve">, 35(1), pp. 67-88. </w:t>
      </w:r>
    </w:p>
    <w:p w14:paraId="1335CA07" w14:textId="77777777" w:rsidR="008132F9" w:rsidRDefault="008132F9" w:rsidP="008132F9">
      <w:pPr>
        <w:pStyle w:val="artifact-docx-previewreferenceentry"/>
        <w:spacing w:before="0" w:beforeAutospacing="0" w:after="0" w:afterAutospacing="0"/>
        <w:ind w:left="720"/>
        <w:rPr>
          <w:rFonts w:asciiTheme="minorHAnsi" w:hAnsiTheme="minorHAnsi" w:cs="Calibri"/>
          <w:color w:val="000000" w:themeColor="text1"/>
        </w:rPr>
      </w:pPr>
    </w:p>
    <w:p w14:paraId="11943282" w14:textId="77777777" w:rsidR="008132F9" w:rsidRPr="00974650" w:rsidRDefault="008132F9" w:rsidP="008132F9">
      <w:pPr>
        <w:pStyle w:val="artifact-docx-previewreferenceentry"/>
        <w:numPr>
          <w:ilvl w:val="0"/>
          <w:numId w:val="4"/>
        </w:numPr>
        <w:spacing w:before="0" w:beforeAutospacing="0" w:after="0" w:afterAutospacing="0"/>
        <w:rPr>
          <w:rFonts w:asciiTheme="minorHAnsi" w:hAnsiTheme="minorHAnsi" w:cs="Calibri"/>
          <w:color w:val="000000" w:themeColor="text1"/>
        </w:rPr>
      </w:pPr>
      <w:r w:rsidRPr="00974650">
        <w:rPr>
          <w:rFonts w:asciiTheme="minorHAnsi" w:hAnsiTheme="minorHAnsi" w:cs="Calibri"/>
          <w:color w:val="000000" w:themeColor="text1"/>
        </w:rPr>
        <w:t xml:space="preserve">Berger, R. (2015) ‘Now I see it, now I don’t: researcher’s position and reflexivity in qualitative research’, </w:t>
      </w:r>
      <w:r w:rsidRPr="00974650">
        <w:rPr>
          <w:rFonts w:asciiTheme="minorHAnsi" w:hAnsiTheme="minorHAnsi" w:cs="Calibri"/>
          <w:i/>
          <w:iCs/>
          <w:color w:val="000000" w:themeColor="text1"/>
        </w:rPr>
        <w:t>Qualitative Research</w:t>
      </w:r>
      <w:r w:rsidRPr="00974650">
        <w:rPr>
          <w:rFonts w:asciiTheme="minorHAnsi" w:hAnsiTheme="minorHAnsi" w:cs="Calibri"/>
          <w:color w:val="000000" w:themeColor="text1"/>
        </w:rPr>
        <w:t xml:space="preserve">, 15(2), pp. 219–234. </w:t>
      </w:r>
    </w:p>
    <w:p w14:paraId="7D624F08" w14:textId="77777777" w:rsidR="008132F9" w:rsidRPr="00974650" w:rsidRDefault="008132F9" w:rsidP="008132F9">
      <w:pPr>
        <w:pStyle w:val="artifact-docx-previewreferenceentry"/>
        <w:spacing w:before="0" w:beforeAutospacing="0" w:after="0" w:afterAutospacing="0"/>
        <w:ind w:left="720"/>
        <w:rPr>
          <w:rFonts w:asciiTheme="minorHAnsi" w:hAnsiTheme="minorHAnsi" w:cs="Calibri"/>
          <w:color w:val="000000" w:themeColor="text1"/>
        </w:rPr>
      </w:pPr>
    </w:p>
    <w:p w14:paraId="3F7EF3BF" w14:textId="77777777" w:rsidR="008132F9" w:rsidRPr="00974650" w:rsidRDefault="008132F9" w:rsidP="008132F9">
      <w:pPr>
        <w:pStyle w:val="artifact-docx-previewreferenceentry"/>
        <w:numPr>
          <w:ilvl w:val="0"/>
          <w:numId w:val="4"/>
        </w:numPr>
        <w:spacing w:before="0" w:beforeAutospacing="0" w:after="0" w:afterAutospacing="0"/>
        <w:rPr>
          <w:rFonts w:asciiTheme="minorHAnsi" w:hAnsiTheme="minorHAnsi" w:cs="Calibri"/>
          <w:color w:val="000000" w:themeColor="text1"/>
        </w:rPr>
      </w:pPr>
      <w:r w:rsidRPr="00C67CD0">
        <w:rPr>
          <w:rFonts w:asciiTheme="minorHAnsi" w:hAnsiTheme="minorHAnsi" w:cs="Calibri"/>
          <w:b/>
          <w:bCs/>
          <w:color w:val="000000" w:themeColor="text1"/>
        </w:rPr>
        <w:t>Brannick</w:t>
      </w:r>
      <w:r w:rsidRPr="00974650">
        <w:rPr>
          <w:rFonts w:asciiTheme="minorHAnsi" w:hAnsiTheme="minorHAnsi" w:cs="Calibri"/>
          <w:color w:val="000000" w:themeColor="text1"/>
        </w:rPr>
        <w:t xml:space="preserve">, T. and Coghlan, D. (2007) ‘In </w:t>
      </w:r>
      <w:proofErr w:type="spellStart"/>
      <w:r w:rsidRPr="00974650">
        <w:rPr>
          <w:rFonts w:asciiTheme="minorHAnsi" w:hAnsiTheme="minorHAnsi" w:cs="Calibri"/>
          <w:color w:val="000000" w:themeColor="text1"/>
        </w:rPr>
        <w:t>defense</w:t>
      </w:r>
      <w:proofErr w:type="spellEnd"/>
      <w:r w:rsidRPr="00974650">
        <w:rPr>
          <w:rFonts w:asciiTheme="minorHAnsi" w:hAnsiTheme="minorHAnsi" w:cs="Calibri"/>
          <w:color w:val="000000" w:themeColor="text1"/>
        </w:rPr>
        <w:t xml:space="preserve"> of being “native”: the case for insider academic research’, </w:t>
      </w:r>
      <w:r w:rsidRPr="00974650">
        <w:rPr>
          <w:rFonts w:asciiTheme="minorHAnsi" w:hAnsiTheme="minorHAnsi" w:cs="Calibri"/>
          <w:i/>
          <w:iCs/>
          <w:color w:val="000000" w:themeColor="text1"/>
        </w:rPr>
        <w:t>Organizational Research Methods</w:t>
      </w:r>
      <w:r w:rsidRPr="00974650">
        <w:rPr>
          <w:rFonts w:asciiTheme="minorHAnsi" w:hAnsiTheme="minorHAnsi" w:cs="Calibri"/>
          <w:color w:val="000000" w:themeColor="text1"/>
        </w:rPr>
        <w:t>, 10(1), pp. 59–74.</w:t>
      </w:r>
    </w:p>
    <w:p w14:paraId="0459BA63" w14:textId="77777777" w:rsidR="008132F9" w:rsidRPr="00115477" w:rsidRDefault="008132F9" w:rsidP="008132F9">
      <w:pPr>
        <w:pStyle w:val="artifact-docx-previewreferenceentry"/>
        <w:spacing w:before="0" w:beforeAutospacing="0" w:after="0" w:afterAutospacing="0"/>
        <w:ind w:left="720"/>
        <w:rPr>
          <w:rFonts w:asciiTheme="minorHAnsi" w:hAnsiTheme="minorHAnsi" w:cs="Calibri"/>
          <w:color w:val="000000" w:themeColor="text1"/>
        </w:rPr>
      </w:pPr>
    </w:p>
    <w:p w14:paraId="01500CD5" w14:textId="77777777" w:rsidR="008132F9" w:rsidRPr="00115477" w:rsidRDefault="008132F9" w:rsidP="008132F9">
      <w:pPr>
        <w:pStyle w:val="artifact-docx-previewreferenceentry"/>
        <w:numPr>
          <w:ilvl w:val="0"/>
          <w:numId w:val="4"/>
        </w:numPr>
        <w:spacing w:before="0" w:beforeAutospacing="0" w:after="0" w:afterAutospacing="0"/>
        <w:rPr>
          <w:rFonts w:asciiTheme="minorHAnsi" w:hAnsiTheme="minorHAnsi" w:cs="Calibri"/>
          <w:color w:val="000000" w:themeColor="text1"/>
        </w:rPr>
      </w:pPr>
      <w:r>
        <w:t>Cannon-Bowers, J.A., Bowers, C.A., Carlson, C.E., Doherty, S.L., Evans, J. and Hall, J.</w:t>
      </w:r>
      <w:r w:rsidRPr="00115477">
        <w:rPr>
          <w:rFonts w:asciiTheme="minorHAnsi" w:hAnsiTheme="minorHAnsi" w:cs="Calibri"/>
          <w:color w:val="000000" w:themeColor="text1"/>
        </w:rPr>
        <w:t xml:space="preserve"> (2023) ‘Workplace coaching: a meta-analysis and recommendations for advancing the science of coaching’, </w:t>
      </w:r>
      <w:r w:rsidRPr="00710082">
        <w:rPr>
          <w:rFonts w:asciiTheme="minorHAnsi" w:hAnsiTheme="minorHAnsi" w:cs="Calibri"/>
          <w:color w:val="000000" w:themeColor="text1"/>
        </w:rPr>
        <w:t>Frontiers in Psychology</w:t>
      </w:r>
      <w:r w:rsidRPr="00115477">
        <w:rPr>
          <w:rFonts w:asciiTheme="minorHAnsi" w:hAnsiTheme="minorHAnsi" w:cs="Calibri"/>
          <w:color w:val="000000" w:themeColor="text1"/>
        </w:rPr>
        <w:t xml:space="preserve">, 14, article 1204166. </w:t>
      </w:r>
    </w:p>
    <w:p w14:paraId="770908F0" w14:textId="77777777" w:rsidR="008132F9" w:rsidRPr="00115477" w:rsidRDefault="008132F9" w:rsidP="008132F9">
      <w:pPr>
        <w:pStyle w:val="artifact-docx-previewreferenceentry"/>
        <w:spacing w:before="0" w:beforeAutospacing="0" w:after="0" w:afterAutospacing="0"/>
        <w:ind w:left="720"/>
        <w:rPr>
          <w:rFonts w:asciiTheme="minorHAnsi" w:hAnsiTheme="minorHAnsi" w:cs="Calibri"/>
          <w:color w:val="000000" w:themeColor="text1"/>
        </w:rPr>
      </w:pPr>
    </w:p>
    <w:p w14:paraId="30A8DCEB" w14:textId="77777777" w:rsidR="008132F9" w:rsidRPr="00115477" w:rsidRDefault="008132F9" w:rsidP="008132F9">
      <w:pPr>
        <w:pStyle w:val="artifact-docx-previewreferenceentry"/>
        <w:numPr>
          <w:ilvl w:val="0"/>
          <w:numId w:val="4"/>
        </w:numPr>
        <w:spacing w:before="0" w:beforeAutospacing="0" w:after="0" w:afterAutospacing="0"/>
        <w:rPr>
          <w:rFonts w:asciiTheme="minorHAnsi" w:hAnsiTheme="minorHAnsi" w:cs="Calibri"/>
          <w:color w:val="000000" w:themeColor="text1"/>
        </w:rPr>
      </w:pPr>
      <w:r w:rsidRPr="00115477">
        <w:rPr>
          <w:rFonts w:asciiTheme="minorHAnsi" w:hAnsiTheme="minorHAnsi" w:cs="Calibri"/>
          <w:color w:val="000000" w:themeColor="text1"/>
        </w:rPr>
        <w:t xml:space="preserve">de Haan, E. and Nilsson, V.O. (2023) ‘What can we know about the effectiveness of coaching? A meta-analysis based only on randomized controlled trials’, </w:t>
      </w:r>
      <w:r w:rsidRPr="00710082">
        <w:rPr>
          <w:rFonts w:asciiTheme="minorHAnsi" w:hAnsiTheme="minorHAnsi" w:cs="Calibri"/>
          <w:color w:val="000000" w:themeColor="text1"/>
        </w:rPr>
        <w:t>Academy of Management Learning &amp; Education</w:t>
      </w:r>
      <w:r w:rsidRPr="00115477">
        <w:rPr>
          <w:rFonts w:asciiTheme="minorHAnsi" w:hAnsiTheme="minorHAnsi" w:cs="Calibri"/>
          <w:color w:val="000000" w:themeColor="text1"/>
        </w:rPr>
        <w:t xml:space="preserve">, 22(4), pp. 641-661. </w:t>
      </w:r>
    </w:p>
    <w:p w14:paraId="593000CE" w14:textId="77777777" w:rsidR="008132F9" w:rsidRPr="00115477" w:rsidRDefault="008132F9" w:rsidP="008132F9">
      <w:pPr>
        <w:pStyle w:val="artifact-docx-previewreferenceentry"/>
        <w:spacing w:before="0" w:beforeAutospacing="0" w:after="0" w:afterAutospacing="0"/>
        <w:ind w:left="720"/>
        <w:rPr>
          <w:rFonts w:asciiTheme="minorHAnsi" w:hAnsiTheme="minorHAnsi" w:cs="Calibri"/>
          <w:color w:val="000000" w:themeColor="text1"/>
        </w:rPr>
      </w:pPr>
    </w:p>
    <w:p w14:paraId="219BCC15" w14:textId="77777777" w:rsidR="008132F9" w:rsidRPr="00115477" w:rsidRDefault="008132F9" w:rsidP="008132F9">
      <w:pPr>
        <w:pStyle w:val="artifact-docx-previewreferenceentry"/>
        <w:numPr>
          <w:ilvl w:val="0"/>
          <w:numId w:val="4"/>
        </w:numPr>
        <w:spacing w:before="0" w:beforeAutospacing="0" w:after="0" w:afterAutospacing="0"/>
        <w:rPr>
          <w:rFonts w:asciiTheme="minorHAnsi" w:hAnsiTheme="minorHAnsi" w:cs="Calibri"/>
          <w:color w:val="000000" w:themeColor="text1"/>
        </w:rPr>
      </w:pPr>
      <w:r w:rsidRPr="00115477">
        <w:rPr>
          <w:rFonts w:asciiTheme="minorHAnsi" w:hAnsiTheme="minorHAnsi" w:cs="Calibri"/>
          <w:color w:val="000000" w:themeColor="text1"/>
        </w:rPr>
        <w:t xml:space="preserve">Elfert, M. (2019) ‘Lifelong learning in Sustainable Development Goal 4: what does it mean for UNESCO’s rights-based approach to adult learning and education?’, </w:t>
      </w:r>
      <w:r w:rsidRPr="00710082">
        <w:rPr>
          <w:rFonts w:asciiTheme="minorHAnsi" w:hAnsiTheme="minorHAnsi" w:cs="Calibri"/>
          <w:color w:val="000000" w:themeColor="text1"/>
        </w:rPr>
        <w:t>International Review of Education</w:t>
      </w:r>
      <w:r w:rsidRPr="00115477">
        <w:rPr>
          <w:rFonts w:asciiTheme="minorHAnsi" w:hAnsiTheme="minorHAnsi" w:cs="Calibri"/>
          <w:color w:val="000000" w:themeColor="text1"/>
        </w:rPr>
        <w:t xml:space="preserve">, 65(4), pp. 537-556. </w:t>
      </w:r>
    </w:p>
    <w:p w14:paraId="70F11505" w14:textId="77777777" w:rsidR="008132F9" w:rsidRPr="00115477" w:rsidRDefault="008132F9" w:rsidP="008132F9">
      <w:pPr>
        <w:pStyle w:val="artifact-docx-previewreferenceentry"/>
        <w:spacing w:before="0" w:beforeAutospacing="0" w:after="0" w:afterAutospacing="0"/>
        <w:ind w:left="720"/>
        <w:rPr>
          <w:rFonts w:asciiTheme="minorHAnsi" w:hAnsiTheme="minorHAnsi" w:cs="Calibri"/>
          <w:color w:val="000000" w:themeColor="text1"/>
        </w:rPr>
      </w:pPr>
    </w:p>
    <w:p w14:paraId="6BC06763" w14:textId="77777777" w:rsidR="008132F9" w:rsidRPr="00115477" w:rsidRDefault="008132F9" w:rsidP="008132F9">
      <w:pPr>
        <w:pStyle w:val="artifact-docx-previewreferenceentry"/>
        <w:numPr>
          <w:ilvl w:val="0"/>
          <w:numId w:val="4"/>
        </w:numPr>
        <w:spacing w:before="0" w:beforeAutospacing="0" w:after="0" w:afterAutospacing="0"/>
        <w:rPr>
          <w:rFonts w:asciiTheme="minorHAnsi" w:hAnsiTheme="minorHAnsi" w:cs="Calibri"/>
          <w:color w:val="000000" w:themeColor="text1"/>
        </w:rPr>
      </w:pPr>
      <w:r w:rsidRPr="00115477">
        <w:rPr>
          <w:rFonts w:asciiTheme="minorHAnsi" w:hAnsiTheme="minorHAnsi" w:cs="Calibri"/>
          <w:color w:val="000000" w:themeColor="text1"/>
        </w:rPr>
        <w:t xml:space="preserve">Frey, D.F. and MacNaughton, G. (2016) ‘A human rights lens on full employment and decent work in the 2030 Sustainable Development Agenda’, </w:t>
      </w:r>
      <w:r w:rsidRPr="00710082">
        <w:rPr>
          <w:rFonts w:asciiTheme="minorHAnsi" w:hAnsiTheme="minorHAnsi" w:cs="Calibri"/>
          <w:color w:val="000000" w:themeColor="text1"/>
        </w:rPr>
        <w:t>SAGE Open</w:t>
      </w:r>
      <w:r w:rsidRPr="00115477">
        <w:rPr>
          <w:rFonts w:asciiTheme="minorHAnsi" w:hAnsiTheme="minorHAnsi" w:cs="Calibri"/>
          <w:color w:val="000000" w:themeColor="text1"/>
        </w:rPr>
        <w:t xml:space="preserve">, 6(2), pp. 1-13. </w:t>
      </w:r>
    </w:p>
    <w:p w14:paraId="4F4B237F" w14:textId="77777777" w:rsidR="008132F9" w:rsidRPr="00115477" w:rsidRDefault="008132F9" w:rsidP="008132F9">
      <w:pPr>
        <w:pStyle w:val="artifact-docx-previewreferenceentry"/>
        <w:spacing w:before="0" w:beforeAutospacing="0" w:after="0" w:afterAutospacing="0"/>
        <w:ind w:left="720"/>
        <w:rPr>
          <w:rFonts w:asciiTheme="minorHAnsi" w:hAnsiTheme="minorHAnsi" w:cs="Calibri"/>
          <w:color w:val="000000" w:themeColor="text1"/>
        </w:rPr>
      </w:pPr>
    </w:p>
    <w:p w14:paraId="109D9396" w14:textId="77777777" w:rsidR="008132F9" w:rsidRDefault="008132F9" w:rsidP="008132F9">
      <w:pPr>
        <w:pStyle w:val="artifact-docx-previewreferenceentry"/>
        <w:numPr>
          <w:ilvl w:val="0"/>
          <w:numId w:val="4"/>
        </w:numPr>
        <w:spacing w:before="0" w:beforeAutospacing="0" w:after="0" w:afterAutospacing="0"/>
        <w:rPr>
          <w:rFonts w:asciiTheme="minorHAnsi" w:hAnsiTheme="minorHAnsi" w:cs="Calibri"/>
          <w:color w:val="000000" w:themeColor="text1"/>
        </w:rPr>
      </w:pPr>
      <w:r w:rsidRPr="00E95B2A">
        <w:rPr>
          <w:rFonts w:asciiTheme="minorHAnsi" w:hAnsiTheme="minorHAnsi" w:cs="Calibri"/>
          <w:color w:val="000000" w:themeColor="text1"/>
        </w:rPr>
        <w:t xml:space="preserve">Grant, M.J. and Booth, A. (2009) ‘A typology of reviews: an analysis of 14 review types and associated methodologies’, </w:t>
      </w:r>
      <w:r w:rsidRPr="00E95B2A">
        <w:rPr>
          <w:rFonts w:asciiTheme="minorHAnsi" w:hAnsiTheme="minorHAnsi" w:cs="Calibri"/>
          <w:i/>
          <w:iCs/>
          <w:color w:val="000000" w:themeColor="text1"/>
        </w:rPr>
        <w:t>Health Information &amp; Libraries Journal</w:t>
      </w:r>
      <w:r w:rsidRPr="00E95B2A">
        <w:rPr>
          <w:rFonts w:asciiTheme="minorHAnsi" w:hAnsiTheme="minorHAnsi" w:cs="Calibri"/>
          <w:color w:val="000000" w:themeColor="text1"/>
        </w:rPr>
        <w:t>, 26(2), pp. 91–108</w:t>
      </w:r>
    </w:p>
    <w:p w14:paraId="083389CF" w14:textId="77777777" w:rsidR="008132F9" w:rsidRPr="00E95B2A" w:rsidRDefault="008132F9" w:rsidP="008132F9">
      <w:pPr>
        <w:pStyle w:val="artifact-docx-previewreferenceentry"/>
        <w:spacing w:before="0" w:beforeAutospacing="0" w:after="0" w:afterAutospacing="0"/>
        <w:rPr>
          <w:rFonts w:asciiTheme="minorHAnsi" w:hAnsiTheme="minorHAnsi" w:cs="Calibri"/>
          <w:color w:val="000000" w:themeColor="text1"/>
        </w:rPr>
      </w:pPr>
    </w:p>
    <w:p w14:paraId="3C3A7309" w14:textId="77777777" w:rsidR="008132F9" w:rsidRPr="00115477" w:rsidRDefault="008132F9" w:rsidP="008132F9">
      <w:pPr>
        <w:pStyle w:val="artifact-docx-previewreferenceentry"/>
        <w:numPr>
          <w:ilvl w:val="0"/>
          <w:numId w:val="4"/>
        </w:numPr>
        <w:spacing w:before="0" w:beforeAutospacing="0" w:after="0" w:afterAutospacing="0"/>
        <w:rPr>
          <w:rFonts w:asciiTheme="minorHAnsi" w:hAnsiTheme="minorHAnsi" w:cs="Calibri"/>
          <w:color w:val="000000" w:themeColor="text1"/>
        </w:rPr>
      </w:pPr>
      <w:r w:rsidRPr="00115477">
        <w:rPr>
          <w:rFonts w:asciiTheme="minorHAnsi" w:hAnsiTheme="minorHAnsi" w:cs="Calibri"/>
          <w:color w:val="000000" w:themeColor="text1"/>
        </w:rPr>
        <w:t xml:space="preserve">Grant, A.M. (2017) ‘The third “generation” of workplace coaching: creating a culture of quality conversations’, </w:t>
      </w:r>
      <w:r w:rsidRPr="00710082">
        <w:rPr>
          <w:rFonts w:asciiTheme="minorHAnsi" w:hAnsiTheme="minorHAnsi" w:cs="Calibri"/>
          <w:color w:val="000000" w:themeColor="text1"/>
        </w:rPr>
        <w:t>Coaching: An International Journal of Theory, Research and Practice</w:t>
      </w:r>
      <w:r w:rsidRPr="00115477">
        <w:rPr>
          <w:rFonts w:asciiTheme="minorHAnsi" w:hAnsiTheme="minorHAnsi" w:cs="Calibri"/>
          <w:color w:val="000000" w:themeColor="text1"/>
        </w:rPr>
        <w:t xml:space="preserve">, 10(1), pp. 37-53. </w:t>
      </w:r>
    </w:p>
    <w:p w14:paraId="295BF9E3" w14:textId="77777777" w:rsidR="008132F9" w:rsidRPr="00115477" w:rsidRDefault="008132F9" w:rsidP="008132F9">
      <w:pPr>
        <w:pStyle w:val="artifact-docx-previewreferenceentry"/>
        <w:spacing w:before="0" w:beforeAutospacing="0" w:after="0" w:afterAutospacing="0"/>
        <w:ind w:left="720"/>
        <w:rPr>
          <w:rFonts w:asciiTheme="minorHAnsi" w:hAnsiTheme="minorHAnsi" w:cs="Calibri"/>
          <w:color w:val="000000" w:themeColor="text1"/>
        </w:rPr>
      </w:pPr>
    </w:p>
    <w:p w14:paraId="488E363B" w14:textId="77777777" w:rsidR="008132F9" w:rsidRPr="00115477" w:rsidRDefault="008132F9" w:rsidP="008132F9">
      <w:pPr>
        <w:pStyle w:val="artifact-docx-previewreferenceentry"/>
        <w:numPr>
          <w:ilvl w:val="0"/>
          <w:numId w:val="4"/>
        </w:numPr>
        <w:spacing w:before="0" w:beforeAutospacing="0" w:after="0" w:afterAutospacing="0"/>
        <w:rPr>
          <w:rFonts w:asciiTheme="minorHAnsi" w:hAnsiTheme="minorHAnsi" w:cs="Calibri"/>
          <w:color w:val="000000" w:themeColor="text1"/>
        </w:rPr>
      </w:pPr>
      <w:r w:rsidRPr="00115477">
        <w:rPr>
          <w:rFonts w:asciiTheme="minorHAnsi" w:hAnsiTheme="minorHAnsi" w:cs="Calibri"/>
          <w:color w:val="000000" w:themeColor="text1"/>
        </w:rPr>
        <w:t xml:space="preserve">Graßmann, C. and </w:t>
      </w:r>
      <w:proofErr w:type="spellStart"/>
      <w:r w:rsidRPr="00115477">
        <w:rPr>
          <w:rFonts w:asciiTheme="minorHAnsi" w:hAnsiTheme="minorHAnsi" w:cs="Calibri"/>
          <w:color w:val="000000" w:themeColor="text1"/>
        </w:rPr>
        <w:t>Schermuly</w:t>
      </w:r>
      <w:proofErr w:type="spellEnd"/>
      <w:r w:rsidRPr="00115477">
        <w:rPr>
          <w:rFonts w:asciiTheme="minorHAnsi" w:hAnsiTheme="minorHAnsi" w:cs="Calibri"/>
          <w:color w:val="000000" w:themeColor="text1"/>
        </w:rPr>
        <w:t xml:space="preserve">, C.C. (2016) ‘Side effects of business coaching and their predictors from the </w:t>
      </w:r>
      <w:proofErr w:type="spellStart"/>
      <w:r w:rsidRPr="00115477">
        <w:rPr>
          <w:rFonts w:asciiTheme="minorHAnsi" w:hAnsiTheme="minorHAnsi" w:cs="Calibri"/>
          <w:color w:val="000000" w:themeColor="text1"/>
        </w:rPr>
        <w:t>coachees’</w:t>
      </w:r>
      <w:proofErr w:type="spellEnd"/>
      <w:r w:rsidRPr="00115477">
        <w:rPr>
          <w:rFonts w:asciiTheme="minorHAnsi" w:hAnsiTheme="minorHAnsi" w:cs="Calibri"/>
          <w:color w:val="000000" w:themeColor="text1"/>
        </w:rPr>
        <w:t xml:space="preserve"> perspective’, </w:t>
      </w:r>
      <w:r w:rsidRPr="00710082">
        <w:rPr>
          <w:rFonts w:asciiTheme="minorHAnsi" w:hAnsiTheme="minorHAnsi" w:cs="Calibri"/>
          <w:color w:val="000000" w:themeColor="text1"/>
        </w:rPr>
        <w:t>Journal of Personnel Psychology</w:t>
      </w:r>
      <w:r w:rsidRPr="00115477">
        <w:rPr>
          <w:rFonts w:asciiTheme="minorHAnsi" w:hAnsiTheme="minorHAnsi" w:cs="Calibri"/>
          <w:color w:val="000000" w:themeColor="text1"/>
        </w:rPr>
        <w:t xml:space="preserve">, 15(4), pp. 152-163. </w:t>
      </w:r>
    </w:p>
    <w:p w14:paraId="12C35B30" w14:textId="77777777" w:rsidR="008132F9" w:rsidRPr="00115477" w:rsidRDefault="008132F9" w:rsidP="008132F9">
      <w:pPr>
        <w:pStyle w:val="artifact-docx-previewreferenceentry"/>
        <w:spacing w:before="0" w:beforeAutospacing="0" w:after="0" w:afterAutospacing="0"/>
        <w:ind w:left="720"/>
        <w:rPr>
          <w:rFonts w:asciiTheme="minorHAnsi" w:hAnsiTheme="minorHAnsi" w:cs="Calibri"/>
          <w:color w:val="000000" w:themeColor="text1"/>
        </w:rPr>
      </w:pPr>
    </w:p>
    <w:p w14:paraId="6B8E0D89" w14:textId="77777777" w:rsidR="008132F9" w:rsidRPr="00115477" w:rsidRDefault="008132F9" w:rsidP="008132F9">
      <w:pPr>
        <w:pStyle w:val="artifact-docx-previewreferenceentry"/>
        <w:numPr>
          <w:ilvl w:val="0"/>
          <w:numId w:val="4"/>
        </w:numPr>
        <w:spacing w:before="0" w:beforeAutospacing="0" w:after="0" w:afterAutospacing="0"/>
        <w:rPr>
          <w:rFonts w:asciiTheme="minorHAnsi" w:hAnsiTheme="minorHAnsi" w:cs="Calibri"/>
          <w:color w:val="000000" w:themeColor="text1"/>
        </w:rPr>
      </w:pPr>
      <w:r w:rsidRPr="00115477">
        <w:rPr>
          <w:rFonts w:asciiTheme="minorHAnsi" w:hAnsiTheme="minorHAnsi" w:cs="Calibri"/>
          <w:color w:val="000000" w:themeColor="text1"/>
        </w:rPr>
        <w:lastRenderedPageBreak/>
        <w:t xml:space="preserve">Hart, V., Blattner, J. and Leipsic, S. (2001) ‘Coaching versus therapy: a perspective’, </w:t>
      </w:r>
      <w:r w:rsidRPr="00710082">
        <w:rPr>
          <w:rFonts w:asciiTheme="minorHAnsi" w:hAnsiTheme="minorHAnsi" w:cs="Calibri"/>
          <w:color w:val="000000" w:themeColor="text1"/>
        </w:rPr>
        <w:t>Consulting Psychology Journal: Practice and Research</w:t>
      </w:r>
      <w:r w:rsidRPr="00115477">
        <w:rPr>
          <w:rFonts w:asciiTheme="minorHAnsi" w:hAnsiTheme="minorHAnsi" w:cs="Calibri"/>
          <w:color w:val="000000" w:themeColor="text1"/>
        </w:rPr>
        <w:t xml:space="preserve">, 53(4), pp. 229-237. </w:t>
      </w:r>
    </w:p>
    <w:p w14:paraId="43AA3D73" w14:textId="77777777" w:rsidR="008132F9" w:rsidRPr="00115477" w:rsidRDefault="008132F9" w:rsidP="008132F9">
      <w:pPr>
        <w:pStyle w:val="artifact-docx-previewreferenceentry"/>
        <w:spacing w:before="0" w:beforeAutospacing="0" w:after="0" w:afterAutospacing="0"/>
        <w:ind w:left="720"/>
        <w:rPr>
          <w:rFonts w:asciiTheme="minorHAnsi" w:hAnsiTheme="minorHAnsi" w:cs="Calibri"/>
          <w:color w:val="000000" w:themeColor="text1"/>
        </w:rPr>
      </w:pPr>
    </w:p>
    <w:p w14:paraId="75044834" w14:textId="77777777" w:rsidR="008132F9" w:rsidRPr="00115477" w:rsidRDefault="008132F9" w:rsidP="008132F9">
      <w:pPr>
        <w:pStyle w:val="artifact-docx-previewreferenceentry"/>
        <w:numPr>
          <w:ilvl w:val="0"/>
          <w:numId w:val="4"/>
        </w:numPr>
        <w:spacing w:before="0" w:beforeAutospacing="0" w:after="0" w:afterAutospacing="0"/>
        <w:rPr>
          <w:rFonts w:asciiTheme="minorHAnsi" w:hAnsiTheme="minorHAnsi" w:cs="Calibri"/>
          <w:color w:val="000000" w:themeColor="text1"/>
        </w:rPr>
      </w:pPr>
      <w:r w:rsidRPr="00115477">
        <w:rPr>
          <w:rFonts w:asciiTheme="minorHAnsi" w:hAnsiTheme="minorHAnsi" w:cs="Calibri"/>
          <w:color w:val="000000" w:themeColor="text1"/>
        </w:rPr>
        <w:t xml:space="preserve">International Coaching Federation (n.d.) </w:t>
      </w:r>
      <w:r w:rsidRPr="00710082">
        <w:rPr>
          <w:rFonts w:asciiTheme="minorHAnsi" w:hAnsiTheme="minorHAnsi" w:cs="Calibri"/>
          <w:color w:val="000000" w:themeColor="text1"/>
        </w:rPr>
        <w:t>About ICF</w:t>
      </w:r>
      <w:r w:rsidRPr="00115477">
        <w:rPr>
          <w:rFonts w:asciiTheme="minorHAnsi" w:hAnsiTheme="minorHAnsi" w:cs="Calibri"/>
          <w:color w:val="000000" w:themeColor="text1"/>
        </w:rPr>
        <w:t xml:space="preserve">. Available at: </w:t>
      </w:r>
      <w:hyperlink r:id="rId8" w:history="1">
        <w:r w:rsidRPr="00710082">
          <w:t>https://coachingfederation.org/about/</w:t>
        </w:r>
      </w:hyperlink>
      <w:r w:rsidRPr="00115477">
        <w:rPr>
          <w:rFonts w:asciiTheme="minorHAnsi" w:hAnsiTheme="minorHAnsi" w:cs="Calibri"/>
          <w:color w:val="000000" w:themeColor="text1"/>
        </w:rPr>
        <w:t xml:space="preserve"> (Accessed: 19 August 2026).</w:t>
      </w:r>
    </w:p>
    <w:p w14:paraId="4052F484" w14:textId="77777777" w:rsidR="008132F9" w:rsidRPr="00115477" w:rsidRDefault="008132F9" w:rsidP="008132F9">
      <w:pPr>
        <w:pStyle w:val="artifact-docx-previewreferenceentry"/>
        <w:spacing w:before="0" w:beforeAutospacing="0" w:after="0" w:afterAutospacing="0"/>
        <w:ind w:left="720"/>
        <w:rPr>
          <w:rFonts w:asciiTheme="minorHAnsi" w:hAnsiTheme="minorHAnsi" w:cs="Calibri"/>
          <w:color w:val="000000" w:themeColor="text1"/>
        </w:rPr>
      </w:pPr>
    </w:p>
    <w:p w14:paraId="497B4EEF" w14:textId="77777777" w:rsidR="008132F9" w:rsidRPr="00115477" w:rsidRDefault="008132F9" w:rsidP="008132F9">
      <w:pPr>
        <w:pStyle w:val="artifact-docx-previewreferenceentry"/>
        <w:numPr>
          <w:ilvl w:val="0"/>
          <w:numId w:val="4"/>
        </w:numPr>
        <w:spacing w:before="0" w:beforeAutospacing="0" w:after="0" w:afterAutospacing="0"/>
        <w:rPr>
          <w:rFonts w:asciiTheme="minorHAnsi" w:hAnsiTheme="minorHAnsi" w:cs="Calibri"/>
          <w:color w:val="000000" w:themeColor="text1"/>
        </w:rPr>
      </w:pPr>
      <w:r w:rsidRPr="00115477">
        <w:rPr>
          <w:rFonts w:asciiTheme="minorHAnsi" w:hAnsiTheme="minorHAnsi" w:cs="Calibri"/>
          <w:color w:val="000000" w:themeColor="text1"/>
        </w:rPr>
        <w:t xml:space="preserve">International Coaching Federation (2025) </w:t>
      </w:r>
      <w:r w:rsidRPr="00710082">
        <w:rPr>
          <w:rFonts w:asciiTheme="minorHAnsi" w:hAnsiTheme="minorHAnsi" w:cs="Calibri"/>
          <w:color w:val="000000" w:themeColor="text1"/>
        </w:rPr>
        <w:t>2025 ICF Global Coaching Study Executive Summary</w:t>
      </w:r>
      <w:r w:rsidRPr="00115477">
        <w:rPr>
          <w:rFonts w:asciiTheme="minorHAnsi" w:hAnsiTheme="minorHAnsi" w:cs="Calibri"/>
          <w:color w:val="000000" w:themeColor="text1"/>
        </w:rPr>
        <w:t xml:space="preserve">. Available at: </w:t>
      </w:r>
      <w:hyperlink r:id="rId9" w:history="1">
        <w:r w:rsidRPr="00710082">
          <w:t>https://coachingfederation.org/resource/2025-icf-global-coaching-study-executive-summary/</w:t>
        </w:r>
      </w:hyperlink>
      <w:r w:rsidRPr="00115477">
        <w:rPr>
          <w:rFonts w:asciiTheme="minorHAnsi" w:hAnsiTheme="minorHAnsi" w:cs="Calibri"/>
          <w:color w:val="000000" w:themeColor="text1"/>
        </w:rPr>
        <w:t xml:space="preserve"> (Accessed: 19 August 2026).</w:t>
      </w:r>
    </w:p>
    <w:p w14:paraId="1A8FFEA5" w14:textId="77777777" w:rsidR="008132F9" w:rsidRPr="00115477" w:rsidRDefault="008132F9" w:rsidP="008132F9">
      <w:pPr>
        <w:pStyle w:val="artifact-docx-previewreferenceentry"/>
        <w:spacing w:before="0" w:beforeAutospacing="0" w:after="0" w:afterAutospacing="0"/>
        <w:ind w:left="720"/>
        <w:rPr>
          <w:rFonts w:asciiTheme="minorHAnsi" w:hAnsiTheme="minorHAnsi" w:cs="Calibri"/>
          <w:color w:val="000000" w:themeColor="text1"/>
        </w:rPr>
      </w:pPr>
    </w:p>
    <w:p w14:paraId="2128AEEC" w14:textId="77777777" w:rsidR="008132F9" w:rsidRPr="00115477" w:rsidRDefault="008132F9" w:rsidP="008132F9">
      <w:pPr>
        <w:pStyle w:val="artifact-docx-previewreferenceentry"/>
        <w:numPr>
          <w:ilvl w:val="0"/>
          <w:numId w:val="4"/>
        </w:numPr>
        <w:spacing w:before="0" w:beforeAutospacing="0" w:after="0" w:afterAutospacing="0"/>
        <w:rPr>
          <w:rFonts w:asciiTheme="minorHAnsi" w:hAnsiTheme="minorHAnsi" w:cs="Calibri"/>
          <w:color w:val="000000" w:themeColor="text1"/>
        </w:rPr>
      </w:pPr>
      <w:r w:rsidRPr="00115477">
        <w:rPr>
          <w:rFonts w:asciiTheme="minorHAnsi" w:hAnsiTheme="minorHAnsi" w:cs="Calibri"/>
          <w:color w:val="000000" w:themeColor="text1"/>
        </w:rPr>
        <w:t xml:space="preserve">International Labour Organization (n.d.) </w:t>
      </w:r>
      <w:r w:rsidRPr="00710082">
        <w:rPr>
          <w:rFonts w:asciiTheme="minorHAnsi" w:hAnsiTheme="minorHAnsi" w:cs="Calibri"/>
          <w:color w:val="000000" w:themeColor="text1"/>
        </w:rPr>
        <w:t>Decent work and the 2030 Agenda for sustainable development</w:t>
      </w:r>
      <w:r w:rsidRPr="00115477">
        <w:rPr>
          <w:rFonts w:asciiTheme="minorHAnsi" w:hAnsiTheme="minorHAnsi" w:cs="Calibri"/>
          <w:color w:val="000000" w:themeColor="text1"/>
        </w:rPr>
        <w:t xml:space="preserve">. Available at: </w:t>
      </w:r>
      <w:hyperlink r:id="rId10" w:history="1">
        <w:r w:rsidRPr="00710082">
          <w:t>https://www.ilo.org/topics-and-sectors/decent-work-and-2030-agenda-sustainable-development</w:t>
        </w:r>
      </w:hyperlink>
      <w:r w:rsidRPr="00115477">
        <w:rPr>
          <w:rFonts w:asciiTheme="minorHAnsi" w:hAnsiTheme="minorHAnsi" w:cs="Calibri"/>
          <w:color w:val="000000" w:themeColor="text1"/>
        </w:rPr>
        <w:t xml:space="preserve"> (Accessed: 19 August 2026).</w:t>
      </w:r>
    </w:p>
    <w:p w14:paraId="30CB694E" w14:textId="77777777" w:rsidR="008132F9" w:rsidRPr="00115477" w:rsidRDefault="008132F9" w:rsidP="008132F9">
      <w:pPr>
        <w:pStyle w:val="artifact-docx-previewreferenceentry"/>
        <w:spacing w:before="0" w:beforeAutospacing="0" w:after="0" w:afterAutospacing="0"/>
        <w:ind w:left="720"/>
        <w:rPr>
          <w:rFonts w:asciiTheme="minorHAnsi" w:hAnsiTheme="minorHAnsi" w:cs="Calibri"/>
          <w:color w:val="000000" w:themeColor="text1"/>
        </w:rPr>
      </w:pPr>
    </w:p>
    <w:p w14:paraId="06939973" w14:textId="77777777" w:rsidR="008132F9" w:rsidRDefault="008132F9" w:rsidP="008132F9">
      <w:pPr>
        <w:pStyle w:val="artifact-docx-previewreferenceentry"/>
        <w:numPr>
          <w:ilvl w:val="0"/>
          <w:numId w:val="4"/>
        </w:numPr>
        <w:spacing w:before="0" w:beforeAutospacing="0" w:after="0" w:afterAutospacing="0"/>
        <w:rPr>
          <w:rFonts w:asciiTheme="minorHAnsi" w:hAnsiTheme="minorHAnsi" w:cs="Calibri"/>
          <w:color w:val="000000" w:themeColor="text1"/>
        </w:rPr>
      </w:pPr>
      <w:r w:rsidRPr="00115477">
        <w:rPr>
          <w:rFonts w:asciiTheme="minorHAnsi" w:hAnsiTheme="minorHAnsi" w:cs="Calibri"/>
          <w:color w:val="000000" w:themeColor="text1"/>
        </w:rPr>
        <w:t xml:space="preserve">Jones, R.J., Woods, S.A. and Guillaume, Y.R.F. (2016) ‘The effectiveness of workplace coaching: a meta-analysis of learning and performance outcomes from coaching’, </w:t>
      </w:r>
      <w:r w:rsidRPr="00710082">
        <w:rPr>
          <w:rFonts w:asciiTheme="minorHAnsi" w:hAnsiTheme="minorHAnsi" w:cs="Calibri"/>
          <w:color w:val="000000" w:themeColor="text1"/>
        </w:rPr>
        <w:t>Journal of Occupational and Organizational Psychology</w:t>
      </w:r>
      <w:r w:rsidRPr="00115477">
        <w:rPr>
          <w:rFonts w:asciiTheme="minorHAnsi" w:hAnsiTheme="minorHAnsi" w:cs="Calibri"/>
          <w:color w:val="000000" w:themeColor="text1"/>
        </w:rPr>
        <w:t xml:space="preserve">, 89(2), pp. 249-277. </w:t>
      </w:r>
    </w:p>
    <w:p w14:paraId="67728886" w14:textId="77777777" w:rsidR="008132F9" w:rsidRPr="00115477" w:rsidRDefault="008132F9" w:rsidP="008132F9">
      <w:pPr>
        <w:pStyle w:val="artifact-docx-previewreferenceentry"/>
        <w:spacing w:before="0" w:beforeAutospacing="0" w:after="0" w:afterAutospacing="0"/>
        <w:ind w:left="720"/>
        <w:rPr>
          <w:rFonts w:asciiTheme="minorHAnsi" w:hAnsiTheme="minorHAnsi" w:cs="Calibri"/>
          <w:color w:val="000000" w:themeColor="text1"/>
        </w:rPr>
      </w:pPr>
    </w:p>
    <w:p w14:paraId="2FEC5BEA" w14:textId="77777777" w:rsidR="008132F9" w:rsidRPr="00115477" w:rsidRDefault="008132F9" w:rsidP="008132F9">
      <w:pPr>
        <w:pStyle w:val="artifact-docx-previewreferenceentry"/>
        <w:numPr>
          <w:ilvl w:val="0"/>
          <w:numId w:val="4"/>
        </w:numPr>
        <w:spacing w:before="0" w:beforeAutospacing="0" w:after="0" w:afterAutospacing="0"/>
        <w:rPr>
          <w:rFonts w:asciiTheme="minorHAnsi" w:hAnsiTheme="minorHAnsi" w:cs="Calibri"/>
          <w:color w:val="000000" w:themeColor="text1"/>
        </w:rPr>
      </w:pPr>
      <w:r w:rsidRPr="00115477">
        <w:rPr>
          <w:rFonts w:asciiTheme="minorHAnsi" w:hAnsiTheme="minorHAnsi" w:cs="Calibri"/>
          <w:color w:val="000000" w:themeColor="text1"/>
        </w:rPr>
        <w:t xml:space="preserve">Joo, B.-K. (2005) ‘Executive coaching: a conceptual framework from an integrative review of practice and research’, </w:t>
      </w:r>
      <w:r w:rsidRPr="00710082">
        <w:rPr>
          <w:rFonts w:asciiTheme="minorHAnsi" w:hAnsiTheme="minorHAnsi" w:cs="Calibri"/>
          <w:color w:val="000000" w:themeColor="text1"/>
        </w:rPr>
        <w:t>Human Resource Development Review</w:t>
      </w:r>
      <w:r w:rsidRPr="00115477">
        <w:rPr>
          <w:rFonts w:asciiTheme="minorHAnsi" w:hAnsiTheme="minorHAnsi" w:cs="Calibri"/>
          <w:color w:val="000000" w:themeColor="text1"/>
        </w:rPr>
        <w:t xml:space="preserve">, 4(4), pp. 462-488. </w:t>
      </w:r>
    </w:p>
    <w:p w14:paraId="198EF4AE" w14:textId="77777777" w:rsidR="008132F9" w:rsidRPr="00115477" w:rsidRDefault="008132F9" w:rsidP="008132F9">
      <w:pPr>
        <w:pStyle w:val="artifact-docx-previewreferenceentry"/>
        <w:spacing w:before="0" w:beforeAutospacing="0" w:after="0" w:afterAutospacing="0"/>
        <w:ind w:left="720"/>
        <w:rPr>
          <w:rFonts w:asciiTheme="minorHAnsi" w:hAnsiTheme="minorHAnsi" w:cs="Calibri"/>
          <w:color w:val="000000" w:themeColor="text1"/>
        </w:rPr>
      </w:pPr>
    </w:p>
    <w:p w14:paraId="1C4D746E" w14:textId="77777777" w:rsidR="008132F9" w:rsidRPr="00115477" w:rsidRDefault="008132F9" w:rsidP="008132F9">
      <w:pPr>
        <w:pStyle w:val="artifact-docx-previewreferenceentry"/>
        <w:numPr>
          <w:ilvl w:val="0"/>
          <w:numId w:val="4"/>
        </w:numPr>
        <w:spacing w:before="0" w:beforeAutospacing="0" w:after="0" w:afterAutospacing="0"/>
        <w:rPr>
          <w:rFonts w:asciiTheme="minorHAnsi" w:hAnsiTheme="minorHAnsi" w:cs="Calibri"/>
          <w:color w:val="000000" w:themeColor="text1"/>
        </w:rPr>
      </w:pPr>
      <w:proofErr w:type="spellStart"/>
      <w:r w:rsidRPr="00225EA3">
        <w:rPr>
          <w:rFonts w:asciiTheme="minorHAnsi" w:hAnsiTheme="minorHAnsi" w:cs="Calibri"/>
          <w:color w:val="000000" w:themeColor="text1"/>
        </w:rPr>
        <w:t>Kapoutzis</w:t>
      </w:r>
      <w:proofErr w:type="spellEnd"/>
      <w:r w:rsidRPr="00225EA3">
        <w:rPr>
          <w:rFonts w:asciiTheme="minorHAnsi" w:hAnsiTheme="minorHAnsi" w:cs="Calibri"/>
          <w:color w:val="000000" w:themeColor="text1"/>
        </w:rPr>
        <w:t>, N., Whiley, L.A., Yarker, J. and Lewis, R.</w:t>
      </w:r>
      <w:r>
        <w:rPr>
          <w:rFonts w:asciiTheme="minorHAnsi" w:hAnsiTheme="minorHAnsi" w:cs="Calibri"/>
          <w:color w:val="000000" w:themeColor="text1"/>
        </w:rPr>
        <w:t xml:space="preserve">, </w:t>
      </w:r>
      <w:r w:rsidRPr="00115477">
        <w:rPr>
          <w:rFonts w:asciiTheme="minorHAnsi" w:hAnsiTheme="minorHAnsi" w:cs="Calibri"/>
          <w:color w:val="000000" w:themeColor="text1"/>
        </w:rPr>
        <w:t xml:space="preserve">(2024) ‘Coaching culture: an evidence review and framework for future research and practice’, </w:t>
      </w:r>
      <w:r w:rsidRPr="00710082">
        <w:rPr>
          <w:rFonts w:asciiTheme="minorHAnsi" w:hAnsiTheme="minorHAnsi" w:cs="Calibri"/>
          <w:color w:val="000000" w:themeColor="text1"/>
        </w:rPr>
        <w:t>Coaching: An International Journal of Theory, Research and Practice</w:t>
      </w:r>
      <w:r w:rsidRPr="00115477">
        <w:rPr>
          <w:rFonts w:asciiTheme="minorHAnsi" w:hAnsiTheme="minorHAnsi" w:cs="Calibri"/>
          <w:color w:val="000000" w:themeColor="text1"/>
        </w:rPr>
        <w:t xml:space="preserve">, 17(1), pp. 50-76. </w:t>
      </w:r>
    </w:p>
    <w:p w14:paraId="627862CC" w14:textId="77777777" w:rsidR="008132F9" w:rsidRPr="00115477" w:rsidRDefault="008132F9" w:rsidP="008132F9">
      <w:pPr>
        <w:pStyle w:val="artifact-docx-previewreferenceentry"/>
        <w:spacing w:before="0" w:beforeAutospacing="0" w:after="0" w:afterAutospacing="0"/>
        <w:ind w:left="720"/>
        <w:rPr>
          <w:rFonts w:asciiTheme="minorHAnsi" w:hAnsiTheme="minorHAnsi" w:cs="Calibri"/>
          <w:color w:val="000000" w:themeColor="text1"/>
        </w:rPr>
      </w:pPr>
    </w:p>
    <w:p w14:paraId="3F7306D9" w14:textId="77777777" w:rsidR="008132F9" w:rsidRPr="00115477" w:rsidRDefault="008132F9" w:rsidP="008132F9">
      <w:pPr>
        <w:pStyle w:val="artifact-docx-previewreferenceentry"/>
        <w:numPr>
          <w:ilvl w:val="0"/>
          <w:numId w:val="4"/>
        </w:numPr>
        <w:spacing w:before="0" w:beforeAutospacing="0" w:after="0" w:afterAutospacing="0"/>
        <w:rPr>
          <w:rFonts w:asciiTheme="minorHAnsi" w:hAnsiTheme="minorHAnsi" w:cs="Calibri"/>
          <w:color w:val="000000" w:themeColor="text1"/>
        </w:rPr>
      </w:pPr>
      <w:r w:rsidRPr="00115477">
        <w:rPr>
          <w:rFonts w:asciiTheme="minorHAnsi" w:hAnsiTheme="minorHAnsi" w:cs="Calibri"/>
          <w:color w:val="000000" w:themeColor="text1"/>
        </w:rPr>
        <w:t xml:space="preserve">Lawton-Smith, C. and Cox, E. (2007) ‘Coaching: is it just a new name for training?’, </w:t>
      </w:r>
      <w:r w:rsidRPr="00710082">
        <w:rPr>
          <w:rFonts w:asciiTheme="minorHAnsi" w:hAnsiTheme="minorHAnsi" w:cs="Calibri"/>
          <w:color w:val="000000" w:themeColor="text1"/>
        </w:rPr>
        <w:t>International Journal of Evidence Based Coaching and Mentoring</w:t>
      </w:r>
      <w:r w:rsidRPr="00115477">
        <w:rPr>
          <w:rFonts w:asciiTheme="minorHAnsi" w:hAnsiTheme="minorHAnsi" w:cs="Calibri"/>
          <w:color w:val="000000" w:themeColor="text1"/>
        </w:rPr>
        <w:t xml:space="preserve">, 5(1 Special), pp. 1-9. </w:t>
      </w:r>
    </w:p>
    <w:p w14:paraId="3ADA8B66" w14:textId="77777777" w:rsidR="008132F9" w:rsidRPr="00115477" w:rsidRDefault="008132F9" w:rsidP="008132F9">
      <w:pPr>
        <w:pStyle w:val="artifact-docx-previewreferenceentry"/>
        <w:spacing w:before="0" w:beforeAutospacing="0" w:after="0" w:afterAutospacing="0"/>
        <w:ind w:left="720"/>
        <w:rPr>
          <w:rFonts w:asciiTheme="minorHAnsi" w:hAnsiTheme="minorHAnsi" w:cs="Calibri"/>
          <w:color w:val="000000" w:themeColor="text1"/>
        </w:rPr>
      </w:pPr>
    </w:p>
    <w:p w14:paraId="6D22965A" w14:textId="77777777" w:rsidR="008132F9" w:rsidRPr="00115477" w:rsidRDefault="008132F9" w:rsidP="008132F9">
      <w:pPr>
        <w:pStyle w:val="artifact-docx-previewreferenceentry"/>
        <w:numPr>
          <w:ilvl w:val="0"/>
          <w:numId w:val="4"/>
        </w:numPr>
        <w:spacing w:before="0" w:beforeAutospacing="0" w:after="0" w:afterAutospacing="0"/>
        <w:rPr>
          <w:rFonts w:asciiTheme="minorHAnsi" w:hAnsiTheme="minorHAnsi" w:cs="Calibri"/>
          <w:color w:val="000000" w:themeColor="text1"/>
        </w:rPr>
      </w:pPr>
      <w:r w:rsidRPr="00115477">
        <w:rPr>
          <w:rFonts w:asciiTheme="minorHAnsi" w:hAnsiTheme="minorHAnsi" w:cs="Calibri"/>
          <w:color w:val="000000" w:themeColor="text1"/>
        </w:rPr>
        <w:t xml:space="preserve">Louis, D. and </w:t>
      </w:r>
      <w:proofErr w:type="spellStart"/>
      <w:r w:rsidRPr="00115477">
        <w:rPr>
          <w:rFonts w:asciiTheme="minorHAnsi" w:hAnsiTheme="minorHAnsi" w:cs="Calibri"/>
          <w:color w:val="000000" w:themeColor="text1"/>
        </w:rPr>
        <w:t>Fatien</w:t>
      </w:r>
      <w:proofErr w:type="spellEnd"/>
      <w:r w:rsidRPr="00115477">
        <w:rPr>
          <w:rFonts w:asciiTheme="minorHAnsi" w:hAnsiTheme="minorHAnsi" w:cs="Calibri"/>
          <w:color w:val="000000" w:themeColor="text1"/>
        </w:rPr>
        <w:t xml:space="preserve"> Diochon, P. (2018) ‘The coaching space: a production of power relationships in organizational settings’, </w:t>
      </w:r>
      <w:r w:rsidRPr="00710082">
        <w:rPr>
          <w:rFonts w:asciiTheme="minorHAnsi" w:hAnsiTheme="minorHAnsi" w:cs="Calibri"/>
          <w:color w:val="000000" w:themeColor="text1"/>
        </w:rPr>
        <w:t>Organization</w:t>
      </w:r>
      <w:r w:rsidRPr="00115477">
        <w:rPr>
          <w:rFonts w:asciiTheme="minorHAnsi" w:hAnsiTheme="minorHAnsi" w:cs="Calibri"/>
          <w:color w:val="000000" w:themeColor="text1"/>
        </w:rPr>
        <w:t xml:space="preserve">, 25(6), pp. 710-731. </w:t>
      </w:r>
    </w:p>
    <w:p w14:paraId="62EEF3C7" w14:textId="77777777" w:rsidR="008132F9" w:rsidRPr="00115477" w:rsidRDefault="008132F9" w:rsidP="008132F9">
      <w:pPr>
        <w:pStyle w:val="artifact-docx-previewreferenceentry"/>
        <w:spacing w:before="0" w:beforeAutospacing="0" w:after="0" w:afterAutospacing="0"/>
        <w:ind w:left="720"/>
        <w:rPr>
          <w:rFonts w:asciiTheme="minorHAnsi" w:hAnsiTheme="minorHAnsi" w:cs="Calibri"/>
          <w:color w:val="000000" w:themeColor="text1"/>
        </w:rPr>
      </w:pPr>
    </w:p>
    <w:p w14:paraId="040B0784" w14:textId="77777777" w:rsidR="008132F9" w:rsidRPr="00115477" w:rsidRDefault="008132F9" w:rsidP="008132F9">
      <w:pPr>
        <w:pStyle w:val="artifact-docx-previewreferenceentry"/>
        <w:numPr>
          <w:ilvl w:val="0"/>
          <w:numId w:val="4"/>
        </w:numPr>
        <w:spacing w:before="0" w:beforeAutospacing="0" w:after="0" w:afterAutospacing="0"/>
        <w:rPr>
          <w:rFonts w:asciiTheme="minorHAnsi" w:hAnsiTheme="minorHAnsi" w:cs="Calibri"/>
          <w:color w:val="000000" w:themeColor="text1"/>
        </w:rPr>
      </w:pPr>
      <w:r w:rsidRPr="00115477">
        <w:rPr>
          <w:rFonts w:asciiTheme="minorHAnsi" w:hAnsiTheme="minorHAnsi" w:cs="Calibri"/>
          <w:color w:val="000000" w:themeColor="text1"/>
        </w:rPr>
        <w:t xml:space="preserve">Mäkinen, K. (2014) ‘The individualization of class: a case of working life coaching’, </w:t>
      </w:r>
      <w:r w:rsidRPr="00710082">
        <w:rPr>
          <w:rFonts w:asciiTheme="minorHAnsi" w:hAnsiTheme="minorHAnsi" w:cs="Calibri"/>
          <w:color w:val="000000" w:themeColor="text1"/>
        </w:rPr>
        <w:t>The Sociological Review</w:t>
      </w:r>
      <w:r w:rsidRPr="00115477">
        <w:rPr>
          <w:rFonts w:asciiTheme="minorHAnsi" w:hAnsiTheme="minorHAnsi" w:cs="Calibri"/>
          <w:color w:val="000000" w:themeColor="text1"/>
        </w:rPr>
        <w:t xml:space="preserve">, 62(4), pp. 821-842. </w:t>
      </w:r>
    </w:p>
    <w:p w14:paraId="362C0DD9" w14:textId="77777777" w:rsidR="008132F9" w:rsidRPr="00115477" w:rsidRDefault="008132F9" w:rsidP="008132F9">
      <w:pPr>
        <w:pStyle w:val="artifact-docx-previewreferenceentry"/>
        <w:spacing w:before="0" w:beforeAutospacing="0" w:after="0" w:afterAutospacing="0"/>
        <w:ind w:left="720"/>
        <w:rPr>
          <w:rFonts w:asciiTheme="minorHAnsi" w:hAnsiTheme="minorHAnsi" w:cs="Calibri"/>
          <w:color w:val="000000" w:themeColor="text1"/>
        </w:rPr>
      </w:pPr>
    </w:p>
    <w:p w14:paraId="531C0ED4" w14:textId="77777777" w:rsidR="008132F9" w:rsidRPr="00115477" w:rsidRDefault="008132F9" w:rsidP="008132F9">
      <w:pPr>
        <w:pStyle w:val="artifact-docx-previewreferenceentry"/>
        <w:numPr>
          <w:ilvl w:val="0"/>
          <w:numId w:val="4"/>
        </w:numPr>
        <w:spacing w:before="0" w:beforeAutospacing="0" w:after="0" w:afterAutospacing="0"/>
        <w:rPr>
          <w:rFonts w:asciiTheme="minorHAnsi" w:hAnsiTheme="minorHAnsi" w:cs="Calibri"/>
          <w:color w:val="000000" w:themeColor="text1"/>
        </w:rPr>
      </w:pPr>
      <w:r w:rsidRPr="00115477">
        <w:rPr>
          <w:rFonts w:asciiTheme="minorHAnsi" w:hAnsiTheme="minorHAnsi" w:cs="Calibri"/>
          <w:color w:val="000000" w:themeColor="text1"/>
        </w:rPr>
        <w:t xml:space="preserve">Mayne, J. (2001) ‘Addressing attribution through contribution analysis: using performance measures sensibly’, </w:t>
      </w:r>
      <w:r w:rsidRPr="00710082">
        <w:rPr>
          <w:rFonts w:asciiTheme="minorHAnsi" w:hAnsiTheme="minorHAnsi" w:cs="Calibri"/>
          <w:color w:val="000000" w:themeColor="text1"/>
        </w:rPr>
        <w:t>Canadian Journal of Program Evaluation</w:t>
      </w:r>
      <w:r w:rsidRPr="00115477">
        <w:rPr>
          <w:rFonts w:asciiTheme="minorHAnsi" w:hAnsiTheme="minorHAnsi" w:cs="Calibri"/>
          <w:color w:val="000000" w:themeColor="text1"/>
        </w:rPr>
        <w:t xml:space="preserve">, 16(1), pp. 1-24. </w:t>
      </w:r>
    </w:p>
    <w:p w14:paraId="7671C26A" w14:textId="77777777" w:rsidR="008132F9" w:rsidRPr="00115477" w:rsidRDefault="008132F9" w:rsidP="008132F9">
      <w:pPr>
        <w:pStyle w:val="artifact-docx-previewreferenceentry"/>
        <w:spacing w:before="0" w:beforeAutospacing="0" w:after="0" w:afterAutospacing="0"/>
        <w:ind w:left="720"/>
        <w:rPr>
          <w:rFonts w:asciiTheme="minorHAnsi" w:hAnsiTheme="minorHAnsi" w:cs="Calibri"/>
          <w:color w:val="000000" w:themeColor="text1"/>
        </w:rPr>
      </w:pPr>
    </w:p>
    <w:p w14:paraId="053C4FD4" w14:textId="77777777" w:rsidR="008132F9" w:rsidRPr="00115477" w:rsidRDefault="008132F9" w:rsidP="008132F9">
      <w:pPr>
        <w:pStyle w:val="artifact-docx-previewreferenceentry"/>
        <w:numPr>
          <w:ilvl w:val="0"/>
          <w:numId w:val="4"/>
        </w:numPr>
        <w:spacing w:before="0" w:beforeAutospacing="0" w:after="0" w:afterAutospacing="0"/>
        <w:rPr>
          <w:rFonts w:asciiTheme="minorHAnsi" w:hAnsiTheme="minorHAnsi" w:cs="Calibri"/>
          <w:color w:val="000000" w:themeColor="text1"/>
        </w:rPr>
      </w:pPr>
      <w:r w:rsidRPr="00115477">
        <w:rPr>
          <w:rFonts w:asciiTheme="minorHAnsi" w:hAnsiTheme="minorHAnsi" w:cs="Calibri"/>
          <w:color w:val="000000" w:themeColor="text1"/>
        </w:rPr>
        <w:t xml:space="preserve">Mayne, J. (2012) ‘Contribution analysis: coming of age?’, </w:t>
      </w:r>
      <w:r w:rsidRPr="00710082">
        <w:rPr>
          <w:rFonts w:asciiTheme="minorHAnsi" w:hAnsiTheme="minorHAnsi" w:cs="Calibri"/>
          <w:color w:val="000000" w:themeColor="text1"/>
        </w:rPr>
        <w:t>Evaluation</w:t>
      </w:r>
      <w:r w:rsidRPr="00115477">
        <w:rPr>
          <w:rFonts w:asciiTheme="minorHAnsi" w:hAnsiTheme="minorHAnsi" w:cs="Calibri"/>
          <w:color w:val="000000" w:themeColor="text1"/>
        </w:rPr>
        <w:t xml:space="preserve">, 18(3), pp. 270-280. </w:t>
      </w:r>
    </w:p>
    <w:p w14:paraId="75CF1A1B" w14:textId="77777777" w:rsidR="008132F9" w:rsidRPr="00115477" w:rsidRDefault="008132F9" w:rsidP="008132F9">
      <w:pPr>
        <w:pStyle w:val="artifact-docx-previewreferenceentry"/>
        <w:spacing w:before="0" w:beforeAutospacing="0" w:after="0" w:afterAutospacing="0"/>
        <w:ind w:left="720"/>
        <w:rPr>
          <w:rFonts w:asciiTheme="minorHAnsi" w:hAnsiTheme="minorHAnsi" w:cs="Calibri"/>
          <w:color w:val="000000" w:themeColor="text1"/>
        </w:rPr>
      </w:pPr>
    </w:p>
    <w:p w14:paraId="25297073" w14:textId="77777777" w:rsidR="008132F9" w:rsidRPr="00115477" w:rsidRDefault="008132F9" w:rsidP="008132F9">
      <w:pPr>
        <w:pStyle w:val="artifact-docx-previewreferenceentry"/>
        <w:numPr>
          <w:ilvl w:val="0"/>
          <w:numId w:val="4"/>
        </w:numPr>
        <w:spacing w:before="0" w:beforeAutospacing="0" w:after="0" w:afterAutospacing="0"/>
        <w:rPr>
          <w:rFonts w:asciiTheme="minorHAnsi" w:hAnsiTheme="minorHAnsi" w:cs="Calibri"/>
          <w:color w:val="000000" w:themeColor="text1"/>
        </w:rPr>
      </w:pPr>
      <w:r w:rsidRPr="005432DE">
        <w:rPr>
          <w:rFonts w:asciiTheme="minorHAnsi" w:hAnsiTheme="minorHAnsi" w:cs="Calibri"/>
          <w:color w:val="000000" w:themeColor="text1"/>
        </w:rPr>
        <w:t xml:space="preserve">Nicolau, A., Candel, O.S., Constantin, T. and </w:t>
      </w:r>
      <w:proofErr w:type="spellStart"/>
      <w:r w:rsidRPr="005432DE">
        <w:rPr>
          <w:rFonts w:asciiTheme="minorHAnsi" w:hAnsiTheme="minorHAnsi" w:cs="Calibri"/>
          <w:color w:val="000000" w:themeColor="text1"/>
        </w:rPr>
        <w:t>Kleingeld</w:t>
      </w:r>
      <w:proofErr w:type="spellEnd"/>
      <w:r w:rsidRPr="005432DE">
        <w:rPr>
          <w:rFonts w:asciiTheme="minorHAnsi" w:hAnsiTheme="minorHAnsi" w:cs="Calibri"/>
          <w:color w:val="000000" w:themeColor="text1"/>
        </w:rPr>
        <w:t>, A.</w:t>
      </w:r>
      <w:r w:rsidRPr="00115477">
        <w:rPr>
          <w:rFonts w:asciiTheme="minorHAnsi" w:hAnsiTheme="minorHAnsi" w:cs="Calibri"/>
          <w:color w:val="000000" w:themeColor="text1"/>
        </w:rPr>
        <w:t xml:space="preserve"> (2023) ‘The effects of executive coaching on </w:t>
      </w:r>
      <w:proofErr w:type="spellStart"/>
      <w:r w:rsidRPr="00115477">
        <w:rPr>
          <w:rFonts w:asciiTheme="minorHAnsi" w:hAnsiTheme="minorHAnsi" w:cs="Calibri"/>
          <w:color w:val="000000" w:themeColor="text1"/>
        </w:rPr>
        <w:t>behaviors</w:t>
      </w:r>
      <w:proofErr w:type="spellEnd"/>
      <w:r w:rsidRPr="00115477">
        <w:rPr>
          <w:rFonts w:asciiTheme="minorHAnsi" w:hAnsiTheme="minorHAnsi" w:cs="Calibri"/>
          <w:color w:val="000000" w:themeColor="text1"/>
        </w:rPr>
        <w:t xml:space="preserve">, attitudes, and personal characteristics: a meta-analysis of randomized control trial studies’, </w:t>
      </w:r>
      <w:r w:rsidRPr="00710082">
        <w:rPr>
          <w:rFonts w:asciiTheme="minorHAnsi" w:hAnsiTheme="minorHAnsi" w:cs="Calibri"/>
          <w:color w:val="000000" w:themeColor="text1"/>
        </w:rPr>
        <w:t>Frontiers in Psychology</w:t>
      </w:r>
      <w:r w:rsidRPr="00115477">
        <w:rPr>
          <w:rFonts w:asciiTheme="minorHAnsi" w:hAnsiTheme="minorHAnsi" w:cs="Calibri"/>
          <w:color w:val="000000" w:themeColor="text1"/>
        </w:rPr>
        <w:t xml:space="preserve">, 14, article 1089797. </w:t>
      </w:r>
    </w:p>
    <w:p w14:paraId="41CBC22B" w14:textId="77777777" w:rsidR="008132F9" w:rsidRPr="00115477" w:rsidRDefault="008132F9" w:rsidP="008132F9">
      <w:pPr>
        <w:pStyle w:val="artifact-docx-previewreferenceentry"/>
        <w:spacing w:before="0" w:beforeAutospacing="0" w:after="0" w:afterAutospacing="0"/>
        <w:ind w:left="720"/>
        <w:rPr>
          <w:rFonts w:asciiTheme="minorHAnsi" w:hAnsiTheme="minorHAnsi" w:cs="Calibri"/>
          <w:color w:val="000000" w:themeColor="text1"/>
        </w:rPr>
      </w:pPr>
    </w:p>
    <w:p w14:paraId="40E4D605" w14:textId="77777777" w:rsidR="008132F9" w:rsidRPr="00115477" w:rsidRDefault="008132F9" w:rsidP="008132F9">
      <w:pPr>
        <w:pStyle w:val="artifact-docx-previewreferenceentry"/>
        <w:numPr>
          <w:ilvl w:val="0"/>
          <w:numId w:val="4"/>
        </w:numPr>
        <w:spacing w:before="0" w:beforeAutospacing="0" w:after="0" w:afterAutospacing="0"/>
        <w:rPr>
          <w:rFonts w:asciiTheme="minorHAnsi" w:hAnsiTheme="minorHAnsi" w:cs="Calibri"/>
          <w:color w:val="000000" w:themeColor="text1"/>
        </w:rPr>
      </w:pPr>
      <w:r w:rsidRPr="00115477">
        <w:rPr>
          <w:rFonts w:asciiTheme="minorHAnsi" w:hAnsiTheme="minorHAnsi" w:cs="Calibri"/>
          <w:color w:val="000000" w:themeColor="text1"/>
        </w:rPr>
        <w:lastRenderedPageBreak/>
        <w:t xml:space="preserve">Passmore, J. (2007) ‘Coaching and mentoring - the role of experience and sector knowledge’, </w:t>
      </w:r>
      <w:r w:rsidRPr="00710082">
        <w:rPr>
          <w:rFonts w:asciiTheme="minorHAnsi" w:hAnsiTheme="minorHAnsi" w:cs="Calibri"/>
          <w:color w:val="000000" w:themeColor="text1"/>
        </w:rPr>
        <w:t>International Journal of Evidence Based Coaching and Mentoring</w:t>
      </w:r>
      <w:r w:rsidRPr="00115477">
        <w:rPr>
          <w:rFonts w:asciiTheme="minorHAnsi" w:hAnsiTheme="minorHAnsi" w:cs="Calibri"/>
          <w:color w:val="000000" w:themeColor="text1"/>
        </w:rPr>
        <w:t xml:space="preserve">, 5(1 Special), pp. 10-16. </w:t>
      </w:r>
    </w:p>
    <w:p w14:paraId="25F354F6" w14:textId="77777777" w:rsidR="008132F9" w:rsidRPr="00115477" w:rsidRDefault="008132F9" w:rsidP="008132F9">
      <w:pPr>
        <w:pStyle w:val="artifact-docx-previewreferenceentry"/>
        <w:spacing w:before="0" w:beforeAutospacing="0" w:after="0" w:afterAutospacing="0"/>
        <w:ind w:left="720"/>
        <w:rPr>
          <w:rFonts w:asciiTheme="minorHAnsi" w:hAnsiTheme="minorHAnsi" w:cs="Calibri"/>
          <w:color w:val="000000" w:themeColor="text1"/>
        </w:rPr>
      </w:pPr>
    </w:p>
    <w:p w14:paraId="030F1E5D" w14:textId="77777777" w:rsidR="008132F9" w:rsidRPr="00115477" w:rsidRDefault="008132F9" w:rsidP="008132F9">
      <w:pPr>
        <w:pStyle w:val="artifact-docx-previewreferenceentry"/>
        <w:numPr>
          <w:ilvl w:val="0"/>
          <w:numId w:val="4"/>
        </w:numPr>
        <w:spacing w:before="0" w:beforeAutospacing="0" w:after="0" w:afterAutospacing="0"/>
        <w:rPr>
          <w:rFonts w:asciiTheme="minorHAnsi" w:hAnsiTheme="minorHAnsi" w:cs="Calibri"/>
          <w:color w:val="000000" w:themeColor="text1"/>
        </w:rPr>
      </w:pPr>
      <w:r w:rsidRPr="00115477">
        <w:rPr>
          <w:rFonts w:asciiTheme="minorHAnsi" w:hAnsiTheme="minorHAnsi" w:cs="Calibri"/>
          <w:color w:val="000000" w:themeColor="text1"/>
        </w:rPr>
        <w:t xml:space="preserve">Pawson, R. and Tilley, N. (1997) </w:t>
      </w:r>
      <w:r w:rsidRPr="00710082">
        <w:rPr>
          <w:rFonts w:asciiTheme="minorHAnsi" w:hAnsiTheme="minorHAnsi" w:cs="Calibri"/>
          <w:color w:val="000000" w:themeColor="text1"/>
        </w:rPr>
        <w:t>Realistic evaluation</w:t>
      </w:r>
      <w:r w:rsidRPr="00115477">
        <w:rPr>
          <w:rFonts w:asciiTheme="minorHAnsi" w:hAnsiTheme="minorHAnsi" w:cs="Calibri"/>
          <w:color w:val="000000" w:themeColor="text1"/>
        </w:rPr>
        <w:t>. London: SAGE.</w:t>
      </w:r>
    </w:p>
    <w:p w14:paraId="760C83B7" w14:textId="77777777" w:rsidR="008132F9" w:rsidRPr="00115477" w:rsidRDefault="008132F9" w:rsidP="008132F9">
      <w:pPr>
        <w:pStyle w:val="artifact-docx-previewreferenceentry"/>
        <w:spacing w:before="0" w:beforeAutospacing="0" w:after="0" w:afterAutospacing="0"/>
        <w:ind w:left="720"/>
        <w:rPr>
          <w:rFonts w:asciiTheme="minorHAnsi" w:hAnsiTheme="minorHAnsi" w:cs="Calibri"/>
          <w:color w:val="000000" w:themeColor="text1"/>
        </w:rPr>
      </w:pPr>
    </w:p>
    <w:p w14:paraId="5925EA95" w14:textId="77777777" w:rsidR="008132F9" w:rsidRPr="00115477" w:rsidRDefault="008132F9" w:rsidP="008132F9">
      <w:pPr>
        <w:pStyle w:val="artifact-docx-previewreferenceentry"/>
        <w:numPr>
          <w:ilvl w:val="0"/>
          <w:numId w:val="4"/>
        </w:numPr>
        <w:spacing w:before="0" w:beforeAutospacing="0" w:after="0" w:afterAutospacing="0"/>
        <w:rPr>
          <w:rFonts w:asciiTheme="minorHAnsi" w:hAnsiTheme="minorHAnsi" w:cs="Calibri"/>
          <w:color w:val="000000" w:themeColor="text1"/>
        </w:rPr>
      </w:pPr>
      <w:r w:rsidRPr="00115477">
        <w:rPr>
          <w:rFonts w:asciiTheme="minorHAnsi" w:hAnsiTheme="minorHAnsi" w:cs="Calibri"/>
          <w:color w:val="000000" w:themeColor="text1"/>
        </w:rPr>
        <w:t xml:space="preserve">Rai, S.M., Brown, B.D. and Ruwanpura, K.N. (2019) ‘SDG 8: decent work and economic growth - a gendered analysis’, </w:t>
      </w:r>
      <w:r w:rsidRPr="00710082">
        <w:rPr>
          <w:rFonts w:asciiTheme="minorHAnsi" w:hAnsiTheme="minorHAnsi" w:cs="Calibri"/>
          <w:color w:val="000000" w:themeColor="text1"/>
        </w:rPr>
        <w:t>World Development</w:t>
      </w:r>
      <w:r w:rsidRPr="00115477">
        <w:rPr>
          <w:rFonts w:asciiTheme="minorHAnsi" w:hAnsiTheme="minorHAnsi" w:cs="Calibri"/>
          <w:color w:val="000000" w:themeColor="text1"/>
        </w:rPr>
        <w:t xml:space="preserve">, 113, pp. 368-380. </w:t>
      </w:r>
    </w:p>
    <w:p w14:paraId="1EA54480" w14:textId="77777777" w:rsidR="008132F9" w:rsidRPr="00115477" w:rsidRDefault="008132F9" w:rsidP="008132F9">
      <w:pPr>
        <w:pStyle w:val="artifact-docx-previewreferenceentry"/>
        <w:spacing w:before="0" w:beforeAutospacing="0" w:after="0" w:afterAutospacing="0"/>
        <w:ind w:left="720"/>
        <w:rPr>
          <w:rFonts w:asciiTheme="minorHAnsi" w:hAnsiTheme="minorHAnsi" w:cs="Calibri"/>
          <w:color w:val="000000" w:themeColor="text1"/>
        </w:rPr>
      </w:pPr>
    </w:p>
    <w:p w14:paraId="4541AB55" w14:textId="77777777" w:rsidR="008132F9" w:rsidRPr="00115477" w:rsidRDefault="008132F9" w:rsidP="008132F9">
      <w:pPr>
        <w:pStyle w:val="artifact-docx-previewreferenceentry"/>
        <w:numPr>
          <w:ilvl w:val="0"/>
          <w:numId w:val="4"/>
        </w:numPr>
        <w:spacing w:before="0" w:beforeAutospacing="0" w:after="0" w:afterAutospacing="0"/>
        <w:rPr>
          <w:rFonts w:asciiTheme="minorHAnsi" w:hAnsiTheme="minorHAnsi" w:cs="Calibri"/>
          <w:color w:val="000000" w:themeColor="text1"/>
        </w:rPr>
      </w:pPr>
      <w:proofErr w:type="spellStart"/>
      <w:r w:rsidRPr="00115477">
        <w:rPr>
          <w:rFonts w:asciiTheme="minorHAnsi" w:hAnsiTheme="minorHAnsi" w:cs="Calibri"/>
          <w:color w:val="000000" w:themeColor="text1"/>
        </w:rPr>
        <w:t>Schermuly</w:t>
      </w:r>
      <w:proofErr w:type="spellEnd"/>
      <w:r w:rsidRPr="00115477">
        <w:rPr>
          <w:rFonts w:asciiTheme="minorHAnsi" w:hAnsiTheme="minorHAnsi" w:cs="Calibri"/>
          <w:color w:val="000000" w:themeColor="text1"/>
        </w:rPr>
        <w:t xml:space="preserve">, C.C. and Graßmann, C. (2019) ‘A literature review on negative effects of coaching - what we know and what we need to know’, </w:t>
      </w:r>
      <w:r w:rsidRPr="00710082">
        <w:rPr>
          <w:rFonts w:asciiTheme="minorHAnsi" w:hAnsiTheme="minorHAnsi" w:cs="Calibri"/>
          <w:color w:val="000000" w:themeColor="text1"/>
        </w:rPr>
        <w:t>Coaching: An International Journal of Theory, Research and Practice</w:t>
      </w:r>
      <w:r w:rsidRPr="00115477">
        <w:rPr>
          <w:rFonts w:asciiTheme="minorHAnsi" w:hAnsiTheme="minorHAnsi" w:cs="Calibri"/>
          <w:color w:val="000000" w:themeColor="text1"/>
        </w:rPr>
        <w:t xml:space="preserve">, 12(1), pp. 39-66. </w:t>
      </w:r>
    </w:p>
    <w:p w14:paraId="0356A4A3" w14:textId="77777777" w:rsidR="008132F9" w:rsidRPr="00115477" w:rsidRDefault="008132F9" w:rsidP="008132F9">
      <w:pPr>
        <w:pStyle w:val="artifact-docx-previewreferenceentry"/>
        <w:spacing w:before="0" w:beforeAutospacing="0" w:after="0" w:afterAutospacing="0"/>
        <w:ind w:left="720"/>
        <w:rPr>
          <w:rFonts w:asciiTheme="minorHAnsi" w:hAnsiTheme="minorHAnsi" w:cs="Calibri"/>
          <w:color w:val="000000" w:themeColor="text1"/>
        </w:rPr>
      </w:pPr>
    </w:p>
    <w:p w14:paraId="2DF6C301" w14:textId="77777777" w:rsidR="008132F9" w:rsidRDefault="008132F9" w:rsidP="008132F9">
      <w:pPr>
        <w:pStyle w:val="artifact-docx-previewreferenceentry"/>
        <w:numPr>
          <w:ilvl w:val="0"/>
          <w:numId w:val="4"/>
        </w:numPr>
        <w:spacing w:before="0" w:beforeAutospacing="0" w:after="0" w:afterAutospacing="0"/>
        <w:rPr>
          <w:rFonts w:asciiTheme="minorHAnsi" w:hAnsiTheme="minorHAnsi" w:cs="Calibri"/>
          <w:color w:val="000000" w:themeColor="text1"/>
        </w:rPr>
      </w:pPr>
      <w:r w:rsidRPr="00115477">
        <w:rPr>
          <w:rFonts w:asciiTheme="minorHAnsi" w:hAnsiTheme="minorHAnsi" w:cs="Calibri"/>
          <w:color w:val="000000" w:themeColor="text1"/>
        </w:rPr>
        <w:t xml:space="preserve">Shoukry, H. and Cox, E. (2018) ‘Coaching as a social process’, </w:t>
      </w:r>
      <w:r w:rsidRPr="00710082">
        <w:rPr>
          <w:rFonts w:asciiTheme="minorHAnsi" w:hAnsiTheme="minorHAnsi" w:cs="Calibri"/>
          <w:color w:val="000000" w:themeColor="text1"/>
        </w:rPr>
        <w:t>Management Learning</w:t>
      </w:r>
      <w:r w:rsidRPr="00115477">
        <w:rPr>
          <w:rFonts w:asciiTheme="minorHAnsi" w:hAnsiTheme="minorHAnsi" w:cs="Calibri"/>
          <w:color w:val="000000" w:themeColor="text1"/>
        </w:rPr>
        <w:t xml:space="preserve">, 49(4), pp. 413-428. </w:t>
      </w:r>
    </w:p>
    <w:p w14:paraId="6EA3C345" w14:textId="77777777" w:rsidR="008132F9" w:rsidRPr="00F20C1B" w:rsidRDefault="008132F9" w:rsidP="008132F9">
      <w:pPr>
        <w:pStyle w:val="artifact-docx-previewreferenceentry"/>
        <w:spacing w:before="0" w:beforeAutospacing="0" w:after="0" w:afterAutospacing="0"/>
        <w:rPr>
          <w:rFonts w:asciiTheme="minorHAnsi" w:hAnsiTheme="minorHAnsi" w:cs="Calibri"/>
          <w:color w:val="000000" w:themeColor="text1"/>
        </w:rPr>
      </w:pPr>
    </w:p>
    <w:p w14:paraId="1B8719F7" w14:textId="77777777" w:rsidR="008132F9" w:rsidRPr="00115477" w:rsidRDefault="008132F9" w:rsidP="008132F9">
      <w:pPr>
        <w:pStyle w:val="artifact-docx-previewreferenceentry"/>
        <w:numPr>
          <w:ilvl w:val="0"/>
          <w:numId w:val="4"/>
        </w:numPr>
        <w:spacing w:before="0" w:beforeAutospacing="0" w:after="0" w:afterAutospacing="0"/>
        <w:rPr>
          <w:rFonts w:asciiTheme="minorHAnsi" w:hAnsiTheme="minorHAnsi" w:cs="Calibri"/>
          <w:color w:val="000000" w:themeColor="text1"/>
        </w:rPr>
      </w:pPr>
      <w:r w:rsidRPr="00F20C1B">
        <w:rPr>
          <w:rFonts w:asciiTheme="minorHAnsi" w:hAnsiTheme="minorHAnsi" w:cs="Calibri"/>
          <w:color w:val="000000" w:themeColor="text1"/>
        </w:rPr>
        <w:t xml:space="preserve">Snyder, H. (2019) ‘Literature review as a research methodology: an overview and guidelines’, </w:t>
      </w:r>
      <w:r w:rsidRPr="00F20C1B">
        <w:rPr>
          <w:rFonts w:asciiTheme="minorHAnsi" w:hAnsiTheme="minorHAnsi" w:cs="Calibri"/>
          <w:i/>
          <w:iCs/>
          <w:color w:val="000000" w:themeColor="text1"/>
        </w:rPr>
        <w:t>Journal of Business Research</w:t>
      </w:r>
      <w:r w:rsidRPr="00F20C1B">
        <w:rPr>
          <w:rFonts w:asciiTheme="minorHAnsi" w:hAnsiTheme="minorHAnsi" w:cs="Calibri"/>
          <w:color w:val="000000" w:themeColor="text1"/>
        </w:rPr>
        <w:t>, 104, pp. 333–339.</w:t>
      </w:r>
    </w:p>
    <w:p w14:paraId="28FBE1CA" w14:textId="77777777" w:rsidR="008132F9" w:rsidRPr="00115477" w:rsidRDefault="008132F9" w:rsidP="008132F9">
      <w:pPr>
        <w:pStyle w:val="artifact-docx-previewreferenceentry"/>
        <w:spacing w:before="0" w:beforeAutospacing="0" w:after="0" w:afterAutospacing="0"/>
        <w:ind w:left="720"/>
        <w:rPr>
          <w:rFonts w:asciiTheme="minorHAnsi" w:hAnsiTheme="minorHAnsi" w:cs="Calibri"/>
          <w:color w:val="000000" w:themeColor="text1"/>
        </w:rPr>
      </w:pPr>
    </w:p>
    <w:p w14:paraId="6211B9AE" w14:textId="77777777" w:rsidR="008132F9" w:rsidRPr="00115477" w:rsidRDefault="008132F9" w:rsidP="008132F9">
      <w:pPr>
        <w:pStyle w:val="artifact-docx-previewreferenceentry"/>
        <w:numPr>
          <w:ilvl w:val="0"/>
          <w:numId w:val="4"/>
        </w:numPr>
        <w:spacing w:before="0" w:beforeAutospacing="0" w:after="0" w:afterAutospacing="0"/>
        <w:rPr>
          <w:rFonts w:asciiTheme="minorHAnsi" w:hAnsiTheme="minorHAnsi" w:cs="Calibri"/>
          <w:color w:val="000000" w:themeColor="text1"/>
        </w:rPr>
      </w:pPr>
      <w:proofErr w:type="spellStart"/>
      <w:r w:rsidRPr="00115477">
        <w:rPr>
          <w:rFonts w:asciiTheme="minorHAnsi" w:hAnsiTheme="minorHAnsi" w:cs="Calibri"/>
          <w:color w:val="000000" w:themeColor="text1"/>
        </w:rPr>
        <w:t>Theeboom</w:t>
      </w:r>
      <w:proofErr w:type="spellEnd"/>
      <w:r w:rsidRPr="00115477">
        <w:rPr>
          <w:rFonts w:asciiTheme="minorHAnsi" w:hAnsiTheme="minorHAnsi" w:cs="Calibri"/>
          <w:color w:val="000000" w:themeColor="text1"/>
        </w:rPr>
        <w:t xml:space="preserve">, T., </w:t>
      </w:r>
      <w:proofErr w:type="spellStart"/>
      <w:r w:rsidRPr="00115477">
        <w:rPr>
          <w:rFonts w:asciiTheme="minorHAnsi" w:hAnsiTheme="minorHAnsi" w:cs="Calibri"/>
          <w:color w:val="000000" w:themeColor="text1"/>
        </w:rPr>
        <w:t>Beersma</w:t>
      </w:r>
      <w:proofErr w:type="spellEnd"/>
      <w:r w:rsidRPr="00115477">
        <w:rPr>
          <w:rFonts w:asciiTheme="minorHAnsi" w:hAnsiTheme="minorHAnsi" w:cs="Calibri"/>
          <w:color w:val="000000" w:themeColor="text1"/>
        </w:rPr>
        <w:t>, B. and van Vianen, A.E.M. (2014) ‘Does coaching work? A meta-analysis on the effects of coaching on individual</w:t>
      </w:r>
      <w:r>
        <w:rPr>
          <w:rFonts w:asciiTheme="minorHAnsi" w:hAnsiTheme="minorHAnsi" w:cs="Calibri"/>
          <w:color w:val="000000" w:themeColor="text1"/>
        </w:rPr>
        <w:t>-</w:t>
      </w:r>
      <w:r w:rsidRPr="00115477">
        <w:rPr>
          <w:rFonts w:asciiTheme="minorHAnsi" w:hAnsiTheme="minorHAnsi" w:cs="Calibri"/>
          <w:color w:val="000000" w:themeColor="text1"/>
        </w:rPr>
        <w:t>level outcomes in an organi</w:t>
      </w:r>
      <w:r>
        <w:rPr>
          <w:rFonts w:asciiTheme="minorHAnsi" w:hAnsiTheme="minorHAnsi" w:cs="Calibri"/>
          <w:color w:val="000000" w:themeColor="text1"/>
        </w:rPr>
        <w:t>s</w:t>
      </w:r>
      <w:r w:rsidRPr="00115477">
        <w:rPr>
          <w:rFonts w:asciiTheme="minorHAnsi" w:hAnsiTheme="minorHAnsi" w:cs="Calibri"/>
          <w:color w:val="000000" w:themeColor="text1"/>
        </w:rPr>
        <w:t xml:space="preserve">ational context’, </w:t>
      </w:r>
      <w:r w:rsidRPr="00710082">
        <w:rPr>
          <w:rFonts w:asciiTheme="minorHAnsi" w:hAnsiTheme="minorHAnsi" w:cs="Calibri"/>
          <w:color w:val="000000" w:themeColor="text1"/>
        </w:rPr>
        <w:t>The Journal of Positive Psychology</w:t>
      </w:r>
      <w:r w:rsidRPr="00115477">
        <w:rPr>
          <w:rFonts w:asciiTheme="minorHAnsi" w:hAnsiTheme="minorHAnsi" w:cs="Calibri"/>
          <w:color w:val="000000" w:themeColor="text1"/>
        </w:rPr>
        <w:t xml:space="preserve">, 9(1), pp. 1-18. </w:t>
      </w:r>
    </w:p>
    <w:p w14:paraId="5D0D23FF" w14:textId="77777777" w:rsidR="008132F9" w:rsidRPr="00115477" w:rsidRDefault="008132F9" w:rsidP="008132F9">
      <w:pPr>
        <w:pStyle w:val="artifact-docx-previewreferenceentry"/>
        <w:spacing w:before="0" w:beforeAutospacing="0" w:after="0" w:afterAutospacing="0"/>
        <w:ind w:left="720"/>
        <w:rPr>
          <w:rFonts w:asciiTheme="minorHAnsi" w:hAnsiTheme="minorHAnsi" w:cs="Calibri"/>
          <w:color w:val="000000" w:themeColor="text1"/>
        </w:rPr>
      </w:pPr>
    </w:p>
    <w:p w14:paraId="5C2ADB08" w14:textId="77777777" w:rsidR="008132F9" w:rsidRDefault="008132F9" w:rsidP="008132F9">
      <w:pPr>
        <w:pStyle w:val="artifact-docx-previewreferenceentry"/>
        <w:numPr>
          <w:ilvl w:val="0"/>
          <w:numId w:val="4"/>
        </w:numPr>
        <w:spacing w:before="0" w:beforeAutospacing="0" w:after="0" w:afterAutospacing="0"/>
        <w:rPr>
          <w:rFonts w:asciiTheme="minorHAnsi" w:hAnsiTheme="minorHAnsi" w:cs="Calibri"/>
          <w:color w:val="000000" w:themeColor="text1"/>
        </w:rPr>
      </w:pPr>
      <w:r w:rsidRPr="00115477">
        <w:rPr>
          <w:rFonts w:asciiTheme="minorHAnsi" w:hAnsiTheme="minorHAnsi" w:cs="Calibri"/>
          <w:color w:val="000000" w:themeColor="text1"/>
        </w:rPr>
        <w:t xml:space="preserve">United Nations (2015) </w:t>
      </w:r>
      <w:r w:rsidRPr="00710082">
        <w:rPr>
          <w:rFonts w:asciiTheme="minorHAnsi" w:hAnsiTheme="minorHAnsi" w:cs="Calibri"/>
          <w:color w:val="000000" w:themeColor="text1"/>
        </w:rPr>
        <w:t>Transforming our world: the 2030 Agenda for Sustainable Development</w:t>
      </w:r>
      <w:r w:rsidRPr="00115477">
        <w:rPr>
          <w:rFonts w:asciiTheme="minorHAnsi" w:hAnsiTheme="minorHAnsi" w:cs="Calibri"/>
          <w:color w:val="000000" w:themeColor="text1"/>
        </w:rPr>
        <w:t xml:space="preserve"> (A/RES/70/1). Available at: </w:t>
      </w:r>
      <w:hyperlink r:id="rId11" w:history="1">
        <w:r w:rsidRPr="00710082">
          <w:t>https://sdgs.un.org/2030agenda</w:t>
        </w:r>
      </w:hyperlink>
      <w:r w:rsidRPr="00115477">
        <w:rPr>
          <w:rFonts w:asciiTheme="minorHAnsi" w:hAnsiTheme="minorHAnsi" w:cs="Calibri"/>
          <w:color w:val="000000" w:themeColor="text1"/>
        </w:rPr>
        <w:t xml:space="preserve"> (Accessed: 19 August 2026).</w:t>
      </w:r>
    </w:p>
    <w:p w14:paraId="7321A33C" w14:textId="77777777" w:rsidR="008132F9" w:rsidRPr="00115477" w:rsidRDefault="008132F9" w:rsidP="008132F9">
      <w:pPr>
        <w:pStyle w:val="artifact-docx-previewreferenceentry"/>
        <w:spacing w:before="0" w:beforeAutospacing="0" w:after="0" w:afterAutospacing="0"/>
        <w:ind w:left="720"/>
        <w:rPr>
          <w:rFonts w:asciiTheme="minorHAnsi" w:hAnsiTheme="minorHAnsi" w:cs="Calibri"/>
          <w:color w:val="000000" w:themeColor="text1"/>
        </w:rPr>
      </w:pPr>
    </w:p>
    <w:p w14:paraId="6C803320" w14:textId="77777777" w:rsidR="008132F9" w:rsidRPr="00115477" w:rsidRDefault="008132F9" w:rsidP="008132F9">
      <w:pPr>
        <w:pStyle w:val="artifact-docx-previewreferenceentry"/>
        <w:numPr>
          <w:ilvl w:val="0"/>
          <w:numId w:val="4"/>
        </w:numPr>
        <w:spacing w:before="0" w:beforeAutospacing="0" w:after="0" w:afterAutospacing="0"/>
        <w:rPr>
          <w:rFonts w:asciiTheme="minorHAnsi" w:hAnsiTheme="minorHAnsi" w:cs="Calibri"/>
          <w:color w:val="000000" w:themeColor="text1"/>
        </w:rPr>
      </w:pPr>
      <w:proofErr w:type="spellStart"/>
      <w:r w:rsidRPr="00115477">
        <w:rPr>
          <w:rFonts w:asciiTheme="minorHAnsi" w:hAnsiTheme="minorHAnsi" w:cs="Calibri"/>
          <w:color w:val="000000" w:themeColor="text1"/>
        </w:rPr>
        <w:t>Unterhalter</w:t>
      </w:r>
      <w:proofErr w:type="spellEnd"/>
      <w:r w:rsidRPr="00115477">
        <w:rPr>
          <w:rFonts w:asciiTheme="minorHAnsi" w:hAnsiTheme="minorHAnsi" w:cs="Calibri"/>
          <w:color w:val="000000" w:themeColor="text1"/>
        </w:rPr>
        <w:t xml:space="preserve">, E. (2019) ‘The many meanings of quality education: politics of targets and indicators in SDG4’, </w:t>
      </w:r>
      <w:r w:rsidRPr="00710082">
        <w:rPr>
          <w:rFonts w:asciiTheme="minorHAnsi" w:hAnsiTheme="minorHAnsi" w:cs="Calibri"/>
          <w:color w:val="000000" w:themeColor="text1"/>
        </w:rPr>
        <w:t>Global Policy</w:t>
      </w:r>
      <w:r w:rsidRPr="00115477">
        <w:rPr>
          <w:rFonts w:asciiTheme="minorHAnsi" w:hAnsiTheme="minorHAnsi" w:cs="Calibri"/>
          <w:color w:val="000000" w:themeColor="text1"/>
        </w:rPr>
        <w:t xml:space="preserve">, 10(S1), pp. 39-51. </w:t>
      </w:r>
    </w:p>
    <w:p w14:paraId="0D3635E9" w14:textId="77777777" w:rsidR="008132F9" w:rsidRPr="00115477" w:rsidRDefault="008132F9" w:rsidP="008132F9">
      <w:pPr>
        <w:pStyle w:val="artifact-docx-previewreferenceentry"/>
        <w:spacing w:before="0" w:beforeAutospacing="0" w:after="0" w:afterAutospacing="0"/>
        <w:ind w:left="720"/>
        <w:rPr>
          <w:rFonts w:asciiTheme="minorHAnsi" w:hAnsiTheme="minorHAnsi" w:cs="Calibri"/>
          <w:color w:val="000000" w:themeColor="text1"/>
        </w:rPr>
      </w:pPr>
    </w:p>
    <w:p w14:paraId="73BED2AE" w14:textId="77777777" w:rsidR="008132F9" w:rsidRPr="00115477" w:rsidRDefault="008132F9" w:rsidP="008132F9">
      <w:pPr>
        <w:pStyle w:val="artifact-docx-previewreferenceentry"/>
        <w:numPr>
          <w:ilvl w:val="0"/>
          <w:numId w:val="4"/>
        </w:numPr>
        <w:spacing w:before="0" w:beforeAutospacing="0" w:after="0" w:afterAutospacing="0"/>
        <w:rPr>
          <w:rFonts w:asciiTheme="minorHAnsi" w:hAnsiTheme="minorHAnsi" w:cs="Calibri"/>
          <w:color w:val="000000" w:themeColor="text1"/>
        </w:rPr>
      </w:pPr>
      <w:r w:rsidRPr="0016156C">
        <w:rPr>
          <w:rFonts w:asciiTheme="minorHAnsi" w:hAnsiTheme="minorHAnsi" w:cs="Calibri"/>
          <w:color w:val="000000" w:themeColor="text1"/>
        </w:rPr>
        <w:t>Wang, Q., Lai, Y.-L., Xu, X. and McDowall, A. (2022)</w:t>
      </w:r>
      <w:r w:rsidRPr="00115477">
        <w:rPr>
          <w:rFonts w:asciiTheme="minorHAnsi" w:hAnsiTheme="minorHAnsi" w:cs="Calibri"/>
          <w:color w:val="000000" w:themeColor="text1"/>
        </w:rPr>
        <w:t xml:space="preserve"> ‘The effectiveness of workplace coaching: a meta-analysis of contemporary psychologically informed coaching approaches’, </w:t>
      </w:r>
      <w:r w:rsidRPr="00710082">
        <w:rPr>
          <w:rFonts w:asciiTheme="minorHAnsi" w:hAnsiTheme="minorHAnsi" w:cs="Calibri"/>
          <w:color w:val="000000" w:themeColor="text1"/>
        </w:rPr>
        <w:t>Journal of Work-Applied Management</w:t>
      </w:r>
      <w:r w:rsidRPr="00115477">
        <w:rPr>
          <w:rFonts w:asciiTheme="minorHAnsi" w:hAnsiTheme="minorHAnsi" w:cs="Calibri"/>
          <w:color w:val="000000" w:themeColor="text1"/>
        </w:rPr>
        <w:t xml:space="preserve">, 14(1), pp. 77-101. </w:t>
      </w:r>
    </w:p>
    <w:p w14:paraId="7AA54F66" w14:textId="77777777" w:rsidR="008132F9" w:rsidRPr="00115477" w:rsidRDefault="008132F9" w:rsidP="008132F9">
      <w:pPr>
        <w:pStyle w:val="artifact-docx-previewreferenceentry"/>
        <w:spacing w:before="0" w:beforeAutospacing="0" w:after="0" w:afterAutospacing="0"/>
        <w:ind w:left="720"/>
        <w:rPr>
          <w:rFonts w:asciiTheme="minorHAnsi" w:hAnsiTheme="minorHAnsi" w:cs="Calibri"/>
          <w:color w:val="000000" w:themeColor="text1"/>
        </w:rPr>
      </w:pPr>
    </w:p>
    <w:p w14:paraId="32E3F55D" w14:textId="77777777" w:rsidR="008132F9" w:rsidRPr="00115477" w:rsidRDefault="008132F9" w:rsidP="008132F9">
      <w:pPr>
        <w:pStyle w:val="artifact-docx-previewreferenceentry"/>
        <w:numPr>
          <w:ilvl w:val="0"/>
          <w:numId w:val="4"/>
        </w:numPr>
        <w:spacing w:before="0" w:beforeAutospacing="0" w:after="0" w:afterAutospacing="0"/>
        <w:rPr>
          <w:rFonts w:asciiTheme="minorHAnsi" w:hAnsiTheme="minorHAnsi" w:cs="Calibri"/>
          <w:color w:val="000000" w:themeColor="text1"/>
        </w:rPr>
      </w:pPr>
      <w:r w:rsidRPr="00115477">
        <w:rPr>
          <w:rFonts w:asciiTheme="minorHAnsi" w:hAnsiTheme="minorHAnsi" w:cs="Calibri"/>
          <w:color w:val="000000" w:themeColor="text1"/>
        </w:rPr>
        <w:t xml:space="preserve">White, H. (2009) ‘Theory-based impact evaluation: principles and practice’, </w:t>
      </w:r>
      <w:r w:rsidRPr="00710082">
        <w:rPr>
          <w:rFonts w:asciiTheme="minorHAnsi" w:hAnsiTheme="minorHAnsi" w:cs="Calibri"/>
          <w:color w:val="000000" w:themeColor="text1"/>
        </w:rPr>
        <w:t>Journal of Development Effectiveness</w:t>
      </w:r>
      <w:r w:rsidRPr="00115477">
        <w:rPr>
          <w:rFonts w:asciiTheme="minorHAnsi" w:hAnsiTheme="minorHAnsi" w:cs="Calibri"/>
          <w:color w:val="000000" w:themeColor="text1"/>
        </w:rPr>
        <w:t xml:space="preserve">, 1(3), pp. 271-284. </w:t>
      </w:r>
    </w:p>
    <w:p w14:paraId="6E48CD9E" w14:textId="77777777" w:rsidR="008132F9" w:rsidRPr="00115477" w:rsidRDefault="008132F9" w:rsidP="008132F9">
      <w:pPr>
        <w:pStyle w:val="artifact-docx-previewreferenceentry"/>
        <w:spacing w:before="0" w:beforeAutospacing="0" w:after="0" w:afterAutospacing="0"/>
        <w:ind w:left="720"/>
        <w:rPr>
          <w:rFonts w:asciiTheme="minorHAnsi" w:hAnsiTheme="minorHAnsi" w:cs="Calibri"/>
          <w:color w:val="000000" w:themeColor="text1"/>
        </w:rPr>
      </w:pPr>
    </w:p>
    <w:p w14:paraId="7A05289F" w14:textId="77777777" w:rsidR="008132F9" w:rsidRPr="00115477" w:rsidRDefault="008132F9" w:rsidP="008132F9">
      <w:pPr>
        <w:pStyle w:val="artifact-docx-previewreferenceentry"/>
        <w:numPr>
          <w:ilvl w:val="0"/>
          <w:numId w:val="4"/>
        </w:numPr>
        <w:spacing w:before="0" w:beforeAutospacing="0" w:after="0" w:afterAutospacing="0"/>
        <w:rPr>
          <w:rFonts w:asciiTheme="minorHAnsi" w:hAnsiTheme="minorHAnsi" w:cs="Calibri"/>
          <w:color w:val="000000" w:themeColor="text1"/>
        </w:rPr>
      </w:pPr>
      <w:r w:rsidRPr="00115477">
        <w:rPr>
          <w:rFonts w:asciiTheme="minorHAnsi" w:hAnsiTheme="minorHAnsi" w:cs="Calibri"/>
          <w:color w:val="000000" w:themeColor="text1"/>
        </w:rPr>
        <w:t xml:space="preserve">Woods, S.A., Jones, R.J. and Guillaume, Y.R.F. (2026) ‘Coaching and its effectiveness in organizations: reflecting on a decade of research, looking forward to future challenges’, </w:t>
      </w:r>
      <w:r w:rsidRPr="00710082">
        <w:rPr>
          <w:rFonts w:asciiTheme="minorHAnsi" w:hAnsiTheme="minorHAnsi" w:cs="Calibri"/>
          <w:color w:val="000000" w:themeColor="text1"/>
        </w:rPr>
        <w:t>Journal of Occupational and Organizational Psychology</w:t>
      </w:r>
      <w:r w:rsidRPr="00115477">
        <w:rPr>
          <w:rFonts w:asciiTheme="minorHAnsi" w:hAnsiTheme="minorHAnsi" w:cs="Calibri"/>
          <w:color w:val="000000" w:themeColor="text1"/>
        </w:rPr>
        <w:t xml:space="preserve">, 99(2), e70115. </w:t>
      </w:r>
    </w:p>
    <w:p w14:paraId="32F45020" w14:textId="77777777" w:rsidR="008132F9" w:rsidRPr="00710082" w:rsidRDefault="008132F9" w:rsidP="008132F9">
      <w:pPr>
        <w:pStyle w:val="artifact-docx-previewreferenceentry"/>
        <w:spacing w:before="0" w:beforeAutospacing="0" w:after="0" w:afterAutospacing="0"/>
        <w:ind w:left="720"/>
        <w:rPr>
          <w:rFonts w:asciiTheme="minorHAnsi" w:hAnsiTheme="minorHAnsi" w:cs="Calibri"/>
          <w:color w:val="000000" w:themeColor="text1"/>
        </w:rPr>
      </w:pPr>
    </w:p>
    <w:p w14:paraId="61B2B8E9" w14:textId="77777777" w:rsidR="008132F9" w:rsidRDefault="008132F9" w:rsidP="008132F9"/>
    <w:p w14:paraId="0547F112" w14:textId="77777777" w:rsidR="00620B8C" w:rsidRDefault="00620B8C"/>
    <w:sectPr w:rsidR="00620B8C" w:rsidSect="008132F9">
      <w:pgSz w:w="11906" w:h="16838"/>
      <w:pgMar w:top="1440" w:right="1440" w:bottom="961"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604020202020204"/>
    <w:charset w:val="00"/>
    <w:family w:val="swiss"/>
    <w:pitch w:val="variable"/>
    <w:sig w:usb0="E4002EFF" w:usb1="C000E47F" w:usb2="00000009" w:usb3="00000000" w:csb0="000001FF" w:csb1="00000000"/>
  </w:font>
  <w:font w:name="artlistSans Fallback">
    <w:altName w:val="Cambria"/>
    <w:panose1 w:val="020B0604020202020204"/>
    <w:charset w:val="00"/>
    <w:family w:val="roman"/>
    <w:pitch w:val="default"/>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8136F44"/>
    <w:multiLevelType w:val="multilevel"/>
    <w:tmpl w:val="8CDA14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3169C6"/>
    <w:multiLevelType w:val="multilevel"/>
    <w:tmpl w:val="A8CE5D58"/>
    <w:lvl w:ilvl="0">
      <w:start w:val="1"/>
      <w:numFmt w:val="decimal"/>
      <w:lvlText w:val="%1."/>
      <w:lvlJc w:val="left"/>
      <w:pPr>
        <w:ind w:left="1080" w:hanging="720"/>
      </w:pPr>
      <w:rPr>
        <w:rFonts w:hint="default"/>
        <w:b/>
        <w:bCs/>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4DD68D9"/>
    <w:multiLevelType w:val="hybridMultilevel"/>
    <w:tmpl w:val="C7B869A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4B873C46"/>
    <w:multiLevelType w:val="multilevel"/>
    <w:tmpl w:val="63ECB16A"/>
    <w:lvl w:ilvl="0">
      <w:start w:val="1"/>
      <w:numFmt w:val="decimal"/>
      <w:lvlText w:val="%1."/>
      <w:lvlJc w:val="left"/>
      <w:pPr>
        <w:ind w:left="360" w:hanging="360"/>
      </w:pPr>
      <w:rPr>
        <w:rFonts w:hint="default"/>
      </w:rPr>
    </w:lvl>
    <w:lvl w:ilvl="1">
      <w:start w:val="2"/>
      <w:numFmt w:val="decimal"/>
      <w:isLgl/>
      <w:lvlText w:val="%1.%2"/>
      <w:lvlJc w:val="left"/>
      <w:pPr>
        <w:ind w:left="400" w:hanging="40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4" w15:restartNumberingAfterBreak="0">
    <w:nsid w:val="59DD3E95"/>
    <w:multiLevelType w:val="multilevel"/>
    <w:tmpl w:val="5054F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3FC0CAD"/>
    <w:multiLevelType w:val="multilevel"/>
    <w:tmpl w:val="1AB29E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97618806">
    <w:abstractNumId w:val="0"/>
  </w:num>
  <w:num w:numId="2" w16cid:durableId="900864814">
    <w:abstractNumId w:val="5"/>
  </w:num>
  <w:num w:numId="3" w16cid:durableId="1263027741">
    <w:abstractNumId w:val="3"/>
  </w:num>
  <w:num w:numId="4" w16cid:durableId="1480686712">
    <w:abstractNumId w:val="2"/>
  </w:num>
  <w:num w:numId="5" w16cid:durableId="1906379776">
    <w:abstractNumId w:val="1"/>
  </w:num>
  <w:num w:numId="6" w16cid:durableId="573202201">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2F9"/>
    <w:rsid w:val="00001F08"/>
    <w:rsid w:val="0000372F"/>
    <w:rsid w:val="000047A9"/>
    <w:rsid w:val="00013A25"/>
    <w:rsid w:val="0001659F"/>
    <w:rsid w:val="00030FB5"/>
    <w:rsid w:val="00040395"/>
    <w:rsid w:val="00041C7D"/>
    <w:rsid w:val="0005666B"/>
    <w:rsid w:val="00057D2B"/>
    <w:rsid w:val="00061871"/>
    <w:rsid w:val="00085DB3"/>
    <w:rsid w:val="000A3369"/>
    <w:rsid w:val="000B4126"/>
    <w:rsid w:val="000D1C60"/>
    <w:rsid w:val="000E3E14"/>
    <w:rsid w:val="000E694A"/>
    <w:rsid w:val="00101661"/>
    <w:rsid w:val="00117831"/>
    <w:rsid w:val="00124727"/>
    <w:rsid w:val="00131A88"/>
    <w:rsid w:val="001366FD"/>
    <w:rsid w:val="00144F6A"/>
    <w:rsid w:val="00152885"/>
    <w:rsid w:val="00160383"/>
    <w:rsid w:val="00173241"/>
    <w:rsid w:val="00173C1A"/>
    <w:rsid w:val="00194808"/>
    <w:rsid w:val="001C3340"/>
    <w:rsid w:val="001D271A"/>
    <w:rsid w:val="001E56C8"/>
    <w:rsid w:val="001F3CFD"/>
    <w:rsid w:val="00251E64"/>
    <w:rsid w:val="00256A4F"/>
    <w:rsid w:val="002A4B00"/>
    <w:rsid w:val="002B7626"/>
    <w:rsid w:val="003163F2"/>
    <w:rsid w:val="00316DAA"/>
    <w:rsid w:val="003202B2"/>
    <w:rsid w:val="003438D3"/>
    <w:rsid w:val="00344B67"/>
    <w:rsid w:val="00393FEC"/>
    <w:rsid w:val="003940A4"/>
    <w:rsid w:val="003A46FD"/>
    <w:rsid w:val="003C0EAE"/>
    <w:rsid w:val="003E6F3C"/>
    <w:rsid w:val="0040646E"/>
    <w:rsid w:val="00415495"/>
    <w:rsid w:val="004228E3"/>
    <w:rsid w:val="00423CB4"/>
    <w:rsid w:val="00434E9F"/>
    <w:rsid w:val="00437046"/>
    <w:rsid w:val="00441186"/>
    <w:rsid w:val="0046423E"/>
    <w:rsid w:val="00472EB1"/>
    <w:rsid w:val="00475227"/>
    <w:rsid w:val="00494E43"/>
    <w:rsid w:val="004C7AC0"/>
    <w:rsid w:val="004F182F"/>
    <w:rsid w:val="00537A80"/>
    <w:rsid w:val="00552C08"/>
    <w:rsid w:val="00573ABC"/>
    <w:rsid w:val="00577CCD"/>
    <w:rsid w:val="005A38F5"/>
    <w:rsid w:val="005C74AF"/>
    <w:rsid w:val="005D4D45"/>
    <w:rsid w:val="005F28DD"/>
    <w:rsid w:val="00616377"/>
    <w:rsid w:val="00620B8C"/>
    <w:rsid w:val="00622313"/>
    <w:rsid w:val="006837D3"/>
    <w:rsid w:val="00690122"/>
    <w:rsid w:val="006C72EE"/>
    <w:rsid w:val="006D44AD"/>
    <w:rsid w:val="006D7386"/>
    <w:rsid w:val="006E498D"/>
    <w:rsid w:val="00733538"/>
    <w:rsid w:val="007829C4"/>
    <w:rsid w:val="007B4955"/>
    <w:rsid w:val="007D4A87"/>
    <w:rsid w:val="007D5B45"/>
    <w:rsid w:val="008132F9"/>
    <w:rsid w:val="00814E0C"/>
    <w:rsid w:val="00865519"/>
    <w:rsid w:val="00881FBF"/>
    <w:rsid w:val="008B1E32"/>
    <w:rsid w:val="008B2AB0"/>
    <w:rsid w:val="008C38D8"/>
    <w:rsid w:val="008F620A"/>
    <w:rsid w:val="009030CA"/>
    <w:rsid w:val="00903FB5"/>
    <w:rsid w:val="00925F5D"/>
    <w:rsid w:val="00936F8C"/>
    <w:rsid w:val="00946700"/>
    <w:rsid w:val="00971149"/>
    <w:rsid w:val="00984672"/>
    <w:rsid w:val="009A3F67"/>
    <w:rsid w:val="009F4D16"/>
    <w:rsid w:val="009F4DF0"/>
    <w:rsid w:val="00A32E5A"/>
    <w:rsid w:val="00A54706"/>
    <w:rsid w:val="00A916DF"/>
    <w:rsid w:val="00A9692B"/>
    <w:rsid w:val="00AC182E"/>
    <w:rsid w:val="00AD514F"/>
    <w:rsid w:val="00AF565C"/>
    <w:rsid w:val="00B243B5"/>
    <w:rsid w:val="00B7285E"/>
    <w:rsid w:val="00B80B80"/>
    <w:rsid w:val="00B8325D"/>
    <w:rsid w:val="00BA7E93"/>
    <w:rsid w:val="00BB3EC2"/>
    <w:rsid w:val="00C048B9"/>
    <w:rsid w:val="00C07FA5"/>
    <w:rsid w:val="00C240FA"/>
    <w:rsid w:val="00C528FC"/>
    <w:rsid w:val="00C57504"/>
    <w:rsid w:val="00C84296"/>
    <w:rsid w:val="00CB4A54"/>
    <w:rsid w:val="00CD53D6"/>
    <w:rsid w:val="00CE2C89"/>
    <w:rsid w:val="00CF3BC8"/>
    <w:rsid w:val="00D15C4D"/>
    <w:rsid w:val="00D307AA"/>
    <w:rsid w:val="00D30F97"/>
    <w:rsid w:val="00D55F24"/>
    <w:rsid w:val="00D74894"/>
    <w:rsid w:val="00D9724B"/>
    <w:rsid w:val="00D97B40"/>
    <w:rsid w:val="00DA4361"/>
    <w:rsid w:val="00DF1613"/>
    <w:rsid w:val="00E179DD"/>
    <w:rsid w:val="00E30DD5"/>
    <w:rsid w:val="00E33C41"/>
    <w:rsid w:val="00E349A2"/>
    <w:rsid w:val="00EA3806"/>
    <w:rsid w:val="00EC16B0"/>
    <w:rsid w:val="00F24C87"/>
    <w:rsid w:val="00F379C5"/>
    <w:rsid w:val="00F675A0"/>
    <w:rsid w:val="00F95590"/>
    <w:rsid w:val="00FA0E36"/>
    <w:rsid w:val="00FD7E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5899D0A"/>
  <w15:chartTrackingRefBased/>
  <w15:docId w15:val="{89D70502-ABB4-F04F-8116-652BB5D33C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32F9"/>
  </w:style>
  <w:style w:type="paragraph" w:styleId="Heading1">
    <w:name w:val="heading 1"/>
    <w:basedOn w:val="Normal"/>
    <w:next w:val="Normal"/>
    <w:link w:val="Heading1Char"/>
    <w:qFormat/>
    <w:rsid w:val="008132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32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32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32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32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32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32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32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32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132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32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32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32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32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32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32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32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32F9"/>
    <w:rPr>
      <w:rFonts w:eastAsiaTheme="majorEastAsia" w:cstheme="majorBidi"/>
      <w:color w:val="272727" w:themeColor="text1" w:themeTint="D8"/>
    </w:rPr>
  </w:style>
  <w:style w:type="paragraph" w:styleId="Title">
    <w:name w:val="Title"/>
    <w:basedOn w:val="Normal"/>
    <w:next w:val="Normal"/>
    <w:link w:val="TitleChar"/>
    <w:uiPriority w:val="10"/>
    <w:qFormat/>
    <w:rsid w:val="008132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32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32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32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32F9"/>
    <w:pPr>
      <w:spacing w:before="160"/>
      <w:jc w:val="center"/>
    </w:pPr>
    <w:rPr>
      <w:i/>
      <w:iCs/>
      <w:color w:val="404040" w:themeColor="text1" w:themeTint="BF"/>
    </w:rPr>
  </w:style>
  <w:style w:type="character" w:customStyle="1" w:styleId="QuoteChar">
    <w:name w:val="Quote Char"/>
    <w:basedOn w:val="DefaultParagraphFont"/>
    <w:link w:val="Quote"/>
    <w:uiPriority w:val="29"/>
    <w:rsid w:val="008132F9"/>
    <w:rPr>
      <w:i/>
      <w:iCs/>
      <w:color w:val="404040" w:themeColor="text1" w:themeTint="BF"/>
    </w:rPr>
  </w:style>
  <w:style w:type="paragraph" w:styleId="ListParagraph">
    <w:name w:val="List Paragraph"/>
    <w:basedOn w:val="Normal"/>
    <w:uiPriority w:val="34"/>
    <w:qFormat/>
    <w:rsid w:val="008132F9"/>
    <w:pPr>
      <w:ind w:left="720"/>
      <w:contextualSpacing/>
    </w:pPr>
  </w:style>
  <w:style w:type="character" w:styleId="IntenseEmphasis">
    <w:name w:val="Intense Emphasis"/>
    <w:basedOn w:val="DefaultParagraphFont"/>
    <w:uiPriority w:val="21"/>
    <w:qFormat/>
    <w:rsid w:val="008132F9"/>
    <w:rPr>
      <w:i/>
      <w:iCs/>
      <w:color w:val="0F4761" w:themeColor="accent1" w:themeShade="BF"/>
    </w:rPr>
  </w:style>
  <w:style w:type="paragraph" w:styleId="IntenseQuote">
    <w:name w:val="Intense Quote"/>
    <w:basedOn w:val="Normal"/>
    <w:next w:val="Normal"/>
    <w:link w:val="IntenseQuoteChar"/>
    <w:uiPriority w:val="30"/>
    <w:qFormat/>
    <w:rsid w:val="008132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32F9"/>
    <w:rPr>
      <w:i/>
      <w:iCs/>
      <w:color w:val="0F4761" w:themeColor="accent1" w:themeShade="BF"/>
    </w:rPr>
  </w:style>
  <w:style w:type="character" w:styleId="IntenseReference">
    <w:name w:val="Intense Reference"/>
    <w:basedOn w:val="DefaultParagraphFont"/>
    <w:uiPriority w:val="32"/>
    <w:qFormat/>
    <w:rsid w:val="008132F9"/>
    <w:rPr>
      <w:b/>
      <w:bCs/>
      <w:smallCaps/>
      <w:color w:val="0F4761" w:themeColor="accent1" w:themeShade="BF"/>
      <w:spacing w:val="5"/>
    </w:rPr>
  </w:style>
  <w:style w:type="character" w:styleId="Strong">
    <w:name w:val="Strong"/>
    <w:basedOn w:val="DefaultParagraphFont"/>
    <w:uiPriority w:val="22"/>
    <w:qFormat/>
    <w:rsid w:val="008132F9"/>
    <w:rPr>
      <w:b/>
      <w:bCs/>
    </w:rPr>
  </w:style>
  <w:style w:type="paragraph" w:customStyle="1" w:styleId="artifact-docx-previewreferenceentry">
    <w:name w:val="artifact-docx-preview_referenceentry"/>
    <w:basedOn w:val="Normal"/>
    <w:rsid w:val="008132F9"/>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achingfederation.org/abou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hyperlink" Target="https://sdgs.un.org/2030agenda" TargetMode="External"/><Relationship Id="rId5" Type="http://schemas.openxmlformats.org/officeDocument/2006/relationships/hyperlink" Target="https://chatgpt.com/" TargetMode="External"/><Relationship Id="rId10" Type="http://schemas.openxmlformats.org/officeDocument/2006/relationships/hyperlink" Target="https://www.ilo.org/topics-and-sectors/decent-work-and-2030-agenda-sustainable-development" TargetMode="External"/><Relationship Id="rId4" Type="http://schemas.openxmlformats.org/officeDocument/2006/relationships/webSettings" Target="webSettings.xml"/><Relationship Id="rId9" Type="http://schemas.openxmlformats.org/officeDocument/2006/relationships/hyperlink" Target="https://coachingfederation.org/resource/2025-icf-global-coaching-study-executive-summa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TotalTime>
  <Pages>31</Pages>
  <Words>8890</Words>
  <Characters>50676</Characters>
  <Application>Microsoft Office Word</Application>
  <DocSecurity>0</DocSecurity>
  <Lines>422</Lines>
  <Paragraphs>118</Paragraphs>
  <ScaleCrop>false</ScaleCrop>
  <Company/>
  <LinksUpToDate>false</LinksUpToDate>
  <CharactersWithSpaces>59448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 Pitchford</dc:creator>
  <cp:keywords/>
  <dc:description/>
  <cp:lastModifiedBy>Ian Pitchford</cp:lastModifiedBy>
  <cp:revision>6</cp:revision>
  <dcterms:created xsi:type="dcterms:W3CDTF">2026-09-04T18:54:00Z</dcterms:created>
  <dcterms:modified xsi:type="dcterms:W3CDTF">2026-09-04T18:58:00Z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F1E5680E-36AF-4CAD-ADEE-9C3BD38B4249</vt:lpwstr>
  </property>
</Properties>
</file>