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9DF9DF" w14:textId="77777777" w:rsidR="006F5CFF" w:rsidRPr="006F5CFF" w:rsidRDefault="006F5CFF" w:rsidP="006F5CFF">
      <w:pPr>
        <w:spacing w:line="360" w:lineRule="auto"/>
        <w:jc w:val="center"/>
        <w:rPr>
          <w:rFonts w:ascii="Arial" w:eastAsia="Aptos" w:hAnsi="Arial" w:cs="Arial"/>
          <w:b/>
          <w:bCs/>
          <w:sz w:val="28"/>
          <w:szCs w:val="28"/>
        </w:rPr>
      </w:pPr>
      <w:r w:rsidRPr="006F5CFF">
        <w:rPr>
          <w:rFonts w:ascii="Arial" w:eastAsia="Aptos" w:hAnsi="Arial" w:cs="Arial"/>
          <w:b/>
          <w:bCs/>
          <w:sz w:val="28"/>
          <w:szCs w:val="28"/>
        </w:rPr>
        <w:t>UNIVERSITY OF WALES TRINITY SAINT DAVID</w:t>
      </w:r>
    </w:p>
    <w:p w14:paraId="6B87DDE4" w14:textId="3352D9BC" w:rsidR="006F5CFF" w:rsidRDefault="006F5CFF" w:rsidP="006F5CFF">
      <w:pPr>
        <w:spacing w:line="360" w:lineRule="auto"/>
        <w:jc w:val="center"/>
        <w:rPr>
          <w:rFonts w:ascii="Arial" w:eastAsia="Aptos" w:hAnsi="Arial" w:cs="Arial"/>
          <w:b/>
          <w:bCs/>
          <w:sz w:val="28"/>
          <w:szCs w:val="28"/>
        </w:rPr>
      </w:pPr>
      <w:r w:rsidRPr="006F5CFF">
        <w:rPr>
          <w:rFonts w:ascii="Arial" w:eastAsia="Aptos" w:hAnsi="Arial" w:cs="Arial"/>
          <w:b/>
          <w:bCs/>
          <w:sz w:val="28"/>
          <w:szCs w:val="28"/>
        </w:rPr>
        <w:t>MBA ONLINE</w:t>
      </w:r>
      <w:r>
        <w:rPr>
          <w:rFonts w:ascii="Arial" w:eastAsia="Aptos" w:hAnsi="Arial" w:cs="Arial"/>
          <w:b/>
          <w:bCs/>
          <w:sz w:val="28"/>
          <w:szCs w:val="28"/>
        </w:rPr>
        <w:t xml:space="preserve"> </w:t>
      </w:r>
      <w:r w:rsidRPr="006F5CFF">
        <w:rPr>
          <w:rFonts w:ascii="Arial" w:eastAsia="Aptos" w:hAnsi="Arial" w:cs="Arial"/>
          <w:b/>
          <w:bCs/>
          <w:sz w:val="28"/>
          <w:szCs w:val="28"/>
        </w:rPr>
        <w:t>C</w:t>
      </w:r>
      <w:r>
        <w:rPr>
          <w:rFonts w:ascii="Arial" w:eastAsia="Aptos" w:hAnsi="Arial" w:cs="Arial"/>
          <w:b/>
          <w:bCs/>
          <w:sz w:val="28"/>
          <w:szCs w:val="28"/>
        </w:rPr>
        <w:t>ARMARTHEN</w:t>
      </w:r>
    </w:p>
    <w:p w14:paraId="649DCBEC" w14:textId="5CE7C2BA" w:rsidR="006F5CFF" w:rsidRPr="006F5CFF" w:rsidRDefault="006F5CFF" w:rsidP="006F5CFF">
      <w:pPr>
        <w:spacing w:line="360" w:lineRule="auto"/>
        <w:jc w:val="center"/>
        <w:rPr>
          <w:rFonts w:ascii="Arial" w:eastAsia="Aptos" w:hAnsi="Arial" w:cs="Arial"/>
          <w:b/>
          <w:bCs/>
          <w:sz w:val="28"/>
          <w:szCs w:val="28"/>
        </w:rPr>
      </w:pPr>
      <w:r>
        <w:rPr>
          <w:rFonts w:ascii="Arial" w:eastAsia="Aptos" w:hAnsi="Arial" w:cs="Arial"/>
          <w:b/>
          <w:bCs/>
          <w:noProof/>
          <w:sz w:val="28"/>
          <w:szCs w:val="28"/>
        </w:rPr>
        <w:drawing>
          <wp:inline distT="0" distB="0" distL="0" distR="0" wp14:anchorId="408482DF" wp14:editId="7262CFE0">
            <wp:extent cx="2619375" cy="1743075"/>
            <wp:effectExtent l="0" t="0" r="9525" b="9525"/>
            <wp:docPr id="1895869212" name="Picture 1" descr="A logo with text and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869212" name="Picture 1" descr="A logo with text and black text"/>
                    <pic:cNvPicPr/>
                  </pic:nvPicPr>
                  <pic:blipFill>
                    <a:blip r:embed="rId8">
                      <a:extLst>
                        <a:ext uri="{28A0092B-C50C-407E-A947-70E740481C1C}">
                          <a14:useLocalDpi xmlns:a14="http://schemas.microsoft.com/office/drawing/2010/main" val="0"/>
                        </a:ext>
                      </a:extLst>
                    </a:blip>
                    <a:stretch>
                      <a:fillRect/>
                    </a:stretch>
                  </pic:blipFill>
                  <pic:spPr>
                    <a:xfrm>
                      <a:off x="0" y="0"/>
                      <a:ext cx="2619375" cy="1743075"/>
                    </a:xfrm>
                    <a:prstGeom prst="rect">
                      <a:avLst/>
                    </a:prstGeom>
                  </pic:spPr>
                </pic:pic>
              </a:graphicData>
            </a:graphic>
          </wp:inline>
        </w:drawing>
      </w:r>
    </w:p>
    <w:p w14:paraId="01DD8F46" w14:textId="77777777" w:rsidR="00F11170" w:rsidRDefault="00FF021A" w:rsidP="00F11170">
      <w:pPr>
        <w:spacing w:before="100" w:beforeAutospacing="1" w:after="100" w:afterAutospacing="1" w:line="360" w:lineRule="auto"/>
        <w:jc w:val="center"/>
        <w:outlineLvl w:val="0"/>
        <w:rPr>
          <w:rFonts w:ascii="Arial" w:eastAsia="Times New Roman" w:hAnsi="Arial" w:cs="Arial"/>
          <w:b/>
          <w:bCs/>
          <w:kern w:val="36"/>
          <w:sz w:val="56"/>
          <w:szCs w:val="56"/>
          <w:lang w:eastAsia="en-GB"/>
          <w14:ligatures w14:val="none"/>
        </w:rPr>
      </w:pPr>
      <w:bookmarkStart w:id="0" w:name="_Toc227259746"/>
      <w:bookmarkStart w:id="1" w:name="_Toc227269222"/>
      <w:r w:rsidRPr="00FF021A">
        <w:rPr>
          <w:rFonts w:ascii="Arial" w:eastAsia="Times New Roman" w:hAnsi="Arial" w:cs="Arial"/>
          <w:b/>
          <w:bCs/>
          <w:kern w:val="36"/>
          <w:sz w:val="56"/>
          <w:szCs w:val="56"/>
          <w:lang w:eastAsia="en-GB"/>
          <w14:ligatures w14:val="none"/>
        </w:rPr>
        <w:t>HR Technology</w:t>
      </w:r>
      <w:bookmarkEnd w:id="0"/>
      <w:bookmarkEnd w:id="1"/>
      <w:r w:rsidRPr="00FF021A">
        <w:rPr>
          <w:rFonts w:ascii="Arial" w:eastAsia="Times New Roman" w:hAnsi="Arial" w:cs="Arial"/>
          <w:b/>
          <w:bCs/>
          <w:kern w:val="36"/>
          <w:sz w:val="56"/>
          <w:szCs w:val="56"/>
          <w:lang w:eastAsia="en-GB"/>
          <w14:ligatures w14:val="none"/>
        </w:rPr>
        <w:t xml:space="preserve"> </w:t>
      </w:r>
    </w:p>
    <w:p w14:paraId="4D4DB166" w14:textId="10254BE7" w:rsidR="00F11170" w:rsidRPr="00F11170" w:rsidRDefault="00FF021A" w:rsidP="00F11170">
      <w:pPr>
        <w:spacing w:before="100" w:beforeAutospacing="1" w:after="100" w:afterAutospacing="1" w:line="360" w:lineRule="auto"/>
        <w:jc w:val="center"/>
        <w:outlineLvl w:val="0"/>
        <w:rPr>
          <w:rFonts w:ascii="Arial" w:eastAsia="Times New Roman" w:hAnsi="Arial" w:cs="Arial"/>
          <w:b/>
          <w:bCs/>
          <w:kern w:val="36"/>
          <w:sz w:val="56"/>
          <w:szCs w:val="56"/>
          <w:lang w:eastAsia="en-GB"/>
          <w14:ligatures w14:val="none"/>
        </w:rPr>
      </w:pPr>
      <w:bookmarkStart w:id="2" w:name="_Toc227259747"/>
      <w:bookmarkStart w:id="3" w:name="_Toc227269223"/>
      <w:r w:rsidRPr="00FF021A">
        <w:rPr>
          <w:rFonts w:ascii="Arial" w:eastAsia="Times New Roman" w:hAnsi="Arial" w:cs="Arial"/>
          <w:b/>
          <w:bCs/>
          <w:kern w:val="36"/>
          <w:sz w:val="56"/>
          <w:szCs w:val="56"/>
          <w:lang w:eastAsia="en-GB"/>
          <w14:ligatures w14:val="none"/>
        </w:rPr>
        <w:t>Investment Report</w:t>
      </w:r>
      <w:bookmarkEnd w:id="2"/>
      <w:bookmarkEnd w:id="3"/>
    </w:p>
    <w:p w14:paraId="03BA8799" w14:textId="77777777" w:rsidR="00F11170" w:rsidRPr="00FF021A" w:rsidRDefault="00F11170" w:rsidP="00F11170">
      <w:pPr>
        <w:spacing w:before="100" w:beforeAutospacing="1" w:after="100" w:afterAutospacing="1" w:line="360" w:lineRule="auto"/>
        <w:jc w:val="center"/>
        <w:outlineLvl w:val="0"/>
        <w:rPr>
          <w:rFonts w:ascii="Arial" w:eastAsia="Times New Roman" w:hAnsi="Arial" w:cs="Arial"/>
          <w:b/>
          <w:bCs/>
          <w:kern w:val="36"/>
          <w:sz w:val="72"/>
          <w:szCs w:val="72"/>
          <w:lang w:eastAsia="en-GB"/>
          <w14:ligatures w14:val="none"/>
        </w:rPr>
      </w:pPr>
    </w:p>
    <w:p w14:paraId="607FD171" w14:textId="77777777" w:rsidR="00FF021A" w:rsidRDefault="00FF021A" w:rsidP="00FF021A">
      <w:pPr>
        <w:spacing w:before="100" w:beforeAutospacing="1" w:after="100" w:afterAutospacing="1" w:line="240" w:lineRule="auto"/>
        <w:rPr>
          <w:rFonts w:ascii="Arial" w:eastAsia="Times New Roman" w:hAnsi="Arial" w:cs="Arial"/>
          <w:b/>
          <w:bCs/>
          <w:kern w:val="0"/>
          <w:lang w:eastAsia="en-GB"/>
          <w14:ligatures w14:val="none"/>
        </w:rPr>
      </w:pPr>
    </w:p>
    <w:p w14:paraId="063860DE" w14:textId="77777777" w:rsidR="00654C3A" w:rsidRDefault="00654C3A" w:rsidP="00FF021A">
      <w:pPr>
        <w:spacing w:before="100" w:beforeAutospacing="1" w:after="100" w:afterAutospacing="1" w:line="240" w:lineRule="auto"/>
        <w:rPr>
          <w:rFonts w:ascii="Arial" w:eastAsia="Times New Roman" w:hAnsi="Arial" w:cs="Arial"/>
          <w:b/>
          <w:bCs/>
          <w:kern w:val="0"/>
          <w:lang w:eastAsia="en-GB"/>
          <w14:ligatures w14:val="none"/>
        </w:rPr>
      </w:pPr>
    </w:p>
    <w:p w14:paraId="7EDC84A6" w14:textId="77777777" w:rsidR="00F11170" w:rsidRPr="00654C3A" w:rsidRDefault="00FF021A" w:rsidP="00F11170">
      <w:pPr>
        <w:spacing w:before="100" w:beforeAutospacing="1" w:after="100" w:afterAutospacing="1" w:line="360" w:lineRule="auto"/>
        <w:jc w:val="center"/>
        <w:rPr>
          <w:rFonts w:ascii="Arial" w:eastAsia="Times New Roman" w:hAnsi="Arial" w:cs="Arial"/>
          <w:kern w:val="0"/>
          <w:lang w:eastAsia="en-GB"/>
          <w14:ligatures w14:val="none"/>
        </w:rPr>
      </w:pPr>
      <w:r w:rsidRPr="00654C3A">
        <w:rPr>
          <w:rFonts w:ascii="Arial" w:eastAsia="Times New Roman" w:hAnsi="Arial" w:cs="Arial"/>
          <w:b/>
          <w:bCs/>
          <w:kern w:val="0"/>
          <w:lang w:eastAsia="en-GB"/>
          <w14:ligatures w14:val="none"/>
        </w:rPr>
        <w:t>O</w:t>
      </w:r>
      <w:r w:rsidR="00F11170" w:rsidRPr="00654C3A">
        <w:rPr>
          <w:rFonts w:ascii="Arial" w:eastAsia="Times New Roman" w:hAnsi="Arial" w:cs="Arial"/>
          <w:b/>
          <w:bCs/>
          <w:kern w:val="0"/>
          <w:lang w:eastAsia="en-GB"/>
          <w14:ligatures w14:val="none"/>
        </w:rPr>
        <w:t>RGANISATION</w:t>
      </w:r>
      <w:r w:rsidRPr="00654C3A">
        <w:rPr>
          <w:rFonts w:ascii="Arial" w:eastAsia="Times New Roman" w:hAnsi="Arial" w:cs="Arial"/>
          <w:b/>
          <w:bCs/>
          <w:kern w:val="0"/>
          <w:lang w:eastAsia="en-GB"/>
          <w14:ligatures w14:val="none"/>
        </w:rPr>
        <w:t>:</w:t>
      </w:r>
      <w:r w:rsidRPr="00654C3A">
        <w:rPr>
          <w:rFonts w:ascii="Arial" w:eastAsia="Times New Roman" w:hAnsi="Arial" w:cs="Arial"/>
          <w:kern w:val="0"/>
          <w:lang w:eastAsia="en-GB"/>
          <w14:ligatures w14:val="none"/>
        </w:rPr>
        <w:t xml:space="preserve"> </w:t>
      </w:r>
      <w:r w:rsidR="00F11170" w:rsidRPr="00654C3A">
        <w:rPr>
          <w:rFonts w:ascii="Arial" w:eastAsia="Times New Roman" w:hAnsi="Arial" w:cs="Arial"/>
          <w:kern w:val="0"/>
          <w:lang w:eastAsia="en-GB"/>
          <w14:ligatures w14:val="none"/>
        </w:rPr>
        <w:t>CELEBRITY CRUISES</w:t>
      </w:r>
    </w:p>
    <w:p w14:paraId="793448A5" w14:textId="77777777" w:rsidR="00F11170" w:rsidRPr="00654C3A" w:rsidRDefault="00F11170" w:rsidP="00F11170">
      <w:pPr>
        <w:spacing w:before="100" w:beforeAutospacing="1" w:after="100" w:afterAutospacing="1" w:line="360" w:lineRule="auto"/>
        <w:jc w:val="center"/>
        <w:rPr>
          <w:rFonts w:ascii="Arial" w:eastAsia="Times New Roman" w:hAnsi="Arial" w:cs="Arial"/>
          <w:kern w:val="0"/>
          <w:lang w:eastAsia="en-GB"/>
          <w14:ligatures w14:val="none"/>
        </w:rPr>
      </w:pPr>
      <w:r w:rsidRPr="00654C3A">
        <w:rPr>
          <w:rFonts w:ascii="Arial" w:eastAsia="Times New Roman" w:hAnsi="Arial" w:cs="Arial"/>
          <w:b/>
          <w:bCs/>
          <w:kern w:val="0"/>
          <w:lang w:eastAsia="en-GB"/>
          <w14:ligatures w14:val="none"/>
        </w:rPr>
        <w:t xml:space="preserve">STUDENT NAME: </w:t>
      </w:r>
      <w:r w:rsidRPr="00654C3A">
        <w:rPr>
          <w:rFonts w:ascii="Arial" w:eastAsia="Times New Roman" w:hAnsi="Arial" w:cs="Arial"/>
          <w:kern w:val="0"/>
          <w:lang w:eastAsia="en-GB"/>
          <w14:ligatures w14:val="none"/>
        </w:rPr>
        <w:t>VELISLAVA HRISTOVA</w:t>
      </w:r>
      <w:r w:rsidRPr="00654C3A">
        <w:rPr>
          <w:rFonts w:ascii="Arial" w:eastAsia="Times New Roman" w:hAnsi="Arial" w:cs="Arial"/>
          <w:b/>
          <w:bCs/>
          <w:kern w:val="0"/>
          <w:lang w:eastAsia="en-GB"/>
          <w14:ligatures w14:val="none"/>
        </w:rPr>
        <w:br/>
        <w:t xml:space="preserve">STUDENT ID: </w:t>
      </w:r>
      <w:r w:rsidRPr="00654C3A">
        <w:rPr>
          <w:rFonts w:ascii="Arial" w:eastAsia="Times New Roman" w:hAnsi="Arial" w:cs="Arial"/>
          <w:kern w:val="0"/>
          <w:lang w:eastAsia="en-GB"/>
          <w14:ligatures w14:val="none"/>
        </w:rPr>
        <w:t>2233502</w:t>
      </w:r>
      <w:r w:rsidR="00FF021A" w:rsidRPr="00654C3A">
        <w:rPr>
          <w:rFonts w:ascii="Arial" w:eastAsia="Times New Roman" w:hAnsi="Arial" w:cs="Arial"/>
          <w:kern w:val="0"/>
          <w:lang w:eastAsia="en-GB"/>
          <w14:ligatures w14:val="none"/>
        </w:rPr>
        <w:br/>
      </w:r>
      <w:r w:rsidRPr="00654C3A">
        <w:rPr>
          <w:rFonts w:ascii="Arial" w:eastAsia="Times New Roman" w:hAnsi="Arial" w:cs="Arial"/>
          <w:b/>
          <w:bCs/>
          <w:kern w:val="0"/>
          <w:lang w:eastAsia="en-GB"/>
          <w14:ligatures w14:val="none"/>
        </w:rPr>
        <w:t xml:space="preserve">MODULE: </w:t>
      </w:r>
      <w:r w:rsidRPr="00654C3A">
        <w:rPr>
          <w:rFonts w:ascii="Arial" w:eastAsia="Times New Roman" w:hAnsi="Arial" w:cs="Arial"/>
          <w:kern w:val="0"/>
          <w:lang w:eastAsia="en-GB"/>
          <w14:ligatures w14:val="none"/>
        </w:rPr>
        <w:t>MANAGING PEOPLE IN ORGANISATIONS</w:t>
      </w:r>
    </w:p>
    <w:p w14:paraId="4175B969" w14:textId="78AF53F1" w:rsidR="00F11170" w:rsidRPr="00654C3A" w:rsidRDefault="00F11170" w:rsidP="00F11170">
      <w:pPr>
        <w:spacing w:before="100" w:beforeAutospacing="1" w:after="100" w:afterAutospacing="1" w:line="360" w:lineRule="auto"/>
        <w:jc w:val="center"/>
        <w:rPr>
          <w:rFonts w:ascii="Arial" w:eastAsia="Times New Roman" w:hAnsi="Arial" w:cs="Arial"/>
          <w:kern w:val="0"/>
          <w:lang w:eastAsia="en-GB"/>
          <w14:ligatures w14:val="none"/>
        </w:rPr>
      </w:pPr>
      <w:r w:rsidRPr="00654C3A">
        <w:rPr>
          <w:rFonts w:ascii="Arial" w:eastAsia="Times New Roman" w:hAnsi="Arial" w:cs="Arial"/>
          <w:b/>
          <w:bCs/>
          <w:kern w:val="0"/>
          <w:lang w:eastAsia="en-GB"/>
          <w14:ligatures w14:val="none"/>
        </w:rPr>
        <w:t xml:space="preserve">MODULE CODE: </w:t>
      </w:r>
      <w:r w:rsidRPr="00654C3A">
        <w:rPr>
          <w:rFonts w:ascii="Arial" w:eastAsia="Times New Roman" w:hAnsi="Arial" w:cs="Arial"/>
          <w:kern w:val="0"/>
          <w:lang w:eastAsia="en-GB"/>
          <w14:ligatures w14:val="none"/>
        </w:rPr>
        <w:t>BMMB7025D</w:t>
      </w:r>
    </w:p>
    <w:p w14:paraId="7688908B" w14:textId="77777777" w:rsidR="00F11170" w:rsidRPr="00654C3A" w:rsidRDefault="00F11170" w:rsidP="00F11170">
      <w:pPr>
        <w:spacing w:before="100" w:beforeAutospacing="1" w:after="100" w:afterAutospacing="1" w:line="360" w:lineRule="auto"/>
        <w:jc w:val="center"/>
        <w:rPr>
          <w:rFonts w:ascii="Arial" w:eastAsia="Times New Roman" w:hAnsi="Arial" w:cs="Arial"/>
          <w:b/>
          <w:bCs/>
          <w:kern w:val="0"/>
          <w:lang w:eastAsia="en-GB"/>
          <w14:ligatures w14:val="none"/>
        </w:rPr>
      </w:pPr>
      <w:r w:rsidRPr="00654C3A">
        <w:rPr>
          <w:rFonts w:ascii="Arial" w:eastAsia="Times New Roman" w:hAnsi="Arial" w:cs="Arial"/>
          <w:b/>
          <w:bCs/>
          <w:kern w:val="0"/>
          <w:lang w:eastAsia="en-GB"/>
          <w14:ligatures w14:val="none"/>
        </w:rPr>
        <w:t xml:space="preserve">PROGRAMME DIRECTOR: </w:t>
      </w:r>
      <w:r w:rsidRPr="00654C3A">
        <w:rPr>
          <w:rFonts w:ascii="Arial" w:eastAsia="Times New Roman" w:hAnsi="Arial" w:cs="Arial"/>
          <w:kern w:val="0"/>
          <w:lang w:eastAsia="en-GB"/>
          <w14:ligatures w14:val="none"/>
        </w:rPr>
        <w:t>HELEN EVANS</w:t>
      </w:r>
    </w:p>
    <w:p w14:paraId="264A37D4" w14:textId="6D1D07CA" w:rsidR="00F11170" w:rsidRDefault="00FF021A" w:rsidP="00654C3A">
      <w:pPr>
        <w:spacing w:before="100" w:beforeAutospacing="1" w:after="100" w:afterAutospacing="1" w:line="360" w:lineRule="auto"/>
        <w:jc w:val="center"/>
        <w:rPr>
          <w:rFonts w:ascii="Arial" w:eastAsia="Times New Roman" w:hAnsi="Arial" w:cs="Arial"/>
          <w:kern w:val="0"/>
          <w:lang w:eastAsia="en-GB"/>
          <w14:ligatures w14:val="none"/>
        </w:rPr>
      </w:pPr>
      <w:r w:rsidRPr="00654C3A">
        <w:rPr>
          <w:rFonts w:ascii="Arial" w:eastAsia="Times New Roman" w:hAnsi="Arial" w:cs="Arial"/>
          <w:b/>
          <w:bCs/>
          <w:kern w:val="0"/>
          <w:lang w:eastAsia="en-GB"/>
          <w14:ligatures w14:val="none"/>
        </w:rPr>
        <w:t>S</w:t>
      </w:r>
      <w:r w:rsidR="00F11170" w:rsidRPr="00654C3A">
        <w:rPr>
          <w:rFonts w:ascii="Arial" w:eastAsia="Times New Roman" w:hAnsi="Arial" w:cs="Arial"/>
          <w:b/>
          <w:bCs/>
          <w:kern w:val="0"/>
          <w:lang w:eastAsia="en-GB"/>
          <w14:ligatures w14:val="none"/>
        </w:rPr>
        <w:t>UBMISSION DATE</w:t>
      </w:r>
      <w:r w:rsidRPr="00654C3A">
        <w:rPr>
          <w:rFonts w:ascii="Arial" w:eastAsia="Times New Roman" w:hAnsi="Arial" w:cs="Arial"/>
          <w:b/>
          <w:bCs/>
          <w:kern w:val="0"/>
          <w:lang w:eastAsia="en-GB"/>
          <w14:ligatures w14:val="none"/>
        </w:rPr>
        <w:t>:</w:t>
      </w:r>
      <w:r w:rsidR="006F5CFF" w:rsidRPr="00654C3A">
        <w:rPr>
          <w:rFonts w:ascii="Arial" w:eastAsia="Times New Roman" w:hAnsi="Arial" w:cs="Arial"/>
          <w:kern w:val="0"/>
          <w:lang w:eastAsia="en-GB"/>
          <w14:ligatures w14:val="none"/>
        </w:rPr>
        <w:t xml:space="preserve"> 17/04/2026</w:t>
      </w:r>
    </w:p>
    <w:p w14:paraId="5B84B37C" w14:textId="77777777" w:rsidR="00F11170" w:rsidRDefault="00F11170" w:rsidP="0037265A">
      <w:pPr>
        <w:pStyle w:val="Heading1"/>
        <w:spacing w:line="360" w:lineRule="auto"/>
        <w:jc w:val="both"/>
        <w:rPr>
          <w:rFonts w:ascii="Arial" w:hAnsi="Arial" w:cs="Arial"/>
          <w:sz w:val="24"/>
          <w:szCs w:val="24"/>
        </w:rPr>
      </w:pPr>
      <w:bookmarkStart w:id="4" w:name="_Toc227269224"/>
      <w:r w:rsidRPr="00824178">
        <w:rPr>
          <w:rFonts w:ascii="Arial" w:hAnsi="Arial" w:cs="Arial"/>
          <w:sz w:val="24"/>
          <w:szCs w:val="24"/>
        </w:rPr>
        <w:lastRenderedPageBreak/>
        <w:t>Executive Summary</w:t>
      </w:r>
      <w:bookmarkEnd w:id="4"/>
    </w:p>
    <w:p w14:paraId="41761733" w14:textId="77777777" w:rsidR="00824178" w:rsidRPr="00824178" w:rsidRDefault="00824178" w:rsidP="00824178"/>
    <w:p w14:paraId="0CE68E64" w14:textId="77777777" w:rsidR="00F11170" w:rsidRPr="00F11170" w:rsidRDefault="00F11170" w:rsidP="00F1117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F11170">
        <w:rPr>
          <w:rFonts w:ascii="Arial" w:eastAsia="Times New Roman" w:hAnsi="Arial" w:cs="Arial"/>
          <w:kern w:val="0"/>
          <w:sz w:val="22"/>
          <w:szCs w:val="22"/>
          <w:lang w:eastAsia="en-GB"/>
          <w14:ligatures w14:val="none"/>
        </w:rPr>
        <w:t>Human Resource (HR) technology is increasingly recognised as a strategic driver of organisational performance. Advances in artificial intelligence (AI), machine learning, people analytics and cloud-based digital platforms are transforming HR practices by enabling organisations to automate processes, analyse workforce data and enhance employee experiences (Armstrong, 2023; Stone et al., 2015). In service-intensive industries such as cruise tourism, HR technology is particularly important because organisations must manage large, diverse and geographically dispersed workforces while maintaining high service standards.</w:t>
      </w:r>
    </w:p>
    <w:p w14:paraId="03F14CDA" w14:textId="77777777" w:rsidR="00F11170" w:rsidRPr="00F11170" w:rsidRDefault="00F11170" w:rsidP="00F1117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F11170">
        <w:rPr>
          <w:rFonts w:ascii="Arial" w:eastAsia="Times New Roman" w:hAnsi="Arial" w:cs="Arial"/>
          <w:kern w:val="0"/>
          <w:sz w:val="22"/>
          <w:szCs w:val="22"/>
          <w:lang w:eastAsia="en-GB"/>
          <w14:ligatures w14:val="none"/>
        </w:rPr>
        <w:t>This report evaluates potential HR technology investment opportunities for Celebrity Cruises, a global cruise brand within Royal Caribbean Group. Cruise companies operate complex international workforces and face challenges including employee turnover, demanding working conditions and the need for continuous training. As a result, strategic HR initiatives are required to improve employee engagement, workforce development and organisational performance (Baum, 2015; World Economic Forum, 2024).</w:t>
      </w:r>
    </w:p>
    <w:p w14:paraId="5B1DF55A" w14:textId="77777777" w:rsidR="00F11170" w:rsidRPr="00F11170" w:rsidRDefault="00F11170" w:rsidP="00F1117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F11170">
        <w:rPr>
          <w:rFonts w:ascii="Arial" w:eastAsia="Times New Roman" w:hAnsi="Arial" w:cs="Arial"/>
          <w:kern w:val="0"/>
          <w:sz w:val="22"/>
          <w:szCs w:val="22"/>
          <w:lang w:eastAsia="en-GB"/>
          <w14:ligatures w14:val="none"/>
        </w:rPr>
        <w:t>Two priority HR areas are analysed in this report: Employee Engagement and Learning and Development. These areas are particularly important in the hospitality and cruise industry because employee satisfaction, motivation and capability are closely linked to service quality and organisational success (Leatherbarrow and Fletcher, 2018).</w:t>
      </w:r>
    </w:p>
    <w:p w14:paraId="275A5357" w14:textId="77777777" w:rsidR="00F11170" w:rsidRPr="00F11170" w:rsidRDefault="00F11170" w:rsidP="00F1117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F11170">
        <w:rPr>
          <w:rFonts w:ascii="Arial" w:eastAsia="Times New Roman" w:hAnsi="Arial" w:cs="Arial"/>
          <w:kern w:val="0"/>
          <w:sz w:val="22"/>
          <w:szCs w:val="22"/>
          <w:lang w:eastAsia="en-GB"/>
          <w14:ligatures w14:val="none"/>
        </w:rPr>
        <w:t xml:space="preserve">The report evaluates several digital HR technologies designed to support these functions, including platforms such as Qualtrics </w:t>
      </w:r>
      <w:proofErr w:type="spellStart"/>
      <w:r w:rsidRPr="00F11170">
        <w:rPr>
          <w:rFonts w:ascii="Arial" w:eastAsia="Times New Roman" w:hAnsi="Arial" w:cs="Arial"/>
          <w:kern w:val="0"/>
          <w:sz w:val="22"/>
          <w:szCs w:val="22"/>
          <w:lang w:eastAsia="en-GB"/>
          <w14:ligatures w14:val="none"/>
        </w:rPr>
        <w:t>EmployeeXM</w:t>
      </w:r>
      <w:proofErr w:type="spellEnd"/>
      <w:r w:rsidRPr="00F11170">
        <w:rPr>
          <w:rFonts w:ascii="Arial" w:eastAsia="Times New Roman" w:hAnsi="Arial" w:cs="Arial"/>
          <w:kern w:val="0"/>
          <w:sz w:val="22"/>
          <w:szCs w:val="22"/>
          <w:lang w:eastAsia="en-GB"/>
          <w14:ligatures w14:val="none"/>
        </w:rPr>
        <w:t>, Culture Amp, Degreed and Cornerstone OnDemand. The analysis demonstrates that digital HR platforms can provide significant value by enabling real-time workforce insights, personalised training programmes and improved organisational decision making. However, their effectiveness depends on leadership support, implementation quality and ethical governance (CIPD, 2023; Deloitte, 2024).</w:t>
      </w:r>
    </w:p>
    <w:p w14:paraId="4F3BFBAF" w14:textId="77777777" w:rsidR="00F11170" w:rsidRPr="00F11170" w:rsidRDefault="00F11170" w:rsidP="00F1117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F11170">
        <w:rPr>
          <w:rFonts w:ascii="Arial" w:eastAsia="Times New Roman" w:hAnsi="Arial" w:cs="Arial"/>
          <w:kern w:val="0"/>
          <w:sz w:val="22"/>
          <w:szCs w:val="22"/>
          <w:lang w:eastAsia="en-GB"/>
          <w14:ligatures w14:val="none"/>
        </w:rPr>
        <w:t xml:space="preserve">The report recommends two HR technology investment projects: implementing Qualtrics </w:t>
      </w:r>
      <w:proofErr w:type="spellStart"/>
      <w:r w:rsidRPr="00F11170">
        <w:rPr>
          <w:rFonts w:ascii="Arial" w:eastAsia="Times New Roman" w:hAnsi="Arial" w:cs="Arial"/>
          <w:kern w:val="0"/>
          <w:sz w:val="22"/>
          <w:szCs w:val="22"/>
          <w:lang w:eastAsia="en-GB"/>
          <w14:ligatures w14:val="none"/>
        </w:rPr>
        <w:t>EmployeeXM</w:t>
      </w:r>
      <w:proofErr w:type="spellEnd"/>
      <w:r w:rsidRPr="00F11170">
        <w:rPr>
          <w:rFonts w:ascii="Arial" w:eastAsia="Times New Roman" w:hAnsi="Arial" w:cs="Arial"/>
          <w:kern w:val="0"/>
          <w:sz w:val="22"/>
          <w:szCs w:val="22"/>
          <w:lang w:eastAsia="en-GB"/>
          <w14:ligatures w14:val="none"/>
        </w:rPr>
        <w:t xml:space="preserve"> to enhance employee engagement monitoring and adopting Cornerstone OnDemand to improve workforce learning and development. Although these technologies involve implementation costs and potential risks such as data privacy concerns and algorithmic bias, their long-term benefits in terms of workforce performance, retention and organisational competitiveness are significant.</w:t>
      </w:r>
    </w:p>
    <w:p w14:paraId="4B334290" w14:textId="7051BD82" w:rsidR="0037265A" w:rsidRDefault="00F11170" w:rsidP="00F1117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F11170">
        <w:rPr>
          <w:rFonts w:ascii="Arial" w:eastAsia="Times New Roman" w:hAnsi="Arial" w:cs="Arial"/>
          <w:kern w:val="0"/>
          <w:sz w:val="22"/>
          <w:szCs w:val="22"/>
          <w:lang w:eastAsia="en-GB"/>
          <w14:ligatures w14:val="none"/>
        </w:rPr>
        <w:lastRenderedPageBreak/>
        <w:t>Overall, strategic investment in HR technology will enable Celebrity Cruises to strengthen workforce management capabilities, enhance employee experiences and maintain a competitive advantage within the global cruise industry.</w:t>
      </w:r>
    </w:p>
    <w:p w14:paraId="0AE018F8" w14:textId="77777777" w:rsidR="0037265A" w:rsidRDefault="0037265A">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sdt>
      <w:sdtPr>
        <w:id w:val="1538308047"/>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6BFE877" w14:textId="0B1132D8" w:rsidR="00A37052" w:rsidRDefault="00A37052">
          <w:pPr>
            <w:pStyle w:val="TOCHeading"/>
          </w:pPr>
          <w:r>
            <w:t>Table of Contents</w:t>
          </w:r>
        </w:p>
        <w:p w14:paraId="0F811B9E" w14:textId="6E522BF1" w:rsidR="00A37052" w:rsidRDefault="00A37052" w:rsidP="00A3705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p>
        <w:p w14:paraId="670D36D7" w14:textId="4D28CCDF" w:rsidR="00A37052" w:rsidRDefault="00A37052">
          <w:pPr>
            <w:pStyle w:val="TOC1"/>
            <w:tabs>
              <w:tab w:val="right" w:leader="dot" w:pos="9016"/>
            </w:tabs>
            <w:rPr>
              <w:rFonts w:eastAsiaTheme="minorEastAsia"/>
              <w:noProof/>
              <w:lang w:eastAsia="en-GB"/>
            </w:rPr>
          </w:pPr>
          <w:hyperlink w:anchor="_Toc227269224" w:history="1">
            <w:r w:rsidRPr="007A32A6">
              <w:rPr>
                <w:rStyle w:val="Hyperlink"/>
                <w:rFonts w:ascii="Arial" w:hAnsi="Arial" w:cs="Arial"/>
                <w:noProof/>
              </w:rPr>
              <w:t>Executive Summary</w:t>
            </w:r>
            <w:r>
              <w:rPr>
                <w:noProof/>
                <w:webHidden/>
              </w:rPr>
              <w:tab/>
            </w:r>
            <w:r>
              <w:rPr>
                <w:noProof/>
                <w:webHidden/>
              </w:rPr>
              <w:fldChar w:fldCharType="begin"/>
            </w:r>
            <w:r>
              <w:rPr>
                <w:noProof/>
                <w:webHidden/>
              </w:rPr>
              <w:instrText xml:space="preserve"> PAGEREF _Toc227269224 \h </w:instrText>
            </w:r>
            <w:r>
              <w:rPr>
                <w:noProof/>
                <w:webHidden/>
              </w:rPr>
            </w:r>
            <w:r>
              <w:rPr>
                <w:noProof/>
                <w:webHidden/>
              </w:rPr>
              <w:fldChar w:fldCharType="separate"/>
            </w:r>
            <w:r>
              <w:rPr>
                <w:noProof/>
                <w:webHidden/>
              </w:rPr>
              <w:t>2</w:t>
            </w:r>
            <w:r>
              <w:rPr>
                <w:noProof/>
                <w:webHidden/>
              </w:rPr>
              <w:fldChar w:fldCharType="end"/>
            </w:r>
          </w:hyperlink>
        </w:p>
        <w:p w14:paraId="00FDCA06" w14:textId="43927C05" w:rsidR="00A37052" w:rsidRDefault="00A37052">
          <w:pPr>
            <w:pStyle w:val="TOC1"/>
            <w:tabs>
              <w:tab w:val="right" w:leader="dot" w:pos="9016"/>
            </w:tabs>
            <w:rPr>
              <w:rFonts w:eastAsiaTheme="minorEastAsia"/>
              <w:noProof/>
              <w:lang w:eastAsia="en-GB"/>
            </w:rPr>
          </w:pPr>
          <w:hyperlink w:anchor="_Toc227269225" w:history="1">
            <w:r w:rsidRPr="007A32A6">
              <w:rPr>
                <w:rStyle w:val="Hyperlink"/>
                <w:rFonts w:ascii="Arial" w:eastAsia="Times New Roman" w:hAnsi="Arial" w:cs="Arial"/>
                <w:noProof/>
                <w:lang w:eastAsia="en-GB"/>
              </w:rPr>
              <w:t>1. Introduction</w:t>
            </w:r>
            <w:r>
              <w:rPr>
                <w:noProof/>
                <w:webHidden/>
              </w:rPr>
              <w:tab/>
            </w:r>
            <w:r>
              <w:rPr>
                <w:noProof/>
                <w:webHidden/>
              </w:rPr>
              <w:fldChar w:fldCharType="begin"/>
            </w:r>
            <w:r>
              <w:rPr>
                <w:noProof/>
                <w:webHidden/>
              </w:rPr>
              <w:instrText xml:space="preserve"> PAGEREF _Toc227269225 \h </w:instrText>
            </w:r>
            <w:r>
              <w:rPr>
                <w:noProof/>
                <w:webHidden/>
              </w:rPr>
            </w:r>
            <w:r>
              <w:rPr>
                <w:noProof/>
                <w:webHidden/>
              </w:rPr>
              <w:fldChar w:fldCharType="separate"/>
            </w:r>
            <w:r>
              <w:rPr>
                <w:noProof/>
                <w:webHidden/>
              </w:rPr>
              <w:t>5</w:t>
            </w:r>
            <w:r>
              <w:rPr>
                <w:noProof/>
                <w:webHidden/>
              </w:rPr>
              <w:fldChar w:fldCharType="end"/>
            </w:r>
          </w:hyperlink>
        </w:p>
        <w:p w14:paraId="233BFB95" w14:textId="29A7035D" w:rsidR="00A37052" w:rsidRDefault="00A37052">
          <w:pPr>
            <w:pStyle w:val="TOC1"/>
            <w:tabs>
              <w:tab w:val="right" w:leader="dot" w:pos="9016"/>
            </w:tabs>
            <w:rPr>
              <w:rFonts w:eastAsiaTheme="minorEastAsia"/>
              <w:noProof/>
              <w:lang w:eastAsia="en-GB"/>
            </w:rPr>
          </w:pPr>
          <w:hyperlink w:anchor="_Toc227269226" w:history="1">
            <w:r w:rsidRPr="007A32A6">
              <w:rPr>
                <w:rStyle w:val="Hyperlink"/>
                <w:rFonts w:ascii="Arial" w:eastAsia="Times New Roman" w:hAnsi="Arial" w:cs="Arial"/>
                <w:noProof/>
                <w:lang w:eastAsia="en-GB"/>
              </w:rPr>
              <w:t>2. Organisational Context</w:t>
            </w:r>
            <w:r>
              <w:rPr>
                <w:noProof/>
                <w:webHidden/>
              </w:rPr>
              <w:tab/>
            </w:r>
            <w:r>
              <w:rPr>
                <w:noProof/>
                <w:webHidden/>
              </w:rPr>
              <w:fldChar w:fldCharType="begin"/>
            </w:r>
            <w:r>
              <w:rPr>
                <w:noProof/>
                <w:webHidden/>
              </w:rPr>
              <w:instrText xml:space="preserve"> PAGEREF _Toc227269226 \h </w:instrText>
            </w:r>
            <w:r>
              <w:rPr>
                <w:noProof/>
                <w:webHidden/>
              </w:rPr>
            </w:r>
            <w:r>
              <w:rPr>
                <w:noProof/>
                <w:webHidden/>
              </w:rPr>
              <w:fldChar w:fldCharType="separate"/>
            </w:r>
            <w:r>
              <w:rPr>
                <w:noProof/>
                <w:webHidden/>
              </w:rPr>
              <w:t>6</w:t>
            </w:r>
            <w:r>
              <w:rPr>
                <w:noProof/>
                <w:webHidden/>
              </w:rPr>
              <w:fldChar w:fldCharType="end"/>
            </w:r>
          </w:hyperlink>
        </w:p>
        <w:p w14:paraId="4F2F4DD5" w14:textId="28201910" w:rsidR="00A37052" w:rsidRDefault="00A37052">
          <w:pPr>
            <w:pStyle w:val="TOC1"/>
            <w:tabs>
              <w:tab w:val="right" w:leader="dot" w:pos="9016"/>
            </w:tabs>
            <w:rPr>
              <w:rFonts w:eastAsiaTheme="minorEastAsia"/>
              <w:noProof/>
              <w:lang w:eastAsia="en-GB"/>
            </w:rPr>
          </w:pPr>
          <w:hyperlink w:anchor="_Toc227269227" w:history="1">
            <w:r w:rsidRPr="007A32A6">
              <w:rPr>
                <w:rStyle w:val="Hyperlink"/>
                <w:rFonts w:ascii="Arial" w:eastAsia="Times New Roman" w:hAnsi="Arial" w:cs="Arial"/>
                <w:noProof/>
                <w:lang w:eastAsia="en-GB"/>
              </w:rPr>
              <w:t>3. Priority HR Area 1: Employee Engagement</w:t>
            </w:r>
            <w:r>
              <w:rPr>
                <w:noProof/>
                <w:webHidden/>
              </w:rPr>
              <w:tab/>
            </w:r>
            <w:r>
              <w:rPr>
                <w:noProof/>
                <w:webHidden/>
              </w:rPr>
              <w:fldChar w:fldCharType="begin"/>
            </w:r>
            <w:r>
              <w:rPr>
                <w:noProof/>
                <w:webHidden/>
              </w:rPr>
              <w:instrText xml:space="preserve"> PAGEREF _Toc227269227 \h </w:instrText>
            </w:r>
            <w:r>
              <w:rPr>
                <w:noProof/>
                <w:webHidden/>
              </w:rPr>
            </w:r>
            <w:r>
              <w:rPr>
                <w:noProof/>
                <w:webHidden/>
              </w:rPr>
              <w:fldChar w:fldCharType="separate"/>
            </w:r>
            <w:r>
              <w:rPr>
                <w:noProof/>
                <w:webHidden/>
              </w:rPr>
              <w:t>7</w:t>
            </w:r>
            <w:r>
              <w:rPr>
                <w:noProof/>
                <w:webHidden/>
              </w:rPr>
              <w:fldChar w:fldCharType="end"/>
            </w:r>
          </w:hyperlink>
        </w:p>
        <w:p w14:paraId="64C9CD64" w14:textId="0B50F7C3" w:rsidR="00A37052" w:rsidRDefault="00A37052">
          <w:pPr>
            <w:pStyle w:val="TOC1"/>
            <w:tabs>
              <w:tab w:val="right" w:leader="dot" w:pos="9016"/>
            </w:tabs>
            <w:rPr>
              <w:rFonts w:eastAsiaTheme="minorEastAsia"/>
              <w:noProof/>
              <w:lang w:eastAsia="en-GB"/>
            </w:rPr>
          </w:pPr>
          <w:hyperlink w:anchor="_Toc227269228" w:history="1">
            <w:r w:rsidRPr="007A32A6">
              <w:rPr>
                <w:rStyle w:val="Hyperlink"/>
                <w:rFonts w:ascii="Arial" w:eastAsia="Times New Roman" w:hAnsi="Arial" w:cs="Arial"/>
                <w:noProof/>
                <w:lang w:eastAsia="en-GB"/>
              </w:rPr>
              <w:t>4. Technology Solutions for Employee Engagement</w:t>
            </w:r>
            <w:r>
              <w:rPr>
                <w:noProof/>
                <w:webHidden/>
              </w:rPr>
              <w:tab/>
            </w:r>
            <w:r>
              <w:rPr>
                <w:noProof/>
                <w:webHidden/>
              </w:rPr>
              <w:fldChar w:fldCharType="begin"/>
            </w:r>
            <w:r>
              <w:rPr>
                <w:noProof/>
                <w:webHidden/>
              </w:rPr>
              <w:instrText xml:space="preserve"> PAGEREF _Toc227269228 \h </w:instrText>
            </w:r>
            <w:r>
              <w:rPr>
                <w:noProof/>
                <w:webHidden/>
              </w:rPr>
            </w:r>
            <w:r>
              <w:rPr>
                <w:noProof/>
                <w:webHidden/>
              </w:rPr>
              <w:fldChar w:fldCharType="separate"/>
            </w:r>
            <w:r>
              <w:rPr>
                <w:noProof/>
                <w:webHidden/>
              </w:rPr>
              <w:t>7</w:t>
            </w:r>
            <w:r>
              <w:rPr>
                <w:noProof/>
                <w:webHidden/>
              </w:rPr>
              <w:fldChar w:fldCharType="end"/>
            </w:r>
          </w:hyperlink>
        </w:p>
        <w:p w14:paraId="2CD951CB" w14:textId="22EFAF9E" w:rsidR="00A37052" w:rsidRDefault="00A37052">
          <w:pPr>
            <w:pStyle w:val="TOC1"/>
            <w:tabs>
              <w:tab w:val="right" w:leader="dot" w:pos="9016"/>
            </w:tabs>
            <w:rPr>
              <w:rFonts w:eastAsiaTheme="minorEastAsia"/>
              <w:noProof/>
              <w:lang w:eastAsia="en-GB"/>
            </w:rPr>
          </w:pPr>
          <w:hyperlink w:anchor="_Toc227269229" w:history="1">
            <w:r w:rsidRPr="007A32A6">
              <w:rPr>
                <w:rStyle w:val="Hyperlink"/>
                <w:rFonts w:ascii="Arial" w:eastAsia="Times New Roman" w:hAnsi="Arial" w:cs="Arial"/>
                <w:noProof/>
                <w:lang w:eastAsia="en-GB"/>
              </w:rPr>
              <w:t>5. Priority HR Area 2: Learning and Development</w:t>
            </w:r>
            <w:r>
              <w:rPr>
                <w:noProof/>
                <w:webHidden/>
              </w:rPr>
              <w:tab/>
            </w:r>
            <w:r>
              <w:rPr>
                <w:noProof/>
                <w:webHidden/>
              </w:rPr>
              <w:fldChar w:fldCharType="begin"/>
            </w:r>
            <w:r>
              <w:rPr>
                <w:noProof/>
                <w:webHidden/>
              </w:rPr>
              <w:instrText xml:space="preserve"> PAGEREF _Toc227269229 \h </w:instrText>
            </w:r>
            <w:r>
              <w:rPr>
                <w:noProof/>
                <w:webHidden/>
              </w:rPr>
            </w:r>
            <w:r>
              <w:rPr>
                <w:noProof/>
                <w:webHidden/>
              </w:rPr>
              <w:fldChar w:fldCharType="separate"/>
            </w:r>
            <w:r>
              <w:rPr>
                <w:noProof/>
                <w:webHidden/>
              </w:rPr>
              <w:t>8</w:t>
            </w:r>
            <w:r>
              <w:rPr>
                <w:noProof/>
                <w:webHidden/>
              </w:rPr>
              <w:fldChar w:fldCharType="end"/>
            </w:r>
          </w:hyperlink>
        </w:p>
        <w:p w14:paraId="282391C5" w14:textId="56162FD9" w:rsidR="00A37052" w:rsidRDefault="00A37052">
          <w:pPr>
            <w:pStyle w:val="TOC1"/>
            <w:tabs>
              <w:tab w:val="right" w:leader="dot" w:pos="9016"/>
            </w:tabs>
            <w:rPr>
              <w:rFonts w:eastAsiaTheme="minorEastAsia"/>
              <w:noProof/>
              <w:lang w:eastAsia="en-GB"/>
            </w:rPr>
          </w:pPr>
          <w:hyperlink w:anchor="_Toc227269230" w:history="1">
            <w:r w:rsidRPr="007A32A6">
              <w:rPr>
                <w:rStyle w:val="Hyperlink"/>
                <w:rFonts w:ascii="Arial" w:eastAsia="Times New Roman" w:hAnsi="Arial" w:cs="Arial"/>
                <w:noProof/>
                <w:lang w:eastAsia="en-GB"/>
              </w:rPr>
              <w:t>6. Technology Solutions for Learning and Development</w:t>
            </w:r>
            <w:r>
              <w:rPr>
                <w:noProof/>
                <w:webHidden/>
              </w:rPr>
              <w:tab/>
            </w:r>
            <w:r>
              <w:rPr>
                <w:noProof/>
                <w:webHidden/>
              </w:rPr>
              <w:fldChar w:fldCharType="begin"/>
            </w:r>
            <w:r>
              <w:rPr>
                <w:noProof/>
                <w:webHidden/>
              </w:rPr>
              <w:instrText xml:space="preserve"> PAGEREF _Toc227269230 \h </w:instrText>
            </w:r>
            <w:r>
              <w:rPr>
                <w:noProof/>
                <w:webHidden/>
              </w:rPr>
            </w:r>
            <w:r>
              <w:rPr>
                <w:noProof/>
                <w:webHidden/>
              </w:rPr>
              <w:fldChar w:fldCharType="separate"/>
            </w:r>
            <w:r>
              <w:rPr>
                <w:noProof/>
                <w:webHidden/>
              </w:rPr>
              <w:t>9</w:t>
            </w:r>
            <w:r>
              <w:rPr>
                <w:noProof/>
                <w:webHidden/>
              </w:rPr>
              <w:fldChar w:fldCharType="end"/>
            </w:r>
          </w:hyperlink>
        </w:p>
        <w:p w14:paraId="779BEECE" w14:textId="436DFA38" w:rsidR="00A37052" w:rsidRDefault="00A37052">
          <w:pPr>
            <w:pStyle w:val="TOC1"/>
            <w:tabs>
              <w:tab w:val="right" w:leader="dot" w:pos="9016"/>
            </w:tabs>
            <w:rPr>
              <w:rFonts w:eastAsiaTheme="minorEastAsia"/>
              <w:noProof/>
              <w:lang w:eastAsia="en-GB"/>
            </w:rPr>
          </w:pPr>
          <w:hyperlink w:anchor="_Toc227269231" w:history="1">
            <w:r w:rsidRPr="007A32A6">
              <w:rPr>
                <w:rStyle w:val="Hyperlink"/>
                <w:rFonts w:ascii="Arial" w:hAnsi="Arial" w:cs="Arial"/>
                <w:noProof/>
              </w:rPr>
              <w:t>7. Recommendations for HR Technology Investment</w:t>
            </w:r>
            <w:r>
              <w:rPr>
                <w:noProof/>
                <w:webHidden/>
              </w:rPr>
              <w:tab/>
            </w:r>
            <w:r>
              <w:rPr>
                <w:noProof/>
                <w:webHidden/>
              </w:rPr>
              <w:fldChar w:fldCharType="begin"/>
            </w:r>
            <w:r>
              <w:rPr>
                <w:noProof/>
                <w:webHidden/>
              </w:rPr>
              <w:instrText xml:space="preserve"> PAGEREF _Toc227269231 \h </w:instrText>
            </w:r>
            <w:r>
              <w:rPr>
                <w:noProof/>
                <w:webHidden/>
              </w:rPr>
            </w:r>
            <w:r>
              <w:rPr>
                <w:noProof/>
                <w:webHidden/>
              </w:rPr>
              <w:fldChar w:fldCharType="separate"/>
            </w:r>
            <w:r>
              <w:rPr>
                <w:noProof/>
                <w:webHidden/>
              </w:rPr>
              <w:t>10</w:t>
            </w:r>
            <w:r>
              <w:rPr>
                <w:noProof/>
                <w:webHidden/>
              </w:rPr>
              <w:fldChar w:fldCharType="end"/>
            </w:r>
          </w:hyperlink>
        </w:p>
        <w:p w14:paraId="3425568A" w14:textId="43C7D747" w:rsidR="00A37052" w:rsidRDefault="00A37052">
          <w:pPr>
            <w:pStyle w:val="TOC1"/>
            <w:tabs>
              <w:tab w:val="right" w:leader="dot" w:pos="9016"/>
            </w:tabs>
            <w:rPr>
              <w:rFonts w:eastAsiaTheme="minorEastAsia"/>
              <w:noProof/>
              <w:lang w:eastAsia="en-GB"/>
            </w:rPr>
          </w:pPr>
          <w:hyperlink w:anchor="_Toc227269232" w:history="1">
            <w:r w:rsidRPr="007A32A6">
              <w:rPr>
                <w:rStyle w:val="Hyperlink"/>
                <w:rFonts w:ascii="Arial" w:hAnsi="Arial" w:cs="Arial"/>
                <w:noProof/>
              </w:rPr>
              <w:t>8. Ethical Considerations and Risks</w:t>
            </w:r>
            <w:r>
              <w:rPr>
                <w:noProof/>
                <w:webHidden/>
              </w:rPr>
              <w:tab/>
            </w:r>
            <w:r>
              <w:rPr>
                <w:noProof/>
                <w:webHidden/>
              </w:rPr>
              <w:fldChar w:fldCharType="begin"/>
            </w:r>
            <w:r>
              <w:rPr>
                <w:noProof/>
                <w:webHidden/>
              </w:rPr>
              <w:instrText xml:space="preserve"> PAGEREF _Toc227269232 \h </w:instrText>
            </w:r>
            <w:r>
              <w:rPr>
                <w:noProof/>
                <w:webHidden/>
              </w:rPr>
            </w:r>
            <w:r>
              <w:rPr>
                <w:noProof/>
                <w:webHidden/>
              </w:rPr>
              <w:fldChar w:fldCharType="separate"/>
            </w:r>
            <w:r>
              <w:rPr>
                <w:noProof/>
                <w:webHidden/>
              </w:rPr>
              <w:t>11</w:t>
            </w:r>
            <w:r>
              <w:rPr>
                <w:noProof/>
                <w:webHidden/>
              </w:rPr>
              <w:fldChar w:fldCharType="end"/>
            </w:r>
          </w:hyperlink>
        </w:p>
        <w:p w14:paraId="1775AFCC" w14:textId="1AC4462E" w:rsidR="00A37052" w:rsidRDefault="00A37052">
          <w:pPr>
            <w:pStyle w:val="TOC1"/>
            <w:tabs>
              <w:tab w:val="right" w:leader="dot" w:pos="9016"/>
            </w:tabs>
            <w:rPr>
              <w:rFonts w:eastAsiaTheme="minorEastAsia"/>
              <w:noProof/>
              <w:lang w:eastAsia="en-GB"/>
            </w:rPr>
          </w:pPr>
          <w:hyperlink w:anchor="_Toc227269233" w:history="1">
            <w:r w:rsidRPr="007A32A6">
              <w:rPr>
                <w:rStyle w:val="Hyperlink"/>
                <w:rFonts w:ascii="Arial" w:hAnsi="Arial" w:cs="Arial"/>
                <w:noProof/>
              </w:rPr>
              <w:t>9. Conclusion</w:t>
            </w:r>
            <w:r>
              <w:rPr>
                <w:noProof/>
                <w:webHidden/>
              </w:rPr>
              <w:tab/>
            </w:r>
            <w:r>
              <w:rPr>
                <w:noProof/>
                <w:webHidden/>
              </w:rPr>
              <w:fldChar w:fldCharType="begin"/>
            </w:r>
            <w:r>
              <w:rPr>
                <w:noProof/>
                <w:webHidden/>
              </w:rPr>
              <w:instrText xml:space="preserve"> PAGEREF _Toc227269233 \h </w:instrText>
            </w:r>
            <w:r>
              <w:rPr>
                <w:noProof/>
                <w:webHidden/>
              </w:rPr>
            </w:r>
            <w:r>
              <w:rPr>
                <w:noProof/>
                <w:webHidden/>
              </w:rPr>
              <w:fldChar w:fldCharType="separate"/>
            </w:r>
            <w:r>
              <w:rPr>
                <w:noProof/>
                <w:webHidden/>
              </w:rPr>
              <w:t>12</w:t>
            </w:r>
            <w:r>
              <w:rPr>
                <w:noProof/>
                <w:webHidden/>
              </w:rPr>
              <w:fldChar w:fldCharType="end"/>
            </w:r>
          </w:hyperlink>
        </w:p>
        <w:p w14:paraId="18E5D969" w14:textId="01CFD6FD" w:rsidR="00A37052" w:rsidRDefault="00A37052">
          <w:pPr>
            <w:pStyle w:val="TOC1"/>
            <w:tabs>
              <w:tab w:val="right" w:leader="dot" w:pos="9016"/>
            </w:tabs>
            <w:rPr>
              <w:rFonts w:eastAsiaTheme="minorEastAsia"/>
              <w:noProof/>
              <w:lang w:eastAsia="en-GB"/>
            </w:rPr>
          </w:pPr>
          <w:hyperlink w:anchor="_Toc227269234" w:history="1">
            <w:r w:rsidRPr="007A32A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_Toc227269234 \h </w:instrText>
            </w:r>
            <w:r>
              <w:rPr>
                <w:noProof/>
                <w:webHidden/>
              </w:rPr>
            </w:r>
            <w:r>
              <w:rPr>
                <w:noProof/>
                <w:webHidden/>
              </w:rPr>
              <w:fldChar w:fldCharType="separate"/>
            </w:r>
            <w:r>
              <w:rPr>
                <w:noProof/>
                <w:webHidden/>
              </w:rPr>
              <w:t>13</w:t>
            </w:r>
            <w:r>
              <w:rPr>
                <w:noProof/>
                <w:webHidden/>
              </w:rPr>
              <w:fldChar w:fldCharType="end"/>
            </w:r>
          </w:hyperlink>
        </w:p>
        <w:p w14:paraId="44D262BE" w14:textId="08A32381" w:rsidR="00A37052" w:rsidRDefault="00A37052">
          <w:pPr>
            <w:pStyle w:val="TOC1"/>
            <w:tabs>
              <w:tab w:val="right" w:leader="dot" w:pos="9016"/>
            </w:tabs>
            <w:rPr>
              <w:rFonts w:eastAsiaTheme="minorEastAsia"/>
              <w:noProof/>
              <w:lang w:eastAsia="en-GB"/>
            </w:rPr>
          </w:pPr>
          <w:hyperlink w:anchor="_Toc227269235" w:history="1">
            <w:r w:rsidRPr="007A32A6">
              <w:rPr>
                <w:rStyle w:val="Hyperlink"/>
                <w:rFonts w:ascii="Arial" w:hAnsi="Arial" w:cs="Arial"/>
                <w:noProof/>
              </w:rPr>
              <w:t>Appendix A – Technology Appraisal Summary</w:t>
            </w:r>
            <w:r>
              <w:rPr>
                <w:noProof/>
                <w:webHidden/>
              </w:rPr>
              <w:tab/>
            </w:r>
            <w:r>
              <w:rPr>
                <w:noProof/>
                <w:webHidden/>
              </w:rPr>
              <w:fldChar w:fldCharType="begin"/>
            </w:r>
            <w:r>
              <w:rPr>
                <w:noProof/>
                <w:webHidden/>
              </w:rPr>
              <w:instrText xml:space="preserve"> PAGEREF _Toc227269235 \h </w:instrText>
            </w:r>
            <w:r>
              <w:rPr>
                <w:noProof/>
                <w:webHidden/>
              </w:rPr>
            </w:r>
            <w:r>
              <w:rPr>
                <w:noProof/>
                <w:webHidden/>
              </w:rPr>
              <w:fldChar w:fldCharType="separate"/>
            </w:r>
            <w:r>
              <w:rPr>
                <w:noProof/>
                <w:webHidden/>
              </w:rPr>
              <w:t>16</w:t>
            </w:r>
            <w:r>
              <w:rPr>
                <w:noProof/>
                <w:webHidden/>
              </w:rPr>
              <w:fldChar w:fldCharType="end"/>
            </w:r>
          </w:hyperlink>
        </w:p>
        <w:p w14:paraId="0B45E2EB" w14:textId="7595B36C" w:rsidR="00A37052" w:rsidRDefault="00A37052">
          <w:r>
            <w:rPr>
              <w:b/>
              <w:bCs/>
              <w:noProof/>
            </w:rPr>
            <w:fldChar w:fldCharType="end"/>
          </w:r>
        </w:p>
      </w:sdtContent>
    </w:sdt>
    <w:p w14:paraId="21F32C18" w14:textId="77777777" w:rsidR="00D80C27" w:rsidRDefault="00D80C27">
      <w:pPr>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13D41993" w14:textId="77777777" w:rsidR="00D80C27" w:rsidRPr="00D80C27" w:rsidRDefault="00D80C27" w:rsidP="00D80C27">
      <w:pPr>
        <w:pStyle w:val="Heading1"/>
        <w:spacing w:line="360" w:lineRule="auto"/>
        <w:jc w:val="both"/>
        <w:rPr>
          <w:rFonts w:ascii="Arial" w:eastAsia="Times New Roman" w:hAnsi="Arial" w:cs="Arial"/>
          <w:sz w:val="24"/>
          <w:szCs w:val="24"/>
          <w:lang w:eastAsia="en-GB"/>
        </w:rPr>
      </w:pPr>
      <w:bookmarkStart w:id="5" w:name="_Toc227269225"/>
      <w:r w:rsidRPr="00D80C27">
        <w:rPr>
          <w:rFonts w:ascii="Arial" w:eastAsia="Times New Roman" w:hAnsi="Arial" w:cs="Arial"/>
          <w:sz w:val="24"/>
          <w:szCs w:val="24"/>
          <w:lang w:eastAsia="en-GB"/>
        </w:rPr>
        <w:lastRenderedPageBreak/>
        <w:t>1. Introduction</w:t>
      </w:r>
      <w:bookmarkEnd w:id="5"/>
    </w:p>
    <w:p w14:paraId="4AE5DD97" w14:textId="77777777" w:rsidR="00D80C27" w:rsidRPr="00D80C27" w:rsidRDefault="00D80C27" w:rsidP="00D80C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D80C27">
        <w:rPr>
          <w:rFonts w:ascii="Arial" w:eastAsia="Times New Roman" w:hAnsi="Arial" w:cs="Arial"/>
          <w:kern w:val="0"/>
          <w:sz w:val="22"/>
          <w:szCs w:val="22"/>
          <w:lang w:eastAsia="en-GB"/>
          <w14:ligatures w14:val="none"/>
        </w:rPr>
        <w:t>Human Resource Management (HRM) plays a vital strategic role in organisations by ensuring that workforce capabilities align with organisational goals and objectives. In labour-intensive sectors such as hospitality and tourism, effective HRM practices are particularly important because employee performance directly influences service quality and customer satisfaction (Leatherbarrow and Fletcher, 2018).</w:t>
      </w:r>
    </w:p>
    <w:p w14:paraId="6F72C4BE" w14:textId="05BB0986" w:rsidR="00D80C27" w:rsidRPr="00D80C27" w:rsidRDefault="00D80C27" w:rsidP="00D80C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D80C27">
        <w:rPr>
          <w:rFonts w:ascii="Arial" w:eastAsia="Times New Roman" w:hAnsi="Arial" w:cs="Arial"/>
          <w:kern w:val="0"/>
          <w:sz w:val="22"/>
          <w:szCs w:val="22"/>
          <w:lang w:eastAsia="en-GB"/>
          <w14:ligatures w14:val="none"/>
        </w:rPr>
        <w:t>Recent technological developments have significantly transformed HR practices. Artificial intelligence, digital platforms</w:t>
      </w:r>
      <w:r>
        <w:rPr>
          <w:rFonts w:ascii="Arial" w:eastAsia="Times New Roman" w:hAnsi="Arial" w:cs="Arial"/>
          <w:kern w:val="0"/>
          <w:sz w:val="22"/>
          <w:szCs w:val="22"/>
          <w:lang w:eastAsia="en-GB"/>
          <w14:ligatures w14:val="none"/>
        </w:rPr>
        <w:t>, and data analytics enable organisations to automate HR processes, analyse workforce data,</w:t>
      </w:r>
      <w:r w:rsidRPr="00D80C27">
        <w:rPr>
          <w:rFonts w:ascii="Arial" w:eastAsia="Times New Roman" w:hAnsi="Arial" w:cs="Arial"/>
          <w:kern w:val="0"/>
          <w:sz w:val="22"/>
          <w:szCs w:val="22"/>
          <w:lang w:eastAsia="en-GB"/>
          <w14:ligatures w14:val="none"/>
        </w:rPr>
        <w:t xml:space="preserve"> and develop evidence-based HR strategies (Henderson, 2019; Armstrong, 2023). People analytics</w:t>
      </w:r>
      <w:r w:rsidR="00C40736" w:rsidRPr="00D80C27">
        <w:rPr>
          <w:rFonts w:ascii="Arial" w:eastAsia="Times New Roman" w:hAnsi="Arial" w:cs="Arial"/>
          <w:kern w:val="0"/>
          <w:sz w:val="22"/>
          <w:szCs w:val="22"/>
          <w:lang w:eastAsia="en-GB"/>
          <w14:ligatures w14:val="none"/>
        </w:rPr>
        <w:t xml:space="preserve"> allows</w:t>
      </w:r>
      <w:r w:rsidRPr="00D80C27">
        <w:rPr>
          <w:rFonts w:ascii="Arial" w:eastAsia="Times New Roman" w:hAnsi="Arial" w:cs="Arial"/>
          <w:kern w:val="0"/>
          <w:sz w:val="22"/>
          <w:szCs w:val="22"/>
          <w:lang w:eastAsia="en-GB"/>
          <w14:ligatures w14:val="none"/>
        </w:rPr>
        <w:t xml:space="preserve"> organisations to move from descriptive reporting towards predictive workforce planning and more strategic decision-making (CIPD, 2018; Marler and Boudreau, 2017).</w:t>
      </w:r>
    </w:p>
    <w:p w14:paraId="20F29387" w14:textId="77777777" w:rsidR="00D80C27" w:rsidRPr="00D80C27" w:rsidRDefault="00D80C27" w:rsidP="00D80C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D80C27">
        <w:rPr>
          <w:rFonts w:ascii="Arial" w:eastAsia="Times New Roman" w:hAnsi="Arial" w:cs="Arial"/>
          <w:kern w:val="0"/>
          <w:sz w:val="22"/>
          <w:szCs w:val="22"/>
          <w:lang w:eastAsia="en-GB"/>
          <w14:ligatures w14:val="none"/>
        </w:rPr>
        <w:t>However, it would be overly simplistic to assume that technology alone improves HR outcomes. Stone et al. (2015) argue that digital systems can increase efficiency and insight, but they do not replace the need for managerial judgement, communication and trust. This is particularly relevant in hospitality and cruise operations, where employee experience and interpersonal service are central to organisational success.</w:t>
      </w:r>
    </w:p>
    <w:p w14:paraId="1512681B" w14:textId="77777777" w:rsidR="00D80C27" w:rsidRPr="00D80C27" w:rsidRDefault="00D80C27" w:rsidP="00D80C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D80C27">
        <w:rPr>
          <w:rFonts w:ascii="Arial" w:eastAsia="Times New Roman" w:hAnsi="Arial" w:cs="Arial"/>
          <w:kern w:val="0"/>
          <w:sz w:val="22"/>
          <w:szCs w:val="22"/>
          <w:lang w:eastAsia="en-GB"/>
          <w14:ligatures w14:val="none"/>
        </w:rPr>
        <w:t>The cruise industry faces unique HR challenges due to its multinational workforce, remote working environments and high service expectations. Employees often work long contracts at sea, which can lead to fatigue, disengagement and high turnover rates (Baum, 2015; Baum et al., 2020). Consequently, organisations must implement innovative HR strategies that enhance employee engagement and provide continuous development opportunities.</w:t>
      </w:r>
    </w:p>
    <w:p w14:paraId="7E3080E9" w14:textId="77777777" w:rsidR="00D80C27" w:rsidRPr="00D80C27" w:rsidRDefault="00D80C27" w:rsidP="00D80C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D80C27">
        <w:rPr>
          <w:rFonts w:ascii="Arial" w:eastAsia="Times New Roman" w:hAnsi="Arial" w:cs="Arial"/>
          <w:kern w:val="0"/>
          <w:sz w:val="22"/>
          <w:szCs w:val="22"/>
          <w:lang w:eastAsia="en-GB"/>
          <w14:ligatures w14:val="none"/>
        </w:rPr>
        <w:t>This report evaluates HR technology investment opportunities for Celebrity Cruises. Two key HR priority areas are examined:</w:t>
      </w:r>
    </w:p>
    <w:p w14:paraId="25CE7830" w14:textId="77777777" w:rsidR="00D80C27" w:rsidRPr="00D80C27" w:rsidRDefault="00D80C27" w:rsidP="00D80C27">
      <w:pPr>
        <w:numPr>
          <w:ilvl w:val="0"/>
          <w:numId w:val="2"/>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D80C27">
        <w:rPr>
          <w:rFonts w:ascii="Arial" w:eastAsia="Times New Roman" w:hAnsi="Arial" w:cs="Arial"/>
          <w:kern w:val="0"/>
          <w:sz w:val="22"/>
          <w:szCs w:val="22"/>
          <w:lang w:eastAsia="en-GB"/>
          <w14:ligatures w14:val="none"/>
        </w:rPr>
        <w:t xml:space="preserve">Employee Engagement </w:t>
      </w:r>
    </w:p>
    <w:p w14:paraId="7CE5818E" w14:textId="77777777" w:rsidR="00D80C27" w:rsidRPr="00D80C27" w:rsidRDefault="00D80C27" w:rsidP="00D80C27">
      <w:pPr>
        <w:numPr>
          <w:ilvl w:val="0"/>
          <w:numId w:val="2"/>
        </w:num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D80C27">
        <w:rPr>
          <w:rFonts w:ascii="Arial" w:eastAsia="Times New Roman" w:hAnsi="Arial" w:cs="Arial"/>
          <w:kern w:val="0"/>
          <w:sz w:val="22"/>
          <w:szCs w:val="22"/>
          <w:lang w:eastAsia="en-GB"/>
          <w14:ligatures w14:val="none"/>
        </w:rPr>
        <w:t xml:space="preserve">Learning and Development </w:t>
      </w:r>
    </w:p>
    <w:p w14:paraId="0BA826AA" w14:textId="68BDC3F6" w:rsidR="00D80C27" w:rsidRPr="00D80C27" w:rsidRDefault="00D80C27" w:rsidP="00D80C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D80C27">
        <w:rPr>
          <w:rFonts w:ascii="Arial" w:eastAsia="Times New Roman" w:hAnsi="Arial" w:cs="Arial"/>
          <w:kern w:val="0"/>
          <w:sz w:val="22"/>
          <w:szCs w:val="22"/>
          <w:lang w:eastAsia="en-GB"/>
          <w14:ligatures w14:val="none"/>
        </w:rPr>
        <w:t>For each area, the report analyses relevant HR technology platforms and evaluates how these technologies can create organisational value, provide competitive advantage and support sustainable business practices.</w:t>
      </w:r>
    </w:p>
    <w:p w14:paraId="62E2A4C7" w14:textId="47E6F43D" w:rsidR="0037265A" w:rsidRPr="0037265A" w:rsidRDefault="0037265A" w:rsidP="0037265A">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4153C18F" w14:textId="5973BB58" w:rsidR="00C40736" w:rsidRPr="00C40736" w:rsidRDefault="00C40736" w:rsidP="00C40736">
      <w:pPr>
        <w:pStyle w:val="Heading1"/>
        <w:spacing w:line="360" w:lineRule="auto"/>
        <w:jc w:val="both"/>
        <w:rPr>
          <w:rFonts w:ascii="Arial" w:eastAsia="Times New Roman" w:hAnsi="Arial" w:cs="Arial"/>
          <w:sz w:val="24"/>
          <w:szCs w:val="24"/>
          <w:lang w:eastAsia="en-GB"/>
        </w:rPr>
      </w:pPr>
      <w:bookmarkStart w:id="6" w:name="_Toc227269226"/>
      <w:r w:rsidRPr="00C40736">
        <w:rPr>
          <w:rFonts w:ascii="Arial" w:eastAsia="Times New Roman" w:hAnsi="Arial" w:cs="Arial"/>
          <w:sz w:val="24"/>
          <w:szCs w:val="24"/>
          <w:lang w:eastAsia="en-GB"/>
        </w:rPr>
        <w:lastRenderedPageBreak/>
        <w:t>2. Organisational Context</w:t>
      </w:r>
      <w:bookmarkEnd w:id="6"/>
    </w:p>
    <w:p w14:paraId="4535573A" w14:textId="520C0DA4" w:rsidR="00C40736" w:rsidRPr="00C40736" w:rsidRDefault="00C40736" w:rsidP="00C4073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40736">
        <w:rPr>
          <w:rFonts w:ascii="Arial" w:eastAsia="Times New Roman" w:hAnsi="Arial" w:cs="Arial"/>
          <w:kern w:val="0"/>
          <w:sz w:val="22"/>
          <w:szCs w:val="22"/>
          <w:lang w:eastAsia="en-GB"/>
          <w14:ligatures w14:val="none"/>
        </w:rPr>
        <w:t xml:space="preserve">Celebrity Cruises is a premium cruise line operating globally </w:t>
      </w:r>
      <w:r>
        <w:rPr>
          <w:rFonts w:ascii="Arial" w:eastAsia="Times New Roman" w:hAnsi="Arial" w:cs="Arial"/>
          <w:kern w:val="0"/>
          <w:sz w:val="22"/>
          <w:szCs w:val="22"/>
          <w:lang w:eastAsia="en-GB"/>
          <w14:ligatures w14:val="none"/>
        </w:rPr>
        <w:t>and employing a large,</w:t>
      </w:r>
      <w:r w:rsidRPr="00C40736">
        <w:rPr>
          <w:rFonts w:ascii="Arial" w:eastAsia="Times New Roman" w:hAnsi="Arial" w:cs="Arial"/>
          <w:kern w:val="0"/>
          <w:sz w:val="22"/>
          <w:szCs w:val="22"/>
          <w:lang w:eastAsia="en-GB"/>
          <w14:ligatures w14:val="none"/>
        </w:rPr>
        <w:t xml:space="preserve"> diverse workforce. The company is part of Royal Caribbean Group, one of the largest cruise operators in the world.</w:t>
      </w:r>
    </w:p>
    <w:p w14:paraId="2A602277" w14:textId="77777777" w:rsidR="00C40736" w:rsidRPr="00C40736" w:rsidRDefault="00C40736" w:rsidP="00C4073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40736">
        <w:rPr>
          <w:rFonts w:ascii="Arial" w:eastAsia="Times New Roman" w:hAnsi="Arial" w:cs="Arial"/>
          <w:kern w:val="0"/>
          <w:sz w:val="22"/>
          <w:szCs w:val="22"/>
          <w:lang w:eastAsia="en-GB"/>
          <w14:ligatures w14:val="none"/>
        </w:rPr>
        <w:t>Cruise companies operate in a highly competitive tourism market alongside organisations such as Carnival Corporation and MSC Cruises. In this environment, employee performance and service quality are key differentiating factors. As Baum (2015) notes, hospitality and cruise organisations depend heavily on labour quality because customer experience is produced largely through employee interaction.</w:t>
      </w:r>
    </w:p>
    <w:p w14:paraId="4516F344" w14:textId="77777777" w:rsidR="00C40736" w:rsidRPr="00C40736" w:rsidRDefault="00C40736" w:rsidP="00C4073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40736">
        <w:rPr>
          <w:rFonts w:ascii="Arial" w:eastAsia="Times New Roman" w:hAnsi="Arial" w:cs="Arial"/>
          <w:kern w:val="0"/>
          <w:sz w:val="22"/>
          <w:szCs w:val="22"/>
          <w:lang w:eastAsia="en-GB"/>
          <w14:ligatures w14:val="none"/>
        </w:rPr>
        <w:t>The cruise workforce is also highly multicultural. This diversity can create strategic advantages, such as broader talent access and greater cultural adaptability, but it also introduces challenges relating to communication, leadership and employee voice (Tarique, Briscoe and Schuler, 2016; Hofstede, 2011). Inclusive leadership and cultural intelligence are therefore essential if diversity is to support, rather than undermine, organisational performance (Ang and Van Dyne, 2015; Shore, Cleveland and Sanchez, 2018).</w:t>
      </w:r>
    </w:p>
    <w:p w14:paraId="1C7F4ED9" w14:textId="33742B24" w:rsidR="00C40736" w:rsidRPr="00C40736" w:rsidRDefault="00C40736" w:rsidP="00C4073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40736">
        <w:rPr>
          <w:rFonts w:ascii="Arial" w:eastAsia="Times New Roman" w:hAnsi="Arial" w:cs="Arial"/>
          <w:kern w:val="0"/>
          <w:sz w:val="22"/>
          <w:szCs w:val="22"/>
          <w:lang w:eastAsia="en-GB"/>
          <w14:ligatures w14:val="none"/>
        </w:rPr>
        <w:t>The sector continues to face workforce challenges</w:t>
      </w:r>
      <w:r>
        <w:rPr>
          <w:rFonts w:ascii="Arial" w:eastAsia="Times New Roman" w:hAnsi="Arial" w:cs="Arial"/>
          <w:kern w:val="0"/>
          <w:sz w:val="22"/>
          <w:szCs w:val="22"/>
          <w:lang w:eastAsia="en-GB"/>
          <w14:ligatures w14:val="none"/>
        </w:rPr>
        <w:t>,</w:t>
      </w:r>
      <w:r w:rsidRPr="00C40736">
        <w:rPr>
          <w:rFonts w:ascii="Arial" w:eastAsia="Times New Roman" w:hAnsi="Arial" w:cs="Arial"/>
          <w:kern w:val="0"/>
          <w:sz w:val="22"/>
          <w:szCs w:val="22"/>
          <w:lang w:eastAsia="en-GB"/>
          <w14:ligatures w14:val="none"/>
        </w:rPr>
        <w:t xml:space="preserve"> including labour shortages, employee turnover and increasing employee expectations regarding career development and workplace wellbeing (World Economic Forum, 2024; Deloitte, 2024). These challenges became more visible following the COVID-19 pandemic, which intensified labour market pressures and changed expectations around flexibility and work-life balance (Baum et al., 2020; Vyas, 2022).</w:t>
      </w:r>
    </w:p>
    <w:p w14:paraId="5B0097D3" w14:textId="6194F0DF" w:rsidR="00C40736" w:rsidRPr="00C40736" w:rsidRDefault="00C40736" w:rsidP="00C4073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40736">
        <w:rPr>
          <w:rFonts w:ascii="Arial" w:eastAsia="Times New Roman" w:hAnsi="Arial" w:cs="Arial"/>
          <w:kern w:val="0"/>
          <w:sz w:val="22"/>
          <w:szCs w:val="22"/>
          <w:lang w:eastAsia="en-GB"/>
          <w14:ligatures w14:val="none"/>
        </w:rPr>
        <w:t>Hybrid work has emerged as a significant trend in many industries, but within cruise operations</w:t>
      </w:r>
      <w:r>
        <w:rPr>
          <w:rFonts w:ascii="Arial" w:eastAsia="Times New Roman" w:hAnsi="Arial" w:cs="Arial"/>
          <w:kern w:val="0"/>
          <w:sz w:val="22"/>
          <w:szCs w:val="22"/>
          <w:lang w:eastAsia="en-GB"/>
          <w14:ligatures w14:val="none"/>
        </w:rPr>
        <w:t>,</w:t>
      </w:r>
      <w:r w:rsidRPr="00C40736">
        <w:rPr>
          <w:rFonts w:ascii="Arial" w:eastAsia="Times New Roman" w:hAnsi="Arial" w:cs="Arial"/>
          <w:kern w:val="0"/>
          <w:sz w:val="22"/>
          <w:szCs w:val="22"/>
          <w:lang w:eastAsia="en-GB"/>
          <w14:ligatures w14:val="none"/>
        </w:rPr>
        <w:t xml:space="preserve"> its application is uneven. Mortensen (2021) argues that hybrid work must balance stakeholder commitments, talent needs and organisational culture. For Celebrity Cruises, shore-based roles may benefit from hybrid flexibility, but ship-based roles cannot, creating a structurally unequal employee experience. This may affect perceptions of fairness and organisational commitment if not managed carefully (Vyas, 2022).</w:t>
      </w:r>
    </w:p>
    <w:p w14:paraId="40CD4DF2" w14:textId="77777777" w:rsidR="00C40736" w:rsidRPr="00C40736" w:rsidRDefault="00C40736" w:rsidP="00C40736">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C40736">
        <w:rPr>
          <w:rFonts w:ascii="Arial" w:eastAsia="Times New Roman" w:hAnsi="Arial" w:cs="Arial"/>
          <w:kern w:val="0"/>
          <w:sz w:val="22"/>
          <w:szCs w:val="22"/>
          <w:lang w:eastAsia="en-GB"/>
          <w14:ligatures w14:val="none"/>
        </w:rPr>
        <w:t>As a result, HR technology at Celebrity Cruises should not be viewed only as an efficiency tool. It should be viewed as a strategic mechanism for supporting employee engagement, improving communication, strengthening development pathways and helping the organisation compete for talent in a demanding global labour market.</w:t>
      </w:r>
    </w:p>
    <w:p w14:paraId="666FF688" w14:textId="77777777" w:rsidR="00F11170" w:rsidRPr="00F11170" w:rsidRDefault="00F11170" w:rsidP="00F11170">
      <w:pPr>
        <w:spacing w:before="100" w:beforeAutospacing="1" w:after="100" w:afterAutospacing="1" w:line="360" w:lineRule="auto"/>
        <w:jc w:val="both"/>
        <w:rPr>
          <w:rFonts w:ascii="Arial" w:eastAsia="Times New Roman" w:hAnsi="Arial" w:cs="Arial"/>
          <w:kern w:val="0"/>
          <w:sz w:val="22"/>
          <w:szCs w:val="22"/>
          <w:lang w:eastAsia="en-GB"/>
          <w14:ligatures w14:val="none"/>
        </w:rPr>
      </w:pPr>
    </w:p>
    <w:p w14:paraId="7D794617" w14:textId="77777777" w:rsidR="00373B57" w:rsidRPr="00373B57" w:rsidRDefault="00373B57" w:rsidP="00373B57">
      <w:pPr>
        <w:pStyle w:val="Heading1"/>
        <w:spacing w:line="360" w:lineRule="auto"/>
        <w:jc w:val="both"/>
        <w:rPr>
          <w:rFonts w:ascii="Arial" w:eastAsia="Times New Roman" w:hAnsi="Arial" w:cs="Arial"/>
          <w:sz w:val="24"/>
          <w:szCs w:val="24"/>
          <w:lang w:eastAsia="en-GB"/>
        </w:rPr>
      </w:pPr>
      <w:bookmarkStart w:id="7" w:name="_Toc227269227"/>
      <w:r w:rsidRPr="00373B57">
        <w:rPr>
          <w:rFonts w:ascii="Arial" w:eastAsia="Times New Roman" w:hAnsi="Arial" w:cs="Arial"/>
          <w:sz w:val="24"/>
          <w:szCs w:val="24"/>
          <w:lang w:eastAsia="en-GB"/>
        </w:rPr>
        <w:lastRenderedPageBreak/>
        <w:t>3. Priority HR Area 1: Employee Engagement</w:t>
      </w:r>
      <w:bookmarkEnd w:id="7"/>
    </w:p>
    <w:p w14:paraId="3082E175" w14:textId="77777777" w:rsidR="00373B57" w:rsidRP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t>Employee engagement refers to the emotional commitment employees have towards their organisation and its goals (Armstrong, 2023). Engaged employees demonstrate higher levels of motivation, productivity and organisational loyalty.</w:t>
      </w:r>
    </w:p>
    <w:p w14:paraId="28101E25" w14:textId="0A8D4C0F" w:rsidR="00373B57" w:rsidRP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t xml:space="preserve">In </w:t>
      </w:r>
      <w:r>
        <w:rPr>
          <w:rFonts w:ascii="Arial" w:eastAsia="Times New Roman" w:hAnsi="Arial" w:cs="Arial"/>
          <w:kern w:val="0"/>
          <w:sz w:val="22"/>
          <w:szCs w:val="22"/>
          <w:lang w:eastAsia="en-GB"/>
          <w14:ligatures w14:val="none"/>
        </w:rPr>
        <w:t xml:space="preserve">the </w:t>
      </w:r>
      <w:r w:rsidRPr="00373B57">
        <w:rPr>
          <w:rFonts w:ascii="Arial" w:eastAsia="Times New Roman" w:hAnsi="Arial" w:cs="Arial"/>
          <w:kern w:val="0"/>
          <w:sz w:val="22"/>
          <w:szCs w:val="22"/>
          <w:lang w:eastAsia="en-GB"/>
          <w14:ligatures w14:val="none"/>
        </w:rPr>
        <w:t xml:space="preserve">hospitality and cruise industries, employee engagement is particularly important because </w:t>
      </w:r>
      <w:r>
        <w:rPr>
          <w:rFonts w:ascii="Arial" w:eastAsia="Times New Roman" w:hAnsi="Arial" w:cs="Arial"/>
          <w:kern w:val="0"/>
          <w:sz w:val="22"/>
          <w:szCs w:val="22"/>
          <w:lang w:eastAsia="en-GB"/>
          <w14:ligatures w14:val="none"/>
        </w:rPr>
        <w:t xml:space="preserve">the </w:t>
      </w:r>
      <w:r w:rsidRPr="00373B57">
        <w:rPr>
          <w:rFonts w:ascii="Arial" w:eastAsia="Times New Roman" w:hAnsi="Arial" w:cs="Arial"/>
          <w:kern w:val="0"/>
          <w:sz w:val="22"/>
          <w:szCs w:val="22"/>
          <w:lang w:eastAsia="en-GB"/>
          <w14:ligatures w14:val="none"/>
        </w:rPr>
        <w:t>staff directly influence guest experiences. Research suggests that organisations with highly engaged employees experience lower turnover rates, stronger customer outcomes and improved productivity (Gallup, 2024; CIPD, 2025).</w:t>
      </w:r>
    </w:p>
    <w:p w14:paraId="0D6146B7" w14:textId="77777777" w:rsidR="00373B57" w:rsidRP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t>Kahn (1990) provides a particularly useful framework by arguing that engagement depends on psychological meaningfulness, safety and availability. In cruise environments, these conditions may be difficult to sustain. Employees often experience long working hours, social isolation and limited opportunities for open communication with senior management. These factors can weaken morale and negatively affect performance.</w:t>
      </w:r>
    </w:p>
    <w:p w14:paraId="67E282B7" w14:textId="77777777" w:rsidR="00373B57" w:rsidRP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t>MacLeod and Clarke (2009) further argue that employee voice is a key driver of engagement. In Celebrity Cruises, employee voice mechanisms are especially important because multinational crews may face language barriers and power distance issues that limit participation in decision-making. If engagement systems are too formal or data-driven, they may capture responses without genuinely strengthening voice.</w:t>
      </w:r>
    </w:p>
    <w:p w14:paraId="77BD9512" w14:textId="77777777" w:rsidR="00373B57" w:rsidRP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t>Herzberg’s motivation theory also highlights that engagement is shaped by both hygiene factors and motivators. Improvements in scheduling, workload management and living conditions may reduce dissatisfaction, but they do not automatically create genuine engagement unless employees also feel recognised, trusted and able to progress (Herzberg, 1959; Herzberg, 1966). This distinction is important because technology may improve measurement and workflow efficiency, but it cannot independently create commitment.</w:t>
      </w:r>
    </w:p>
    <w:p w14:paraId="3F0CD7A3" w14:textId="25E1EC77" w:rsid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t>Therefore, employee engagement is a suitable priority area for technology investment, but any technological solution must support rather than replace human-centred management.</w:t>
      </w:r>
    </w:p>
    <w:p w14:paraId="54041AF0" w14:textId="77777777" w:rsidR="00A37052" w:rsidRDefault="00A37052" w:rsidP="00A37052">
      <w:pPr>
        <w:rPr>
          <w:rFonts w:ascii="Arial" w:eastAsia="Times New Roman" w:hAnsi="Arial" w:cs="Arial"/>
          <w:kern w:val="0"/>
          <w:sz w:val="22"/>
          <w:szCs w:val="22"/>
          <w:lang w:eastAsia="en-GB"/>
          <w14:ligatures w14:val="none"/>
        </w:rPr>
      </w:pPr>
    </w:p>
    <w:p w14:paraId="516D49CD" w14:textId="6F4F65DF" w:rsidR="00373B57" w:rsidRPr="00A37052" w:rsidRDefault="00373B57" w:rsidP="00A37052">
      <w:pPr>
        <w:pStyle w:val="Heading1"/>
        <w:spacing w:line="360" w:lineRule="auto"/>
        <w:jc w:val="both"/>
        <w:rPr>
          <w:rFonts w:ascii="Arial" w:eastAsia="Times New Roman" w:hAnsi="Arial" w:cs="Arial"/>
          <w:kern w:val="0"/>
          <w:sz w:val="24"/>
          <w:szCs w:val="24"/>
          <w:lang w:eastAsia="en-GB"/>
          <w14:ligatures w14:val="none"/>
        </w:rPr>
      </w:pPr>
      <w:bookmarkStart w:id="8" w:name="_Toc227269228"/>
      <w:r w:rsidRPr="00A37052">
        <w:rPr>
          <w:rFonts w:ascii="Arial" w:eastAsia="Times New Roman" w:hAnsi="Arial" w:cs="Arial"/>
          <w:sz w:val="24"/>
          <w:szCs w:val="24"/>
          <w:lang w:eastAsia="en-GB"/>
        </w:rPr>
        <w:t>4. Technology Solutions for Employee Engagement</w:t>
      </w:r>
      <w:bookmarkEnd w:id="8"/>
    </w:p>
    <w:p w14:paraId="68B51151" w14:textId="77777777" w:rsidR="00373B57" w:rsidRP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t>Several digital HR platforms provide sophisticated tools for measuring and improving employee engagement.</w:t>
      </w:r>
    </w:p>
    <w:p w14:paraId="05663416" w14:textId="688D0507" w:rsidR="00373B57" w:rsidRP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lastRenderedPageBreak/>
        <w:t xml:space="preserve">One widely used solution is Qualtrics </w:t>
      </w:r>
      <w:proofErr w:type="spellStart"/>
      <w:r w:rsidRPr="00373B57">
        <w:rPr>
          <w:rFonts w:ascii="Arial" w:eastAsia="Times New Roman" w:hAnsi="Arial" w:cs="Arial"/>
          <w:kern w:val="0"/>
          <w:sz w:val="22"/>
          <w:szCs w:val="22"/>
          <w:lang w:eastAsia="en-GB"/>
          <w14:ligatures w14:val="none"/>
        </w:rPr>
        <w:t>EmployeeXM</w:t>
      </w:r>
      <w:proofErr w:type="spellEnd"/>
      <w:r w:rsidRPr="00373B57">
        <w:rPr>
          <w:rFonts w:ascii="Arial" w:eastAsia="Times New Roman" w:hAnsi="Arial" w:cs="Arial"/>
          <w:kern w:val="0"/>
          <w:sz w:val="22"/>
          <w:szCs w:val="22"/>
          <w:lang w:eastAsia="en-GB"/>
          <w14:ligatures w14:val="none"/>
        </w:rPr>
        <w:t>, an AI-driven experience management platform that collects employee feedback through digital surveys and real-time analytics. The platform uses machine learning to identify patterns in employee sentiment and predict engagement risks. This can help HR managers move from reactive problem-solving to more proactive interventions (Qualtrics, 2024).</w:t>
      </w:r>
    </w:p>
    <w:p w14:paraId="3CE8D36F" w14:textId="77777777" w:rsidR="00373B57" w:rsidRP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t>Another engagement platform is Culture Amp, which provides continuous feedback tools, engagement surveys and benchmarking data. This enables organisations to compare engagement levels against wider benchmarks and identify trends across teams and locations (Culture Amp, 2024).</w:t>
      </w:r>
    </w:p>
    <w:p w14:paraId="4B041FF1" w14:textId="77777777" w:rsidR="00373B57" w:rsidRP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t>These technologies deliver significant value by enabling HR managers to monitor workforce sentiment continuously rather than relying on annual employee surveys. Real-time insights allow organisations to address workplace issues more quickly and improve organisational responsiveness. Marler and Boudreau (2017) argue that analytics can strengthen HR strategy when data is linked to business outcomes, such as retention or performance.</w:t>
      </w:r>
    </w:p>
    <w:p w14:paraId="784A397D" w14:textId="2F193D93" w:rsidR="00373B57" w:rsidRP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t xml:space="preserve">However, the use of big data in employee engagement also presents limitations. </w:t>
      </w:r>
      <w:proofErr w:type="spellStart"/>
      <w:r w:rsidRPr="00373B57">
        <w:rPr>
          <w:rFonts w:ascii="Arial" w:eastAsia="Times New Roman" w:hAnsi="Arial" w:cs="Arial"/>
          <w:kern w:val="0"/>
          <w:sz w:val="22"/>
          <w:szCs w:val="22"/>
          <w:lang w:eastAsia="en-GB"/>
          <w14:ligatures w14:val="none"/>
        </w:rPr>
        <w:t>Minbaeva</w:t>
      </w:r>
      <w:proofErr w:type="spellEnd"/>
      <w:r w:rsidRPr="00373B57">
        <w:rPr>
          <w:rFonts w:ascii="Arial" w:eastAsia="Times New Roman" w:hAnsi="Arial" w:cs="Arial"/>
          <w:kern w:val="0"/>
          <w:sz w:val="22"/>
          <w:szCs w:val="22"/>
          <w:lang w:eastAsia="en-GB"/>
          <w14:ligatures w14:val="none"/>
        </w:rPr>
        <w:t xml:space="preserve"> (2018) notes that analytics can generate competitive advantage, but only when organisations build credible systems and interpret the data carefully. If engagement becomes reduced to dashboards and scores, organisations risk neglecting the emotional and relational dimensions of work. This is particularly problematic </w:t>
      </w:r>
      <w:r w:rsidR="00564A27" w:rsidRPr="00373B57">
        <w:rPr>
          <w:rFonts w:ascii="Arial" w:eastAsia="Times New Roman" w:hAnsi="Arial" w:cs="Arial"/>
          <w:kern w:val="0"/>
          <w:sz w:val="22"/>
          <w:szCs w:val="22"/>
          <w:lang w:eastAsia="en-GB"/>
          <w14:ligatures w14:val="none"/>
        </w:rPr>
        <w:t>in-service</w:t>
      </w:r>
      <w:r w:rsidRPr="00373B57">
        <w:rPr>
          <w:rFonts w:ascii="Arial" w:eastAsia="Times New Roman" w:hAnsi="Arial" w:cs="Arial"/>
          <w:kern w:val="0"/>
          <w:sz w:val="22"/>
          <w:szCs w:val="22"/>
          <w:lang w:eastAsia="en-GB"/>
          <w14:ligatures w14:val="none"/>
        </w:rPr>
        <w:t xml:space="preserve"> industries, where motivation and trust are difficult to quantify.</w:t>
      </w:r>
    </w:p>
    <w:p w14:paraId="528C618D" w14:textId="77777777" w:rsidR="00373B57" w:rsidRP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t>There are also ethical concerns. CIPD (2023) highlights that people analytics can improve decision-making, but it may also undermine trust if employees perceive engagement systems as surveillance. Therefore, engagement platforms should be used to support dialogue and action, not simply to collect data.</w:t>
      </w:r>
    </w:p>
    <w:p w14:paraId="6E8742D9" w14:textId="0506D85B" w:rsidR="00373B57" w:rsidRPr="00373B57" w:rsidRDefault="00373B57" w:rsidP="00373B5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373B57">
        <w:rPr>
          <w:rFonts w:ascii="Arial" w:eastAsia="Times New Roman" w:hAnsi="Arial" w:cs="Arial"/>
          <w:kern w:val="0"/>
          <w:sz w:val="22"/>
          <w:szCs w:val="22"/>
          <w:lang w:eastAsia="en-GB"/>
          <w14:ligatures w14:val="none"/>
        </w:rPr>
        <w:t xml:space="preserve">Overall, Qualtrics </w:t>
      </w:r>
      <w:proofErr w:type="spellStart"/>
      <w:r w:rsidRPr="00373B57">
        <w:rPr>
          <w:rFonts w:ascii="Arial" w:eastAsia="Times New Roman" w:hAnsi="Arial" w:cs="Arial"/>
          <w:kern w:val="0"/>
          <w:sz w:val="22"/>
          <w:szCs w:val="22"/>
          <w:lang w:eastAsia="en-GB"/>
          <w14:ligatures w14:val="none"/>
        </w:rPr>
        <w:t>EmployeeXM</w:t>
      </w:r>
      <w:proofErr w:type="spellEnd"/>
      <w:r w:rsidRPr="00373B57">
        <w:rPr>
          <w:rFonts w:ascii="Arial" w:eastAsia="Times New Roman" w:hAnsi="Arial" w:cs="Arial"/>
          <w:kern w:val="0"/>
          <w:sz w:val="22"/>
          <w:szCs w:val="22"/>
          <w:lang w:eastAsia="en-GB"/>
          <w14:ligatures w14:val="none"/>
        </w:rPr>
        <w:t xml:space="preserve"> offers the strongest strategic fit for Celebrity Cruises because of its predictive analytics and ability to support large, dispersed workforces. Culture Amp remains a strong alternative, particularly for benchmarking and employee voice, but it may be less comprehensive in large-scale experience management.</w:t>
      </w:r>
    </w:p>
    <w:p w14:paraId="145ADE5A" w14:textId="77777777" w:rsidR="00564A27" w:rsidRPr="00564A27" w:rsidRDefault="00564A27" w:rsidP="00564A27">
      <w:pPr>
        <w:pStyle w:val="Heading1"/>
        <w:spacing w:line="360" w:lineRule="auto"/>
        <w:jc w:val="both"/>
        <w:rPr>
          <w:rFonts w:ascii="Arial" w:eastAsia="Times New Roman" w:hAnsi="Arial" w:cs="Arial"/>
          <w:sz w:val="24"/>
          <w:szCs w:val="24"/>
          <w:lang w:eastAsia="en-GB"/>
        </w:rPr>
      </w:pPr>
      <w:bookmarkStart w:id="9" w:name="_Toc227269229"/>
      <w:r w:rsidRPr="00564A27">
        <w:rPr>
          <w:rFonts w:ascii="Arial" w:eastAsia="Times New Roman" w:hAnsi="Arial" w:cs="Arial"/>
          <w:sz w:val="24"/>
          <w:szCs w:val="24"/>
          <w:lang w:eastAsia="en-GB"/>
        </w:rPr>
        <w:t>5. Priority HR Area 2: Learning and Development</w:t>
      </w:r>
      <w:bookmarkEnd w:id="9"/>
    </w:p>
    <w:p w14:paraId="7D10E348" w14:textId="77777777" w:rsidR="00564A27" w:rsidRPr="00564A27" w:rsidRDefault="00564A27" w:rsidP="00564A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64A27">
        <w:rPr>
          <w:rFonts w:ascii="Arial" w:eastAsia="Times New Roman" w:hAnsi="Arial" w:cs="Arial"/>
          <w:kern w:val="0"/>
          <w:sz w:val="22"/>
          <w:szCs w:val="22"/>
          <w:lang w:eastAsia="en-GB"/>
          <w14:ligatures w14:val="none"/>
        </w:rPr>
        <w:t xml:space="preserve">Learning and Development (L&amp;D) is another critical HR priority area for organisations operating in the hospitality sector. Continuous training is essential because employees must </w:t>
      </w:r>
      <w:r w:rsidRPr="00564A27">
        <w:rPr>
          <w:rFonts w:ascii="Arial" w:eastAsia="Times New Roman" w:hAnsi="Arial" w:cs="Arial"/>
          <w:kern w:val="0"/>
          <w:sz w:val="22"/>
          <w:szCs w:val="22"/>
          <w:lang w:eastAsia="en-GB"/>
          <w14:ligatures w14:val="none"/>
        </w:rPr>
        <w:lastRenderedPageBreak/>
        <w:t>maintain high service standards while adapting to new technologies, safety regulations and customer expectations (Gold et al., 2013).</w:t>
      </w:r>
    </w:p>
    <w:p w14:paraId="0BEC3107" w14:textId="77777777" w:rsidR="00564A27" w:rsidRPr="00564A27" w:rsidRDefault="00564A27" w:rsidP="00564A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64A27">
        <w:rPr>
          <w:rFonts w:ascii="Arial" w:eastAsia="Times New Roman" w:hAnsi="Arial" w:cs="Arial"/>
          <w:kern w:val="0"/>
          <w:sz w:val="22"/>
          <w:szCs w:val="22"/>
          <w:lang w:eastAsia="en-GB"/>
          <w14:ligatures w14:val="none"/>
        </w:rPr>
        <w:t>Effective learning programmes support organisational performance by improving employee skills, increasing productivity and encouraging career progression. According to Beardwell and Claydon (2017), organisations that invest in employee development are more likely to retain talented staff and build strong organisational cultures. This is particularly important in cruise operations, where training is linked not only to service quality but also to compliance and safety.</w:t>
      </w:r>
    </w:p>
    <w:p w14:paraId="7F21945C" w14:textId="77777777" w:rsidR="00564A27" w:rsidRPr="00564A27" w:rsidRDefault="00564A27" w:rsidP="00564A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64A27">
        <w:rPr>
          <w:rFonts w:ascii="Arial" w:eastAsia="Times New Roman" w:hAnsi="Arial" w:cs="Arial"/>
          <w:kern w:val="0"/>
          <w:sz w:val="22"/>
          <w:szCs w:val="22"/>
          <w:lang w:eastAsia="en-GB"/>
          <w14:ligatures w14:val="none"/>
        </w:rPr>
        <w:t>Human Capital Theory also supports investment in learning by suggesting that employee skills development enhances organisational productivity and long-term competitiveness (Becker, 1993). In hospitality settings, development opportunities can also strengthen the psychological contract by signalling that the organisation values employee growth (Rousseau, 1995).</w:t>
      </w:r>
    </w:p>
    <w:p w14:paraId="46457DD0" w14:textId="77777777" w:rsidR="00564A27" w:rsidRPr="00564A27" w:rsidRDefault="00564A27" w:rsidP="00564A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64A27">
        <w:rPr>
          <w:rFonts w:ascii="Arial" w:eastAsia="Times New Roman" w:hAnsi="Arial" w:cs="Arial"/>
          <w:kern w:val="0"/>
          <w:sz w:val="22"/>
          <w:szCs w:val="22"/>
          <w:lang w:eastAsia="en-GB"/>
          <w14:ligatures w14:val="none"/>
        </w:rPr>
        <w:t>In the cruise industry, training requirements are extensive. Employees must complete safety training, customer service training and technical training related to their specific roles. Delivering these programmes across a geographically dispersed workforce presents logistical challenges. Traditional classroom-based approaches are often costly, difficult to coordinate and less flexible for operational staff.</w:t>
      </w:r>
    </w:p>
    <w:p w14:paraId="72F88015" w14:textId="0F5B1B08" w:rsidR="00564A27" w:rsidRDefault="00564A27" w:rsidP="00564A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64A27">
        <w:rPr>
          <w:rFonts w:ascii="Arial" w:eastAsia="Times New Roman" w:hAnsi="Arial" w:cs="Arial"/>
          <w:kern w:val="0"/>
          <w:sz w:val="22"/>
          <w:szCs w:val="22"/>
          <w:lang w:eastAsia="en-GB"/>
          <w14:ligatures w14:val="none"/>
        </w:rPr>
        <w:t>Digital learning technologies offer a practical solution by enabling organisations to deliver training programmes through online platforms accessible from anywhere. However, while digital learning improves access and consistency, it must still be supported by managerial encouragement and a culture that values learning.</w:t>
      </w:r>
    </w:p>
    <w:p w14:paraId="0D011233" w14:textId="4524FD55" w:rsidR="00564A27" w:rsidRPr="00A37052" w:rsidRDefault="00564A27" w:rsidP="00A37052">
      <w:pPr>
        <w:pStyle w:val="Heading1"/>
        <w:spacing w:line="360" w:lineRule="auto"/>
        <w:jc w:val="both"/>
        <w:rPr>
          <w:rFonts w:ascii="Arial" w:eastAsia="Times New Roman" w:hAnsi="Arial" w:cs="Arial"/>
          <w:kern w:val="0"/>
          <w:sz w:val="24"/>
          <w:szCs w:val="24"/>
          <w:lang w:eastAsia="en-GB"/>
          <w14:ligatures w14:val="none"/>
        </w:rPr>
      </w:pPr>
      <w:bookmarkStart w:id="10" w:name="_Toc227269230"/>
      <w:r w:rsidRPr="00A37052">
        <w:rPr>
          <w:rFonts w:ascii="Arial" w:eastAsia="Times New Roman" w:hAnsi="Arial" w:cs="Arial"/>
          <w:sz w:val="24"/>
          <w:szCs w:val="24"/>
          <w:lang w:eastAsia="en-GB"/>
        </w:rPr>
        <w:t>6. Technology Solutions for Learning and Development</w:t>
      </w:r>
      <w:bookmarkEnd w:id="10"/>
    </w:p>
    <w:p w14:paraId="7D23EE37" w14:textId="178339CF" w:rsidR="00564A27" w:rsidRPr="00564A27" w:rsidRDefault="00564A27" w:rsidP="00564A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64A27">
        <w:rPr>
          <w:rFonts w:ascii="Arial" w:eastAsia="Times New Roman" w:hAnsi="Arial" w:cs="Arial"/>
          <w:kern w:val="0"/>
          <w:sz w:val="22"/>
          <w:szCs w:val="22"/>
          <w:lang w:eastAsia="en-GB"/>
          <w14:ligatures w14:val="none"/>
        </w:rPr>
        <w:t xml:space="preserve">One advanced learning platform is Cornerstone </w:t>
      </w:r>
      <w:r w:rsidR="004C3F12">
        <w:rPr>
          <w:rFonts w:ascii="Arial" w:eastAsia="Times New Roman" w:hAnsi="Arial" w:cs="Arial"/>
          <w:kern w:val="0"/>
          <w:sz w:val="22"/>
          <w:szCs w:val="22"/>
          <w:lang w:eastAsia="en-GB"/>
          <w14:ligatures w14:val="none"/>
        </w:rPr>
        <w:t>O</w:t>
      </w:r>
      <w:r w:rsidRPr="00564A27">
        <w:rPr>
          <w:rFonts w:ascii="Arial" w:eastAsia="Times New Roman" w:hAnsi="Arial" w:cs="Arial"/>
          <w:kern w:val="0"/>
          <w:sz w:val="22"/>
          <w:szCs w:val="22"/>
          <w:lang w:eastAsia="en-GB"/>
          <w14:ligatures w14:val="none"/>
        </w:rPr>
        <w:t>nDemand, a cloud-based talent management system that provides training management, performance tracking and career development tools. The platform uses AI to recommend training courses based on employee skills and career goals, which can help create more personalised learning pathways (Cornerstone OnDemand, 2024).</w:t>
      </w:r>
    </w:p>
    <w:p w14:paraId="66769CF4" w14:textId="77777777" w:rsidR="00564A27" w:rsidRPr="00564A27" w:rsidRDefault="00564A27" w:rsidP="00564A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64A27">
        <w:rPr>
          <w:rFonts w:ascii="Arial" w:eastAsia="Times New Roman" w:hAnsi="Arial" w:cs="Arial"/>
          <w:kern w:val="0"/>
          <w:sz w:val="22"/>
          <w:szCs w:val="22"/>
          <w:lang w:eastAsia="en-GB"/>
          <w14:ligatures w14:val="none"/>
        </w:rPr>
        <w:t>Another learning platform is Degreed, which focuses on skills-based learning and professional development. Degreed aggregates learning content from multiple sources and enables employees to track their learning progress and skill development (Degreed, 2024).</w:t>
      </w:r>
    </w:p>
    <w:p w14:paraId="6F7028E9" w14:textId="77777777" w:rsidR="00564A27" w:rsidRPr="00564A27" w:rsidRDefault="00564A27" w:rsidP="00564A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64A27">
        <w:rPr>
          <w:rFonts w:ascii="Arial" w:eastAsia="Times New Roman" w:hAnsi="Arial" w:cs="Arial"/>
          <w:kern w:val="0"/>
          <w:sz w:val="22"/>
          <w:szCs w:val="22"/>
          <w:lang w:eastAsia="en-GB"/>
          <w14:ligatures w14:val="none"/>
        </w:rPr>
        <w:lastRenderedPageBreak/>
        <w:t>These platforms provide several organisational benefits. First, digital learning systems allow employees to access training materials anytime and anywhere, which is particularly useful for cruise employees working onboard ships. Second, AI-driven learning platforms provide personalised recommendations that align employee development with organisational skills requirements. This helps organisations build a more capable and adaptable workforce.</w:t>
      </w:r>
    </w:p>
    <w:p w14:paraId="3CDE5E8B" w14:textId="77777777" w:rsidR="00564A27" w:rsidRPr="00564A27" w:rsidRDefault="00564A27" w:rsidP="00564A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64A27">
        <w:rPr>
          <w:rFonts w:ascii="Arial" w:eastAsia="Times New Roman" w:hAnsi="Arial" w:cs="Arial"/>
          <w:kern w:val="0"/>
          <w:sz w:val="22"/>
          <w:szCs w:val="22"/>
          <w:lang w:eastAsia="en-GB"/>
          <w14:ligatures w14:val="none"/>
        </w:rPr>
        <w:t>However, the benefits of digital learning should not be overstated. Ramachandran et al. (2022) argue that AI can support skill development and personalised learning, but the quality of outcomes depends on organisational implementation and employee uptake. If employees see digital learning as compliance-driven rather than developmental, engagement with the platform may remain low.</w:t>
      </w:r>
    </w:p>
    <w:p w14:paraId="39DDC38D" w14:textId="77777777" w:rsidR="00564A27" w:rsidRPr="00564A27" w:rsidRDefault="00564A27" w:rsidP="00564A27">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64A27">
        <w:rPr>
          <w:rFonts w:ascii="Arial" w:eastAsia="Times New Roman" w:hAnsi="Arial" w:cs="Arial"/>
          <w:kern w:val="0"/>
          <w:sz w:val="22"/>
          <w:szCs w:val="22"/>
          <w:lang w:eastAsia="en-GB"/>
          <w14:ligatures w14:val="none"/>
        </w:rPr>
        <w:t>In addition, Cornerstone OnDemand offers a broader enterprise learning infrastructure, while Degreed is stronger in continuous and self-directed development. For Celebrity Cruises, which must balance compliance training with development, Cornerstone appears to offer the more suitable strategic fit. Degreed could still add value, but it may work better as a complementary platform rather than the primary system.</w:t>
      </w:r>
    </w:p>
    <w:p w14:paraId="64D44BB0" w14:textId="18602A18" w:rsidR="00FF021A" w:rsidRPr="00FF021A" w:rsidRDefault="00564A27" w:rsidP="00F11170">
      <w:pPr>
        <w:spacing w:before="100" w:beforeAutospacing="1" w:after="100" w:afterAutospacing="1" w:line="360" w:lineRule="auto"/>
        <w:jc w:val="both"/>
        <w:rPr>
          <w:rFonts w:ascii="Arial" w:eastAsia="Times New Roman" w:hAnsi="Arial" w:cs="Arial"/>
          <w:kern w:val="0"/>
          <w:sz w:val="22"/>
          <w:szCs w:val="22"/>
          <w:lang w:eastAsia="en-GB"/>
          <w14:ligatures w14:val="none"/>
        </w:rPr>
      </w:pPr>
      <w:r w:rsidRPr="00564A27">
        <w:rPr>
          <w:rFonts w:ascii="Arial" w:eastAsia="Times New Roman" w:hAnsi="Arial" w:cs="Arial"/>
          <w:kern w:val="0"/>
          <w:sz w:val="22"/>
          <w:szCs w:val="22"/>
          <w:lang w:eastAsia="en-GB"/>
          <w14:ligatures w14:val="none"/>
        </w:rPr>
        <w:t>From a sustainability perspective, digital training platforms reduce the need for physical training events, printed materials and travel, thereby supporting environmentally sustainable business practices.</w:t>
      </w:r>
    </w:p>
    <w:p w14:paraId="212C3F90" w14:textId="398F2C4A" w:rsidR="00C45F0A" w:rsidRDefault="004C3F12" w:rsidP="00C45F0A">
      <w:pPr>
        <w:pStyle w:val="Heading1"/>
        <w:spacing w:line="360" w:lineRule="auto"/>
        <w:jc w:val="both"/>
        <w:rPr>
          <w:rFonts w:ascii="Arial" w:hAnsi="Arial" w:cs="Arial"/>
          <w:sz w:val="24"/>
          <w:szCs w:val="24"/>
        </w:rPr>
      </w:pPr>
      <w:bookmarkStart w:id="11" w:name="_Toc227269231"/>
      <w:r w:rsidRPr="004C3F12">
        <w:rPr>
          <w:rFonts w:ascii="Arial" w:hAnsi="Arial" w:cs="Arial"/>
          <w:sz w:val="24"/>
          <w:szCs w:val="24"/>
        </w:rPr>
        <w:t>7. Recommendations for HR Technology Investment</w:t>
      </w:r>
      <w:bookmarkEnd w:id="11"/>
    </w:p>
    <w:p w14:paraId="3881A632" w14:textId="77777777" w:rsidR="00C45F0A" w:rsidRDefault="00C45F0A" w:rsidP="004C3F12">
      <w:pPr>
        <w:spacing w:line="360" w:lineRule="auto"/>
        <w:jc w:val="both"/>
        <w:rPr>
          <w:rFonts w:ascii="Arial" w:hAnsi="Arial" w:cs="Arial"/>
          <w:sz w:val="22"/>
          <w:szCs w:val="22"/>
        </w:rPr>
      </w:pPr>
    </w:p>
    <w:p w14:paraId="2AA0406E" w14:textId="40E8A7FF" w:rsidR="004C3F12" w:rsidRPr="004C3F12" w:rsidRDefault="004C3F12" w:rsidP="004C3F12">
      <w:pPr>
        <w:spacing w:line="360" w:lineRule="auto"/>
        <w:jc w:val="both"/>
        <w:rPr>
          <w:rFonts w:ascii="Arial" w:hAnsi="Arial" w:cs="Arial"/>
          <w:sz w:val="22"/>
          <w:szCs w:val="22"/>
        </w:rPr>
      </w:pPr>
      <w:r w:rsidRPr="004C3F12">
        <w:rPr>
          <w:rFonts w:ascii="Arial" w:hAnsi="Arial" w:cs="Arial"/>
          <w:sz w:val="22"/>
          <w:szCs w:val="22"/>
        </w:rPr>
        <w:t>Based on the analysis conducted in this report, two technology investment projects are recommended for Celebrity Cruises.</w:t>
      </w:r>
    </w:p>
    <w:p w14:paraId="60D4773A" w14:textId="4B3861C3" w:rsidR="004C3F12" w:rsidRPr="004C3F12" w:rsidRDefault="004C3F12" w:rsidP="004C3F12">
      <w:pPr>
        <w:spacing w:line="360" w:lineRule="auto"/>
        <w:jc w:val="both"/>
        <w:rPr>
          <w:rFonts w:ascii="Arial" w:hAnsi="Arial" w:cs="Arial"/>
          <w:sz w:val="22"/>
          <w:szCs w:val="22"/>
        </w:rPr>
      </w:pPr>
      <w:r w:rsidRPr="004C3F12">
        <w:rPr>
          <w:rFonts w:ascii="Arial" w:hAnsi="Arial" w:cs="Arial"/>
          <w:sz w:val="22"/>
          <w:szCs w:val="22"/>
        </w:rPr>
        <w:t xml:space="preserve">The first recommendation is the implementation of Qualtrics </w:t>
      </w:r>
      <w:proofErr w:type="spellStart"/>
      <w:r w:rsidRPr="004C3F12">
        <w:rPr>
          <w:rFonts w:ascii="Arial" w:hAnsi="Arial" w:cs="Arial"/>
          <w:sz w:val="22"/>
          <w:szCs w:val="22"/>
        </w:rPr>
        <w:t>EmployeeXM</w:t>
      </w:r>
      <w:proofErr w:type="spellEnd"/>
      <w:r w:rsidRPr="004C3F12">
        <w:rPr>
          <w:rFonts w:ascii="Arial" w:hAnsi="Arial" w:cs="Arial"/>
          <w:sz w:val="22"/>
          <w:szCs w:val="22"/>
        </w:rPr>
        <w:t xml:space="preserve"> to enhance employee engagement monitoring. The platform provides real-time workforce insights that allow managers to identify engagement issues and implement corrective actions more quickly. </w:t>
      </w:r>
      <w:r w:rsidR="00E93314" w:rsidRPr="00E93314">
        <w:rPr>
          <w:rFonts w:ascii="Arial" w:hAnsi="Arial" w:cs="Arial"/>
          <w:sz w:val="22"/>
          <w:szCs w:val="22"/>
        </w:rPr>
        <w:t>The estimated cost of this technology ranges from approximately £8 to £15 per employee per month, depending on system features and integration requirements.</w:t>
      </w:r>
      <w:r w:rsidR="00E93314">
        <w:rPr>
          <w:rFonts w:ascii="Arial" w:hAnsi="Arial" w:cs="Arial"/>
          <w:sz w:val="22"/>
          <w:szCs w:val="22"/>
        </w:rPr>
        <w:t xml:space="preserve"> </w:t>
      </w:r>
      <w:r w:rsidRPr="004C3F12">
        <w:rPr>
          <w:rFonts w:ascii="Arial" w:hAnsi="Arial" w:cs="Arial"/>
          <w:sz w:val="22"/>
          <w:szCs w:val="22"/>
        </w:rPr>
        <w:t>It is particularly suitable for a globally dispersed workforce because it supports continuous listening and predictive analytics (Qualtrics, 2024).</w:t>
      </w:r>
    </w:p>
    <w:p w14:paraId="51EEDFE9" w14:textId="37ACBD24" w:rsidR="004C3F12" w:rsidRPr="004C3F12" w:rsidRDefault="004C3F12" w:rsidP="004C3F12">
      <w:pPr>
        <w:spacing w:line="360" w:lineRule="auto"/>
        <w:jc w:val="both"/>
        <w:rPr>
          <w:rFonts w:ascii="Arial" w:hAnsi="Arial" w:cs="Arial"/>
          <w:sz w:val="22"/>
          <w:szCs w:val="22"/>
        </w:rPr>
      </w:pPr>
      <w:r w:rsidRPr="004C3F12">
        <w:rPr>
          <w:rFonts w:ascii="Arial" w:hAnsi="Arial" w:cs="Arial"/>
          <w:sz w:val="22"/>
          <w:szCs w:val="22"/>
        </w:rPr>
        <w:t xml:space="preserve">The second recommendation is the implementation of Cornerstone OnDemand to support learning and development initiatives. This platform provides a comprehensive digital learning system that supports compliance training, professional development and career progression. </w:t>
      </w:r>
      <w:r w:rsidR="007A3324" w:rsidRPr="007A3324">
        <w:rPr>
          <w:rFonts w:ascii="Arial" w:hAnsi="Arial" w:cs="Arial"/>
          <w:sz w:val="22"/>
          <w:szCs w:val="22"/>
        </w:rPr>
        <w:lastRenderedPageBreak/>
        <w:t>The estimated cost ranges from approximately £20 to £40 per employee per month</w:t>
      </w:r>
      <w:r w:rsidR="007A3324">
        <w:rPr>
          <w:rFonts w:ascii="Arial" w:hAnsi="Arial" w:cs="Arial"/>
          <w:sz w:val="22"/>
          <w:szCs w:val="22"/>
        </w:rPr>
        <w:t>,</w:t>
      </w:r>
      <w:r w:rsidR="007A3324" w:rsidRPr="007A3324">
        <w:rPr>
          <w:rFonts w:ascii="Arial" w:hAnsi="Arial" w:cs="Arial"/>
          <w:sz w:val="22"/>
          <w:szCs w:val="22"/>
        </w:rPr>
        <w:t xml:space="preserve"> depending on the scale of implementation</w:t>
      </w:r>
      <w:r w:rsidR="007A3324">
        <w:rPr>
          <w:rFonts w:ascii="Arial" w:hAnsi="Arial" w:cs="Arial"/>
          <w:sz w:val="22"/>
          <w:szCs w:val="22"/>
        </w:rPr>
        <w:t>.</w:t>
      </w:r>
      <w:r w:rsidR="007A3324" w:rsidRPr="007A3324">
        <w:rPr>
          <w:rFonts w:ascii="Arial" w:hAnsi="Arial" w:cs="Arial"/>
          <w:sz w:val="22"/>
          <w:szCs w:val="22"/>
        </w:rPr>
        <w:t xml:space="preserve"> </w:t>
      </w:r>
      <w:r w:rsidRPr="004C3F12">
        <w:rPr>
          <w:rFonts w:ascii="Arial" w:hAnsi="Arial" w:cs="Arial"/>
          <w:sz w:val="22"/>
          <w:szCs w:val="22"/>
        </w:rPr>
        <w:t>Its breadth is particularly valuable in cruise operations where different employee groups require both standardised and tailored learning experiences (Cornerstone OnDemand, 2024).</w:t>
      </w:r>
    </w:p>
    <w:p w14:paraId="5410C070" w14:textId="58AE783A" w:rsidR="004C3F12" w:rsidRPr="004C3F12" w:rsidRDefault="004C3F12" w:rsidP="004C3F12">
      <w:pPr>
        <w:spacing w:line="360" w:lineRule="auto"/>
        <w:jc w:val="both"/>
        <w:rPr>
          <w:rFonts w:ascii="Arial" w:hAnsi="Arial" w:cs="Arial"/>
          <w:sz w:val="22"/>
          <w:szCs w:val="22"/>
        </w:rPr>
      </w:pPr>
      <w:r w:rsidRPr="004C3F12">
        <w:rPr>
          <w:rFonts w:ascii="Arial" w:hAnsi="Arial" w:cs="Arial"/>
          <w:sz w:val="22"/>
          <w:szCs w:val="22"/>
        </w:rPr>
        <w:t xml:space="preserve">The expected benefits of these investments include improved workforce insight, better retention support, stronger employee development and improved service quality. They may also provide </w:t>
      </w:r>
      <w:r w:rsidR="00C45F0A">
        <w:rPr>
          <w:rFonts w:ascii="Arial" w:hAnsi="Arial" w:cs="Arial"/>
          <w:sz w:val="22"/>
          <w:szCs w:val="22"/>
        </w:rPr>
        <w:t xml:space="preserve">a </w:t>
      </w:r>
      <w:r w:rsidRPr="004C3F12">
        <w:rPr>
          <w:rFonts w:ascii="Arial" w:hAnsi="Arial" w:cs="Arial"/>
          <w:sz w:val="22"/>
          <w:szCs w:val="22"/>
        </w:rPr>
        <w:t>competitive advantage by helping Celebrity Cruises attract and retain talent in a labour market shaped by rising employee expectations (Deloitte, 2024).</w:t>
      </w:r>
    </w:p>
    <w:p w14:paraId="5F5A2899" w14:textId="77777777" w:rsidR="00A37052" w:rsidRDefault="004C3F12" w:rsidP="00A37052">
      <w:pPr>
        <w:spacing w:line="360" w:lineRule="auto"/>
        <w:jc w:val="both"/>
        <w:rPr>
          <w:rFonts w:ascii="Arial" w:hAnsi="Arial" w:cs="Arial"/>
          <w:sz w:val="22"/>
          <w:szCs w:val="22"/>
        </w:rPr>
      </w:pPr>
      <w:r w:rsidRPr="004C3F12">
        <w:rPr>
          <w:rFonts w:ascii="Arial" w:hAnsi="Arial" w:cs="Arial"/>
          <w:sz w:val="22"/>
          <w:szCs w:val="22"/>
        </w:rPr>
        <w:t>However, there are also risks. Both systems require significant implementation planning, employee training and leadership buy-in. Vendor pricing is typically quotation-based and depends on scope, integration and user numbers rather than fixed public tariffs, so Celebrity Cruises should expect total cost to vary according to scale and configuration. More importantly, the organisation must ensure that technology adoption is accompanied by managerial capability, communication and cultural support.</w:t>
      </w:r>
    </w:p>
    <w:p w14:paraId="0D594401" w14:textId="77777777" w:rsidR="00A37052" w:rsidRDefault="00A37052" w:rsidP="00A37052">
      <w:pPr>
        <w:spacing w:line="360" w:lineRule="auto"/>
        <w:jc w:val="both"/>
        <w:rPr>
          <w:rFonts w:ascii="Arial" w:hAnsi="Arial" w:cs="Arial"/>
          <w:sz w:val="22"/>
          <w:szCs w:val="22"/>
        </w:rPr>
      </w:pPr>
    </w:p>
    <w:p w14:paraId="2DB66F6F" w14:textId="20D458A4" w:rsidR="00C45F0A" w:rsidRPr="00A37052" w:rsidRDefault="00C45F0A" w:rsidP="00A37052">
      <w:pPr>
        <w:pStyle w:val="Heading1"/>
        <w:spacing w:line="360" w:lineRule="auto"/>
        <w:jc w:val="both"/>
        <w:rPr>
          <w:rFonts w:ascii="Arial" w:hAnsi="Arial" w:cs="Arial"/>
          <w:sz w:val="24"/>
          <w:szCs w:val="24"/>
        </w:rPr>
      </w:pPr>
      <w:bookmarkStart w:id="12" w:name="_Toc227269232"/>
      <w:r w:rsidRPr="00A37052">
        <w:rPr>
          <w:rFonts w:ascii="Arial" w:hAnsi="Arial" w:cs="Arial"/>
          <w:sz w:val="24"/>
          <w:szCs w:val="24"/>
        </w:rPr>
        <w:t>8. Ethical Considerations and Risks</w:t>
      </w:r>
      <w:bookmarkEnd w:id="12"/>
    </w:p>
    <w:p w14:paraId="7E53D436" w14:textId="77777777" w:rsidR="00C45F0A" w:rsidRDefault="00C45F0A" w:rsidP="00C45F0A">
      <w:pPr>
        <w:spacing w:line="360" w:lineRule="auto"/>
        <w:jc w:val="both"/>
        <w:rPr>
          <w:rFonts w:ascii="Arial" w:hAnsi="Arial" w:cs="Arial"/>
          <w:sz w:val="22"/>
          <w:szCs w:val="22"/>
        </w:rPr>
      </w:pPr>
    </w:p>
    <w:p w14:paraId="4BD1E70B" w14:textId="71D7C956" w:rsidR="00C45F0A" w:rsidRPr="00C45F0A" w:rsidRDefault="00C45F0A" w:rsidP="00C45F0A">
      <w:pPr>
        <w:spacing w:line="360" w:lineRule="auto"/>
        <w:jc w:val="both"/>
        <w:rPr>
          <w:rFonts w:ascii="Arial" w:hAnsi="Arial" w:cs="Arial"/>
          <w:sz w:val="22"/>
          <w:szCs w:val="22"/>
        </w:rPr>
      </w:pPr>
      <w:r w:rsidRPr="00C45F0A">
        <w:rPr>
          <w:rFonts w:ascii="Arial" w:hAnsi="Arial" w:cs="Arial"/>
          <w:sz w:val="22"/>
          <w:szCs w:val="22"/>
        </w:rPr>
        <w:t>While HR technology provides significant benefits, organisations must carefully consider potential risks and ethical issues.</w:t>
      </w:r>
    </w:p>
    <w:p w14:paraId="4E9961C5" w14:textId="61C2E8F2" w:rsidR="00C45F0A" w:rsidRPr="00C45F0A" w:rsidRDefault="00C45F0A" w:rsidP="00C45F0A">
      <w:pPr>
        <w:spacing w:line="360" w:lineRule="auto"/>
        <w:jc w:val="both"/>
        <w:rPr>
          <w:rFonts w:ascii="Arial" w:hAnsi="Arial" w:cs="Arial"/>
          <w:sz w:val="22"/>
          <w:szCs w:val="22"/>
        </w:rPr>
      </w:pPr>
      <w:r w:rsidRPr="00C45F0A">
        <w:rPr>
          <w:rFonts w:ascii="Arial" w:hAnsi="Arial" w:cs="Arial"/>
          <w:sz w:val="22"/>
          <w:szCs w:val="22"/>
        </w:rPr>
        <w:t>One major concern relates to employee data privacy. Digital HR platforms collect large amounts of employee data</w:t>
      </w:r>
      <w:r>
        <w:rPr>
          <w:rFonts w:ascii="Arial" w:hAnsi="Arial" w:cs="Arial"/>
          <w:sz w:val="22"/>
          <w:szCs w:val="22"/>
        </w:rPr>
        <w:t>,</w:t>
      </w:r>
      <w:r w:rsidRPr="00C45F0A">
        <w:rPr>
          <w:rFonts w:ascii="Arial" w:hAnsi="Arial" w:cs="Arial"/>
          <w:sz w:val="22"/>
          <w:szCs w:val="22"/>
        </w:rPr>
        <w:t xml:space="preserve"> including survey responses, performance metrics and behavioural insights. Organisations must ensure that this data is stored securely, used responsibly and governed transparently (CIPD, 2023).</w:t>
      </w:r>
    </w:p>
    <w:p w14:paraId="6D48950F" w14:textId="77777777" w:rsidR="00C45F0A" w:rsidRPr="00C45F0A" w:rsidRDefault="00C45F0A" w:rsidP="00C45F0A">
      <w:pPr>
        <w:spacing w:line="360" w:lineRule="auto"/>
        <w:jc w:val="both"/>
        <w:rPr>
          <w:rFonts w:ascii="Arial" w:hAnsi="Arial" w:cs="Arial"/>
          <w:sz w:val="22"/>
          <w:szCs w:val="22"/>
        </w:rPr>
      </w:pPr>
      <w:r w:rsidRPr="00C45F0A">
        <w:rPr>
          <w:rFonts w:ascii="Arial" w:hAnsi="Arial" w:cs="Arial"/>
          <w:sz w:val="22"/>
          <w:szCs w:val="22"/>
        </w:rPr>
        <w:t>Another important issue is algorithmic bias within AI systems. If HR technologies rely on biased historical data, they may unintentionally reinforce discriminatory practices. Raghavan et al. (2020) show that automated hiring and workforce systems can reproduce inequality unless fairness is actively designed and monitored. Although this concern is often discussed in recruitment, it is equally relevant to engagement and learning analytics.</w:t>
      </w:r>
    </w:p>
    <w:p w14:paraId="148B6021" w14:textId="77777777" w:rsidR="00C45F0A" w:rsidRPr="00C45F0A" w:rsidRDefault="00C45F0A" w:rsidP="00C45F0A">
      <w:pPr>
        <w:spacing w:line="360" w:lineRule="auto"/>
        <w:jc w:val="both"/>
        <w:rPr>
          <w:rFonts w:ascii="Arial" w:hAnsi="Arial" w:cs="Arial"/>
          <w:sz w:val="22"/>
          <w:szCs w:val="22"/>
        </w:rPr>
      </w:pPr>
      <w:r w:rsidRPr="00C45F0A">
        <w:rPr>
          <w:rFonts w:ascii="Arial" w:hAnsi="Arial" w:cs="Arial"/>
          <w:sz w:val="22"/>
          <w:szCs w:val="22"/>
        </w:rPr>
        <w:t xml:space="preserve">There is also a risk of digital exclusion. Employees with lower digital confidence or less access to technology may not engage equally with digital systems, creating unintended inequalities (Upadhyay and Khandelwal, 2018). In multinational cruise workforces, this is particularly </w:t>
      </w:r>
      <w:r w:rsidRPr="00C45F0A">
        <w:rPr>
          <w:rFonts w:ascii="Arial" w:hAnsi="Arial" w:cs="Arial"/>
          <w:sz w:val="22"/>
          <w:szCs w:val="22"/>
        </w:rPr>
        <w:lastRenderedPageBreak/>
        <w:t>relevant because employees may vary significantly in language ability, educational background and technological familiarity.</w:t>
      </w:r>
    </w:p>
    <w:p w14:paraId="41F3993F" w14:textId="02E5A174" w:rsidR="00C45F0A" w:rsidRDefault="00C45F0A" w:rsidP="00C45F0A">
      <w:pPr>
        <w:spacing w:line="360" w:lineRule="auto"/>
        <w:jc w:val="both"/>
        <w:rPr>
          <w:rFonts w:ascii="Arial" w:hAnsi="Arial" w:cs="Arial"/>
          <w:sz w:val="22"/>
          <w:szCs w:val="22"/>
        </w:rPr>
      </w:pPr>
      <w:r w:rsidRPr="00C45F0A">
        <w:rPr>
          <w:rFonts w:ascii="Arial" w:hAnsi="Arial" w:cs="Arial"/>
          <w:sz w:val="22"/>
          <w:szCs w:val="22"/>
        </w:rPr>
        <w:t>Finally, employees may resist digital HR technologies if they perceive them as intrusive or managerial rather than developmental. Effective communication, training and change management are therefore essential. Technology must be positioned as a support mechanism that enhances employee experience, not as a tool for excessive monitoring or control.</w:t>
      </w:r>
    </w:p>
    <w:p w14:paraId="3BFD8624" w14:textId="77777777" w:rsidR="00A37052" w:rsidRDefault="00A37052" w:rsidP="00C45F0A">
      <w:pPr>
        <w:spacing w:line="360" w:lineRule="auto"/>
        <w:jc w:val="both"/>
        <w:rPr>
          <w:rFonts w:ascii="Arial" w:hAnsi="Arial" w:cs="Arial"/>
          <w:sz w:val="22"/>
          <w:szCs w:val="22"/>
        </w:rPr>
      </w:pPr>
    </w:p>
    <w:p w14:paraId="5259D723" w14:textId="6010B7E2" w:rsidR="00C45F0A" w:rsidRPr="00A37052" w:rsidRDefault="00C45F0A" w:rsidP="00A37052">
      <w:pPr>
        <w:pStyle w:val="Heading1"/>
        <w:spacing w:line="360" w:lineRule="auto"/>
        <w:jc w:val="both"/>
        <w:rPr>
          <w:rFonts w:ascii="Arial" w:hAnsi="Arial" w:cs="Arial"/>
          <w:sz w:val="24"/>
          <w:szCs w:val="24"/>
        </w:rPr>
      </w:pPr>
      <w:bookmarkStart w:id="13" w:name="_Toc227269233"/>
      <w:r w:rsidRPr="00A37052">
        <w:rPr>
          <w:rFonts w:ascii="Arial" w:hAnsi="Arial" w:cs="Arial"/>
          <w:sz w:val="24"/>
          <w:szCs w:val="24"/>
        </w:rPr>
        <w:t>9. Conclusion</w:t>
      </w:r>
      <w:bookmarkEnd w:id="13"/>
    </w:p>
    <w:p w14:paraId="6F694252" w14:textId="77777777" w:rsidR="00C45F0A" w:rsidRPr="00C45F0A" w:rsidRDefault="00C45F0A" w:rsidP="00C45F0A"/>
    <w:p w14:paraId="5B9F4C6E" w14:textId="77777777" w:rsidR="00C45F0A" w:rsidRPr="00C45F0A" w:rsidRDefault="00C45F0A" w:rsidP="00C45F0A">
      <w:pPr>
        <w:spacing w:line="360" w:lineRule="auto"/>
        <w:jc w:val="both"/>
        <w:rPr>
          <w:rFonts w:ascii="Arial" w:hAnsi="Arial" w:cs="Arial"/>
          <w:sz w:val="22"/>
          <w:szCs w:val="22"/>
        </w:rPr>
      </w:pPr>
      <w:r w:rsidRPr="00C45F0A">
        <w:rPr>
          <w:rFonts w:ascii="Arial" w:hAnsi="Arial" w:cs="Arial"/>
          <w:sz w:val="22"/>
          <w:szCs w:val="22"/>
        </w:rPr>
        <w:t>The rapid advancement of digital technologies has transformed the role of HRM in modern organisations. HR technology platforms enable organisations to automate administrative tasks, analyse workforce data and implement more strategic HR initiatives.</w:t>
      </w:r>
    </w:p>
    <w:p w14:paraId="0943F553" w14:textId="77777777" w:rsidR="00C45F0A" w:rsidRPr="00C45F0A" w:rsidRDefault="00C45F0A" w:rsidP="00C45F0A">
      <w:pPr>
        <w:spacing w:line="360" w:lineRule="auto"/>
        <w:jc w:val="both"/>
        <w:rPr>
          <w:rFonts w:ascii="Arial" w:hAnsi="Arial" w:cs="Arial"/>
          <w:sz w:val="22"/>
          <w:szCs w:val="22"/>
        </w:rPr>
      </w:pPr>
      <w:r w:rsidRPr="00C45F0A">
        <w:rPr>
          <w:rFonts w:ascii="Arial" w:hAnsi="Arial" w:cs="Arial"/>
          <w:sz w:val="22"/>
          <w:szCs w:val="22"/>
        </w:rPr>
        <w:t>This report evaluated HR technology investment opportunities for Celebrity Cruises and identified two priority HR areas: employee engagement and learning and development. These areas were selected due to their strong influence on organisational performance and employee retention within the hospitality sector.</w:t>
      </w:r>
    </w:p>
    <w:p w14:paraId="0F273112" w14:textId="77777777" w:rsidR="00C45F0A" w:rsidRPr="00C45F0A" w:rsidRDefault="00C45F0A" w:rsidP="00C45F0A">
      <w:pPr>
        <w:spacing w:line="360" w:lineRule="auto"/>
        <w:jc w:val="both"/>
        <w:rPr>
          <w:rFonts w:ascii="Arial" w:hAnsi="Arial" w:cs="Arial"/>
          <w:sz w:val="22"/>
          <w:szCs w:val="22"/>
        </w:rPr>
      </w:pPr>
      <w:r w:rsidRPr="00C45F0A">
        <w:rPr>
          <w:rFonts w:ascii="Arial" w:hAnsi="Arial" w:cs="Arial"/>
          <w:sz w:val="22"/>
          <w:szCs w:val="22"/>
        </w:rPr>
        <w:t xml:space="preserve">The analysis demonstrated that digital platforms such as Qualtrics </w:t>
      </w:r>
      <w:proofErr w:type="spellStart"/>
      <w:r w:rsidRPr="00C45F0A">
        <w:rPr>
          <w:rFonts w:ascii="Arial" w:hAnsi="Arial" w:cs="Arial"/>
          <w:sz w:val="22"/>
          <w:szCs w:val="22"/>
        </w:rPr>
        <w:t>EmployeeXM</w:t>
      </w:r>
      <w:proofErr w:type="spellEnd"/>
      <w:r w:rsidRPr="00C45F0A">
        <w:rPr>
          <w:rFonts w:ascii="Arial" w:hAnsi="Arial" w:cs="Arial"/>
          <w:sz w:val="22"/>
          <w:szCs w:val="22"/>
        </w:rPr>
        <w:t xml:space="preserve"> and Cornerstone OnDemand can provide substantial organisational benefits. These technologies enable real-time workforce insights, personalised training programmes and improved organisational decision making. However, their value depends on effective implementation, leadership support and ethical governance.</w:t>
      </w:r>
    </w:p>
    <w:p w14:paraId="6D9230B1" w14:textId="46CF3A72" w:rsidR="00D708E2" w:rsidRDefault="00C45F0A" w:rsidP="00C45F0A">
      <w:pPr>
        <w:spacing w:line="360" w:lineRule="auto"/>
        <w:jc w:val="both"/>
        <w:rPr>
          <w:rFonts w:ascii="Arial" w:hAnsi="Arial" w:cs="Arial"/>
          <w:sz w:val="22"/>
          <w:szCs w:val="22"/>
        </w:rPr>
      </w:pPr>
      <w:r w:rsidRPr="00C45F0A">
        <w:rPr>
          <w:rFonts w:ascii="Arial" w:hAnsi="Arial" w:cs="Arial"/>
          <w:sz w:val="22"/>
          <w:szCs w:val="22"/>
        </w:rPr>
        <w:t>Although potential risks exist, including implementation complexity, privacy concerns and algorithmic bias, the strategic advantages of HR technology adoption remain significant. By investing in these technologies, Celebrity Cruises can enhance workforce engagement, strengthen employee capabilities and maintain a competitive advantage within the global cruise industry.</w:t>
      </w:r>
    </w:p>
    <w:p w14:paraId="17020E12" w14:textId="77777777" w:rsidR="00D708E2" w:rsidRDefault="00D708E2">
      <w:pPr>
        <w:rPr>
          <w:rFonts w:ascii="Arial" w:hAnsi="Arial" w:cs="Arial"/>
          <w:sz w:val="22"/>
          <w:szCs w:val="22"/>
        </w:rPr>
      </w:pPr>
      <w:r>
        <w:rPr>
          <w:rFonts w:ascii="Arial" w:hAnsi="Arial" w:cs="Arial"/>
          <w:sz w:val="22"/>
          <w:szCs w:val="22"/>
        </w:rPr>
        <w:br w:type="page"/>
      </w:r>
    </w:p>
    <w:p w14:paraId="52CCDE9A" w14:textId="325709FC" w:rsidR="00D708E2" w:rsidRDefault="00D708E2" w:rsidP="00D708E2">
      <w:pPr>
        <w:pStyle w:val="Heading1"/>
        <w:spacing w:line="360" w:lineRule="auto"/>
        <w:jc w:val="both"/>
        <w:rPr>
          <w:rFonts w:ascii="Arial" w:hAnsi="Arial" w:cs="Arial"/>
          <w:sz w:val="24"/>
          <w:szCs w:val="24"/>
        </w:rPr>
      </w:pPr>
      <w:bookmarkStart w:id="14" w:name="_Toc227269234"/>
      <w:r w:rsidRPr="00D708E2">
        <w:rPr>
          <w:rFonts w:ascii="Arial" w:hAnsi="Arial" w:cs="Arial"/>
          <w:sz w:val="24"/>
          <w:szCs w:val="24"/>
        </w:rPr>
        <w:lastRenderedPageBreak/>
        <w:t>References</w:t>
      </w:r>
      <w:r>
        <w:rPr>
          <w:rFonts w:ascii="Arial" w:hAnsi="Arial" w:cs="Arial"/>
          <w:sz w:val="24"/>
          <w:szCs w:val="24"/>
        </w:rPr>
        <w:t>:</w:t>
      </w:r>
      <w:bookmarkEnd w:id="14"/>
      <w:r>
        <w:rPr>
          <w:rFonts w:ascii="Arial" w:hAnsi="Arial" w:cs="Arial"/>
          <w:sz w:val="24"/>
          <w:szCs w:val="24"/>
        </w:rPr>
        <w:t xml:space="preserve"> </w:t>
      </w:r>
    </w:p>
    <w:p w14:paraId="7C7D5C04" w14:textId="77777777" w:rsidR="00D708E2" w:rsidRPr="00D708E2" w:rsidRDefault="00D708E2" w:rsidP="00D708E2">
      <w:pPr>
        <w:spacing w:line="360" w:lineRule="auto"/>
        <w:jc w:val="both"/>
        <w:rPr>
          <w:rFonts w:ascii="Arial" w:hAnsi="Arial" w:cs="Arial"/>
          <w:sz w:val="22"/>
          <w:szCs w:val="22"/>
        </w:rPr>
      </w:pPr>
    </w:p>
    <w:p w14:paraId="764781C6" w14:textId="53BFB495"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Ang, S. and Van Dyne, L. (2015)</w:t>
      </w:r>
      <w:r w:rsidR="004C4F63">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Handbook of cultural intelligence: Theory, measurement and applications</w:t>
      </w:r>
      <w:r w:rsidRPr="00D708E2">
        <w:rPr>
          <w:rFonts w:ascii="Arial" w:hAnsi="Arial" w:cs="Arial"/>
          <w:sz w:val="22"/>
          <w:szCs w:val="22"/>
        </w:rPr>
        <w:t xml:space="preserve">. 2nd </w:t>
      </w:r>
      <w:proofErr w:type="spellStart"/>
      <w:r w:rsidRPr="00D708E2">
        <w:rPr>
          <w:rFonts w:ascii="Arial" w:hAnsi="Arial" w:cs="Arial"/>
          <w:sz w:val="22"/>
          <w:szCs w:val="22"/>
        </w:rPr>
        <w:t>edn</w:t>
      </w:r>
      <w:proofErr w:type="spellEnd"/>
      <w:r w:rsidRPr="00D708E2">
        <w:rPr>
          <w:rFonts w:ascii="Arial" w:hAnsi="Arial" w:cs="Arial"/>
          <w:sz w:val="22"/>
          <w:szCs w:val="22"/>
        </w:rPr>
        <w:t>. London: Routledge.</w:t>
      </w:r>
    </w:p>
    <w:p w14:paraId="304A8084" w14:textId="094FB680"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Armstrong, M. (2023)</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Armstrong’s handbook of human resource management practice</w:t>
      </w:r>
      <w:r w:rsidRPr="00D708E2">
        <w:rPr>
          <w:rFonts w:ascii="Arial" w:hAnsi="Arial" w:cs="Arial"/>
          <w:sz w:val="22"/>
          <w:szCs w:val="22"/>
        </w:rPr>
        <w:t xml:space="preserve">. 16th </w:t>
      </w:r>
      <w:proofErr w:type="spellStart"/>
      <w:r w:rsidRPr="00D708E2">
        <w:rPr>
          <w:rFonts w:ascii="Arial" w:hAnsi="Arial" w:cs="Arial"/>
          <w:sz w:val="22"/>
          <w:szCs w:val="22"/>
        </w:rPr>
        <w:t>edn</w:t>
      </w:r>
      <w:proofErr w:type="spellEnd"/>
      <w:r w:rsidRPr="00D708E2">
        <w:rPr>
          <w:rFonts w:ascii="Arial" w:hAnsi="Arial" w:cs="Arial"/>
          <w:sz w:val="22"/>
          <w:szCs w:val="22"/>
        </w:rPr>
        <w:t>. London: Kogan Page.</w:t>
      </w:r>
    </w:p>
    <w:p w14:paraId="35311DE6" w14:textId="44A45CEF"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Baum, T. (2015)</w:t>
      </w:r>
      <w:r w:rsidR="00C56631">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Human resource management for tourism, hospitality and leisure: An international perspective</w:t>
      </w:r>
      <w:r w:rsidRPr="00D708E2">
        <w:rPr>
          <w:rFonts w:ascii="Arial" w:hAnsi="Arial" w:cs="Arial"/>
          <w:sz w:val="22"/>
          <w:szCs w:val="22"/>
        </w:rPr>
        <w:t xml:space="preserve">. 2nd </w:t>
      </w:r>
      <w:proofErr w:type="spellStart"/>
      <w:r w:rsidRPr="00D708E2">
        <w:rPr>
          <w:rFonts w:ascii="Arial" w:hAnsi="Arial" w:cs="Arial"/>
          <w:sz w:val="22"/>
          <w:szCs w:val="22"/>
        </w:rPr>
        <w:t>edn</w:t>
      </w:r>
      <w:proofErr w:type="spellEnd"/>
      <w:r w:rsidRPr="00D708E2">
        <w:rPr>
          <w:rFonts w:ascii="Arial" w:hAnsi="Arial" w:cs="Arial"/>
          <w:sz w:val="22"/>
          <w:szCs w:val="22"/>
        </w:rPr>
        <w:t>. London: Thomson Learning.</w:t>
      </w:r>
    </w:p>
    <w:p w14:paraId="3854C125" w14:textId="06F912CF"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 xml:space="preserve">Baum, T., Mooney, S.K.K., Robinson, R.N.S. and </w:t>
      </w:r>
      <w:proofErr w:type="spellStart"/>
      <w:r w:rsidRPr="00D708E2">
        <w:rPr>
          <w:rFonts w:ascii="Arial" w:hAnsi="Arial" w:cs="Arial"/>
          <w:sz w:val="22"/>
          <w:szCs w:val="22"/>
        </w:rPr>
        <w:t>Solnet</w:t>
      </w:r>
      <w:proofErr w:type="spellEnd"/>
      <w:r w:rsidRPr="00D708E2">
        <w:rPr>
          <w:rFonts w:ascii="Arial" w:hAnsi="Arial" w:cs="Arial"/>
          <w:sz w:val="22"/>
          <w:szCs w:val="22"/>
        </w:rPr>
        <w:t xml:space="preserve">, D. (2020) ‘COVID-19’s impact on the hospitality workforce’, </w:t>
      </w:r>
      <w:r w:rsidRPr="00D708E2">
        <w:rPr>
          <w:rFonts w:ascii="Arial" w:hAnsi="Arial" w:cs="Arial"/>
          <w:i/>
          <w:iCs/>
          <w:sz w:val="22"/>
          <w:szCs w:val="22"/>
        </w:rPr>
        <w:t>International Journal of Contemporary Hospitality Management</w:t>
      </w:r>
      <w:r w:rsidRPr="00D708E2">
        <w:rPr>
          <w:rFonts w:ascii="Arial" w:hAnsi="Arial" w:cs="Arial"/>
          <w:sz w:val="22"/>
          <w:szCs w:val="22"/>
        </w:rPr>
        <w:t xml:space="preserve">, 32(9), pp. 2813–2823. </w:t>
      </w:r>
    </w:p>
    <w:p w14:paraId="268271F3" w14:textId="6EE158F9"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Beardwell, J. and Claydon, T. (2017)</w:t>
      </w:r>
      <w:r w:rsidR="00BB0609">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Human resource management: A contemporary approach</w:t>
      </w:r>
      <w:r w:rsidRPr="00D708E2">
        <w:rPr>
          <w:rFonts w:ascii="Arial" w:hAnsi="Arial" w:cs="Arial"/>
          <w:sz w:val="22"/>
          <w:szCs w:val="22"/>
        </w:rPr>
        <w:t xml:space="preserve">. 8th </w:t>
      </w:r>
      <w:proofErr w:type="spellStart"/>
      <w:r w:rsidRPr="00D708E2">
        <w:rPr>
          <w:rFonts w:ascii="Arial" w:hAnsi="Arial" w:cs="Arial"/>
          <w:sz w:val="22"/>
          <w:szCs w:val="22"/>
        </w:rPr>
        <w:t>edn</w:t>
      </w:r>
      <w:proofErr w:type="spellEnd"/>
      <w:r w:rsidRPr="00D708E2">
        <w:rPr>
          <w:rFonts w:ascii="Arial" w:hAnsi="Arial" w:cs="Arial"/>
          <w:sz w:val="22"/>
          <w:szCs w:val="22"/>
        </w:rPr>
        <w:t>. Harlow: Pearson.</w:t>
      </w:r>
    </w:p>
    <w:p w14:paraId="755A3205" w14:textId="4144674C"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Becker, G. (1993)</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Human capital: A theoretical and empirical analysis, with special reference to education</w:t>
      </w:r>
      <w:r w:rsidRPr="00D708E2">
        <w:rPr>
          <w:rFonts w:ascii="Arial" w:hAnsi="Arial" w:cs="Arial"/>
          <w:sz w:val="22"/>
          <w:szCs w:val="22"/>
        </w:rPr>
        <w:t xml:space="preserve">. 3rd </w:t>
      </w:r>
      <w:proofErr w:type="spellStart"/>
      <w:r w:rsidRPr="00D708E2">
        <w:rPr>
          <w:rFonts w:ascii="Arial" w:hAnsi="Arial" w:cs="Arial"/>
          <w:sz w:val="22"/>
          <w:szCs w:val="22"/>
        </w:rPr>
        <w:t>edn</w:t>
      </w:r>
      <w:proofErr w:type="spellEnd"/>
      <w:r w:rsidRPr="00D708E2">
        <w:rPr>
          <w:rFonts w:ascii="Arial" w:hAnsi="Arial" w:cs="Arial"/>
          <w:sz w:val="22"/>
          <w:szCs w:val="22"/>
        </w:rPr>
        <w:t xml:space="preserve">. Chicago: University of Chicago Press. </w:t>
      </w:r>
      <w:hyperlink r:id="rId9" w:tgtFrame="_new" w:history="1">
        <w:r w:rsidRPr="00D708E2">
          <w:rPr>
            <w:rStyle w:val="Hyperlink"/>
            <w:rFonts w:ascii="Arial" w:hAnsi="Arial" w:cs="Arial"/>
            <w:sz w:val="22"/>
            <w:szCs w:val="22"/>
          </w:rPr>
          <w:t>https://doi.org/10.7208/chicago/9780226041223.001.0001</w:t>
        </w:r>
      </w:hyperlink>
    </w:p>
    <w:p w14:paraId="203DD33E" w14:textId="499DDCE4"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Chartered Institute of Personnel and Development (CIPD) (2018)</w:t>
      </w:r>
      <w:r w:rsidR="007C2197">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People analytics: Driving business performance with people data</w:t>
      </w:r>
      <w:r w:rsidRPr="00D708E2">
        <w:rPr>
          <w:rFonts w:ascii="Arial" w:hAnsi="Arial" w:cs="Arial"/>
          <w:sz w:val="22"/>
          <w:szCs w:val="22"/>
        </w:rPr>
        <w:t>. London: CIPD.</w:t>
      </w:r>
    </w:p>
    <w:p w14:paraId="7EDDBAE0" w14:textId="688381E0"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Chartered Institute of Personnel and Development (CIPD) (2023)</w:t>
      </w:r>
      <w:r w:rsidR="00E90E21">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People analytics and technology in HR</w:t>
      </w:r>
      <w:r w:rsidRPr="00D708E2">
        <w:rPr>
          <w:rFonts w:ascii="Arial" w:hAnsi="Arial" w:cs="Arial"/>
          <w:sz w:val="22"/>
          <w:szCs w:val="22"/>
        </w:rPr>
        <w:t xml:space="preserve">. London: CIPD. Available at: </w:t>
      </w:r>
      <w:hyperlink r:id="rId10" w:tgtFrame="_new" w:history="1">
        <w:r w:rsidRPr="00D708E2">
          <w:rPr>
            <w:rStyle w:val="Hyperlink"/>
            <w:rFonts w:ascii="Arial" w:hAnsi="Arial" w:cs="Arial"/>
            <w:sz w:val="22"/>
            <w:szCs w:val="22"/>
          </w:rPr>
          <w:t>https://www.cipd.org/uk/topics/people-analytics/</w:t>
        </w:r>
      </w:hyperlink>
      <w:r w:rsidRPr="00D708E2">
        <w:rPr>
          <w:rFonts w:ascii="Arial" w:hAnsi="Arial" w:cs="Arial"/>
          <w:sz w:val="22"/>
          <w:szCs w:val="22"/>
        </w:rPr>
        <w:t xml:space="preserve"> (Accessed: 1</w:t>
      </w:r>
      <w:r w:rsidR="00185D9E">
        <w:rPr>
          <w:rFonts w:ascii="Arial" w:hAnsi="Arial" w:cs="Arial"/>
          <w:sz w:val="22"/>
          <w:szCs w:val="22"/>
        </w:rPr>
        <w:t>7</w:t>
      </w:r>
      <w:r w:rsidRPr="00D708E2">
        <w:rPr>
          <w:rFonts w:ascii="Arial" w:hAnsi="Arial" w:cs="Arial"/>
          <w:sz w:val="22"/>
          <w:szCs w:val="22"/>
        </w:rPr>
        <w:t xml:space="preserve"> </w:t>
      </w:r>
      <w:r w:rsidR="00B97933">
        <w:rPr>
          <w:rFonts w:ascii="Arial" w:hAnsi="Arial" w:cs="Arial"/>
          <w:sz w:val="22"/>
          <w:szCs w:val="22"/>
        </w:rPr>
        <w:t>March</w:t>
      </w:r>
      <w:r w:rsidRPr="00D708E2">
        <w:rPr>
          <w:rFonts w:ascii="Arial" w:hAnsi="Arial" w:cs="Arial"/>
          <w:sz w:val="22"/>
          <w:szCs w:val="22"/>
        </w:rPr>
        <w:t xml:space="preserve"> 2026).</w:t>
      </w:r>
    </w:p>
    <w:p w14:paraId="1B571CE9" w14:textId="14F5CB34"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Chartered Institute of Personnel and Development (CIPD) (2025)</w:t>
      </w:r>
      <w:r w:rsidR="00E90E21">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Employee engagement and motivation</w:t>
      </w:r>
      <w:r w:rsidRPr="00D708E2">
        <w:rPr>
          <w:rFonts w:ascii="Arial" w:hAnsi="Arial" w:cs="Arial"/>
          <w:sz w:val="22"/>
          <w:szCs w:val="22"/>
        </w:rPr>
        <w:t xml:space="preserve">. Available at: </w:t>
      </w:r>
      <w:hyperlink r:id="rId11" w:history="1">
        <w:r w:rsidR="00C26A24" w:rsidRPr="005C3AE7">
          <w:rPr>
            <w:rStyle w:val="Hyperlink"/>
            <w:rFonts w:ascii="Arial" w:hAnsi="Arial" w:cs="Arial"/>
            <w:sz w:val="22"/>
            <w:szCs w:val="22"/>
          </w:rPr>
          <w:t>https://www.cipd.org/uk/knowledge/factsheets/engagement-factsheet</w:t>
        </w:r>
      </w:hyperlink>
      <w:r w:rsidR="00C26A24">
        <w:rPr>
          <w:rFonts w:ascii="Arial" w:hAnsi="Arial" w:cs="Arial"/>
          <w:sz w:val="22"/>
          <w:szCs w:val="22"/>
        </w:rPr>
        <w:t xml:space="preserve"> </w:t>
      </w:r>
      <w:r w:rsidRPr="00D708E2">
        <w:rPr>
          <w:rFonts w:ascii="Arial" w:hAnsi="Arial" w:cs="Arial"/>
          <w:sz w:val="22"/>
          <w:szCs w:val="22"/>
        </w:rPr>
        <w:t>(Accessed: 1</w:t>
      </w:r>
      <w:r w:rsidR="00802568">
        <w:rPr>
          <w:rFonts w:ascii="Arial" w:hAnsi="Arial" w:cs="Arial"/>
          <w:sz w:val="22"/>
          <w:szCs w:val="22"/>
        </w:rPr>
        <w:t>7</w:t>
      </w:r>
      <w:r w:rsidRPr="00D708E2">
        <w:rPr>
          <w:rFonts w:ascii="Arial" w:hAnsi="Arial" w:cs="Arial"/>
          <w:sz w:val="22"/>
          <w:szCs w:val="22"/>
        </w:rPr>
        <w:t xml:space="preserve"> </w:t>
      </w:r>
      <w:r w:rsidR="00802568">
        <w:rPr>
          <w:rFonts w:ascii="Arial" w:hAnsi="Arial" w:cs="Arial"/>
          <w:sz w:val="22"/>
          <w:szCs w:val="22"/>
        </w:rPr>
        <w:t>March</w:t>
      </w:r>
      <w:r w:rsidRPr="00D708E2">
        <w:rPr>
          <w:rFonts w:ascii="Arial" w:hAnsi="Arial" w:cs="Arial"/>
          <w:sz w:val="22"/>
          <w:szCs w:val="22"/>
        </w:rPr>
        <w:t xml:space="preserve"> 2026). </w:t>
      </w:r>
    </w:p>
    <w:p w14:paraId="1B30D71A" w14:textId="77777777" w:rsidR="00803F65" w:rsidRPr="00803F65" w:rsidRDefault="00803F65" w:rsidP="00803F65">
      <w:pPr>
        <w:spacing w:line="360" w:lineRule="auto"/>
        <w:jc w:val="both"/>
        <w:rPr>
          <w:rFonts w:ascii="Arial" w:hAnsi="Arial" w:cs="Arial"/>
          <w:sz w:val="22"/>
          <w:szCs w:val="22"/>
        </w:rPr>
      </w:pPr>
      <w:r w:rsidRPr="00803F65">
        <w:rPr>
          <w:rFonts w:ascii="Arial" w:hAnsi="Arial" w:cs="Arial"/>
          <w:sz w:val="22"/>
          <w:szCs w:val="22"/>
        </w:rPr>
        <w:t xml:space="preserve">Cornerstone OnDemand (2024) </w:t>
      </w:r>
      <w:r w:rsidRPr="00803F65">
        <w:rPr>
          <w:rFonts w:ascii="Arial" w:hAnsi="Arial" w:cs="Arial"/>
          <w:i/>
          <w:iCs/>
          <w:sz w:val="22"/>
          <w:szCs w:val="22"/>
        </w:rPr>
        <w:t>Learning Technology Trends</w:t>
      </w:r>
      <w:r w:rsidRPr="00803F65">
        <w:rPr>
          <w:rFonts w:ascii="Arial" w:hAnsi="Arial" w:cs="Arial"/>
          <w:sz w:val="22"/>
          <w:szCs w:val="22"/>
        </w:rPr>
        <w:t xml:space="preserve">. [online] Available at: </w:t>
      </w:r>
      <w:hyperlink r:id="rId12" w:history="1">
        <w:r w:rsidRPr="00803F65">
          <w:rPr>
            <w:rStyle w:val="Hyperlink"/>
            <w:rFonts w:ascii="Arial" w:hAnsi="Arial" w:cs="Arial"/>
            <w:sz w:val="22"/>
            <w:szCs w:val="22"/>
          </w:rPr>
          <w:t>https://www.cornerstoneondemand.com/resources</w:t>
        </w:r>
      </w:hyperlink>
      <w:r w:rsidRPr="00803F65">
        <w:rPr>
          <w:rFonts w:ascii="Arial" w:hAnsi="Arial" w:cs="Arial"/>
          <w:sz w:val="22"/>
          <w:szCs w:val="22"/>
        </w:rPr>
        <w:t xml:space="preserve">  (Accessed: 14 March 2026).</w:t>
      </w:r>
    </w:p>
    <w:p w14:paraId="7126C2F1" w14:textId="77777777" w:rsidR="00A6528D" w:rsidRPr="00A6528D" w:rsidRDefault="00A6528D" w:rsidP="00A6528D">
      <w:pPr>
        <w:spacing w:line="360" w:lineRule="auto"/>
        <w:jc w:val="both"/>
        <w:rPr>
          <w:rFonts w:ascii="Arial" w:hAnsi="Arial" w:cs="Arial"/>
          <w:sz w:val="22"/>
          <w:szCs w:val="22"/>
        </w:rPr>
      </w:pPr>
      <w:r w:rsidRPr="00A6528D">
        <w:rPr>
          <w:rFonts w:ascii="Arial" w:hAnsi="Arial" w:cs="Arial"/>
          <w:sz w:val="22"/>
          <w:szCs w:val="22"/>
        </w:rPr>
        <w:t xml:space="preserve">Culture Amp (2024) </w:t>
      </w:r>
      <w:r w:rsidRPr="00A6528D">
        <w:rPr>
          <w:rFonts w:ascii="Arial" w:hAnsi="Arial" w:cs="Arial"/>
          <w:i/>
          <w:iCs/>
          <w:sz w:val="22"/>
          <w:szCs w:val="22"/>
        </w:rPr>
        <w:t>Employee Feedback Platform Overview</w:t>
      </w:r>
      <w:r w:rsidRPr="00A6528D">
        <w:rPr>
          <w:rFonts w:ascii="Arial" w:hAnsi="Arial" w:cs="Arial"/>
          <w:sz w:val="22"/>
          <w:szCs w:val="22"/>
        </w:rPr>
        <w:t xml:space="preserve">. [online] Available at: </w:t>
      </w:r>
      <w:hyperlink r:id="rId13" w:history="1">
        <w:r w:rsidRPr="00A6528D">
          <w:rPr>
            <w:rStyle w:val="Hyperlink"/>
            <w:rFonts w:ascii="Arial" w:hAnsi="Arial" w:cs="Arial"/>
            <w:sz w:val="22"/>
            <w:szCs w:val="22"/>
          </w:rPr>
          <w:t>https://www.cultuream</w:t>
        </w:r>
        <w:r w:rsidRPr="00A6528D">
          <w:rPr>
            <w:rStyle w:val="Hyperlink"/>
            <w:rFonts w:ascii="Arial" w:hAnsi="Arial" w:cs="Arial"/>
            <w:sz w:val="22"/>
            <w:szCs w:val="22"/>
          </w:rPr>
          <w:t>p</w:t>
        </w:r>
        <w:r w:rsidRPr="00A6528D">
          <w:rPr>
            <w:rStyle w:val="Hyperlink"/>
            <w:rFonts w:ascii="Arial" w:hAnsi="Arial" w:cs="Arial"/>
            <w:sz w:val="22"/>
            <w:szCs w:val="22"/>
          </w:rPr>
          <w:t>.com</w:t>
        </w:r>
      </w:hyperlink>
      <w:r w:rsidRPr="00A6528D">
        <w:rPr>
          <w:rFonts w:ascii="Arial" w:hAnsi="Arial" w:cs="Arial"/>
          <w:sz w:val="22"/>
          <w:szCs w:val="22"/>
        </w:rPr>
        <w:t xml:space="preserve">  (Accessed: 14 March 2026).</w:t>
      </w:r>
    </w:p>
    <w:p w14:paraId="52BDED0F" w14:textId="1B0873C4" w:rsidR="00A6528D" w:rsidRPr="00A6528D" w:rsidRDefault="00A6528D" w:rsidP="00A6528D">
      <w:pPr>
        <w:spacing w:line="360" w:lineRule="auto"/>
        <w:jc w:val="both"/>
        <w:rPr>
          <w:rFonts w:ascii="Arial" w:hAnsi="Arial" w:cs="Arial"/>
          <w:sz w:val="22"/>
          <w:szCs w:val="22"/>
        </w:rPr>
      </w:pPr>
      <w:r w:rsidRPr="00A6528D">
        <w:rPr>
          <w:rFonts w:ascii="Arial" w:hAnsi="Arial" w:cs="Arial"/>
          <w:sz w:val="22"/>
          <w:szCs w:val="22"/>
        </w:rPr>
        <w:t xml:space="preserve">Degreed (2024). </w:t>
      </w:r>
      <w:r w:rsidRPr="00A6528D">
        <w:rPr>
          <w:rFonts w:ascii="Arial" w:hAnsi="Arial" w:cs="Arial"/>
          <w:i/>
          <w:iCs/>
          <w:sz w:val="22"/>
          <w:szCs w:val="22"/>
        </w:rPr>
        <w:t xml:space="preserve">Skills </w:t>
      </w:r>
      <w:r>
        <w:rPr>
          <w:rFonts w:ascii="Arial" w:hAnsi="Arial" w:cs="Arial"/>
          <w:i/>
          <w:iCs/>
          <w:sz w:val="22"/>
          <w:szCs w:val="22"/>
        </w:rPr>
        <w:t>d</w:t>
      </w:r>
      <w:r w:rsidRPr="00A6528D">
        <w:rPr>
          <w:rFonts w:ascii="Arial" w:hAnsi="Arial" w:cs="Arial"/>
          <w:i/>
          <w:iCs/>
          <w:sz w:val="22"/>
          <w:szCs w:val="22"/>
        </w:rPr>
        <w:t xml:space="preserve">evelopment in the </w:t>
      </w:r>
      <w:r>
        <w:rPr>
          <w:rFonts w:ascii="Arial" w:hAnsi="Arial" w:cs="Arial"/>
          <w:i/>
          <w:iCs/>
          <w:sz w:val="22"/>
          <w:szCs w:val="22"/>
        </w:rPr>
        <w:t>d</w:t>
      </w:r>
      <w:r w:rsidRPr="00A6528D">
        <w:rPr>
          <w:rFonts w:ascii="Arial" w:hAnsi="Arial" w:cs="Arial"/>
          <w:i/>
          <w:iCs/>
          <w:sz w:val="22"/>
          <w:szCs w:val="22"/>
        </w:rPr>
        <w:t xml:space="preserve">igital </w:t>
      </w:r>
      <w:r>
        <w:rPr>
          <w:rFonts w:ascii="Arial" w:hAnsi="Arial" w:cs="Arial"/>
          <w:i/>
          <w:iCs/>
          <w:sz w:val="22"/>
          <w:szCs w:val="22"/>
        </w:rPr>
        <w:t>w</w:t>
      </w:r>
      <w:r w:rsidRPr="00A6528D">
        <w:rPr>
          <w:rFonts w:ascii="Arial" w:hAnsi="Arial" w:cs="Arial"/>
          <w:i/>
          <w:iCs/>
          <w:sz w:val="22"/>
          <w:szCs w:val="22"/>
        </w:rPr>
        <w:t>orkplace</w:t>
      </w:r>
      <w:r w:rsidRPr="00A6528D">
        <w:rPr>
          <w:rFonts w:ascii="Arial" w:hAnsi="Arial" w:cs="Arial"/>
          <w:sz w:val="22"/>
          <w:szCs w:val="22"/>
        </w:rPr>
        <w:t xml:space="preserve">. [online] Available at: </w:t>
      </w:r>
      <w:hyperlink r:id="rId14" w:history="1">
        <w:r w:rsidRPr="003E54B1">
          <w:rPr>
            <w:rStyle w:val="Hyperlink"/>
            <w:rFonts w:ascii="Arial" w:hAnsi="Arial" w:cs="Arial"/>
            <w:sz w:val="22"/>
            <w:szCs w:val="22"/>
          </w:rPr>
          <w:t>https://degreed</w:t>
        </w:r>
        <w:r w:rsidRPr="003E54B1">
          <w:rPr>
            <w:rStyle w:val="Hyperlink"/>
            <w:rFonts w:ascii="Arial" w:hAnsi="Arial" w:cs="Arial"/>
            <w:sz w:val="22"/>
            <w:szCs w:val="22"/>
          </w:rPr>
          <w:t>.</w:t>
        </w:r>
        <w:r w:rsidRPr="003E54B1">
          <w:rPr>
            <w:rStyle w:val="Hyperlink"/>
            <w:rFonts w:ascii="Arial" w:hAnsi="Arial" w:cs="Arial"/>
            <w:sz w:val="22"/>
            <w:szCs w:val="22"/>
          </w:rPr>
          <w:t>com/</w:t>
        </w:r>
      </w:hyperlink>
      <w:r>
        <w:rPr>
          <w:rFonts w:ascii="Arial" w:hAnsi="Arial" w:cs="Arial"/>
          <w:sz w:val="22"/>
          <w:szCs w:val="22"/>
        </w:rPr>
        <w:t xml:space="preserve"> </w:t>
      </w:r>
      <w:r w:rsidRPr="00A6528D">
        <w:rPr>
          <w:rFonts w:ascii="Arial" w:hAnsi="Arial" w:cs="Arial"/>
          <w:sz w:val="22"/>
          <w:szCs w:val="22"/>
        </w:rPr>
        <w:t xml:space="preserve"> (Accessed: 14 March 2026).</w:t>
      </w:r>
    </w:p>
    <w:p w14:paraId="56FC66D5" w14:textId="28B92425"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lastRenderedPageBreak/>
        <w:t>Deloitte (2024)</w:t>
      </w:r>
      <w:r w:rsidR="00117230">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Global human capital trends</w:t>
      </w:r>
      <w:r w:rsidRPr="00D708E2">
        <w:rPr>
          <w:rFonts w:ascii="Arial" w:hAnsi="Arial" w:cs="Arial"/>
          <w:sz w:val="22"/>
          <w:szCs w:val="22"/>
        </w:rPr>
        <w:t xml:space="preserve">. Available at: </w:t>
      </w:r>
      <w:hyperlink r:id="rId15" w:tgtFrame="_new" w:history="1">
        <w:r w:rsidRPr="00D708E2">
          <w:rPr>
            <w:rStyle w:val="Hyperlink"/>
            <w:rFonts w:ascii="Arial" w:hAnsi="Arial" w:cs="Arial"/>
            <w:sz w:val="22"/>
            <w:szCs w:val="22"/>
          </w:rPr>
          <w:t>https://www.deloitte.com</w:t>
        </w:r>
      </w:hyperlink>
      <w:r w:rsidRPr="00D708E2">
        <w:rPr>
          <w:rFonts w:ascii="Arial" w:hAnsi="Arial" w:cs="Arial"/>
          <w:sz w:val="22"/>
          <w:szCs w:val="22"/>
        </w:rPr>
        <w:t xml:space="preserve"> (Accessed: </w:t>
      </w:r>
      <w:r w:rsidR="003C0598">
        <w:rPr>
          <w:rFonts w:ascii="Arial" w:hAnsi="Arial" w:cs="Arial"/>
          <w:sz w:val="22"/>
          <w:szCs w:val="22"/>
        </w:rPr>
        <w:t>5 April</w:t>
      </w:r>
      <w:r w:rsidRPr="00D708E2">
        <w:rPr>
          <w:rFonts w:ascii="Arial" w:hAnsi="Arial" w:cs="Arial"/>
          <w:sz w:val="22"/>
          <w:szCs w:val="22"/>
        </w:rPr>
        <w:t xml:space="preserve"> 2026). </w:t>
      </w:r>
    </w:p>
    <w:p w14:paraId="2C01D505" w14:textId="2D210B84"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Gallup (2024)</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State of the global workplace report</w:t>
      </w:r>
      <w:r w:rsidRPr="00D708E2">
        <w:rPr>
          <w:rFonts w:ascii="Arial" w:hAnsi="Arial" w:cs="Arial"/>
          <w:sz w:val="22"/>
          <w:szCs w:val="22"/>
        </w:rPr>
        <w:t>. Washington: Gallup.</w:t>
      </w:r>
    </w:p>
    <w:p w14:paraId="5D55D9E9" w14:textId="3B8CA818"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Gold, J., Holden, R., Iles, P., Stewart, J. and Beardwell, J. (2013)</w:t>
      </w:r>
      <w:r w:rsidR="00FD5232">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Human resource development: Theory and practice</w:t>
      </w:r>
      <w:r w:rsidRPr="00D708E2">
        <w:rPr>
          <w:rFonts w:ascii="Arial" w:hAnsi="Arial" w:cs="Arial"/>
          <w:sz w:val="22"/>
          <w:szCs w:val="22"/>
        </w:rPr>
        <w:t xml:space="preserve">. 5th </w:t>
      </w:r>
      <w:proofErr w:type="spellStart"/>
      <w:r w:rsidRPr="00D708E2">
        <w:rPr>
          <w:rFonts w:ascii="Arial" w:hAnsi="Arial" w:cs="Arial"/>
          <w:sz w:val="22"/>
          <w:szCs w:val="22"/>
        </w:rPr>
        <w:t>edn</w:t>
      </w:r>
      <w:proofErr w:type="spellEnd"/>
      <w:r w:rsidRPr="00D708E2">
        <w:rPr>
          <w:rFonts w:ascii="Arial" w:hAnsi="Arial" w:cs="Arial"/>
          <w:sz w:val="22"/>
          <w:szCs w:val="22"/>
        </w:rPr>
        <w:t>. London: Palgrave Macmillan.</w:t>
      </w:r>
    </w:p>
    <w:p w14:paraId="4195A938" w14:textId="0A976080"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Henderson, I. (2019)</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Human resource management for MBA students</w:t>
      </w:r>
      <w:r w:rsidRPr="00D708E2">
        <w:rPr>
          <w:rFonts w:ascii="Arial" w:hAnsi="Arial" w:cs="Arial"/>
          <w:sz w:val="22"/>
          <w:szCs w:val="22"/>
        </w:rPr>
        <w:t xml:space="preserve">. 3rd </w:t>
      </w:r>
      <w:proofErr w:type="spellStart"/>
      <w:r w:rsidRPr="00D708E2">
        <w:rPr>
          <w:rFonts w:ascii="Arial" w:hAnsi="Arial" w:cs="Arial"/>
          <w:sz w:val="22"/>
          <w:szCs w:val="22"/>
        </w:rPr>
        <w:t>edn</w:t>
      </w:r>
      <w:proofErr w:type="spellEnd"/>
      <w:r w:rsidRPr="00D708E2">
        <w:rPr>
          <w:rFonts w:ascii="Arial" w:hAnsi="Arial" w:cs="Arial"/>
          <w:sz w:val="22"/>
          <w:szCs w:val="22"/>
        </w:rPr>
        <w:t>. London: CIPD.</w:t>
      </w:r>
    </w:p>
    <w:p w14:paraId="2589A090" w14:textId="1141CBAB"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Herzberg, F. (1959)</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The motivation to work</w:t>
      </w:r>
      <w:r w:rsidRPr="00D708E2">
        <w:rPr>
          <w:rFonts w:ascii="Arial" w:hAnsi="Arial" w:cs="Arial"/>
          <w:sz w:val="22"/>
          <w:szCs w:val="22"/>
        </w:rPr>
        <w:t>. New York: Wiley.</w:t>
      </w:r>
    </w:p>
    <w:p w14:paraId="2BE17846" w14:textId="2C2C6198"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Herzberg, F. (1966)</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Work and the nature of man</w:t>
      </w:r>
      <w:r w:rsidRPr="00D708E2">
        <w:rPr>
          <w:rFonts w:ascii="Arial" w:hAnsi="Arial" w:cs="Arial"/>
          <w:sz w:val="22"/>
          <w:szCs w:val="22"/>
        </w:rPr>
        <w:t>. Cleveland: World Publishing Company.</w:t>
      </w:r>
    </w:p>
    <w:p w14:paraId="03CFE59B" w14:textId="48C816F1"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Hofstede, G. (2011)</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Cultures and organizations: Software of the mind</w:t>
      </w:r>
      <w:r w:rsidRPr="00D708E2">
        <w:rPr>
          <w:rFonts w:ascii="Arial" w:hAnsi="Arial" w:cs="Arial"/>
          <w:sz w:val="22"/>
          <w:szCs w:val="22"/>
        </w:rPr>
        <w:t xml:space="preserve">. 3rd </w:t>
      </w:r>
      <w:proofErr w:type="spellStart"/>
      <w:r w:rsidRPr="00D708E2">
        <w:rPr>
          <w:rFonts w:ascii="Arial" w:hAnsi="Arial" w:cs="Arial"/>
          <w:sz w:val="22"/>
          <w:szCs w:val="22"/>
        </w:rPr>
        <w:t>edn</w:t>
      </w:r>
      <w:proofErr w:type="spellEnd"/>
      <w:r w:rsidRPr="00D708E2">
        <w:rPr>
          <w:rFonts w:ascii="Arial" w:hAnsi="Arial" w:cs="Arial"/>
          <w:sz w:val="22"/>
          <w:szCs w:val="22"/>
        </w:rPr>
        <w:t>. New York: McGraw-Hill.</w:t>
      </w:r>
    </w:p>
    <w:p w14:paraId="59A82C6C" w14:textId="77777777"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 xml:space="preserve">Kahn, W.A. (1990) ‘Psychological conditions of personal engagement and disengagement at work’, </w:t>
      </w:r>
      <w:r w:rsidRPr="00D708E2">
        <w:rPr>
          <w:rFonts w:ascii="Arial" w:hAnsi="Arial" w:cs="Arial"/>
          <w:i/>
          <w:iCs/>
          <w:sz w:val="22"/>
          <w:szCs w:val="22"/>
        </w:rPr>
        <w:t>Academy of Management Journal</w:t>
      </w:r>
      <w:r w:rsidRPr="00D708E2">
        <w:rPr>
          <w:rFonts w:ascii="Arial" w:hAnsi="Arial" w:cs="Arial"/>
          <w:sz w:val="22"/>
          <w:szCs w:val="22"/>
        </w:rPr>
        <w:t xml:space="preserve">, 33(4), pp. 692–724. </w:t>
      </w:r>
      <w:hyperlink r:id="rId16" w:tgtFrame="_new" w:history="1">
        <w:r w:rsidRPr="00D708E2">
          <w:rPr>
            <w:rStyle w:val="Hyperlink"/>
            <w:rFonts w:ascii="Arial" w:hAnsi="Arial" w:cs="Arial"/>
            <w:sz w:val="22"/>
            <w:szCs w:val="22"/>
          </w:rPr>
          <w:t>https://doi.org/10.2307/256287</w:t>
        </w:r>
      </w:hyperlink>
    </w:p>
    <w:p w14:paraId="23BCFF28" w14:textId="26BC9285"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Leatherbarrow, C. and Fletcher, J. (2018)</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Introduction to human resource management: A guide to HR in practice</w:t>
      </w:r>
      <w:r w:rsidRPr="00D708E2">
        <w:rPr>
          <w:rFonts w:ascii="Arial" w:hAnsi="Arial" w:cs="Arial"/>
          <w:sz w:val="22"/>
          <w:szCs w:val="22"/>
        </w:rPr>
        <w:t xml:space="preserve">. 4th </w:t>
      </w:r>
      <w:proofErr w:type="spellStart"/>
      <w:r w:rsidRPr="00D708E2">
        <w:rPr>
          <w:rFonts w:ascii="Arial" w:hAnsi="Arial" w:cs="Arial"/>
          <w:sz w:val="22"/>
          <w:szCs w:val="22"/>
        </w:rPr>
        <w:t>edn</w:t>
      </w:r>
      <w:proofErr w:type="spellEnd"/>
      <w:r w:rsidRPr="00D708E2">
        <w:rPr>
          <w:rFonts w:ascii="Arial" w:hAnsi="Arial" w:cs="Arial"/>
          <w:sz w:val="22"/>
          <w:szCs w:val="22"/>
        </w:rPr>
        <w:t>. London: CIPD.</w:t>
      </w:r>
    </w:p>
    <w:p w14:paraId="249565CB" w14:textId="19A8F4E3"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MacLeod, D. and Clarke, N. (2009)</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Engaging for success: Enhancing performance through employee engagement</w:t>
      </w:r>
      <w:r w:rsidRPr="00D708E2">
        <w:rPr>
          <w:rFonts w:ascii="Arial" w:hAnsi="Arial" w:cs="Arial"/>
          <w:sz w:val="22"/>
          <w:szCs w:val="22"/>
        </w:rPr>
        <w:t>. London: Department for Business, Innovation and Skills.</w:t>
      </w:r>
    </w:p>
    <w:p w14:paraId="126EE26F" w14:textId="77777777"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 xml:space="preserve">Marler, J.H. and Boudreau, J.W. (2017) ‘An evidence-based review of HR analytics’, </w:t>
      </w:r>
      <w:r w:rsidRPr="00D708E2">
        <w:rPr>
          <w:rFonts w:ascii="Arial" w:hAnsi="Arial" w:cs="Arial"/>
          <w:i/>
          <w:iCs/>
          <w:sz w:val="22"/>
          <w:szCs w:val="22"/>
        </w:rPr>
        <w:t>The International Journal of Human Resource Management</w:t>
      </w:r>
      <w:r w:rsidRPr="00D708E2">
        <w:rPr>
          <w:rFonts w:ascii="Arial" w:hAnsi="Arial" w:cs="Arial"/>
          <w:sz w:val="22"/>
          <w:szCs w:val="22"/>
        </w:rPr>
        <w:t xml:space="preserve">, 28(1), pp. 3–26. </w:t>
      </w:r>
      <w:hyperlink r:id="rId17" w:tgtFrame="_new" w:history="1">
        <w:r w:rsidRPr="00D708E2">
          <w:rPr>
            <w:rStyle w:val="Hyperlink"/>
            <w:rFonts w:ascii="Arial" w:hAnsi="Arial" w:cs="Arial"/>
            <w:sz w:val="22"/>
            <w:szCs w:val="22"/>
          </w:rPr>
          <w:t>https://doi.org/10.1080/09585192.2016.1244699</w:t>
        </w:r>
      </w:hyperlink>
    </w:p>
    <w:p w14:paraId="42F16CF4" w14:textId="77777777" w:rsidR="00D708E2" w:rsidRPr="00D708E2" w:rsidRDefault="00D708E2" w:rsidP="00D708E2">
      <w:pPr>
        <w:spacing w:line="360" w:lineRule="auto"/>
        <w:jc w:val="both"/>
        <w:rPr>
          <w:rFonts w:ascii="Arial" w:hAnsi="Arial" w:cs="Arial"/>
          <w:sz w:val="22"/>
          <w:szCs w:val="22"/>
        </w:rPr>
      </w:pPr>
      <w:proofErr w:type="spellStart"/>
      <w:r w:rsidRPr="00D708E2">
        <w:rPr>
          <w:rFonts w:ascii="Arial" w:hAnsi="Arial" w:cs="Arial"/>
          <w:sz w:val="22"/>
          <w:szCs w:val="22"/>
        </w:rPr>
        <w:t>Minbaeva</w:t>
      </w:r>
      <w:proofErr w:type="spellEnd"/>
      <w:r w:rsidRPr="00D708E2">
        <w:rPr>
          <w:rFonts w:ascii="Arial" w:hAnsi="Arial" w:cs="Arial"/>
          <w:sz w:val="22"/>
          <w:szCs w:val="22"/>
        </w:rPr>
        <w:t xml:space="preserve">, D. (2018) ‘Building credible human capital analytics for organizational competitive advantage’, </w:t>
      </w:r>
      <w:r w:rsidRPr="00D708E2">
        <w:rPr>
          <w:rFonts w:ascii="Arial" w:hAnsi="Arial" w:cs="Arial"/>
          <w:i/>
          <w:iCs/>
          <w:sz w:val="22"/>
          <w:szCs w:val="22"/>
        </w:rPr>
        <w:t>Human Resource Management</w:t>
      </w:r>
      <w:r w:rsidRPr="00D708E2">
        <w:rPr>
          <w:rFonts w:ascii="Arial" w:hAnsi="Arial" w:cs="Arial"/>
          <w:sz w:val="22"/>
          <w:szCs w:val="22"/>
        </w:rPr>
        <w:t xml:space="preserve">, 57(3), pp. 701–713. </w:t>
      </w:r>
      <w:hyperlink r:id="rId18" w:tgtFrame="_new" w:history="1">
        <w:r w:rsidRPr="00D708E2">
          <w:rPr>
            <w:rStyle w:val="Hyperlink"/>
            <w:rFonts w:ascii="Arial" w:hAnsi="Arial" w:cs="Arial"/>
            <w:sz w:val="22"/>
            <w:szCs w:val="22"/>
          </w:rPr>
          <w:t>https://doi.org/10.1002/hrm.21848</w:t>
        </w:r>
      </w:hyperlink>
    </w:p>
    <w:p w14:paraId="42EDA20F" w14:textId="0A72AC3E"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Morgan, J. (2015)</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The future of work: Attract new talent, build better leaders, and create a competitive organization</w:t>
      </w:r>
      <w:r w:rsidRPr="00D708E2">
        <w:rPr>
          <w:rFonts w:ascii="Arial" w:hAnsi="Arial" w:cs="Arial"/>
          <w:sz w:val="22"/>
          <w:szCs w:val="22"/>
        </w:rPr>
        <w:t>. Hoboken: Wiley.</w:t>
      </w:r>
    </w:p>
    <w:p w14:paraId="316EF5FD" w14:textId="133A00D2"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Mortensen, M. (2021)</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Is remote work better than being in the office? It’s complicated</w:t>
      </w:r>
      <w:r w:rsidRPr="00D708E2">
        <w:rPr>
          <w:rFonts w:ascii="Arial" w:hAnsi="Arial" w:cs="Arial"/>
          <w:sz w:val="22"/>
          <w:szCs w:val="22"/>
        </w:rPr>
        <w:t xml:space="preserve">. TED Talk. Available at: </w:t>
      </w:r>
      <w:hyperlink r:id="rId19" w:history="1">
        <w:r w:rsidR="00675FFB" w:rsidRPr="005C3AE7">
          <w:rPr>
            <w:rStyle w:val="Hyperlink"/>
            <w:rFonts w:ascii="Arial" w:hAnsi="Arial" w:cs="Arial"/>
            <w:sz w:val="22"/>
            <w:szCs w:val="22"/>
          </w:rPr>
          <w:t>https://www.ted.com/talks/mark_mortensen_is_remote_work_better_than_being_in_the_office_it_s_complicated</w:t>
        </w:r>
      </w:hyperlink>
      <w:r w:rsidR="00675FFB">
        <w:rPr>
          <w:rFonts w:ascii="Arial" w:hAnsi="Arial" w:cs="Arial"/>
          <w:sz w:val="22"/>
          <w:szCs w:val="22"/>
        </w:rPr>
        <w:t xml:space="preserve"> </w:t>
      </w:r>
      <w:r w:rsidRPr="00D708E2">
        <w:rPr>
          <w:rFonts w:ascii="Arial" w:hAnsi="Arial" w:cs="Arial"/>
          <w:sz w:val="22"/>
          <w:szCs w:val="22"/>
        </w:rPr>
        <w:t xml:space="preserve">(Accessed: </w:t>
      </w:r>
      <w:r w:rsidR="00E3174B">
        <w:rPr>
          <w:rFonts w:ascii="Arial" w:hAnsi="Arial" w:cs="Arial"/>
          <w:sz w:val="22"/>
          <w:szCs w:val="22"/>
        </w:rPr>
        <w:t>3</w:t>
      </w:r>
      <w:r w:rsidRPr="00D708E2">
        <w:rPr>
          <w:rFonts w:ascii="Arial" w:hAnsi="Arial" w:cs="Arial"/>
          <w:sz w:val="22"/>
          <w:szCs w:val="22"/>
        </w:rPr>
        <w:t xml:space="preserve"> April 2026).</w:t>
      </w:r>
    </w:p>
    <w:p w14:paraId="08DFAAE7" w14:textId="3A9DF691"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 xml:space="preserve">Qualtrics (2024) </w:t>
      </w:r>
      <w:r w:rsidRPr="00D708E2">
        <w:rPr>
          <w:rFonts w:ascii="Arial" w:hAnsi="Arial" w:cs="Arial"/>
          <w:i/>
          <w:iCs/>
          <w:sz w:val="22"/>
          <w:szCs w:val="22"/>
        </w:rPr>
        <w:t>Employee experience management</w:t>
      </w:r>
      <w:r w:rsidRPr="00D708E2">
        <w:rPr>
          <w:rFonts w:ascii="Arial" w:hAnsi="Arial" w:cs="Arial"/>
          <w:sz w:val="22"/>
          <w:szCs w:val="22"/>
        </w:rPr>
        <w:t xml:space="preserve">. Available at: </w:t>
      </w:r>
      <w:hyperlink r:id="rId20" w:history="1">
        <w:r w:rsidR="00FD5232" w:rsidRPr="003E54B1">
          <w:rPr>
            <w:rStyle w:val="Hyperlink"/>
            <w:rFonts w:ascii="Arial" w:hAnsi="Arial" w:cs="Arial"/>
            <w:sz w:val="22"/>
            <w:szCs w:val="22"/>
          </w:rPr>
          <w:t>https://www.qualtrics.com/employee-experien</w:t>
        </w:r>
        <w:r w:rsidR="00FD5232" w:rsidRPr="003E54B1">
          <w:rPr>
            <w:rStyle w:val="Hyperlink"/>
            <w:rFonts w:ascii="Arial" w:hAnsi="Arial" w:cs="Arial"/>
            <w:sz w:val="22"/>
            <w:szCs w:val="22"/>
          </w:rPr>
          <w:t>c</w:t>
        </w:r>
        <w:r w:rsidR="00FD5232" w:rsidRPr="003E54B1">
          <w:rPr>
            <w:rStyle w:val="Hyperlink"/>
            <w:rFonts w:ascii="Arial" w:hAnsi="Arial" w:cs="Arial"/>
            <w:sz w:val="22"/>
            <w:szCs w:val="22"/>
          </w:rPr>
          <w:t>e/</w:t>
        </w:r>
      </w:hyperlink>
      <w:r w:rsidR="00FD5232">
        <w:rPr>
          <w:rFonts w:ascii="Arial" w:hAnsi="Arial" w:cs="Arial"/>
          <w:sz w:val="22"/>
          <w:szCs w:val="22"/>
        </w:rPr>
        <w:t xml:space="preserve"> </w:t>
      </w:r>
      <w:r w:rsidR="00FD5232" w:rsidRPr="00FD5232">
        <w:rPr>
          <w:rFonts w:ascii="Arial" w:hAnsi="Arial" w:cs="Arial"/>
          <w:sz w:val="22"/>
          <w:szCs w:val="22"/>
        </w:rPr>
        <w:t>(Accessed: 14 March 2026).</w:t>
      </w:r>
    </w:p>
    <w:p w14:paraId="07AC180B" w14:textId="77777777"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lastRenderedPageBreak/>
        <w:t xml:space="preserve">Raghavan, M., Barocas, S., Kleinberg, J. and Levy, K. (2020) ‘Mitigating bias in algorithmic hiring’, </w:t>
      </w:r>
      <w:r w:rsidRPr="00D708E2">
        <w:rPr>
          <w:rFonts w:ascii="Arial" w:hAnsi="Arial" w:cs="Arial"/>
          <w:i/>
          <w:iCs/>
          <w:sz w:val="22"/>
          <w:szCs w:val="22"/>
        </w:rPr>
        <w:t>Proceedings of the 2020 Conference on Fairness, Accountability, and Transparency</w:t>
      </w:r>
      <w:r w:rsidRPr="00D708E2">
        <w:rPr>
          <w:rFonts w:ascii="Arial" w:hAnsi="Arial" w:cs="Arial"/>
          <w:sz w:val="22"/>
          <w:szCs w:val="22"/>
        </w:rPr>
        <w:t xml:space="preserve">, pp. 469–481. </w:t>
      </w:r>
      <w:hyperlink r:id="rId21" w:tgtFrame="_new" w:history="1">
        <w:r w:rsidRPr="00D708E2">
          <w:rPr>
            <w:rStyle w:val="Hyperlink"/>
            <w:rFonts w:ascii="Arial" w:hAnsi="Arial" w:cs="Arial"/>
            <w:sz w:val="22"/>
            <w:szCs w:val="22"/>
          </w:rPr>
          <w:t>https://doi.org/10.1145/3351095.3372828</w:t>
        </w:r>
      </w:hyperlink>
    </w:p>
    <w:p w14:paraId="70231358" w14:textId="2E281C0B"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 xml:space="preserve">Ramachandran, K.K., Mary, A.S., </w:t>
      </w:r>
      <w:proofErr w:type="spellStart"/>
      <w:r w:rsidRPr="00D708E2">
        <w:rPr>
          <w:rFonts w:ascii="Arial" w:hAnsi="Arial" w:cs="Arial"/>
          <w:sz w:val="22"/>
          <w:szCs w:val="22"/>
        </w:rPr>
        <w:t>Hawladar</w:t>
      </w:r>
      <w:proofErr w:type="spellEnd"/>
      <w:r w:rsidRPr="00D708E2">
        <w:rPr>
          <w:rFonts w:ascii="Arial" w:hAnsi="Arial" w:cs="Arial"/>
          <w:sz w:val="22"/>
          <w:szCs w:val="22"/>
        </w:rPr>
        <w:t xml:space="preserve">, S., Asokk, D., Bhaskar, B. and Pitroda, J.R. (2022) ‘Machine learning and role of artificial intelligence in optimizing work performance and employee behaviour’, </w:t>
      </w:r>
      <w:r w:rsidRPr="00D708E2">
        <w:rPr>
          <w:rFonts w:ascii="Arial" w:hAnsi="Arial" w:cs="Arial"/>
          <w:i/>
          <w:iCs/>
          <w:sz w:val="22"/>
          <w:szCs w:val="22"/>
        </w:rPr>
        <w:t>Materials Today: Proceedings</w:t>
      </w:r>
      <w:r w:rsidRPr="00D708E2">
        <w:rPr>
          <w:rFonts w:ascii="Arial" w:hAnsi="Arial" w:cs="Arial"/>
          <w:sz w:val="22"/>
          <w:szCs w:val="22"/>
        </w:rPr>
        <w:t xml:space="preserve">, 51(8). </w:t>
      </w:r>
      <w:hyperlink r:id="rId22" w:history="1">
        <w:r w:rsidR="00FD5232" w:rsidRPr="003E54B1">
          <w:rPr>
            <w:rStyle w:val="Hyperlink"/>
            <w:rFonts w:ascii="Arial" w:hAnsi="Arial" w:cs="Arial"/>
            <w:sz w:val="22"/>
            <w:szCs w:val="22"/>
          </w:rPr>
          <w:t>https://doi.org/10.1016/j.matpr.2021.1</w:t>
        </w:r>
        <w:r w:rsidR="00FD5232" w:rsidRPr="003E54B1">
          <w:rPr>
            <w:rStyle w:val="Hyperlink"/>
            <w:rFonts w:ascii="Arial" w:hAnsi="Arial" w:cs="Arial"/>
            <w:sz w:val="22"/>
            <w:szCs w:val="22"/>
          </w:rPr>
          <w:t>1</w:t>
        </w:r>
        <w:r w:rsidR="00FD5232" w:rsidRPr="003E54B1">
          <w:rPr>
            <w:rStyle w:val="Hyperlink"/>
            <w:rFonts w:ascii="Arial" w:hAnsi="Arial" w:cs="Arial"/>
            <w:sz w:val="22"/>
            <w:szCs w:val="22"/>
          </w:rPr>
          <w:t>.584</w:t>
        </w:r>
      </w:hyperlink>
      <w:r w:rsidR="00FD5232">
        <w:rPr>
          <w:rFonts w:ascii="Arial" w:hAnsi="Arial" w:cs="Arial"/>
          <w:sz w:val="22"/>
          <w:szCs w:val="22"/>
        </w:rPr>
        <w:t xml:space="preserve"> </w:t>
      </w:r>
    </w:p>
    <w:p w14:paraId="0CA9FD66" w14:textId="475420E6"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Rousseau, D. (1995)</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Psychological contracts in organizations: Understanding written and unwritten agreements</w:t>
      </w:r>
      <w:r w:rsidRPr="00D708E2">
        <w:rPr>
          <w:rFonts w:ascii="Arial" w:hAnsi="Arial" w:cs="Arial"/>
          <w:sz w:val="22"/>
          <w:szCs w:val="22"/>
        </w:rPr>
        <w:t xml:space="preserve">. Thousand Oaks, CA: Sage Publications. </w:t>
      </w:r>
      <w:hyperlink r:id="rId23" w:tgtFrame="_new" w:history="1">
        <w:r w:rsidRPr="00D708E2">
          <w:rPr>
            <w:rStyle w:val="Hyperlink"/>
            <w:rFonts w:ascii="Arial" w:hAnsi="Arial" w:cs="Arial"/>
            <w:sz w:val="22"/>
            <w:szCs w:val="22"/>
          </w:rPr>
          <w:t>https://doi.org/10.4135/9781452231594</w:t>
        </w:r>
      </w:hyperlink>
    </w:p>
    <w:p w14:paraId="706AF137" w14:textId="77777777"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 xml:space="preserve">Shore, L.M., Cleveland, J.N. and Sanchez, D. (2018) ‘Inclusive workplaces: A review and model’, </w:t>
      </w:r>
      <w:r w:rsidRPr="00D708E2">
        <w:rPr>
          <w:rFonts w:ascii="Arial" w:hAnsi="Arial" w:cs="Arial"/>
          <w:i/>
          <w:iCs/>
          <w:sz w:val="22"/>
          <w:szCs w:val="22"/>
        </w:rPr>
        <w:t>Human Resource Management Review</w:t>
      </w:r>
      <w:r w:rsidRPr="00D708E2">
        <w:rPr>
          <w:rFonts w:ascii="Arial" w:hAnsi="Arial" w:cs="Arial"/>
          <w:sz w:val="22"/>
          <w:szCs w:val="22"/>
        </w:rPr>
        <w:t xml:space="preserve">, 28(2), pp. 176–189. </w:t>
      </w:r>
      <w:hyperlink r:id="rId24" w:tgtFrame="_new" w:history="1">
        <w:r w:rsidRPr="00D708E2">
          <w:rPr>
            <w:rStyle w:val="Hyperlink"/>
            <w:rFonts w:ascii="Arial" w:hAnsi="Arial" w:cs="Arial"/>
            <w:sz w:val="22"/>
            <w:szCs w:val="22"/>
          </w:rPr>
          <w:t>https://doi.org/10.1016/j.hrmr.201</w:t>
        </w:r>
        <w:r w:rsidRPr="00D708E2">
          <w:rPr>
            <w:rStyle w:val="Hyperlink"/>
            <w:rFonts w:ascii="Arial" w:hAnsi="Arial" w:cs="Arial"/>
            <w:sz w:val="22"/>
            <w:szCs w:val="22"/>
          </w:rPr>
          <w:t>7</w:t>
        </w:r>
        <w:r w:rsidRPr="00D708E2">
          <w:rPr>
            <w:rStyle w:val="Hyperlink"/>
            <w:rFonts w:ascii="Arial" w:hAnsi="Arial" w:cs="Arial"/>
            <w:sz w:val="22"/>
            <w:szCs w:val="22"/>
          </w:rPr>
          <w:t>.07.003</w:t>
        </w:r>
      </w:hyperlink>
    </w:p>
    <w:p w14:paraId="51B4CFE7" w14:textId="77777777"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 xml:space="preserve">Stone, D.L., Deadrick, D.L., Lukaszewski, K.M. and Johnson, R. (2015) ‘The influence of technology on the future of human resource management’, </w:t>
      </w:r>
      <w:r w:rsidRPr="00D708E2">
        <w:rPr>
          <w:rFonts w:ascii="Arial" w:hAnsi="Arial" w:cs="Arial"/>
          <w:i/>
          <w:iCs/>
          <w:sz w:val="22"/>
          <w:szCs w:val="22"/>
        </w:rPr>
        <w:t>Human Resource Management Review</w:t>
      </w:r>
      <w:r w:rsidRPr="00D708E2">
        <w:rPr>
          <w:rFonts w:ascii="Arial" w:hAnsi="Arial" w:cs="Arial"/>
          <w:sz w:val="22"/>
          <w:szCs w:val="22"/>
        </w:rPr>
        <w:t xml:space="preserve">, 25(2), pp. 216–231. </w:t>
      </w:r>
      <w:hyperlink r:id="rId25" w:tgtFrame="_new" w:history="1">
        <w:r w:rsidRPr="00D708E2">
          <w:rPr>
            <w:rStyle w:val="Hyperlink"/>
            <w:rFonts w:ascii="Arial" w:hAnsi="Arial" w:cs="Arial"/>
            <w:sz w:val="22"/>
            <w:szCs w:val="22"/>
          </w:rPr>
          <w:t>https://doi.org/10.1016/j.hrmr.2015.01.002</w:t>
        </w:r>
      </w:hyperlink>
    </w:p>
    <w:p w14:paraId="2098B3C0" w14:textId="1A9DA532"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Tarique, I., Briscoe, D.R. and Schuler, R.S. (2016)</w:t>
      </w:r>
      <w:r>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International human resource management: Policies and practices for multinational enterprises</w:t>
      </w:r>
      <w:r w:rsidRPr="00D708E2">
        <w:rPr>
          <w:rFonts w:ascii="Arial" w:hAnsi="Arial" w:cs="Arial"/>
          <w:sz w:val="22"/>
          <w:szCs w:val="22"/>
        </w:rPr>
        <w:t xml:space="preserve">. 5th </w:t>
      </w:r>
      <w:proofErr w:type="spellStart"/>
      <w:r w:rsidRPr="00D708E2">
        <w:rPr>
          <w:rFonts w:ascii="Arial" w:hAnsi="Arial" w:cs="Arial"/>
          <w:sz w:val="22"/>
          <w:szCs w:val="22"/>
        </w:rPr>
        <w:t>edn</w:t>
      </w:r>
      <w:proofErr w:type="spellEnd"/>
      <w:r w:rsidRPr="00D708E2">
        <w:rPr>
          <w:rFonts w:ascii="Arial" w:hAnsi="Arial" w:cs="Arial"/>
          <w:sz w:val="22"/>
          <w:szCs w:val="22"/>
        </w:rPr>
        <w:t>. London: Routledge.</w:t>
      </w:r>
    </w:p>
    <w:p w14:paraId="1D3496A2" w14:textId="77777777"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 xml:space="preserve">Upadhyay, A.K. and Khandelwal, K. (2018) ‘Applying artificial intelligence: Implications for recruitment’, </w:t>
      </w:r>
      <w:r w:rsidRPr="00D708E2">
        <w:rPr>
          <w:rFonts w:ascii="Arial" w:hAnsi="Arial" w:cs="Arial"/>
          <w:i/>
          <w:iCs/>
          <w:sz w:val="22"/>
          <w:szCs w:val="22"/>
        </w:rPr>
        <w:t>Strategic HR Review</w:t>
      </w:r>
      <w:r w:rsidRPr="00D708E2">
        <w:rPr>
          <w:rFonts w:ascii="Arial" w:hAnsi="Arial" w:cs="Arial"/>
          <w:sz w:val="22"/>
          <w:szCs w:val="22"/>
        </w:rPr>
        <w:t xml:space="preserve">, 17(5), pp. 255–258. </w:t>
      </w:r>
      <w:hyperlink r:id="rId26" w:tgtFrame="_new" w:history="1">
        <w:r w:rsidRPr="00D708E2">
          <w:rPr>
            <w:rStyle w:val="Hyperlink"/>
            <w:rFonts w:ascii="Arial" w:hAnsi="Arial" w:cs="Arial"/>
            <w:sz w:val="22"/>
            <w:szCs w:val="22"/>
          </w:rPr>
          <w:t>https://doi.org/10.1108/SHR-07-2018-0051</w:t>
        </w:r>
      </w:hyperlink>
    </w:p>
    <w:p w14:paraId="05837C14" w14:textId="44695E3A" w:rsidR="00D708E2" w:rsidRPr="00D708E2" w:rsidRDefault="00D708E2" w:rsidP="00D708E2">
      <w:pPr>
        <w:spacing w:line="360" w:lineRule="auto"/>
        <w:jc w:val="both"/>
        <w:rPr>
          <w:rFonts w:ascii="Arial" w:hAnsi="Arial" w:cs="Arial"/>
          <w:sz w:val="22"/>
          <w:szCs w:val="22"/>
        </w:rPr>
      </w:pPr>
      <w:r w:rsidRPr="00D708E2">
        <w:rPr>
          <w:rFonts w:ascii="Arial" w:hAnsi="Arial" w:cs="Arial"/>
          <w:sz w:val="22"/>
          <w:szCs w:val="22"/>
        </w:rPr>
        <w:t xml:space="preserve">Vyas, L. (2022) ‘New normal at work in a post-COVID world: Work-life balance and </w:t>
      </w:r>
      <w:proofErr w:type="spellStart"/>
      <w:r w:rsidR="006234C2" w:rsidRPr="00D708E2">
        <w:rPr>
          <w:rFonts w:ascii="Arial" w:hAnsi="Arial" w:cs="Arial"/>
          <w:sz w:val="22"/>
          <w:szCs w:val="22"/>
        </w:rPr>
        <w:t>labor</w:t>
      </w:r>
      <w:proofErr w:type="spellEnd"/>
      <w:r w:rsidRPr="00D708E2">
        <w:rPr>
          <w:rFonts w:ascii="Arial" w:hAnsi="Arial" w:cs="Arial"/>
          <w:sz w:val="22"/>
          <w:szCs w:val="22"/>
        </w:rPr>
        <w:t xml:space="preserve"> markets’, </w:t>
      </w:r>
      <w:r w:rsidRPr="00D708E2">
        <w:rPr>
          <w:rFonts w:ascii="Arial" w:hAnsi="Arial" w:cs="Arial"/>
          <w:i/>
          <w:iCs/>
          <w:sz w:val="22"/>
          <w:szCs w:val="22"/>
        </w:rPr>
        <w:t>Policy and Society</w:t>
      </w:r>
      <w:r w:rsidRPr="00D708E2">
        <w:rPr>
          <w:rFonts w:ascii="Arial" w:hAnsi="Arial" w:cs="Arial"/>
          <w:sz w:val="22"/>
          <w:szCs w:val="22"/>
        </w:rPr>
        <w:t xml:space="preserve">, 41(1), pp. 155–167. </w:t>
      </w:r>
      <w:hyperlink r:id="rId27" w:tgtFrame="_new" w:history="1">
        <w:r w:rsidRPr="00D708E2">
          <w:rPr>
            <w:rStyle w:val="Hyperlink"/>
            <w:rFonts w:ascii="Arial" w:hAnsi="Arial" w:cs="Arial"/>
            <w:sz w:val="22"/>
            <w:szCs w:val="22"/>
          </w:rPr>
          <w:t>https://doi.org/10.1093/polsoc/puab011</w:t>
        </w:r>
      </w:hyperlink>
    </w:p>
    <w:p w14:paraId="203BB9B9" w14:textId="30F88975" w:rsidR="00FC3B4A" w:rsidRDefault="00D708E2" w:rsidP="00D708E2">
      <w:pPr>
        <w:spacing w:line="360" w:lineRule="auto"/>
        <w:jc w:val="both"/>
        <w:rPr>
          <w:rFonts w:ascii="Arial" w:hAnsi="Arial" w:cs="Arial"/>
          <w:sz w:val="22"/>
          <w:szCs w:val="22"/>
        </w:rPr>
      </w:pPr>
      <w:r w:rsidRPr="00D708E2">
        <w:rPr>
          <w:rFonts w:ascii="Arial" w:hAnsi="Arial" w:cs="Arial"/>
          <w:sz w:val="22"/>
          <w:szCs w:val="22"/>
        </w:rPr>
        <w:t>World Economic Forum (2024)</w:t>
      </w:r>
      <w:r w:rsidR="00AB0E2B">
        <w:rPr>
          <w:rFonts w:ascii="Arial" w:hAnsi="Arial" w:cs="Arial"/>
          <w:sz w:val="22"/>
          <w:szCs w:val="22"/>
        </w:rPr>
        <w:t>.</w:t>
      </w:r>
      <w:r w:rsidRPr="00D708E2">
        <w:rPr>
          <w:rFonts w:ascii="Arial" w:hAnsi="Arial" w:cs="Arial"/>
          <w:sz w:val="22"/>
          <w:szCs w:val="22"/>
        </w:rPr>
        <w:t xml:space="preserve"> </w:t>
      </w:r>
      <w:r w:rsidRPr="00D708E2">
        <w:rPr>
          <w:rFonts w:ascii="Arial" w:hAnsi="Arial" w:cs="Arial"/>
          <w:i/>
          <w:iCs/>
          <w:sz w:val="22"/>
          <w:szCs w:val="22"/>
        </w:rPr>
        <w:t xml:space="preserve">Future of </w:t>
      </w:r>
      <w:r w:rsidR="00AB0E2B">
        <w:rPr>
          <w:rFonts w:ascii="Arial" w:hAnsi="Arial" w:cs="Arial"/>
          <w:i/>
          <w:iCs/>
          <w:sz w:val="22"/>
          <w:szCs w:val="22"/>
        </w:rPr>
        <w:t>Jobs Report</w:t>
      </w:r>
      <w:r w:rsidRPr="00D708E2">
        <w:rPr>
          <w:rFonts w:ascii="Arial" w:hAnsi="Arial" w:cs="Arial"/>
          <w:sz w:val="22"/>
          <w:szCs w:val="22"/>
        </w:rPr>
        <w:t>. Geneva: World Economic Forum.</w:t>
      </w:r>
    </w:p>
    <w:p w14:paraId="1B49DE24" w14:textId="77777777" w:rsidR="00FC3B4A" w:rsidRDefault="00FC3B4A">
      <w:pPr>
        <w:rPr>
          <w:rFonts w:ascii="Arial" w:hAnsi="Arial" w:cs="Arial"/>
          <w:sz w:val="22"/>
          <w:szCs w:val="22"/>
        </w:rPr>
      </w:pPr>
      <w:r>
        <w:rPr>
          <w:rFonts w:ascii="Arial" w:hAnsi="Arial" w:cs="Arial"/>
          <w:sz w:val="22"/>
          <w:szCs w:val="22"/>
        </w:rPr>
        <w:br w:type="page"/>
      </w:r>
    </w:p>
    <w:p w14:paraId="0A888375" w14:textId="2AA2E7B2" w:rsidR="00F676AE" w:rsidRDefault="00F676AE" w:rsidP="00F676AE">
      <w:pPr>
        <w:pStyle w:val="Heading1"/>
        <w:spacing w:line="360" w:lineRule="auto"/>
        <w:jc w:val="both"/>
        <w:rPr>
          <w:rFonts w:ascii="Arial" w:hAnsi="Arial" w:cs="Arial"/>
          <w:sz w:val="24"/>
          <w:szCs w:val="24"/>
        </w:rPr>
      </w:pPr>
      <w:bookmarkStart w:id="15" w:name="_Toc227269235"/>
      <w:r w:rsidRPr="00F676AE">
        <w:rPr>
          <w:rFonts w:ascii="Arial" w:hAnsi="Arial" w:cs="Arial"/>
          <w:sz w:val="24"/>
          <w:szCs w:val="24"/>
        </w:rPr>
        <w:lastRenderedPageBreak/>
        <w:t>Appendix A – Technology Appraisal Summary</w:t>
      </w:r>
      <w:bookmarkEnd w:id="15"/>
    </w:p>
    <w:p w14:paraId="7636C0EC" w14:textId="77777777" w:rsidR="00F35A29" w:rsidRPr="00F35A29" w:rsidRDefault="00F35A29" w:rsidP="00F35A29"/>
    <w:tbl>
      <w:tblPr>
        <w:tblStyle w:val="TableGrid"/>
        <w:tblW w:w="0" w:type="auto"/>
        <w:tblLook w:val="04A0" w:firstRow="1" w:lastRow="0" w:firstColumn="1" w:lastColumn="0" w:noHBand="0" w:noVBand="1"/>
      </w:tblPr>
      <w:tblGrid>
        <w:gridCol w:w="1659"/>
        <w:gridCol w:w="1650"/>
        <w:gridCol w:w="2295"/>
        <w:gridCol w:w="1553"/>
        <w:gridCol w:w="1859"/>
      </w:tblGrid>
      <w:tr w:rsidR="00FF535F" w:rsidRPr="00FF535F" w14:paraId="40CAC9FD" w14:textId="77777777" w:rsidTr="008A74C7">
        <w:tc>
          <w:tcPr>
            <w:tcW w:w="0" w:type="auto"/>
            <w:hideMark/>
          </w:tcPr>
          <w:p w14:paraId="53258C59" w14:textId="77777777" w:rsidR="00FF535F" w:rsidRPr="00FF535F" w:rsidRDefault="00FF535F" w:rsidP="008A55BB">
            <w:pPr>
              <w:spacing w:line="360" w:lineRule="auto"/>
              <w:jc w:val="center"/>
              <w:rPr>
                <w:rFonts w:ascii="Arial" w:eastAsia="Times New Roman" w:hAnsi="Arial" w:cs="Arial"/>
                <w:b/>
                <w:bCs/>
                <w:kern w:val="0"/>
                <w:lang w:eastAsia="en-GB"/>
                <w14:ligatures w14:val="none"/>
              </w:rPr>
            </w:pPr>
            <w:r w:rsidRPr="00FF535F">
              <w:rPr>
                <w:rFonts w:ascii="Arial" w:eastAsia="Times New Roman" w:hAnsi="Arial" w:cs="Arial"/>
                <w:b/>
                <w:bCs/>
                <w:kern w:val="0"/>
                <w:lang w:eastAsia="en-GB"/>
                <w14:ligatures w14:val="none"/>
              </w:rPr>
              <w:t>Technology</w:t>
            </w:r>
          </w:p>
        </w:tc>
        <w:tc>
          <w:tcPr>
            <w:tcW w:w="0" w:type="auto"/>
            <w:hideMark/>
          </w:tcPr>
          <w:p w14:paraId="62860C3F" w14:textId="77777777" w:rsidR="00FF535F" w:rsidRPr="00FF535F" w:rsidRDefault="00FF535F" w:rsidP="008A55BB">
            <w:pPr>
              <w:spacing w:line="360" w:lineRule="auto"/>
              <w:jc w:val="center"/>
              <w:rPr>
                <w:rFonts w:ascii="Arial" w:eastAsia="Times New Roman" w:hAnsi="Arial" w:cs="Arial"/>
                <w:b/>
                <w:bCs/>
                <w:kern w:val="0"/>
                <w:lang w:eastAsia="en-GB"/>
                <w14:ligatures w14:val="none"/>
              </w:rPr>
            </w:pPr>
            <w:r w:rsidRPr="00FF535F">
              <w:rPr>
                <w:rFonts w:ascii="Arial" w:eastAsia="Times New Roman" w:hAnsi="Arial" w:cs="Arial"/>
                <w:b/>
                <w:bCs/>
                <w:kern w:val="0"/>
                <w:lang w:eastAsia="en-GB"/>
                <w14:ligatures w14:val="none"/>
              </w:rPr>
              <w:t>HR Area</w:t>
            </w:r>
          </w:p>
        </w:tc>
        <w:tc>
          <w:tcPr>
            <w:tcW w:w="0" w:type="auto"/>
            <w:hideMark/>
          </w:tcPr>
          <w:p w14:paraId="4B90A587" w14:textId="77777777" w:rsidR="00FF535F" w:rsidRPr="00FF535F" w:rsidRDefault="00FF535F" w:rsidP="008A55BB">
            <w:pPr>
              <w:spacing w:line="360" w:lineRule="auto"/>
              <w:jc w:val="center"/>
              <w:rPr>
                <w:rFonts w:ascii="Arial" w:eastAsia="Times New Roman" w:hAnsi="Arial" w:cs="Arial"/>
                <w:b/>
                <w:bCs/>
                <w:kern w:val="0"/>
                <w:lang w:eastAsia="en-GB"/>
                <w14:ligatures w14:val="none"/>
              </w:rPr>
            </w:pPr>
            <w:r w:rsidRPr="00FF535F">
              <w:rPr>
                <w:rFonts w:ascii="Arial" w:eastAsia="Times New Roman" w:hAnsi="Arial" w:cs="Arial"/>
                <w:b/>
                <w:bCs/>
                <w:kern w:val="0"/>
                <w:lang w:eastAsia="en-GB"/>
                <w14:ligatures w14:val="none"/>
              </w:rPr>
              <w:t>Benefits</w:t>
            </w:r>
          </w:p>
        </w:tc>
        <w:tc>
          <w:tcPr>
            <w:tcW w:w="0" w:type="auto"/>
            <w:hideMark/>
          </w:tcPr>
          <w:p w14:paraId="072B0151" w14:textId="77777777" w:rsidR="00FF535F" w:rsidRPr="00FF535F" w:rsidRDefault="00FF535F" w:rsidP="008A55BB">
            <w:pPr>
              <w:spacing w:line="360" w:lineRule="auto"/>
              <w:jc w:val="center"/>
              <w:rPr>
                <w:rFonts w:ascii="Arial" w:eastAsia="Times New Roman" w:hAnsi="Arial" w:cs="Arial"/>
                <w:b/>
                <w:bCs/>
                <w:kern w:val="0"/>
                <w:lang w:eastAsia="en-GB"/>
                <w14:ligatures w14:val="none"/>
              </w:rPr>
            </w:pPr>
            <w:r w:rsidRPr="00FF535F">
              <w:rPr>
                <w:rFonts w:ascii="Arial" w:eastAsia="Times New Roman" w:hAnsi="Arial" w:cs="Arial"/>
                <w:b/>
                <w:bCs/>
                <w:kern w:val="0"/>
                <w:lang w:eastAsia="en-GB"/>
                <w14:ligatures w14:val="none"/>
              </w:rPr>
              <w:t>Risks</w:t>
            </w:r>
          </w:p>
        </w:tc>
        <w:tc>
          <w:tcPr>
            <w:tcW w:w="0" w:type="auto"/>
            <w:hideMark/>
          </w:tcPr>
          <w:p w14:paraId="17DE28AA" w14:textId="77777777" w:rsidR="00FF535F" w:rsidRPr="00FF535F" w:rsidRDefault="00FF535F" w:rsidP="008A55BB">
            <w:pPr>
              <w:spacing w:line="360" w:lineRule="auto"/>
              <w:jc w:val="center"/>
              <w:rPr>
                <w:rFonts w:ascii="Arial" w:eastAsia="Times New Roman" w:hAnsi="Arial" w:cs="Arial"/>
                <w:b/>
                <w:bCs/>
                <w:kern w:val="0"/>
                <w:lang w:eastAsia="en-GB"/>
                <w14:ligatures w14:val="none"/>
              </w:rPr>
            </w:pPr>
            <w:r w:rsidRPr="00FF535F">
              <w:rPr>
                <w:rFonts w:ascii="Arial" w:eastAsia="Times New Roman" w:hAnsi="Arial" w:cs="Arial"/>
                <w:b/>
                <w:bCs/>
                <w:kern w:val="0"/>
                <w:lang w:eastAsia="en-GB"/>
                <w14:ligatures w14:val="none"/>
              </w:rPr>
              <w:t>Estimated Cost</w:t>
            </w:r>
          </w:p>
        </w:tc>
      </w:tr>
      <w:tr w:rsidR="00AB0E2B" w:rsidRPr="00FF535F" w14:paraId="587F65E3" w14:textId="77777777" w:rsidTr="00F06A3E">
        <w:tc>
          <w:tcPr>
            <w:tcW w:w="0" w:type="auto"/>
            <w:hideMark/>
          </w:tcPr>
          <w:p w14:paraId="3EB3CCA5" w14:textId="77777777" w:rsidR="00AB0E2B" w:rsidRPr="00FF535F" w:rsidRDefault="00AB0E2B" w:rsidP="00AB0E2B">
            <w:pPr>
              <w:spacing w:line="360" w:lineRule="auto"/>
              <w:rPr>
                <w:rFonts w:ascii="Arial" w:eastAsia="Times New Roman" w:hAnsi="Arial" w:cs="Arial"/>
                <w:kern w:val="0"/>
                <w:lang w:eastAsia="en-GB"/>
                <w14:ligatures w14:val="none"/>
              </w:rPr>
            </w:pPr>
            <w:r w:rsidRPr="00FF535F">
              <w:rPr>
                <w:rFonts w:ascii="Arial" w:eastAsia="Times New Roman" w:hAnsi="Arial" w:cs="Arial"/>
                <w:kern w:val="0"/>
                <w:lang w:eastAsia="en-GB"/>
                <w14:ligatures w14:val="none"/>
              </w:rPr>
              <w:t xml:space="preserve">Qualtrics </w:t>
            </w:r>
            <w:proofErr w:type="spellStart"/>
            <w:r w:rsidRPr="00FF535F">
              <w:rPr>
                <w:rFonts w:ascii="Arial" w:eastAsia="Times New Roman" w:hAnsi="Arial" w:cs="Arial"/>
                <w:kern w:val="0"/>
                <w:lang w:eastAsia="en-GB"/>
                <w14:ligatures w14:val="none"/>
              </w:rPr>
              <w:t>EmployeeXM</w:t>
            </w:r>
            <w:proofErr w:type="spellEnd"/>
          </w:p>
        </w:tc>
        <w:tc>
          <w:tcPr>
            <w:tcW w:w="0" w:type="auto"/>
            <w:hideMark/>
          </w:tcPr>
          <w:p w14:paraId="12BEB8B3" w14:textId="77777777" w:rsidR="00AB0E2B" w:rsidRPr="00FF535F" w:rsidRDefault="00AB0E2B" w:rsidP="00AB0E2B">
            <w:pPr>
              <w:spacing w:line="360" w:lineRule="auto"/>
              <w:rPr>
                <w:rFonts w:ascii="Arial" w:eastAsia="Times New Roman" w:hAnsi="Arial" w:cs="Arial"/>
                <w:kern w:val="0"/>
                <w:lang w:eastAsia="en-GB"/>
                <w14:ligatures w14:val="none"/>
              </w:rPr>
            </w:pPr>
            <w:r w:rsidRPr="00FF535F">
              <w:rPr>
                <w:rFonts w:ascii="Arial" w:eastAsia="Times New Roman" w:hAnsi="Arial" w:cs="Arial"/>
                <w:kern w:val="0"/>
                <w:lang w:eastAsia="en-GB"/>
                <w14:ligatures w14:val="none"/>
              </w:rPr>
              <w:t>Employee Engagement</w:t>
            </w:r>
          </w:p>
        </w:tc>
        <w:tc>
          <w:tcPr>
            <w:tcW w:w="0" w:type="auto"/>
            <w:hideMark/>
          </w:tcPr>
          <w:p w14:paraId="39C06DF0" w14:textId="5CD13EEA" w:rsidR="00AB0E2B" w:rsidRPr="00FF535F" w:rsidRDefault="00AB0E2B" w:rsidP="00AB0E2B">
            <w:pPr>
              <w:spacing w:line="360" w:lineRule="auto"/>
              <w:rPr>
                <w:rFonts w:ascii="Arial" w:eastAsia="Times New Roman" w:hAnsi="Arial" w:cs="Arial"/>
                <w:kern w:val="0"/>
                <w:lang w:eastAsia="en-GB"/>
                <w14:ligatures w14:val="none"/>
              </w:rPr>
            </w:pPr>
            <w:r w:rsidRPr="00FF535F">
              <w:rPr>
                <w:rFonts w:ascii="Arial" w:eastAsia="Times New Roman" w:hAnsi="Arial" w:cs="Arial"/>
                <w:kern w:val="0"/>
                <w:lang w:eastAsia="en-GB"/>
                <w14:ligatures w14:val="none"/>
              </w:rPr>
              <w:t>Real-time feedback, predictive analytic</w:t>
            </w:r>
            <w:r>
              <w:rPr>
                <w:rFonts w:ascii="Arial" w:eastAsia="Times New Roman" w:hAnsi="Arial" w:cs="Arial"/>
                <w:kern w:val="0"/>
                <w:lang w:eastAsia="en-GB"/>
                <w14:ligatures w14:val="none"/>
              </w:rPr>
              <w:t>s</w:t>
            </w:r>
            <w:r w:rsidRPr="00FF535F">
              <w:rPr>
                <w:rFonts w:ascii="Arial" w:eastAsia="Times New Roman" w:hAnsi="Arial" w:cs="Arial"/>
                <w:kern w:val="0"/>
                <w:lang w:eastAsia="en-GB"/>
                <w14:ligatures w14:val="none"/>
              </w:rPr>
              <w:t xml:space="preserve"> </w:t>
            </w:r>
            <w:r>
              <w:rPr>
                <w:rFonts w:ascii="Arial" w:eastAsia="Times New Roman" w:hAnsi="Arial" w:cs="Arial"/>
                <w:kern w:val="0"/>
                <w:lang w:eastAsia="en-GB"/>
                <w14:ligatures w14:val="none"/>
              </w:rPr>
              <w:t xml:space="preserve">and </w:t>
            </w:r>
            <w:r w:rsidRPr="00FF535F">
              <w:rPr>
                <w:rFonts w:ascii="Arial" w:eastAsia="Times New Roman" w:hAnsi="Arial" w:cs="Arial"/>
                <w:kern w:val="0"/>
                <w:lang w:eastAsia="en-GB"/>
                <w14:ligatures w14:val="none"/>
              </w:rPr>
              <w:t>improved retention strategies</w:t>
            </w:r>
          </w:p>
        </w:tc>
        <w:tc>
          <w:tcPr>
            <w:tcW w:w="0" w:type="auto"/>
            <w:hideMark/>
          </w:tcPr>
          <w:p w14:paraId="264671E5" w14:textId="77777777" w:rsidR="00AB0E2B" w:rsidRPr="00FF535F" w:rsidRDefault="00AB0E2B" w:rsidP="00AB0E2B">
            <w:pPr>
              <w:spacing w:line="360" w:lineRule="auto"/>
              <w:rPr>
                <w:rFonts w:ascii="Arial" w:eastAsia="Times New Roman" w:hAnsi="Arial" w:cs="Arial"/>
                <w:kern w:val="0"/>
                <w:lang w:eastAsia="en-GB"/>
                <w14:ligatures w14:val="none"/>
              </w:rPr>
            </w:pPr>
            <w:r w:rsidRPr="00FF535F">
              <w:rPr>
                <w:rFonts w:ascii="Arial" w:eastAsia="Times New Roman" w:hAnsi="Arial" w:cs="Arial"/>
                <w:kern w:val="0"/>
                <w:lang w:eastAsia="en-GB"/>
                <w14:ligatures w14:val="none"/>
              </w:rPr>
              <w:t>Data privacy concerns, participation fatigue</w:t>
            </w:r>
          </w:p>
        </w:tc>
        <w:tc>
          <w:tcPr>
            <w:tcW w:w="0" w:type="auto"/>
            <w:vAlign w:val="center"/>
            <w:hideMark/>
          </w:tcPr>
          <w:p w14:paraId="778C32A2" w14:textId="1C6CC39D" w:rsidR="00AB0E2B" w:rsidRPr="00FF535F" w:rsidRDefault="00AB0E2B" w:rsidP="00AB0E2B">
            <w:pPr>
              <w:spacing w:line="360" w:lineRule="auto"/>
              <w:rPr>
                <w:rFonts w:ascii="Arial" w:eastAsia="Times New Roman" w:hAnsi="Arial" w:cs="Arial"/>
                <w:kern w:val="0"/>
                <w:lang w:eastAsia="en-GB"/>
                <w14:ligatures w14:val="none"/>
              </w:rPr>
            </w:pPr>
            <w:r w:rsidRPr="007E71A5">
              <w:rPr>
                <w:rFonts w:ascii="Arial" w:hAnsi="Arial" w:cs="Arial"/>
                <w:sz w:val="22"/>
                <w:szCs w:val="22"/>
              </w:rPr>
              <w:t>£8–£15 per employee/month</w:t>
            </w:r>
          </w:p>
        </w:tc>
      </w:tr>
      <w:tr w:rsidR="00AB0E2B" w:rsidRPr="00FF535F" w14:paraId="2E1F216A" w14:textId="77777777" w:rsidTr="007F7BD3">
        <w:tc>
          <w:tcPr>
            <w:tcW w:w="0" w:type="auto"/>
            <w:hideMark/>
          </w:tcPr>
          <w:p w14:paraId="2A74AB2E" w14:textId="77777777" w:rsidR="00AB0E2B" w:rsidRPr="00FF535F" w:rsidRDefault="00AB0E2B" w:rsidP="00AB0E2B">
            <w:pPr>
              <w:spacing w:line="360" w:lineRule="auto"/>
              <w:rPr>
                <w:rFonts w:ascii="Arial" w:eastAsia="Times New Roman" w:hAnsi="Arial" w:cs="Arial"/>
                <w:kern w:val="0"/>
                <w:lang w:eastAsia="en-GB"/>
                <w14:ligatures w14:val="none"/>
              </w:rPr>
            </w:pPr>
            <w:r w:rsidRPr="00FF535F">
              <w:rPr>
                <w:rFonts w:ascii="Arial" w:eastAsia="Times New Roman" w:hAnsi="Arial" w:cs="Arial"/>
                <w:kern w:val="0"/>
                <w:lang w:eastAsia="en-GB"/>
                <w14:ligatures w14:val="none"/>
              </w:rPr>
              <w:t>Cornerstone OnDemand</w:t>
            </w:r>
          </w:p>
        </w:tc>
        <w:tc>
          <w:tcPr>
            <w:tcW w:w="0" w:type="auto"/>
            <w:hideMark/>
          </w:tcPr>
          <w:p w14:paraId="58D7C4E6" w14:textId="77777777" w:rsidR="00AB0E2B" w:rsidRPr="00FF535F" w:rsidRDefault="00AB0E2B" w:rsidP="00AB0E2B">
            <w:pPr>
              <w:spacing w:line="360" w:lineRule="auto"/>
              <w:rPr>
                <w:rFonts w:ascii="Arial" w:eastAsia="Times New Roman" w:hAnsi="Arial" w:cs="Arial"/>
                <w:kern w:val="0"/>
                <w:lang w:eastAsia="en-GB"/>
                <w14:ligatures w14:val="none"/>
              </w:rPr>
            </w:pPr>
            <w:r w:rsidRPr="00FF535F">
              <w:rPr>
                <w:rFonts w:ascii="Arial" w:eastAsia="Times New Roman" w:hAnsi="Arial" w:cs="Arial"/>
                <w:kern w:val="0"/>
                <w:lang w:eastAsia="en-GB"/>
                <w14:ligatures w14:val="none"/>
              </w:rPr>
              <w:t>Learning and Development</w:t>
            </w:r>
          </w:p>
        </w:tc>
        <w:tc>
          <w:tcPr>
            <w:tcW w:w="0" w:type="auto"/>
            <w:hideMark/>
          </w:tcPr>
          <w:p w14:paraId="68A98671" w14:textId="3491E107" w:rsidR="00AB0E2B" w:rsidRPr="00FF535F" w:rsidRDefault="00AB0E2B" w:rsidP="00AB0E2B">
            <w:pPr>
              <w:spacing w:line="360" w:lineRule="auto"/>
              <w:rPr>
                <w:rFonts w:ascii="Arial" w:eastAsia="Times New Roman" w:hAnsi="Arial" w:cs="Arial"/>
                <w:kern w:val="0"/>
                <w:lang w:eastAsia="en-GB"/>
                <w14:ligatures w14:val="none"/>
              </w:rPr>
            </w:pPr>
            <w:r w:rsidRPr="00FF535F">
              <w:rPr>
                <w:rFonts w:ascii="Arial" w:eastAsia="Times New Roman" w:hAnsi="Arial" w:cs="Arial"/>
                <w:kern w:val="0"/>
                <w:lang w:eastAsia="en-GB"/>
                <w14:ligatures w14:val="none"/>
              </w:rPr>
              <w:t>AI-driven learning recommendations, compliance training</w:t>
            </w:r>
            <w:r>
              <w:rPr>
                <w:rFonts w:ascii="Arial" w:eastAsia="Times New Roman" w:hAnsi="Arial" w:cs="Arial"/>
                <w:kern w:val="0"/>
                <w:lang w:eastAsia="en-GB"/>
                <w14:ligatures w14:val="none"/>
              </w:rPr>
              <w:t xml:space="preserve"> and </w:t>
            </w:r>
            <w:r w:rsidRPr="00FF535F">
              <w:rPr>
                <w:rFonts w:ascii="Arial" w:eastAsia="Times New Roman" w:hAnsi="Arial" w:cs="Arial"/>
                <w:kern w:val="0"/>
                <w:lang w:eastAsia="en-GB"/>
                <w14:ligatures w14:val="none"/>
              </w:rPr>
              <w:t>workforce capability development</w:t>
            </w:r>
          </w:p>
        </w:tc>
        <w:tc>
          <w:tcPr>
            <w:tcW w:w="0" w:type="auto"/>
            <w:hideMark/>
          </w:tcPr>
          <w:p w14:paraId="4A97838D" w14:textId="77777777" w:rsidR="00AB0E2B" w:rsidRPr="00FF535F" w:rsidRDefault="00AB0E2B" w:rsidP="00AB0E2B">
            <w:pPr>
              <w:spacing w:line="360" w:lineRule="auto"/>
              <w:rPr>
                <w:rFonts w:ascii="Arial" w:eastAsia="Times New Roman" w:hAnsi="Arial" w:cs="Arial"/>
                <w:kern w:val="0"/>
                <w:lang w:eastAsia="en-GB"/>
                <w14:ligatures w14:val="none"/>
              </w:rPr>
            </w:pPr>
            <w:r w:rsidRPr="00FF535F">
              <w:rPr>
                <w:rFonts w:ascii="Arial" w:eastAsia="Times New Roman" w:hAnsi="Arial" w:cs="Arial"/>
                <w:kern w:val="0"/>
                <w:lang w:eastAsia="en-GB"/>
                <w14:ligatures w14:val="none"/>
              </w:rPr>
              <w:t>Integration complexity, training needs</w:t>
            </w:r>
          </w:p>
        </w:tc>
        <w:tc>
          <w:tcPr>
            <w:tcW w:w="0" w:type="auto"/>
            <w:vAlign w:val="center"/>
            <w:hideMark/>
          </w:tcPr>
          <w:p w14:paraId="319EA4A5" w14:textId="2A9E5F32" w:rsidR="00AB0E2B" w:rsidRPr="00FF535F" w:rsidRDefault="00AB0E2B" w:rsidP="00AB0E2B">
            <w:pPr>
              <w:spacing w:line="360" w:lineRule="auto"/>
              <w:rPr>
                <w:rFonts w:ascii="Arial" w:eastAsia="Times New Roman" w:hAnsi="Arial" w:cs="Arial"/>
                <w:kern w:val="0"/>
                <w:lang w:eastAsia="en-GB"/>
                <w14:ligatures w14:val="none"/>
              </w:rPr>
            </w:pPr>
            <w:r w:rsidRPr="007E71A5">
              <w:rPr>
                <w:rFonts w:ascii="Arial" w:hAnsi="Arial" w:cs="Arial"/>
                <w:sz w:val="22"/>
                <w:szCs w:val="22"/>
              </w:rPr>
              <w:t>£20–£40 per employee/month</w:t>
            </w:r>
          </w:p>
        </w:tc>
      </w:tr>
    </w:tbl>
    <w:p w14:paraId="248D2D39" w14:textId="77777777" w:rsidR="00D708E2" w:rsidRPr="00D708E2" w:rsidRDefault="00D708E2" w:rsidP="00D708E2">
      <w:pPr>
        <w:spacing w:line="360" w:lineRule="auto"/>
        <w:jc w:val="both"/>
        <w:rPr>
          <w:rFonts w:ascii="Arial" w:hAnsi="Arial" w:cs="Arial"/>
          <w:sz w:val="22"/>
          <w:szCs w:val="22"/>
        </w:rPr>
      </w:pPr>
    </w:p>
    <w:p w14:paraId="4D86C8B9" w14:textId="77777777" w:rsidR="00C45F0A" w:rsidRPr="00C45F0A" w:rsidRDefault="00C45F0A" w:rsidP="00C45F0A">
      <w:pPr>
        <w:spacing w:line="360" w:lineRule="auto"/>
        <w:jc w:val="both"/>
        <w:rPr>
          <w:rFonts w:ascii="Arial" w:hAnsi="Arial" w:cs="Arial"/>
          <w:sz w:val="22"/>
          <w:szCs w:val="22"/>
        </w:rPr>
      </w:pPr>
    </w:p>
    <w:p w14:paraId="0C6E6A03" w14:textId="77777777" w:rsidR="00C45F0A" w:rsidRPr="00C45F0A" w:rsidRDefault="00C45F0A" w:rsidP="00C45F0A">
      <w:pPr>
        <w:spacing w:line="360" w:lineRule="auto"/>
        <w:jc w:val="both"/>
        <w:rPr>
          <w:rFonts w:ascii="Arial" w:hAnsi="Arial" w:cs="Arial"/>
          <w:sz w:val="22"/>
          <w:szCs w:val="22"/>
        </w:rPr>
      </w:pPr>
    </w:p>
    <w:p w14:paraId="163139DC" w14:textId="77777777" w:rsidR="004C3F12" w:rsidRPr="004C3F12" w:rsidRDefault="004C3F12" w:rsidP="004C3F12">
      <w:pPr>
        <w:spacing w:line="360" w:lineRule="auto"/>
        <w:jc w:val="both"/>
        <w:rPr>
          <w:rFonts w:ascii="Arial" w:hAnsi="Arial" w:cs="Arial"/>
          <w:sz w:val="22"/>
          <w:szCs w:val="22"/>
        </w:rPr>
      </w:pPr>
    </w:p>
    <w:p w14:paraId="50133E31" w14:textId="77777777" w:rsidR="00ED3A89" w:rsidRPr="004C3F12" w:rsidRDefault="00ED3A89" w:rsidP="004C3F12">
      <w:pPr>
        <w:spacing w:line="360" w:lineRule="auto"/>
        <w:jc w:val="both"/>
        <w:rPr>
          <w:rFonts w:ascii="Arial" w:hAnsi="Arial" w:cs="Arial"/>
          <w:sz w:val="22"/>
          <w:szCs w:val="22"/>
        </w:rPr>
      </w:pPr>
    </w:p>
    <w:sectPr w:rsidR="00ED3A89" w:rsidRPr="004C3F12">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83199A" w14:textId="77777777" w:rsidR="00186B7D" w:rsidRDefault="00186B7D" w:rsidP="004549EC">
      <w:pPr>
        <w:spacing w:after="0" w:line="240" w:lineRule="auto"/>
      </w:pPr>
      <w:r>
        <w:separator/>
      </w:r>
    </w:p>
  </w:endnote>
  <w:endnote w:type="continuationSeparator" w:id="0">
    <w:p w14:paraId="5E426542" w14:textId="77777777" w:rsidR="00186B7D" w:rsidRDefault="00186B7D" w:rsidP="004549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5492020"/>
      <w:docPartObj>
        <w:docPartGallery w:val="Page Numbers (Bottom of Page)"/>
        <w:docPartUnique/>
      </w:docPartObj>
    </w:sdtPr>
    <w:sdtEndPr>
      <w:rPr>
        <w:noProof/>
      </w:rPr>
    </w:sdtEndPr>
    <w:sdtContent>
      <w:p w14:paraId="3A80AAB2" w14:textId="36BCFA8B" w:rsidR="00FF021A" w:rsidRDefault="00FF02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474566" w14:textId="77777777" w:rsidR="004549EC" w:rsidRDefault="004549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25731E" w14:textId="77777777" w:rsidR="00186B7D" w:rsidRDefault="00186B7D" w:rsidP="004549EC">
      <w:pPr>
        <w:spacing w:after="0" w:line="240" w:lineRule="auto"/>
      </w:pPr>
      <w:r>
        <w:separator/>
      </w:r>
    </w:p>
  </w:footnote>
  <w:footnote w:type="continuationSeparator" w:id="0">
    <w:p w14:paraId="3D584A70" w14:textId="77777777" w:rsidR="00186B7D" w:rsidRDefault="00186B7D" w:rsidP="004549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2F0411"/>
    <w:multiLevelType w:val="multilevel"/>
    <w:tmpl w:val="818A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9E3F6D"/>
    <w:multiLevelType w:val="multilevel"/>
    <w:tmpl w:val="0BF64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8525985">
    <w:abstractNumId w:val="0"/>
  </w:num>
  <w:num w:numId="2" w16cid:durableId="1482118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A89"/>
    <w:rsid w:val="00117230"/>
    <w:rsid w:val="00141E92"/>
    <w:rsid w:val="00185D9E"/>
    <w:rsid w:val="00186B7D"/>
    <w:rsid w:val="00297583"/>
    <w:rsid w:val="0037265A"/>
    <w:rsid w:val="00373B57"/>
    <w:rsid w:val="003816AE"/>
    <w:rsid w:val="003C0598"/>
    <w:rsid w:val="004549EC"/>
    <w:rsid w:val="004B2A14"/>
    <w:rsid w:val="004C3F12"/>
    <w:rsid w:val="004C4F63"/>
    <w:rsid w:val="005273FE"/>
    <w:rsid w:val="00564A27"/>
    <w:rsid w:val="0057367D"/>
    <w:rsid w:val="006234C2"/>
    <w:rsid w:val="00654C3A"/>
    <w:rsid w:val="00675FFB"/>
    <w:rsid w:val="006C7352"/>
    <w:rsid w:val="006D1835"/>
    <w:rsid w:val="006F5CFF"/>
    <w:rsid w:val="007A3324"/>
    <w:rsid w:val="007C2197"/>
    <w:rsid w:val="007E6DA7"/>
    <w:rsid w:val="00802568"/>
    <w:rsid w:val="00803F65"/>
    <w:rsid w:val="00824178"/>
    <w:rsid w:val="008A55BB"/>
    <w:rsid w:val="008A669D"/>
    <w:rsid w:val="008A74C7"/>
    <w:rsid w:val="008D0E06"/>
    <w:rsid w:val="00982767"/>
    <w:rsid w:val="00A37052"/>
    <w:rsid w:val="00A6528D"/>
    <w:rsid w:val="00AB0E2B"/>
    <w:rsid w:val="00B97933"/>
    <w:rsid w:val="00BB0609"/>
    <w:rsid w:val="00C26A24"/>
    <w:rsid w:val="00C40736"/>
    <w:rsid w:val="00C42592"/>
    <w:rsid w:val="00C45F0A"/>
    <w:rsid w:val="00C56631"/>
    <w:rsid w:val="00CD1492"/>
    <w:rsid w:val="00D708E2"/>
    <w:rsid w:val="00D80C27"/>
    <w:rsid w:val="00DA7020"/>
    <w:rsid w:val="00DD469B"/>
    <w:rsid w:val="00E12398"/>
    <w:rsid w:val="00E3174B"/>
    <w:rsid w:val="00E50D96"/>
    <w:rsid w:val="00E622E8"/>
    <w:rsid w:val="00E90E21"/>
    <w:rsid w:val="00E93314"/>
    <w:rsid w:val="00EA3508"/>
    <w:rsid w:val="00ED3A89"/>
    <w:rsid w:val="00F11170"/>
    <w:rsid w:val="00F256C2"/>
    <w:rsid w:val="00F35A29"/>
    <w:rsid w:val="00F676AE"/>
    <w:rsid w:val="00FC3B4A"/>
    <w:rsid w:val="00FD5232"/>
    <w:rsid w:val="00FE6069"/>
    <w:rsid w:val="00FF021A"/>
    <w:rsid w:val="00FF5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D80D65"/>
  <w15:chartTrackingRefBased/>
  <w15:docId w15:val="{CA3CC6EC-5595-491A-9F25-6DC88EAE0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D3A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3A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3A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3A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3A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3A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3A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3A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3A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3A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3A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3A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3A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3A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3A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3A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3A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3A89"/>
    <w:rPr>
      <w:rFonts w:eastAsiaTheme="majorEastAsia" w:cstheme="majorBidi"/>
      <w:color w:val="272727" w:themeColor="text1" w:themeTint="D8"/>
    </w:rPr>
  </w:style>
  <w:style w:type="paragraph" w:styleId="Title">
    <w:name w:val="Title"/>
    <w:basedOn w:val="Normal"/>
    <w:next w:val="Normal"/>
    <w:link w:val="TitleChar"/>
    <w:uiPriority w:val="10"/>
    <w:qFormat/>
    <w:rsid w:val="00ED3A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3A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3A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3A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3A89"/>
    <w:pPr>
      <w:spacing w:before="160"/>
      <w:jc w:val="center"/>
    </w:pPr>
    <w:rPr>
      <w:i/>
      <w:iCs/>
      <w:color w:val="404040" w:themeColor="text1" w:themeTint="BF"/>
    </w:rPr>
  </w:style>
  <w:style w:type="character" w:customStyle="1" w:styleId="QuoteChar">
    <w:name w:val="Quote Char"/>
    <w:basedOn w:val="DefaultParagraphFont"/>
    <w:link w:val="Quote"/>
    <w:uiPriority w:val="29"/>
    <w:rsid w:val="00ED3A89"/>
    <w:rPr>
      <w:i/>
      <w:iCs/>
      <w:color w:val="404040" w:themeColor="text1" w:themeTint="BF"/>
    </w:rPr>
  </w:style>
  <w:style w:type="paragraph" w:styleId="ListParagraph">
    <w:name w:val="List Paragraph"/>
    <w:basedOn w:val="Normal"/>
    <w:uiPriority w:val="34"/>
    <w:qFormat/>
    <w:rsid w:val="00ED3A89"/>
    <w:pPr>
      <w:ind w:left="720"/>
      <w:contextualSpacing/>
    </w:pPr>
  </w:style>
  <w:style w:type="character" w:styleId="IntenseEmphasis">
    <w:name w:val="Intense Emphasis"/>
    <w:basedOn w:val="DefaultParagraphFont"/>
    <w:uiPriority w:val="21"/>
    <w:qFormat/>
    <w:rsid w:val="00ED3A89"/>
    <w:rPr>
      <w:i/>
      <w:iCs/>
      <w:color w:val="0F4761" w:themeColor="accent1" w:themeShade="BF"/>
    </w:rPr>
  </w:style>
  <w:style w:type="paragraph" w:styleId="IntenseQuote">
    <w:name w:val="Intense Quote"/>
    <w:basedOn w:val="Normal"/>
    <w:next w:val="Normal"/>
    <w:link w:val="IntenseQuoteChar"/>
    <w:uiPriority w:val="30"/>
    <w:qFormat/>
    <w:rsid w:val="00ED3A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3A89"/>
    <w:rPr>
      <w:i/>
      <w:iCs/>
      <w:color w:val="0F4761" w:themeColor="accent1" w:themeShade="BF"/>
    </w:rPr>
  </w:style>
  <w:style w:type="character" w:styleId="IntenseReference">
    <w:name w:val="Intense Reference"/>
    <w:basedOn w:val="DefaultParagraphFont"/>
    <w:uiPriority w:val="32"/>
    <w:qFormat/>
    <w:rsid w:val="00ED3A89"/>
    <w:rPr>
      <w:b/>
      <w:bCs/>
      <w:smallCaps/>
      <w:color w:val="0F4761" w:themeColor="accent1" w:themeShade="BF"/>
      <w:spacing w:val="5"/>
    </w:rPr>
  </w:style>
  <w:style w:type="character" w:styleId="Hyperlink">
    <w:name w:val="Hyperlink"/>
    <w:basedOn w:val="DefaultParagraphFont"/>
    <w:uiPriority w:val="99"/>
    <w:unhideWhenUsed/>
    <w:rsid w:val="004549EC"/>
    <w:rPr>
      <w:color w:val="467886" w:themeColor="hyperlink"/>
      <w:u w:val="single"/>
    </w:rPr>
  </w:style>
  <w:style w:type="character" w:styleId="UnresolvedMention">
    <w:name w:val="Unresolved Mention"/>
    <w:basedOn w:val="DefaultParagraphFont"/>
    <w:uiPriority w:val="99"/>
    <w:semiHidden/>
    <w:unhideWhenUsed/>
    <w:rsid w:val="004549EC"/>
    <w:rPr>
      <w:color w:val="605E5C"/>
      <w:shd w:val="clear" w:color="auto" w:fill="E1DFDD"/>
    </w:rPr>
  </w:style>
  <w:style w:type="paragraph" w:styleId="Header">
    <w:name w:val="header"/>
    <w:basedOn w:val="Normal"/>
    <w:link w:val="HeaderChar"/>
    <w:uiPriority w:val="99"/>
    <w:unhideWhenUsed/>
    <w:rsid w:val="004549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49EC"/>
  </w:style>
  <w:style w:type="paragraph" w:styleId="Footer">
    <w:name w:val="footer"/>
    <w:basedOn w:val="Normal"/>
    <w:link w:val="FooterChar"/>
    <w:uiPriority w:val="99"/>
    <w:unhideWhenUsed/>
    <w:rsid w:val="004549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49EC"/>
  </w:style>
  <w:style w:type="table" w:styleId="TableGrid">
    <w:name w:val="Table Grid"/>
    <w:basedOn w:val="TableNormal"/>
    <w:uiPriority w:val="39"/>
    <w:rsid w:val="008A74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A669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8A669D"/>
    <w:pPr>
      <w:spacing w:after="100"/>
    </w:pPr>
  </w:style>
  <w:style w:type="character" w:styleId="FollowedHyperlink">
    <w:name w:val="FollowedHyperlink"/>
    <w:basedOn w:val="DefaultParagraphFont"/>
    <w:uiPriority w:val="99"/>
    <w:semiHidden/>
    <w:unhideWhenUsed/>
    <w:rsid w:val="003816AE"/>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cultureamp.com" TargetMode="External"/><Relationship Id="rId18" Type="http://schemas.openxmlformats.org/officeDocument/2006/relationships/hyperlink" Target="https://doi.org/10.1002/hrm.21848" TargetMode="External"/><Relationship Id="rId26" Type="http://schemas.openxmlformats.org/officeDocument/2006/relationships/hyperlink" Target="https://doi.org/10.1108/SHR-07-2018-0051" TargetMode="External"/><Relationship Id="rId3" Type="http://schemas.openxmlformats.org/officeDocument/2006/relationships/styles" Target="styles.xml"/><Relationship Id="rId21" Type="http://schemas.openxmlformats.org/officeDocument/2006/relationships/hyperlink" Target="https://doi.org/10.1145/3351095.3372828" TargetMode="External"/><Relationship Id="rId7" Type="http://schemas.openxmlformats.org/officeDocument/2006/relationships/endnotes" Target="endnotes.xml"/><Relationship Id="rId12" Type="http://schemas.openxmlformats.org/officeDocument/2006/relationships/hyperlink" Target="https://www.cornerstoneondemand.com/resources" TargetMode="External"/><Relationship Id="rId17" Type="http://schemas.openxmlformats.org/officeDocument/2006/relationships/hyperlink" Target="https://doi.org/10.1080/09585192.2016.1244699" TargetMode="External"/><Relationship Id="rId25" Type="http://schemas.openxmlformats.org/officeDocument/2006/relationships/hyperlink" Target="https://doi.org/10.1016/j.hrmr.2015.01.002" TargetMode="External"/><Relationship Id="rId2" Type="http://schemas.openxmlformats.org/officeDocument/2006/relationships/numbering" Target="numbering.xml"/><Relationship Id="rId16" Type="http://schemas.openxmlformats.org/officeDocument/2006/relationships/hyperlink" Target="https://doi.org/10.2307/256287" TargetMode="External"/><Relationship Id="rId20" Type="http://schemas.openxmlformats.org/officeDocument/2006/relationships/hyperlink" Target="https://www.qualtrics.com/employee-experience/"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uk/knowledge/factsheets/engagement-factsheet" TargetMode="External"/><Relationship Id="rId24" Type="http://schemas.openxmlformats.org/officeDocument/2006/relationships/hyperlink" Target="https://doi.org/10.1016/j.hrmr.2017.07.003" TargetMode="External"/><Relationship Id="rId5" Type="http://schemas.openxmlformats.org/officeDocument/2006/relationships/webSettings" Target="webSettings.xml"/><Relationship Id="rId15" Type="http://schemas.openxmlformats.org/officeDocument/2006/relationships/hyperlink" Target="https://www.deloitte.com" TargetMode="External"/><Relationship Id="rId23" Type="http://schemas.openxmlformats.org/officeDocument/2006/relationships/hyperlink" Target="https://doi.org/10.4135/9781452231594" TargetMode="External"/><Relationship Id="rId28" Type="http://schemas.openxmlformats.org/officeDocument/2006/relationships/footer" Target="footer1.xml"/><Relationship Id="rId10" Type="http://schemas.openxmlformats.org/officeDocument/2006/relationships/hyperlink" Target="https://www.cipd.org/uk/topics/people-analytics/" TargetMode="External"/><Relationship Id="rId19" Type="http://schemas.openxmlformats.org/officeDocument/2006/relationships/hyperlink" Target="https://www.ted.com/talks/mark_mortensen_is_remote_work_better_than_being_in_the_office_it_s_complicated" TargetMode="External"/><Relationship Id="rId4" Type="http://schemas.openxmlformats.org/officeDocument/2006/relationships/settings" Target="settings.xml"/><Relationship Id="rId9" Type="http://schemas.openxmlformats.org/officeDocument/2006/relationships/hyperlink" Target="https://doi.org/10.7208/chicago/9780226041223.001.0001" TargetMode="External"/><Relationship Id="rId14" Type="http://schemas.openxmlformats.org/officeDocument/2006/relationships/hyperlink" Target="https://degreed.com/" TargetMode="External"/><Relationship Id="rId22" Type="http://schemas.openxmlformats.org/officeDocument/2006/relationships/hyperlink" Target="https://doi.org/10.1016/j.matpr.2021.11.584" TargetMode="External"/><Relationship Id="rId27" Type="http://schemas.openxmlformats.org/officeDocument/2006/relationships/hyperlink" Target="https://doi.org/10.1093/polsoc/puab011"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F6027B-9552-4CC6-BD3D-7968F8FA3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4478</Words>
  <Characters>25528</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Venelin Iliev</dc:creator>
  <cp:keywords/>
  <dc:description/>
  <cp:lastModifiedBy>Venelin Iliev</cp:lastModifiedBy>
  <cp:revision>2</cp:revision>
  <dcterms:created xsi:type="dcterms:W3CDTF">2026-04-16T21:18:00Z</dcterms:created>
  <dcterms:modified xsi:type="dcterms:W3CDTF">2026-04-16T21:18:00Z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5b396615-55d5-483a-905b-e1eca683dd05</vt:lpwstr>
  </property>
</Properties>
</file>