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B6D43" w14:textId="77777777" w:rsidR="00763B2C" w:rsidRPr="00763B2C" w:rsidRDefault="00763B2C" w:rsidP="00763B2C">
      <w:pPr>
        <w:spacing w:line="360" w:lineRule="auto"/>
        <w:rPr>
          <w:rFonts w:ascii="Arial" w:hAnsi="Arial" w:cs="Arial"/>
          <w:sz w:val="22"/>
          <w:szCs w:val="22"/>
        </w:rPr>
      </w:pPr>
    </w:p>
    <w:p w14:paraId="6ABB7615" w14:textId="77777777" w:rsidR="00763B2C" w:rsidRPr="00763B2C" w:rsidRDefault="00763B2C" w:rsidP="00763B2C">
      <w:pPr>
        <w:spacing w:line="360" w:lineRule="auto"/>
        <w:ind w:left="360"/>
        <w:rPr>
          <w:rFonts w:ascii="Arial" w:hAnsi="Arial" w:cs="Arial"/>
          <w:sz w:val="22"/>
          <w:szCs w:val="22"/>
        </w:rPr>
      </w:pPr>
      <w:r w:rsidRPr="00763B2C">
        <w:rPr>
          <w:rFonts w:ascii="Arial" w:hAnsi="Arial" w:cs="Arial"/>
          <w:sz w:val="22"/>
          <w:szCs w:val="22"/>
        </w:rPr>
        <w:t xml:space="preserve">Written Assignment 1500 words </w:t>
      </w:r>
    </w:p>
    <w:p w14:paraId="10E76A4C" w14:textId="77777777" w:rsidR="00763B2C" w:rsidRPr="00763B2C" w:rsidRDefault="00763B2C" w:rsidP="00763B2C">
      <w:pPr>
        <w:spacing w:line="360" w:lineRule="auto"/>
        <w:rPr>
          <w:rFonts w:ascii="Arial" w:hAnsi="Arial" w:cs="Arial"/>
          <w:sz w:val="22"/>
          <w:szCs w:val="22"/>
        </w:rPr>
      </w:pPr>
    </w:p>
    <w:p w14:paraId="3572D627" w14:textId="34ADF6F2" w:rsidR="001307DF" w:rsidRPr="00763B2C" w:rsidRDefault="001307DF" w:rsidP="00763B2C">
      <w:pPr>
        <w:pStyle w:val="ListParagraph"/>
        <w:numPr>
          <w:ilvl w:val="0"/>
          <w:numId w:val="5"/>
        </w:numPr>
        <w:spacing w:line="360" w:lineRule="auto"/>
        <w:rPr>
          <w:rFonts w:ascii="Arial" w:hAnsi="Arial" w:cs="Arial"/>
          <w:sz w:val="22"/>
          <w:szCs w:val="22"/>
        </w:rPr>
      </w:pPr>
      <w:r w:rsidRPr="00763B2C">
        <w:rPr>
          <w:rFonts w:ascii="Arial" w:hAnsi="Arial" w:cs="Arial"/>
          <w:sz w:val="22"/>
          <w:szCs w:val="22"/>
        </w:rPr>
        <w:t>Intro</w:t>
      </w:r>
    </w:p>
    <w:p w14:paraId="341C1F45" w14:textId="77777777" w:rsidR="001307DF" w:rsidRPr="00763B2C" w:rsidRDefault="001307DF" w:rsidP="00763B2C">
      <w:pPr>
        <w:spacing w:line="360" w:lineRule="auto"/>
        <w:ind w:left="360"/>
        <w:rPr>
          <w:rFonts w:ascii="Arial" w:hAnsi="Arial" w:cs="Arial"/>
          <w:sz w:val="22"/>
          <w:szCs w:val="22"/>
        </w:rPr>
      </w:pPr>
      <w:r w:rsidRPr="00763B2C">
        <w:rPr>
          <w:rFonts w:ascii="Arial" w:hAnsi="Arial" w:cs="Arial"/>
          <w:sz w:val="22"/>
          <w:szCs w:val="22"/>
        </w:rPr>
        <w:t>The way communication is conveyed by integrated health and social care workers for people with complex needs relies solemnly on good information sharing, strong administrative discipline, and effective professional collaboration. This report will analyse a case study involving Mrs. Mann, a 72-year-old woman who has recently been discharged home following a hip replacement. Mrs. Mann is a lady who lives alone and relies on a multi-agency support system, including domiciliary care workers, her General Practitioner (GP), and a community physiotherapist. As a result of Mrs. Mann speaking a limited amount of English as Urdu is her first language, which requires interpretation from her daughter. The main barrier in her care is miscommunication resulting in delayed medication change and documentation inconsistence’s demonstrates weaknesses within the patient care pathway. These instances of how failures in fundamental professional practice the potential can have to impact patient safety and clinical coordination The aim of this report is to discuss the essential importance of effective communication, strong administrative and record-keeping skills, and teamwork in maintaining the high standards of care expected across UK health and social care services.</w:t>
      </w:r>
    </w:p>
    <w:p w14:paraId="35E873D5" w14:textId="0EFF6F21" w:rsidR="001307DF" w:rsidRPr="00763B2C" w:rsidRDefault="001307DF" w:rsidP="00763B2C">
      <w:pPr>
        <w:spacing w:line="360" w:lineRule="auto"/>
        <w:rPr>
          <w:rFonts w:ascii="Arial" w:hAnsi="Arial" w:cs="Arial"/>
          <w:sz w:val="22"/>
          <w:szCs w:val="22"/>
        </w:rPr>
      </w:pPr>
    </w:p>
    <w:p w14:paraId="7856F949" w14:textId="1BC964F8" w:rsidR="00763B2C" w:rsidRPr="00763B2C" w:rsidRDefault="00763B2C" w:rsidP="00763B2C">
      <w:pPr>
        <w:pStyle w:val="ListParagraph"/>
        <w:numPr>
          <w:ilvl w:val="0"/>
          <w:numId w:val="5"/>
        </w:numPr>
        <w:spacing w:line="360" w:lineRule="auto"/>
        <w:jc w:val="both"/>
        <w:rPr>
          <w:rFonts w:ascii="Arial" w:hAnsi="Arial" w:cs="Arial"/>
          <w:sz w:val="22"/>
          <w:szCs w:val="22"/>
        </w:rPr>
      </w:pPr>
      <w:r w:rsidRPr="00763B2C">
        <w:rPr>
          <w:rFonts w:ascii="Arial" w:hAnsi="Arial" w:cs="Arial"/>
          <w:color w:val="000000"/>
          <w:sz w:val="22"/>
          <w:szCs w:val="22"/>
        </w:rPr>
        <w:t xml:space="preserve">Discuss the importance of effective communication within the context of Mrs Mann’s care. </w:t>
      </w:r>
    </w:p>
    <w:p w14:paraId="00D282C1" w14:textId="0E885DC0" w:rsidR="001307DF" w:rsidRPr="00763B2C" w:rsidRDefault="001307DF" w:rsidP="00763B2C">
      <w:pPr>
        <w:spacing w:line="360" w:lineRule="auto"/>
        <w:ind w:left="360"/>
        <w:rPr>
          <w:rFonts w:ascii="Arial" w:hAnsi="Arial" w:cs="Arial"/>
          <w:sz w:val="22"/>
          <w:szCs w:val="22"/>
        </w:rPr>
      </w:pPr>
      <w:r w:rsidRPr="00763B2C">
        <w:rPr>
          <w:rFonts w:ascii="Arial" w:hAnsi="Arial" w:cs="Arial"/>
          <w:sz w:val="22"/>
          <w:szCs w:val="22"/>
        </w:rPr>
        <w:t>Effective communication is key to safe care and the review of the failure that delayed Mrs Mann’s medication demonstrates the serious impact when communication fails. For a service user with post-surgical care needs and a language barrier like Mrs. Mann, communication directly impacts Keeping patients safe, building trust, and ensuring care plans are followed (NHS England, 2020). Communication with Mrs. Mann and her family should revolve around principles of equality and person-centred care approach. The Equality Act 2010 is relevant here, as health and social care enablers have a duty not to discriminate based on protected characteristics. This duty includes adjusting for linguistic needs to ensure equal access to services. Consequently, communication barriers must be addressed through the provision of ‘reasonable adjustments’ (Equality Act 2010). Mrs Mann relies solely on her daughter to interpret any messages from the care providers. As a result of this not only increases the risk of miscommunication but also blurs professional and family boundaries and undermining Mrs. Mann’s right to a private consultation. Within this situation, the care providers should access and use interpreting services to avoid discrepancies and create clarity and confidentiality when having discussions, consent for any procedures and any medication instructions with Mrs Mann. Verbal communication should be aided with translated Urdu documentations as another way to avoid miscommunication as it will also prompt Mrs Mann to be independent and aware of the care provided for her.</w:t>
      </w:r>
    </w:p>
    <w:p w14:paraId="2081350A" w14:textId="17DC9382" w:rsidR="001307DF" w:rsidRPr="00763B2C" w:rsidRDefault="001307DF" w:rsidP="00763B2C">
      <w:pPr>
        <w:spacing w:line="360" w:lineRule="auto"/>
        <w:rPr>
          <w:rFonts w:ascii="Arial" w:hAnsi="Arial" w:cs="Arial"/>
          <w:sz w:val="22"/>
          <w:szCs w:val="22"/>
        </w:rPr>
      </w:pPr>
    </w:p>
    <w:p w14:paraId="2F9B6E20" w14:textId="696109F0" w:rsidR="00763B2C" w:rsidRPr="00763B2C" w:rsidRDefault="001307DF" w:rsidP="00763B2C">
      <w:pPr>
        <w:spacing w:line="360" w:lineRule="auto"/>
        <w:ind w:left="36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Berlo’s Sender, Message, Channel and Receiver (SMCR) Model provides a practical framework for understanding effective communication (Berlo, 1960). According to the model the way successful communication will occur all relies on the qualities of the Sender. For example, the care worker should send a clear and concise message about the patient’s medication. After that, the way the message is expressed through the channel (verbal, written, face-to-face, or via an interpreter). Then finally the receiver’s ability to interpret the message in this scenario Mrs Mann. The language barrier adds a lot of noise, delaying Mrs Mann’s ability to decode information. The care team must adjust their communication and use the interpreter efficiently to ensure the message is transferred accurately. Furthermore, the model highlights the importance of feedback and reviews. Regarding Mrs Mann the staff should regularly check if the patient is understanding her care plan and medication regime. This should be done rather than relying on closed questions</w:t>
      </w:r>
      <w:r w:rsidR="00E25560" w:rsidRPr="00763B2C">
        <w:rPr>
          <w:rFonts w:ascii="Arial" w:hAnsi="Arial" w:cs="Arial"/>
          <w:color w:val="000000"/>
          <w:sz w:val="22"/>
          <w:szCs w:val="22"/>
        </w:rPr>
        <w:t xml:space="preserve"> (Skills for Care, 2013)</w:t>
      </w:r>
      <w:r w:rsidRPr="00763B2C">
        <w:rPr>
          <w:rFonts w:ascii="Arial" w:hAnsi="Arial" w:cs="Arial"/>
          <w:color w:val="172B4D"/>
          <w:sz w:val="22"/>
          <w:szCs w:val="22"/>
          <w:shd w:val="clear" w:color="auto" w:fill="FFFFFF"/>
        </w:rPr>
        <w:t xml:space="preserve">. Applied consistently and in line with the Equality Act 2010, it allows the care team to turn communication barriers into opportunities for respectful, empowering care. </w:t>
      </w:r>
    </w:p>
    <w:p w14:paraId="78DC9C49" w14:textId="77777777" w:rsidR="00763B2C" w:rsidRPr="00763B2C" w:rsidRDefault="00763B2C" w:rsidP="00763B2C">
      <w:pPr>
        <w:pStyle w:val="ListParagraph"/>
        <w:spacing w:line="360" w:lineRule="auto"/>
        <w:ind w:left="1440"/>
        <w:jc w:val="both"/>
        <w:rPr>
          <w:rFonts w:ascii="Arial" w:hAnsi="Arial" w:cs="Arial"/>
          <w:sz w:val="22"/>
          <w:szCs w:val="22"/>
        </w:rPr>
      </w:pPr>
    </w:p>
    <w:p w14:paraId="5583F4B7" w14:textId="1F0F4C5B" w:rsidR="001307DF" w:rsidRPr="00763B2C" w:rsidRDefault="001307DF" w:rsidP="00763B2C">
      <w:pPr>
        <w:spacing w:line="360" w:lineRule="auto"/>
        <w:ind w:left="36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The concern regarding inconsistent documentation and the resulting delay in Mrs Mann’s medication adjustment emphasises the essential role of strong administrative skills and effective record keeping in professional practice. Care records provide the main evidence of the care delivered, both clinically and legally (NMC, 2019). For Mrs Mann poor administrative practices broke the documentation chain which then created a critical gap in information about her medication change. To prevent these failures from reoccurring all records must meet the professional standards. Care records should be accurate, recorded in real time, legible, signed and dated by the responsible practitioner, and relevant to clinical needs. Standardised, centralised, and well-structured documentation, accessible to all professionals involved, is crucial to maintaining seamless care and avoiding gaps.</w:t>
      </w:r>
    </w:p>
    <w:p w14:paraId="7350DC9A" w14:textId="77777777" w:rsidR="001307DF" w:rsidRPr="00763B2C" w:rsidRDefault="001307DF" w:rsidP="00763B2C">
      <w:pPr>
        <w:spacing w:line="360" w:lineRule="auto"/>
        <w:rPr>
          <w:rFonts w:ascii="Arial" w:hAnsi="Arial" w:cs="Arial"/>
          <w:color w:val="172B4D"/>
          <w:sz w:val="22"/>
          <w:szCs w:val="22"/>
          <w:shd w:val="clear" w:color="auto" w:fill="FFFFFF"/>
        </w:rPr>
      </w:pPr>
    </w:p>
    <w:p w14:paraId="4250025F" w14:textId="12EA39C1" w:rsidR="001307DF" w:rsidRPr="00763B2C" w:rsidRDefault="001307DF" w:rsidP="00763B2C">
      <w:pPr>
        <w:spacing w:line="360" w:lineRule="auto"/>
        <w:ind w:left="36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Mrs Mann’s personal and health information is protected under the Data Protection Act 2018, which is followed by protection rules (GDPR) by the UK law. The DPA establishes six key principles for processing personal data, all of which are directly applicable to her care records:</w:t>
      </w:r>
    </w:p>
    <w:p w14:paraId="1277D3F3" w14:textId="77777777"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Lawfulness, Fairness, and Transparency: Data must be legally obtained and must have consent prior to receiving.</w:t>
      </w:r>
    </w:p>
    <w:p w14:paraId="1A0AD82A" w14:textId="77777777"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 xml:space="preserve">Purpose Limitation: Information should only be used for the benefit of the patient on how the care will be provided. </w:t>
      </w:r>
    </w:p>
    <w:p w14:paraId="2D13704B" w14:textId="77777777"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 xml:space="preserve">Data Minimisation: Records should focus on what is relevant for care to be provided effectively, without any unnecessary details (CQC,2020). </w:t>
      </w:r>
    </w:p>
    <w:p w14:paraId="5DC7A717" w14:textId="77777777"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Accuracy: Information must be concise and accurate. As well as that up to date and addressing the documentation inconsistencies highlighted in this case.</w:t>
      </w:r>
    </w:p>
    <w:p w14:paraId="543A2946" w14:textId="77777777"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 xml:space="preserve">Storage Limitation: Data should only be kept for as long as it is needed, following NHS and social care holding guidelines. </w:t>
      </w:r>
    </w:p>
    <w:p w14:paraId="4F61FFE3" w14:textId="0169D5C2"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Integrity and Confidentiality: Data must be processed securely. This requires the care agency and other organisations to maintain secure and auditable documentation to prevent unauthorised access or accidental loss.</w:t>
      </w:r>
    </w:p>
    <w:p w14:paraId="4513D1F3" w14:textId="77777777" w:rsidR="001307DF" w:rsidRPr="00763B2C" w:rsidRDefault="001307DF" w:rsidP="00763B2C">
      <w:pPr>
        <w:spacing w:line="360" w:lineRule="auto"/>
        <w:rPr>
          <w:rFonts w:ascii="Arial" w:hAnsi="Arial" w:cs="Arial"/>
          <w:color w:val="172B4D"/>
          <w:sz w:val="22"/>
          <w:szCs w:val="22"/>
          <w:shd w:val="clear" w:color="auto" w:fill="FFFFFF"/>
        </w:rPr>
      </w:pPr>
    </w:p>
    <w:p w14:paraId="3E034C04" w14:textId="7DA27BD5" w:rsidR="001307DF" w:rsidRPr="00763B2C" w:rsidRDefault="001307DF" w:rsidP="00763B2C">
      <w:pPr>
        <w:spacing w:line="360" w:lineRule="auto"/>
        <w:ind w:left="36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Regulatory organisations such as the Nursing and Midwifery Council (NMC,2019) and Care Quality Commission (CQC,2020) enforce up to date policies requiring staff to keep clear and accurate records. The reason for this is because it helps create a safe environment and ensure the care is also met at a high standard. If these standards are not met consequences can happen and compromise Mrs Mann’s safety.</w:t>
      </w:r>
    </w:p>
    <w:p w14:paraId="261EDEC6" w14:textId="77777777" w:rsidR="00F854E7" w:rsidRDefault="00F854E7" w:rsidP="00F854E7">
      <w:pPr>
        <w:spacing w:line="360" w:lineRule="auto"/>
        <w:ind w:left="360"/>
        <w:jc w:val="both"/>
        <w:rPr>
          <w:rFonts w:ascii="Arial" w:hAnsi="Arial" w:cs="Arial"/>
          <w:sz w:val="22"/>
          <w:szCs w:val="22"/>
        </w:rPr>
      </w:pPr>
    </w:p>
    <w:p w14:paraId="67E1F793" w14:textId="77777777" w:rsidR="00F854E7" w:rsidRDefault="00763B2C" w:rsidP="00F854E7">
      <w:pPr>
        <w:pStyle w:val="ListParagraph"/>
        <w:numPr>
          <w:ilvl w:val="0"/>
          <w:numId w:val="5"/>
        </w:numPr>
        <w:spacing w:line="360" w:lineRule="auto"/>
        <w:jc w:val="both"/>
        <w:rPr>
          <w:rFonts w:ascii="Arial" w:hAnsi="Arial" w:cs="Arial"/>
          <w:sz w:val="22"/>
          <w:szCs w:val="22"/>
        </w:rPr>
      </w:pPr>
      <w:r w:rsidRPr="00F854E7">
        <w:rPr>
          <w:rFonts w:ascii="Arial" w:hAnsi="Arial" w:cs="Arial"/>
          <w:sz w:val="22"/>
          <w:szCs w:val="22"/>
        </w:rPr>
        <w:t>Discuss the importance of working collaboratively with other professionals involved in Mrs Mann’s care, such as the physiotherapist, GP, and care workers.</w:t>
      </w:r>
    </w:p>
    <w:p w14:paraId="3CF53891" w14:textId="6066720D" w:rsidR="001307DF" w:rsidRPr="00F854E7" w:rsidRDefault="001307DF" w:rsidP="00F854E7">
      <w:pPr>
        <w:spacing w:line="360" w:lineRule="auto"/>
        <w:ind w:left="720"/>
        <w:jc w:val="both"/>
        <w:rPr>
          <w:rFonts w:ascii="Arial" w:hAnsi="Arial" w:cs="Arial"/>
          <w:sz w:val="22"/>
          <w:szCs w:val="22"/>
        </w:rPr>
      </w:pPr>
      <w:r w:rsidRPr="00F854E7">
        <w:rPr>
          <w:rFonts w:ascii="Arial" w:hAnsi="Arial" w:cs="Arial"/>
          <w:color w:val="172B4D"/>
          <w:sz w:val="22"/>
          <w:szCs w:val="22"/>
          <w:shd w:val="clear" w:color="auto" w:fill="FFFFFF"/>
        </w:rPr>
        <w:t xml:space="preserve">Mrs Mann’s post-operative care is managed by various health professionals form GP, physiotherapist, and care agency. They all </w:t>
      </w:r>
      <w:r w:rsidR="00763B2C" w:rsidRPr="00F854E7">
        <w:rPr>
          <w:rFonts w:ascii="Arial" w:hAnsi="Arial" w:cs="Arial"/>
          <w:color w:val="172B4D"/>
          <w:sz w:val="22"/>
          <w:szCs w:val="22"/>
          <w:shd w:val="clear" w:color="auto" w:fill="FFFFFF"/>
        </w:rPr>
        <w:t>must</w:t>
      </w:r>
      <w:r w:rsidRPr="00F854E7">
        <w:rPr>
          <w:rFonts w:ascii="Arial" w:hAnsi="Arial" w:cs="Arial"/>
          <w:color w:val="172B4D"/>
          <w:sz w:val="22"/>
          <w:szCs w:val="22"/>
          <w:shd w:val="clear" w:color="auto" w:fill="FFFFFF"/>
        </w:rPr>
        <w:t xml:space="preserve"> collaborate effectively and communicate regularly to ensure information is kept up to date, therefore the best outcomes for Mrs Mann can occur. Effective teamwork ensures a consistent approach across professionals, avoiding mixed messages, like differences between the mobility help offered by care staff and the physiotherapist’s exercises, and preventing care gaps such as the communication error that delayed her medication change (Xyrichis &amp; Lowton, 2008).</w:t>
      </w:r>
      <w:r w:rsidRPr="00F854E7">
        <w:rPr>
          <w:rFonts w:ascii="Arial" w:hAnsi="Arial" w:cs="Arial"/>
          <w:color w:val="172B4D"/>
          <w:sz w:val="22"/>
          <w:szCs w:val="22"/>
          <w:shd w:val="clear" w:color="auto" w:fill="FFFFFF"/>
        </w:rPr>
        <w:br/>
      </w:r>
    </w:p>
    <w:p w14:paraId="0024DC6D" w14:textId="348B09FC" w:rsidR="001307DF" w:rsidRPr="00763B2C" w:rsidRDefault="001307DF" w:rsidP="00763B2C">
      <w:pPr>
        <w:spacing w:line="360" w:lineRule="auto"/>
        <w:ind w:left="36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To promote effective collaboration, several measures should be used. First, a Shared Care Plan should be created as a single and easily accessible to all professionals.</w:t>
      </w:r>
      <w:r w:rsidRPr="00763B2C">
        <w:rPr>
          <w:rFonts w:ascii="Arial" w:hAnsi="Arial" w:cs="Arial"/>
          <w:color w:val="172B4D"/>
          <w:sz w:val="22"/>
          <w:szCs w:val="22"/>
        </w:rPr>
        <w:t xml:space="preserve"> </w:t>
      </w:r>
      <w:r w:rsidRPr="00763B2C">
        <w:rPr>
          <w:rFonts w:ascii="Arial" w:hAnsi="Arial" w:cs="Arial"/>
          <w:color w:val="172B4D"/>
          <w:sz w:val="22"/>
          <w:szCs w:val="22"/>
          <w:shd w:val="clear" w:color="auto" w:fill="FFFFFF"/>
        </w:rPr>
        <w:t>This should include clear and concise roles, responsibilities, and expected goals. This will help eradicate mixed messages and discrepancies in care provided. Second, communication must be structured and reliable, using regular handovers and ensuring messages are decoded correctly. The use of a standardised framework like SBAR (Situation, Background, Assessment, Recommendation)</w:t>
      </w:r>
      <w:r w:rsidR="00BE211F" w:rsidRPr="00BE211F">
        <w:rPr>
          <w:rFonts w:ascii="-webkit-standard" w:hAnsi="-webkit-standard"/>
          <w:color w:val="000000"/>
          <w:sz w:val="27"/>
          <w:szCs w:val="27"/>
        </w:rPr>
        <w:t xml:space="preserve"> </w:t>
      </w:r>
      <w:r w:rsidR="00BE211F" w:rsidRPr="00BE211F">
        <w:rPr>
          <w:rFonts w:ascii="Arial" w:hAnsi="Arial" w:cs="Arial"/>
          <w:color w:val="000000"/>
          <w:sz w:val="22"/>
          <w:szCs w:val="22"/>
        </w:rPr>
        <w:t>(</w:t>
      </w:r>
      <w:r w:rsidR="00BE211F" w:rsidRPr="00BE211F">
        <w:rPr>
          <w:rFonts w:ascii="Arial" w:hAnsi="Arial" w:cs="Arial"/>
          <w:color w:val="000000"/>
          <w:sz w:val="22"/>
          <w:szCs w:val="22"/>
        </w:rPr>
        <w:t>NHS England</w:t>
      </w:r>
      <w:r w:rsidR="00BE211F" w:rsidRPr="00BE211F">
        <w:rPr>
          <w:rFonts w:ascii="Arial" w:hAnsi="Arial" w:cs="Arial"/>
          <w:color w:val="000000"/>
          <w:sz w:val="22"/>
          <w:szCs w:val="22"/>
        </w:rPr>
        <w:t>,</w:t>
      </w:r>
      <w:r w:rsidR="00BE211F" w:rsidRPr="00BE211F">
        <w:rPr>
          <w:rFonts w:ascii="Arial" w:hAnsi="Arial" w:cs="Arial"/>
          <w:color w:val="000000"/>
          <w:sz w:val="22"/>
          <w:szCs w:val="22"/>
        </w:rPr>
        <w:t>2017</w:t>
      </w:r>
      <w:r w:rsidR="00BE211F" w:rsidRPr="00BE211F">
        <w:rPr>
          <w:rFonts w:ascii="Arial" w:hAnsi="Arial" w:cs="Arial"/>
          <w:color w:val="000000"/>
          <w:sz w:val="22"/>
          <w:szCs w:val="22"/>
        </w:rPr>
        <w:t>)</w:t>
      </w:r>
      <w:r w:rsidR="00BE211F">
        <w:rPr>
          <w:rStyle w:val="apple-converted-space"/>
          <w:rFonts w:ascii="-webkit-standard" w:hAnsi="-webkit-standard"/>
          <w:color w:val="000000"/>
          <w:sz w:val="27"/>
          <w:szCs w:val="27"/>
        </w:rPr>
        <w:t xml:space="preserve"> helps</w:t>
      </w:r>
      <w:r w:rsidRPr="00763B2C">
        <w:rPr>
          <w:rFonts w:ascii="Arial" w:hAnsi="Arial" w:cs="Arial"/>
          <w:color w:val="172B4D"/>
          <w:sz w:val="22"/>
          <w:szCs w:val="22"/>
          <w:shd w:val="clear" w:color="auto" w:fill="FFFFFF"/>
        </w:rPr>
        <w:t xml:space="preserve"> make high-risk handovers safer by making sure key details and information like medication changes are shared accurately and recognised. This can help prevent double doses of medications being administrated and correct dosages to be given it has been increased by the GP.</w:t>
      </w:r>
      <w:r w:rsidRPr="00763B2C">
        <w:rPr>
          <w:rFonts w:ascii="Arial" w:hAnsi="Arial" w:cs="Arial"/>
          <w:color w:val="172B4D"/>
          <w:sz w:val="22"/>
          <w:szCs w:val="22"/>
        </w:rPr>
        <w:t xml:space="preserve"> </w:t>
      </w:r>
      <w:r w:rsidRPr="00763B2C">
        <w:rPr>
          <w:rFonts w:ascii="Arial" w:hAnsi="Arial" w:cs="Arial"/>
          <w:color w:val="172B4D"/>
          <w:sz w:val="22"/>
          <w:szCs w:val="22"/>
          <w:shd w:val="clear" w:color="auto" w:fill="FFFFFF"/>
        </w:rPr>
        <w:t>Multi-agency work is often hindered by different workplace cultures, competing priorities, and feelings of hierarchy between health and social care teams. These issues can be reduced by having a Care Coordinator who acts as a central contact, offering shared training sessions, and encouraging a respectful environment where everyone’s input is recognised. An internal review should help recognise the exact point at which the handover failed and introduce a verification process to prevent similar communication breakdowns in future.</w:t>
      </w:r>
      <w:r w:rsidRPr="00763B2C">
        <w:rPr>
          <w:rFonts w:ascii="Arial" w:hAnsi="Arial" w:cs="Arial"/>
          <w:color w:val="172B4D"/>
          <w:sz w:val="22"/>
          <w:szCs w:val="22"/>
          <w:shd w:val="clear" w:color="auto" w:fill="FFFFFF"/>
        </w:rPr>
        <w:br/>
      </w:r>
    </w:p>
    <w:p w14:paraId="5579B008" w14:textId="77777777" w:rsidR="00763B2C" w:rsidRPr="00763B2C" w:rsidRDefault="001307DF" w:rsidP="00763B2C">
      <w:pPr>
        <w:pStyle w:val="ListParagraph"/>
        <w:numPr>
          <w:ilvl w:val="0"/>
          <w:numId w:val="5"/>
        </w:numPr>
        <w:spacing w:line="360" w:lineRule="auto"/>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 xml:space="preserve">Conclusion </w:t>
      </w:r>
    </w:p>
    <w:p w14:paraId="3E4749E1" w14:textId="088E4856" w:rsidR="001307DF" w:rsidRPr="00763B2C" w:rsidRDefault="001307DF" w:rsidP="00763B2C">
      <w:pPr>
        <w:spacing w:line="360" w:lineRule="auto"/>
        <w:ind w:left="72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The case of Mrs.</w:t>
      </w:r>
      <w:r w:rsidRPr="00763B2C">
        <w:rPr>
          <w:rFonts w:ascii="Arial" w:hAnsi="Arial" w:cs="Arial"/>
          <w:color w:val="172B4D"/>
          <w:sz w:val="22"/>
          <w:szCs w:val="22"/>
        </w:rPr>
        <w:t xml:space="preserve"> </w:t>
      </w:r>
      <w:r w:rsidRPr="00763B2C">
        <w:rPr>
          <w:rFonts w:ascii="Arial" w:hAnsi="Arial" w:cs="Arial"/>
          <w:color w:val="172B4D"/>
          <w:sz w:val="22"/>
          <w:szCs w:val="22"/>
          <w:shd w:val="clear" w:color="auto" w:fill="FFFFFF"/>
        </w:rPr>
        <w:t>Mann illustrates the importance connection between professional practice standards and patient safety. Without having these factors, a service users health could deteriorate or even worse. Breakdowns in communication, administrative diligence, and inter-agency coordination directly contributed to issues such as inconsistent documentation and delayed medication adjustments. Following and implementing the Equality Act 2010 is essential, requiring the routine use of professional interpreting services so that Mrs. Mann can understand, access, and consent to her care on equal understanding terms.</w:t>
      </w:r>
      <w:r w:rsidRPr="00763B2C">
        <w:rPr>
          <w:rFonts w:ascii="Arial" w:hAnsi="Arial" w:cs="Arial"/>
          <w:color w:val="172B4D"/>
          <w:sz w:val="22"/>
          <w:szCs w:val="22"/>
        </w:rPr>
        <w:t xml:space="preserve"> </w:t>
      </w:r>
      <w:r w:rsidRPr="00763B2C">
        <w:rPr>
          <w:rFonts w:ascii="Arial" w:hAnsi="Arial" w:cs="Arial"/>
          <w:color w:val="172B4D"/>
          <w:sz w:val="22"/>
          <w:szCs w:val="22"/>
          <w:shd w:val="clear" w:color="auto" w:fill="FFFFFF"/>
        </w:rPr>
        <w:t>As well as that, compliance with the Data Protection Act 2018 must guide both the care agencies and the clinical team to ensure that all documentation is clear and accurate, securely stored and lawfully handled. The care team should implement strategies, such as shared care records and structured handover tools. This will eliminate miscommunications and safeguard Mrs. Mann effectively.</w:t>
      </w:r>
    </w:p>
    <w:p w14:paraId="60D474B3" w14:textId="518DD31D" w:rsidR="001307DF" w:rsidRPr="00763B2C" w:rsidRDefault="001307DF" w:rsidP="00763B2C">
      <w:pPr>
        <w:spacing w:line="360" w:lineRule="auto"/>
        <w:rPr>
          <w:rFonts w:ascii="Arial" w:hAnsi="Arial" w:cs="Arial"/>
          <w:color w:val="172B4D"/>
          <w:sz w:val="22"/>
          <w:szCs w:val="22"/>
          <w:shd w:val="clear" w:color="auto" w:fill="FFFFFF"/>
        </w:rPr>
      </w:pPr>
    </w:p>
    <w:p w14:paraId="2943D9E6" w14:textId="77777777" w:rsidR="001307DF" w:rsidRPr="00763B2C" w:rsidRDefault="001307DF" w:rsidP="00763B2C">
      <w:pPr>
        <w:spacing w:before="100" w:beforeAutospacing="1" w:after="100" w:afterAutospacing="1" w:line="360" w:lineRule="auto"/>
        <w:outlineLvl w:val="1"/>
        <w:rPr>
          <w:rFonts w:ascii="Arial" w:eastAsia="Times New Roman" w:hAnsi="Arial" w:cs="Arial"/>
          <w:b/>
          <w:bCs/>
          <w:color w:val="000000"/>
          <w:sz w:val="22"/>
          <w:szCs w:val="22"/>
          <w:lang w:eastAsia="en-GB"/>
        </w:rPr>
      </w:pPr>
      <w:r w:rsidRPr="00763B2C">
        <w:rPr>
          <w:rFonts w:ascii="Arial" w:eastAsia="Times New Roman" w:hAnsi="Arial" w:cs="Arial"/>
          <w:b/>
          <w:bCs/>
          <w:color w:val="000000"/>
          <w:sz w:val="22"/>
          <w:szCs w:val="22"/>
          <w:lang w:eastAsia="en-GB"/>
        </w:rPr>
        <w:t>References</w:t>
      </w:r>
    </w:p>
    <w:p w14:paraId="2B0B2605" w14:textId="77777777" w:rsidR="001307DF" w:rsidRPr="00763B2C" w:rsidRDefault="001307DF" w:rsidP="00763B2C">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Berlo, D.K. (1960). </w:t>
      </w:r>
      <w:r w:rsidRPr="00763B2C">
        <w:rPr>
          <w:rFonts w:ascii="Arial" w:eastAsia="Times New Roman" w:hAnsi="Arial" w:cs="Arial"/>
          <w:i/>
          <w:iCs/>
          <w:color w:val="000000"/>
          <w:sz w:val="22"/>
          <w:szCs w:val="22"/>
          <w:lang w:eastAsia="en-GB"/>
        </w:rPr>
        <w:t>The process of communication: An introduction to theory and practice</w:t>
      </w:r>
      <w:r w:rsidRPr="00763B2C">
        <w:rPr>
          <w:rFonts w:ascii="Arial" w:eastAsia="Times New Roman" w:hAnsi="Arial" w:cs="Arial"/>
          <w:color w:val="000000"/>
          <w:sz w:val="22"/>
          <w:szCs w:val="22"/>
          <w:lang w:eastAsia="en-GB"/>
        </w:rPr>
        <w:t>. New York: Holt, Rinehart &amp; Winston.</w:t>
      </w:r>
    </w:p>
    <w:p w14:paraId="53E931B8" w14:textId="75BF295F" w:rsidR="001307DF" w:rsidRPr="00763B2C" w:rsidRDefault="001307DF" w:rsidP="00763B2C">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 xml:space="preserve">Available at: </w:t>
      </w:r>
      <w:hyperlink r:id="rId5" w:history="1">
        <w:r w:rsidRPr="00763B2C">
          <w:rPr>
            <w:rStyle w:val="Hyperlink"/>
            <w:rFonts w:ascii="Arial" w:eastAsia="Times New Roman" w:hAnsi="Arial" w:cs="Arial"/>
            <w:sz w:val="22"/>
            <w:szCs w:val="22"/>
            <w:lang w:eastAsia="en-GB"/>
          </w:rPr>
          <w:t>https://www.scirp.org/reference/referencespapers?referenceid=2703697</w:t>
        </w:r>
      </w:hyperlink>
    </w:p>
    <w:p w14:paraId="3F005750" w14:textId="77777777" w:rsidR="00F854E7" w:rsidRDefault="00F854E7" w:rsidP="00763B2C">
      <w:pPr>
        <w:spacing w:before="100" w:beforeAutospacing="1" w:after="100" w:afterAutospacing="1" w:line="360" w:lineRule="auto"/>
        <w:rPr>
          <w:rFonts w:ascii="Arial" w:eastAsia="Times New Roman" w:hAnsi="Arial" w:cs="Arial"/>
          <w:color w:val="000000"/>
          <w:sz w:val="22"/>
          <w:szCs w:val="22"/>
          <w:lang w:eastAsia="en-GB"/>
        </w:rPr>
      </w:pPr>
    </w:p>
    <w:p w14:paraId="16DD1550" w14:textId="275D3D2B" w:rsidR="001307DF" w:rsidRPr="00763B2C" w:rsidRDefault="001307DF" w:rsidP="00763B2C">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Care Quality Commission (CQC). (2020). </w:t>
      </w:r>
      <w:r w:rsidRPr="00763B2C">
        <w:rPr>
          <w:rFonts w:ascii="Arial" w:eastAsia="Times New Roman" w:hAnsi="Arial" w:cs="Arial"/>
          <w:i/>
          <w:iCs/>
          <w:color w:val="000000"/>
          <w:sz w:val="22"/>
          <w:szCs w:val="22"/>
          <w:lang w:eastAsia="en-GB"/>
        </w:rPr>
        <w:t>Regulation 17: Good governance (Record keeping)</w:t>
      </w:r>
      <w:r w:rsidRPr="00763B2C">
        <w:rPr>
          <w:rFonts w:ascii="Arial" w:eastAsia="Times New Roman" w:hAnsi="Arial" w:cs="Arial"/>
          <w:color w:val="000000"/>
          <w:sz w:val="22"/>
          <w:szCs w:val="22"/>
          <w:lang w:eastAsia="en-GB"/>
        </w:rPr>
        <w:t xml:space="preserve">. [Online Guidance]. Available at: </w:t>
      </w:r>
      <w:hyperlink r:id="rId6" w:history="1">
        <w:r w:rsidRPr="00763B2C">
          <w:rPr>
            <w:rStyle w:val="Hyperlink"/>
            <w:rFonts w:ascii="Arial" w:eastAsia="Times New Roman" w:hAnsi="Arial" w:cs="Arial"/>
            <w:sz w:val="22"/>
            <w:szCs w:val="22"/>
            <w:lang w:eastAsia="en-GB"/>
          </w:rPr>
          <w:t>https://www.cqc.org.uk/guidance-regulation/providers/regulations-service-providers-and-managers/health-social-care-act/regulation-17</w:t>
        </w:r>
      </w:hyperlink>
    </w:p>
    <w:p w14:paraId="4436340E" w14:textId="77777777" w:rsidR="00F854E7" w:rsidRDefault="00F854E7" w:rsidP="00763B2C">
      <w:pPr>
        <w:spacing w:before="100" w:beforeAutospacing="1" w:after="100" w:afterAutospacing="1" w:line="360" w:lineRule="auto"/>
        <w:rPr>
          <w:rFonts w:ascii="Arial" w:eastAsia="Times New Roman" w:hAnsi="Arial" w:cs="Arial"/>
          <w:i/>
          <w:iCs/>
          <w:color w:val="000000"/>
          <w:sz w:val="22"/>
          <w:szCs w:val="22"/>
          <w:lang w:eastAsia="en-GB"/>
        </w:rPr>
      </w:pPr>
    </w:p>
    <w:p w14:paraId="3A875DFA" w14:textId="380D03B0" w:rsidR="001307DF" w:rsidRDefault="001307DF" w:rsidP="00763B2C">
      <w:pPr>
        <w:spacing w:before="100" w:beforeAutospacing="1" w:after="100" w:afterAutospacing="1" w:line="360" w:lineRule="auto"/>
        <w:rPr>
          <w:rStyle w:val="Hyperlink"/>
          <w:rFonts w:ascii="Arial" w:eastAsia="Times New Roman" w:hAnsi="Arial" w:cs="Arial"/>
          <w:sz w:val="22"/>
          <w:szCs w:val="22"/>
          <w:lang w:eastAsia="en-GB"/>
        </w:rPr>
      </w:pPr>
      <w:r w:rsidRPr="00763B2C">
        <w:rPr>
          <w:rFonts w:ascii="Arial" w:eastAsia="Times New Roman" w:hAnsi="Arial" w:cs="Arial"/>
          <w:i/>
          <w:iCs/>
          <w:color w:val="000000"/>
          <w:sz w:val="22"/>
          <w:szCs w:val="22"/>
          <w:lang w:eastAsia="en-GB"/>
        </w:rPr>
        <w:t>Data Protection Act 2018</w:t>
      </w:r>
      <w:r w:rsidRPr="00763B2C">
        <w:rPr>
          <w:rFonts w:ascii="Arial" w:eastAsia="Times New Roman" w:hAnsi="Arial" w:cs="Arial"/>
          <w:color w:val="000000"/>
          <w:sz w:val="22"/>
          <w:szCs w:val="22"/>
          <w:lang w:eastAsia="en-GB"/>
        </w:rPr>
        <w:t xml:space="preserve">. London: The Stationery Office. Available at: </w:t>
      </w:r>
      <w:hyperlink r:id="rId7" w:history="1">
        <w:r w:rsidRPr="00763B2C">
          <w:rPr>
            <w:rStyle w:val="Hyperlink"/>
            <w:rFonts w:ascii="Arial" w:eastAsia="Times New Roman" w:hAnsi="Arial" w:cs="Arial"/>
            <w:sz w:val="22"/>
            <w:szCs w:val="22"/>
            <w:lang w:eastAsia="en-GB"/>
          </w:rPr>
          <w:t>https://www.legislation.gov.uk/ukpga/2018/12/contents</w:t>
        </w:r>
      </w:hyperlink>
    </w:p>
    <w:p w14:paraId="66533C18" w14:textId="223557A9" w:rsidR="00F854E7" w:rsidRDefault="00F854E7" w:rsidP="00763B2C">
      <w:pPr>
        <w:spacing w:before="100" w:beforeAutospacing="1" w:after="100" w:afterAutospacing="1" w:line="360" w:lineRule="auto"/>
        <w:rPr>
          <w:rStyle w:val="Hyperlink"/>
          <w:rFonts w:ascii="Arial" w:eastAsia="Times New Roman" w:hAnsi="Arial" w:cs="Arial"/>
          <w:sz w:val="22"/>
          <w:szCs w:val="22"/>
          <w:lang w:eastAsia="en-GB"/>
        </w:rPr>
      </w:pPr>
    </w:p>
    <w:p w14:paraId="46A7CF86" w14:textId="77777777" w:rsidR="00F854E7" w:rsidRPr="00763B2C" w:rsidRDefault="00F854E7" w:rsidP="00F854E7">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i/>
          <w:iCs/>
          <w:color w:val="000000"/>
          <w:sz w:val="22"/>
          <w:szCs w:val="22"/>
          <w:lang w:eastAsia="en-GB"/>
        </w:rPr>
        <w:t>Equality Act 2010</w:t>
      </w:r>
      <w:r w:rsidRPr="00763B2C">
        <w:rPr>
          <w:rFonts w:ascii="Arial" w:eastAsia="Times New Roman" w:hAnsi="Arial" w:cs="Arial"/>
          <w:color w:val="000000"/>
          <w:sz w:val="22"/>
          <w:szCs w:val="22"/>
          <w:lang w:eastAsia="en-GB"/>
        </w:rPr>
        <w:t xml:space="preserve">. London: The Stationery Office. Available at: </w:t>
      </w:r>
      <w:hyperlink r:id="rId8" w:history="1">
        <w:r w:rsidRPr="00763B2C">
          <w:rPr>
            <w:rStyle w:val="Hyperlink"/>
            <w:rFonts w:ascii="Arial" w:eastAsia="Times New Roman" w:hAnsi="Arial" w:cs="Arial"/>
            <w:sz w:val="22"/>
            <w:szCs w:val="22"/>
            <w:lang w:eastAsia="en-GB"/>
          </w:rPr>
          <w:t>https://www.legislation.gov.uk/ukpga/2010/15/contents</w:t>
        </w:r>
      </w:hyperlink>
    </w:p>
    <w:p w14:paraId="4A4CC7F4" w14:textId="77777777" w:rsidR="00F854E7" w:rsidRDefault="00F854E7" w:rsidP="00F854E7">
      <w:pPr>
        <w:spacing w:before="100" w:beforeAutospacing="1" w:after="100" w:afterAutospacing="1" w:line="360" w:lineRule="auto"/>
        <w:rPr>
          <w:rFonts w:ascii="Arial" w:eastAsia="Times New Roman" w:hAnsi="Arial" w:cs="Arial"/>
          <w:color w:val="000000"/>
          <w:sz w:val="22"/>
          <w:szCs w:val="22"/>
          <w:lang w:eastAsia="en-GB"/>
        </w:rPr>
      </w:pPr>
    </w:p>
    <w:p w14:paraId="7370BA4B" w14:textId="18FAE94A" w:rsidR="00F854E7" w:rsidRDefault="00F854E7" w:rsidP="00763B2C">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NHS England. (2020). </w:t>
      </w:r>
      <w:r w:rsidRPr="00763B2C">
        <w:rPr>
          <w:rFonts w:ascii="Arial" w:eastAsia="Times New Roman" w:hAnsi="Arial" w:cs="Arial"/>
          <w:i/>
          <w:iCs/>
          <w:color w:val="000000"/>
          <w:sz w:val="22"/>
          <w:szCs w:val="22"/>
          <w:lang w:eastAsia="en-GB"/>
        </w:rPr>
        <w:t>Good communication with patients waiting for care: core principles</w:t>
      </w:r>
      <w:r w:rsidRPr="00763B2C">
        <w:rPr>
          <w:rFonts w:ascii="Arial" w:eastAsia="Times New Roman" w:hAnsi="Arial" w:cs="Arial"/>
          <w:color w:val="000000"/>
          <w:sz w:val="22"/>
          <w:szCs w:val="22"/>
          <w:lang w:eastAsia="en-GB"/>
        </w:rPr>
        <w:t xml:space="preserve">. [Online Guidance]. Available at: </w:t>
      </w:r>
      <w:hyperlink r:id="rId9" w:history="1">
        <w:r w:rsidRPr="00763B2C">
          <w:rPr>
            <w:rStyle w:val="Hyperlink"/>
            <w:rFonts w:ascii="Arial" w:eastAsia="Times New Roman" w:hAnsi="Arial" w:cs="Arial"/>
            <w:sz w:val="22"/>
            <w:szCs w:val="22"/>
            <w:lang w:eastAsia="en-GB"/>
          </w:rPr>
          <w:t>https://www.england.nhs.uk/long-read/good-communication-with-patients-waiting-for-care-core-principles/</w:t>
        </w:r>
      </w:hyperlink>
    </w:p>
    <w:p w14:paraId="24E9E505" w14:textId="77777777" w:rsidR="00BE211F" w:rsidRPr="00BE211F" w:rsidRDefault="00BE211F" w:rsidP="00F854E7">
      <w:pPr>
        <w:spacing w:before="100" w:beforeAutospacing="1" w:after="100" w:afterAutospacing="1" w:line="360" w:lineRule="auto"/>
        <w:rPr>
          <w:rFonts w:ascii="Arial" w:hAnsi="Arial" w:cs="Arial"/>
          <w:color w:val="000000"/>
          <w:sz w:val="22"/>
          <w:szCs w:val="22"/>
        </w:rPr>
      </w:pPr>
    </w:p>
    <w:p w14:paraId="4686AB4F" w14:textId="6E5DF0C0" w:rsidR="00F854E7" w:rsidRPr="00BE211F" w:rsidRDefault="00BE211F" w:rsidP="00F854E7">
      <w:pPr>
        <w:spacing w:before="100" w:beforeAutospacing="1" w:after="100" w:afterAutospacing="1" w:line="360" w:lineRule="auto"/>
        <w:rPr>
          <w:rFonts w:ascii="Arial" w:hAnsi="Arial" w:cs="Arial"/>
          <w:sz w:val="22"/>
          <w:szCs w:val="22"/>
        </w:rPr>
      </w:pPr>
      <w:r w:rsidRPr="00BE211F">
        <w:rPr>
          <w:rFonts w:ascii="Arial" w:hAnsi="Arial" w:cs="Arial"/>
          <w:color w:val="000000"/>
          <w:sz w:val="22"/>
          <w:szCs w:val="22"/>
        </w:rPr>
        <w:t>NHS England (2017) </w:t>
      </w:r>
      <w:r w:rsidRPr="00BE211F">
        <w:rPr>
          <w:rFonts w:ascii="Arial" w:hAnsi="Arial" w:cs="Arial"/>
          <w:i/>
          <w:iCs/>
          <w:color w:val="000000"/>
          <w:sz w:val="22"/>
          <w:szCs w:val="22"/>
        </w:rPr>
        <w:t>SBAR: Situation–Background–Assessment–Recommendation: Implementation and Training Guide</w:t>
      </w:r>
      <w:r w:rsidRPr="00BE211F">
        <w:rPr>
          <w:rFonts w:ascii="Arial" w:hAnsi="Arial" w:cs="Arial"/>
          <w:color w:val="000000"/>
          <w:sz w:val="22"/>
          <w:szCs w:val="22"/>
        </w:rPr>
        <w:t>. Available at: </w:t>
      </w:r>
      <w:hyperlink r:id="rId10" w:tgtFrame="_blank" w:history="1">
        <w:r w:rsidRPr="00BE211F">
          <w:rPr>
            <w:rFonts w:ascii="Arial" w:hAnsi="Arial" w:cs="Arial"/>
            <w:color w:val="0000FF"/>
            <w:sz w:val="22"/>
            <w:szCs w:val="22"/>
            <w:u w:val="single"/>
          </w:rPr>
          <w:t>https://www.england.nhs.uk/improvement-hub/wp-content/uploads/sites/44/2017/11/SBAR-Implementation-and-Training-Guide.pdf</w:t>
        </w:r>
      </w:hyperlink>
    </w:p>
    <w:p w14:paraId="2CE1D2BA" w14:textId="77777777" w:rsidR="00BE211F" w:rsidRPr="00763B2C" w:rsidRDefault="00BE211F" w:rsidP="00F854E7">
      <w:pPr>
        <w:spacing w:before="100" w:beforeAutospacing="1" w:after="100" w:afterAutospacing="1" w:line="360" w:lineRule="auto"/>
        <w:rPr>
          <w:rFonts w:ascii="Arial" w:eastAsia="Times New Roman" w:hAnsi="Arial" w:cs="Arial"/>
          <w:color w:val="000000"/>
          <w:sz w:val="22"/>
          <w:szCs w:val="22"/>
          <w:lang w:eastAsia="en-GB"/>
        </w:rPr>
      </w:pPr>
    </w:p>
    <w:p w14:paraId="3766DC94" w14:textId="77777777" w:rsidR="00F854E7" w:rsidRPr="00763B2C" w:rsidRDefault="00F854E7" w:rsidP="00F854E7">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Nursing and Midwifery Council (NMC). (2019). </w:t>
      </w:r>
      <w:r w:rsidRPr="00763B2C">
        <w:rPr>
          <w:rFonts w:ascii="Arial" w:eastAsia="Times New Roman" w:hAnsi="Arial" w:cs="Arial"/>
          <w:i/>
          <w:iCs/>
          <w:color w:val="000000"/>
          <w:sz w:val="22"/>
          <w:szCs w:val="22"/>
          <w:lang w:eastAsia="en-GB"/>
        </w:rPr>
        <w:t xml:space="preserve">The Code: Professional standards of practice and behaviour for nurses, </w:t>
      </w:r>
      <w:proofErr w:type="gramStart"/>
      <w:r w:rsidRPr="00763B2C">
        <w:rPr>
          <w:rFonts w:ascii="Arial" w:eastAsia="Times New Roman" w:hAnsi="Arial" w:cs="Arial"/>
          <w:i/>
          <w:iCs/>
          <w:color w:val="000000"/>
          <w:sz w:val="22"/>
          <w:szCs w:val="22"/>
          <w:lang w:eastAsia="en-GB"/>
        </w:rPr>
        <w:t>midwives</w:t>
      </w:r>
      <w:proofErr w:type="gramEnd"/>
      <w:r w:rsidRPr="00763B2C">
        <w:rPr>
          <w:rFonts w:ascii="Arial" w:eastAsia="Times New Roman" w:hAnsi="Arial" w:cs="Arial"/>
          <w:i/>
          <w:iCs/>
          <w:color w:val="000000"/>
          <w:sz w:val="22"/>
          <w:szCs w:val="22"/>
          <w:lang w:eastAsia="en-GB"/>
        </w:rPr>
        <w:t xml:space="preserve"> and nursing associates</w:t>
      </w:r>
      <w:r w:rsidRPr="00763B2C">
        <w:rPr>
          <w:rFonts w:ascii="Arial" w:eastAsia="Times New Roman" w:hAnsi="Arial" w:cs="Arial"/>
          <w:color w:val="000000"/>
          <w:sz w:val="22"/>
          <w:szCs w:val="22"/>
          <w:lang w:eastAsia="en-GB"/>
        </w:rPr>
        <w:t xml:space="preserve">. London: NMC. Available at: </w:t>
      </w:r>
      <w:hyperlink r:id="rId11" w:history="1">
        <w:r w:rsidRPr="00763B2C">
          <w:rPr>
            <w:rStyle w:val="Hyperlink"/>
            <w:rFonts w:ascii="Arial" w:eastAsia="Times New Roman" w:hAnsi="Arial" w:cs="Arial"/>
            <w:sz w:val="22"/>
            <w:szCs w:val="22"/>
            <w:lang w:eastAsia="en-GB"/>
          </w:rPr>
          <w:t>https://www.nmc.org.uk/standards/code/</w:t>
        </w:r>
      </w:hyperlink>
    </w:p>
    <w:p w14:paraId="17A535C8" w14:textId="77777777" w:rsidR="00F854E7" w:rsidRDefault="00F854E7" w:rsidP="00763B2C">
      <w:pPr>
        <w:spacing w:before="100" w:beforeAutospacing="1" w:after="100" w:afterAutospacing="1" w:line="360" w:lineRule="auto"/>
        <w:rPr>
          <w:rFonts w:ascii="Arial" w:hAnsi="Arial" w:cs="Arial"/>
          <w:b/>
          <w:bCs/>
          <w:color w:val="000000"/>
          <w:sz w:val="22"/>
          <w:szCs w:val="22"/>
        </w:rPr>
      </w:pPr>
    </w:p>
    <w:p w14:paraId="762D1755" w14:textId="344A0B6D" w:rsidR="001307DF" w:rsidRPr="00763B2C" w:rsidRDefault="00E25560" w:rsidP="00763B2C">
      <w:pPr>
        <w:spacing w:before="100" w:beforeAutospacing="1" w:after="100" w:afterAutospacing="1" w:line="360" w:lineRule="auto"/>
        <w:rPr>
          <w:rFonts w:ascii="Arial" w:eastAsia="Times New Roman" w:hAnsi="Arial" w:cs="Arial"/>
          <w:color w:val="000000"/>
          <w:sz w:val="22"/>
          <w:szCs w:val="22"/>
          <w:lang w:eastAsia="en-GB"/>
        </w:rPr>
      </w:pPr>
      <w:r w:rsidRPr="00F854E7">
        <w:rPr>
          <w:rFonts w:ascii="Arial" w:hAnsi="Arial" w:cs="Arial"/>
          <w:color w:val="000000"/>
          <w:sz w:val="22"/>
          <w:szCs w:val="22"/>
        </w:rPr>
        <w:t>Skills for Care</w:t>
      </w:r>
      <w:r w:rsidRPr="00763B2C">
        <w:rPr>
          <w:rStyle w:val="apple-converted-space"/>
          <w:rFonts w:ascii="Arial" w:hAnsi="Arial" w:cs="Arial"/>
          <w:color w:val="000000"/>
          <w:sz w:val="22"/>
          <w:szCs w:val="22"/>
        </w:rPr>
        <w:t> </w:t>
      </w:r>
      <w:r w:rsidRPr="00763B2C">
        <w:rPr>
          <w:rFonts w:ascii="Arial" w:hAnsi="Arial" w:cs="Arial"/>
          <w:color w:val="000000"/>
          <w:sz w:val="22"/>
          <w:szCs w:val="22"/>
        </w:rPr>
        <w:t>(2013)</w:t>
      </w:r>
      <w:r w:rsidRPr="00763B2C">
        <w:rPr>
          <w:rStyle w:val="apple-converted-space"/>
          <w:rFonts w:ascii="Arial" w:hAnsi="Arial" w:cs="Arial"/>
          <w:color w:val="000000"/>
          <w:sz w:val="22"/>
          <w:szCs w:val="22"/>
        </w:rPr>
        <w:t> </w:t>
      </w:r>
      <w:r w:rsidRPr="00763B2C">
        <w:rPr>
          <w:rFonts w:ascii="Arial" w:hAnsi="Arial" w:cs="Arial"/>
          <w:i/>
          <w:iCs/>
          <w:color w:val="000000"/>
          <w:sz w:val="22"/>
          <w:szCs w:val="22"/>
        </w:rPr>
        <w:t>Code of Conduct for Healthcare Support Workers and Adult Social Care Workers in England</w:t>
      </w:r>
      <w:r w:rsidRPr="00763B2C">
        <w:rPr>
          <w:rFonts w:ascii="Arial" w:hAnsi="Arial" w:cs="Arial"/>
          <w:color w:val="000000"/>
          <w:sz w:val="22"/>
          <w:szCs w:val="22"/>
        </w:rPr>
        <w:t>. Available at:</w:t>
      </w:r>
      <w:r w:rsidRPr="00763B2C">
        <w:rPr>
          <w:rStyle w:val="apple-converted-space"/>
          <w:rFonts w:ascii="Arial" w:hAnsi="Arial" w:cs="Arial"/>
          <w:color w:val="000000"/>
          <w:sz w:val="22"/>
          <w:szCs w:val="22"/>
        </w:rPr>
        <w:t> </w:t>
      </w:r>
      <w:hyperlink r:id="rId12" w:tgtFrame="_blank" w:history="1">
        <w:r w:rsidRPr="00763B2C">
          <w:rPr>
            <w:rStyle w:val="Hyperlink"/>
            <w:rFonts w:ascii="Arial" w:hAnsi="Arial" w:cs="Arial"/>
            <w:sz w:val="22"/>
            <w:szCs w:val="22"/>
          </w:rPr>
          <w:t>https://www.skillsforcare.org.uk/resources/documents/Support-for-leaders-and-managers/Managing-people/Code-of-conduct/Code-of-Conduct.pdf</w:t>
        </w:r>
      </w:hyperlink>
      <w:r w:rsidRPr="00763B2C">
        <w:rPr>
          <w:rStyle w:val="apple-converted-space"/>
          <w:rFonts w:ascii="Arial" w:hAnsi="Arial" w:cs="Arial"/>
          <w:color w:val="000000"/>
          <w:sz w:val="22"/>
          <w:szCs w:val="22"/>
        </w:rPr>
        <w:t> </w:t>
      </w:r>
      <w:r w:rsidRPr="00763B2C">
        <w:rPr>
          <w:rFonts w:ascii="Arial" w:hAnsi="Arial" w:cs="Arial"/>
          <w:color w:val="000000"/>
          <w:sz w:val="22"/>
          <w:szCs w:val="22"/>
        </w:rPr>
        <w:t>(Accessed: 01 November 2025).</w:t>
      </w:r>
    </w:p>
    <w:p w14:paraId="18003104" w14:textId="77777777" w:rsidR="00F854E7" w:rsidRDefault="00F854E7" w:rsidP="00763B2C">
      <w:pPr>
        <w:spacing w:before="100" w:beforeAutospacing="1" w:after="100" w:afterAutospacing="1" w:line="360" w:lineRule="auto"/>
        <w:rPr>
          <w:rFonts w:ascii="Arial" w:eastAsia="Times New Roman" w:hAnsi="Arial" w:cs="Arial"/>
          <w:color w:val="000000"/>
          <w:sz w:val="22"/>
          <w:szCs w:val="22"/>
          <w:lang w:eastAsia="en-GB"/>
        </w:rPr>
      </w:pPr>
    </w:p>
    <w:p w14:paraId="7E70889D" w14:textId="1C5585F1" w:rsidR="001307DF" w:rsidRPr="00763B2C" w:rsidRDefault="001307DF" w:rsidP="00763B2C">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 xml:space="preserve">Xyrichis, A. &amp; Lowton, K. (2008). What fosters or prevents interprofessional teamworking in primary and community care? A literature </w:t>
      </w:r>
      <w:proofErr w:type="gramStart"/>
      <w:r w:rsidRPr="00763B2C">
        <w:rPr>
          <w:rFonts w:ascii="Arial" w:eastAsia="Times New Roman" w:hAnsi="Arial" w:cs="Arial"/>
          <w:color w:val="000000"/>
          <w:sz w:val="22"/>
          <w:szCs w:val="22"/>
          <w:lang w:eastAsia="en-GB"/>
        </w:rPr>
        <w:t>review</w:t>
      </w:r>
      <w:proofErr w:type="gramEnd"/>
      <w:r w:rsidRPr="00763B2C">
        <w:rPr>
          <w:rFonts w:ascii="Arial" w:eastAsia="Times New Roman" w:hAnsi="Arial" w:cs="Arial"/>
          <w:color w:val="000000"/>
          <w:sz w:val="22"/>
          <w:szCs w:val="22"/>
          <w:lang w:eastAsia="en-GB"/>
        </w:rPr>
        <w:t>. </w:t>
      </w:r>
      <w:r w:rsidRPr="00763B2C">
        <w:rPr>
          <w:rFonts w:ascii="Arial" w:eastAsia="Times New Roman" w:hAnsi="Arial" w:cs="Arial"/>
          <w:i/>
          <w:iCs/>
          <w:color w:val="000000"/>
          <w:sz w:val="22"/>
          <w:szCs w:val="22"/>
          <w:lang w:eastAsia="en-GB"/>
        </w:rPr>
        <w:t>International Journal of Nursing Studies</w:t>
      </w:r>
      <w:r w:rsidRPr="00763B2C">
        <w:rPr>
          <w:rFonts w:ascii="Arial" w:eastAsia="Times New Roman" w:hAnsi="Arial" w:cs="Arial"/>
          <w:color w:val="000000"/>
          <w:sz w:val="22"/>
          <w:szCs w:val="22"/>
          <w:lang w:eastAsia="en-GB"/>
        </w:rPr>
        <w:t xml:space="preserve">, 45(1), pp.140-153.Availble at: </w:t>
      </w:r>
      <w:hyperlink r:id="rId13" w:history="1">
        <w:r w:rsidRPr="00763B2C">
          <w:rPr>
            <w:rStyle w:val="Hyperlink"/>
            <w:rFonts w:ascii="Arial" w:eastAsia="Times New Roman" w:hAnsi="Arial" w:cs="Arial"/>
            <w:sz w:val="22"/>
            <w:szCs w:val="22"/>
            <w:lang w:eastAsia="en-GB"/>
          </w:rPr>
          <w:t>https://pubmed.ncbi.nlm.nih.gov/17383655/</w:t>
        </w:r>
      </w:hyperlink>
    </w:p>
    <w:p w14:paraId="3E35DCF5" w14:textId="77777777" w:rsidR="001307DF" w:rsidRPr="00763B2C" w:rsidRDefault="001307DF" w:rsidP="00763B2C">
      <w:pPr>
        <w:spacing w:before="100" w:beforeAutospacing="1" w:after="100" w:afterAutospacing="1" w:line="360" w:lineRule="auto"/>
        <w:rPr>
          <w:rFonts w:ascii="Arial" w:eastAsia="Times New Roman" w:hAnsi="Arial" w:cs="Arial"/>
          <w:color w:val="000000"/>
          <w:sz w:val="22"/>
          <w:szCs w:val="22"/>
          <w:lang w:eastAsia="en-GB"/>
        </w:rPr>
      </w:pPr>
    </w:p>
    <w:p w14:paraId="336A6877" w14:textId="77777777" w:rsidR="001307DF" w:rsidRPr="00763B2C" w:rsidRDefault="001307DF" w:rsidP="00763B2C">
      <w:pPr>
        <w:spacing w:line="360" w:lineRule="auto"/>
        <w:rPr>
          <w:rFonts w:ascii="Arial" w:hAnsi="Arial" w:cs="Arial"/>
          <w:sz w:val="22"/>
          <w:szCs w:val="22"/>
        </w:rPr>
      </w:pPr>
    </w:p>
    <w:p w14:paraId="14365F52" w14:textId="77777777" w:rsidR="001307DF" w:rsidRPr="00763B2C" w:rsidRDefault="001307DF" w:rsidP="00763B2C">
      <w:pPr>
        <w:spacing w:line="360" w:lineRule="auto"/>
        <w:rPr>
          <w:rFonts w:ascii="Arial" w:hAnsi="Arial" w:cs="Arial"/>
          <w:sz w:val="22"/>
          <w:szCs w:val="22"/>
        </w:rPr>
      </w:pPr>
    </w:p>
    <w:p w14:paraId="48E8E271" w14:textId="77777777" w:rsidR="001307DF" w:rsidRPr="00763B2C" w:rsidRDefault="001307DF" w:rsidP="00763B2C">
      <w:pPr>
        <w:spacing w:line="360" w:lineRule="auto"/>
        <w:rPr>
          <w:rFonts w:ascii="Arial" w:hAnsi="Arial" w:cs="Arial"/>
          <w:sz w:val="22"/>
          <w:szCs w:val="22"/>
        </w:rPr>
      </w:pPr>
    </w:p>
    <w:sectPr w:rsidR="001307DF" w:rsidRPr="00763B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D5F59"/>
    <w:multiLevelType w:val="hybridMultilevel"/>
    <w:tmpl w:val="B99AE6F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51724AA"/>
    <w:multiLevelType w:val="multilevel"/>
    <w:tmpl w:val="41027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36135C"/>
    <w:multiLevelType w:val="hybridMultilevel"/>
    <w:tmpl w:val="83CA81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E365F6"/>
    <w:multiLevelType w:val="hybridMultilevel"/>
    <w:tmpl w:val="9EC0BAA6"/>
    <w:lvl w:ilvl="0" w:tplc="FFFFFFFF">
      <w:start w:val="1"/>
      <w:numFmt w:val="decimal"/>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33AA3D52"/>
    <w:multiLevelType w:val="hybridMultilevel"/>
    <w:tmpl w:val="9EC0BAA6"/>
    <w:lvl w:ilvl="0" w:tplc="0809000F">
      <w:start w:val="1"/>
      <w:numFmt w:val="decimal"/>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 w15:restartNumberingAfterBreak="0">
    <w:nsid w:val="6287295B"/>
    <w:multiLevelType w:val="hybridMultilevel"/>
    <w:tmpl w:val="7FD6D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1110303">
    <w:abstractNumId w:val="1"/>
  </w:num>
  <w:num w:numId="2" w16cid:durableId="627128084">
    <w:abstractNumId w:val="4"/>
  </w:num>
  <w:num w:numId="3" w16cid:durableId="1578202533">
    <w:abstractNumId w:val="3"/>
  </w:num>
  <w:num w:numId="4" w16cid:durableId="1081027488">
    <w:abstractNumId w:val="5"/>
  </w:num>
  <w:num w:numId="5" w16cid:durableId="196046542">
    <w:abstractNumId w:val="0"/>
  </w:num>
  <w:num w:numId="6" w16cid:durableId="10477561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7DF"/>
    <w:rsid w:val="001307DF"/>
    <w:rsid w:val="00763B2C"/>
    <w:rsid w:val="00BE211F"/>
    <w:rsid w:val="00E25560"/>
    <w:rsid w:val="00F8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F92A98"/>
  <w15:chartTrackingRefBased/>
  <w15:docId w15:val="{2B10CF20-38F0-944E-A44C-65C65D569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307DF"/>
    <w:pPr>
      <w:ind w:left="720"/>
      <w:contextualSpacing/>
    </w:pPr>
  </w:style>
  <w:style w:type="character" w:styleId="Hyperlink">
    <w:name w:val="Hyperlink"/>
    <w:basedOn w:val="DefaultParagraphFont"/>
    <w:uiPriority w:val="99"/>
    <w:unhideWhenUsed/>
    <w:rsid w:val="001307DF"/>
    <w:rPr>
      <w:color w:val="0563C1" w:themeColor="hyperlink"/>
      <w:u w:val="single"/>
    </w:rPr>
  </w:style>
  <w:style w:type="character" w:customStyle="1" w:styleId="apple-converted-space">
    <w:name w:val="apple-converted-space"/>
    <w:basedOn w:val="DefaultParagraphFont"/>
    <w:rsid w:val="00E25560"/>
  </w:style>
  <w:style w:type="character" w:customStyle="1" w:styleId="ListParagraphChar">
    <w:name w:val="List Paragraph Char"/>
    <w:link w:val="ListParagraph"/>
    <w:uiPriority w:val="34"/>
    <w:locked/>
    <w:rsid w:val="00763B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hyperlink" Target="https://pubmed.ncbi.nlm.nih.gov/17383655/" TargetMode="External"/><Relationship Id="rId3" Type="http://schemas.openxmlformats.org/officeDocument/2006/relationships/settings" Target="settings.xml"/><Relationship Id="rId7" Type="http://schemas.openxmlformats.org/officeDocument/2006/relationships/hyperlink" Target="https://www.legislation.gov.uk/ukpga/2018/12/contents" TargetMode="External"/><Relationship Id="rId12" Type="http://schemas.openxmlformats.org/officeDocument/2006/relationships/hyperlink" Target="https://www.skillsforcare.org.uk/resources/documents/Support-for-leaders-and-managers/Managing-people/Code-of-conduct/Code-of-Conduc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qc.org.uk/guidance-regulation/providers/regulations-service-providers-and-managers/health-social-care-act/regulation-17" TargetMode="External"/><Relationship Id="rId11" Type="http://schemas.openxmlformats.org/officeDocument/2006/relationships/hyperlink" Target="https://www.nmc.org.uk/standards/code/" TargetMode="External"/><Relationship Id="rId5" Type="http://schemas.openxmlformats.org/officeDocument/2006/relationships/hyperlink" Target="https://www.scirp.org/reference/referencespapers?referenceid=2703697" TargetMode="External"/><Relationship Id="rId15" Type="http://schemas.openxmlformats.org/officeDocument/2006/relationships/theme" Target="theme/theme1.xml"/><Relationship Id="rId10" Type="http://schemas.openxmlformats.org/officeDocument/2006/relationships/hyperlink" Target="https://www.england.nhs.uk/improvement-hub/wp-content/uploads/sites/44/2017/11/SBAR-Implementation-and-Training-Guide.pdf" TargetMode="External"/><Relationship Id="rId4" Type="http://schemas.openxmlformats.org/officeDocument/2006/relationships/webSettings" Target="webSettings.xml"/><Relationship Id="rId9" Type="http://schemas.openxmlformats.org/officeDocument/2006/relationships/hyperlink" Target="https://www.england.nhs.uk/long-read/good-communication-with-patients-waiting-for-care-core-principl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Pages>
  <Words>1892</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Ali (2437713)</dc:creator>
  <cp:keywords/>
  <dc:description/>
  <cp:lastModifiedBy>Alisha Ali (2437713)</cp:lastModifiedBy>
  <cp:revision>4</cp:revision>
  <dcterms:created xsi:type="dcterms:W3CDTF">2025-11-20T00:37:00Z</dcterms:created>
  <dcterms:modified xsi:type="dcterms:W3CDTF">2025-11-21T01:21:00Z</dcterms:modified>
</cp:coreProperties>
</file>