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98F15" w14:textId="719227C9" w:rsidR="00FA58E3" w:rsidRDefault="00FA58E3" w:rsidP="00115990">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 w:val="22"/>
        </w:rPr>
      </w:pPr>
      <w:r>
        <w:rPr>
          <w:rFonts w:cs="Times New Roman"/>
          <w:b/>
          <w:bCs/>
          <w:noProof/>
          <w:color w:val="000000"/>
          <w:sz w:val="22"/>
        </w:rPr>
        <w:drawing>
          <wp:inline distT="0" distB="0" distL="0" distR="0" wp14:anchorId="772D81F6" wp14:editId="4264700D">
            <wp:extent cx="2883535" cy="1134110"/>
            <wp:effectExtent l="0" t="0" r="0" b="0"/>
            <wp:docPr id="160624488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3535" cy="1134110"/>
                    </a:xfrm>
                    <a:prstGeom prst="rect">
                      <a:avLst/>
                    </a:prstGeom>
                    <a:noFill/>
                  </pic:spPr>
                </pic:pic>
              </a:graphicData>
            </a:graphic>
          </wp:inline>
        </w:drawing>
      </w:r>
    </w:p>
    <w:p w14:paraId="4541DC45" w14:textId="77777777" w:rsidR="00FA58E3" w:rsidRPr="00FA58E3" w:rsidRDefault="00FA58E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081A1F3E" w14:textId="77777777" w:rsidR="00FA58E3" w:rsidRPr="00FA58E3" w:rsidRDefault="00FA58E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7A99A063" w14:textId="77777777" w:rsidR="00FA58E3" w:rsidRPr="00FA58E3" w:rsidRDefault="00FA58E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220374C5" w14:textId="4896A8B6" w:rsidR="00FA58E3" w:rsidRDefault="00FA58E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 w:val="36"/>
          <w:szCs w:val="36"/>
        </w:rPr>
      </w:pPr>
      <w:r w:rsidRPr="00FA58E3">
        <w:rPr>
          <w:rFonts w:cs="Times New Roman" w:hint="eastAsia"/>
          <w:b/>
          <w:bCs/>
          <w:color w:val="000000"/>
          <w:sz w:val="36"/>
          <w:szCs w:val="36"/>
        </w:rPr>
        <w:t>U</w:t>
      </w:r>
      <w:r w:rsidRPr="00FA58E3">
        <w:rPr>
          <w:rFonts w:cs="Times New Roman"/>
          <w:b/>
          <w:bCs/>
          <w:color w:val="000000"/>
          <w:sz w:val="36"/>
          <w:szCs w:val="36"/>
        </w:rPr>
        <w:t>niversity of  Wales Trinity Saint David</w:t>
      </w:r>
    </w:p>
    <w:p w14:paraId="07AEA2BD" w14:textId="77777777" w:rsidR="00FA58E3" w:rsidRPr="00FA58E3" w:rsidRDefault="00FA58E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62C85991" w14:textId="77777777" w:rsidR="00FA58E3" w:rsidRDefault="00FA58E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6A63C17B"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4C75785F" w14:textId="2C95F6D3" w:rsidR="00162263" w:rsidRP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 w:val="32"/>
          <w:szCs w:val="32"/>
        </w:rPr>
      </w:pPr>
      <w:r w:rsidRPr="00162263">
        <w:rPr>
          <w:rFonts w:cs="Times New Roman"/>
          <w:b/>
          <w:bCs/>
          <w:color w:val="000000"/>
          <w:sz w:val="32"/>
          <w:szCs w:val="32"/>
        </w:rPr>
        <w:t>Doctor of Business Administration</w:t>
      </w:r>
    </w:p>
    <w:p w14:paraId="53E6EECD"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63C4BE08"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0CD8EDCA" w14:textId="43D90871" w:rsidR="00FA58E3" w:rsidRP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 w:val="28"/>
          <w:szCs w:val="28"/>
        </w:rPr>
      </w:pPr>
      <w:r w:rsidRPr="00162263">
        <w:rPr>
          <w:rFonts w:cs="Times New Roman" w:hint="eastAsia"/>
          <w:b/>
          <w:bCs/>
          <w:color w:val="000000"/>
          <w:sz w:val="28"/>
          <w:szCs w:val="28"/>
        </w:rPr>
        <w:t>M</w:t>
      </w:r>
      <w:r w:rsidRPr="00162263">
        <w:rPr>
          <w:rFonts w:cs="Times New Roman"/>
          <w:b/>
          <w:bCs/>
          <w:color w:val="000000"/>
          <w:sz w:val="28"/>
          <w:szCs w:val="28"/>
        </w:rPr>
        <w:t xml:space="preserve">odule: </w:t>
      </w:r>
      <w:r w:rsidR="00FA58E3" w:rsidRPr="00162263">
        <w:rPr>
          <w:rFonts w:ascii="Arial" w:hAnsi="Arial" w:cs="Arial"/>
          <w:sz w:val="28"/>
          <w:szCs w:val="28"/>
        </w:rPr>
        <w:t>Critical Literature Review for Doctoral Research</w:t>
      </w:r>
    </w:p>
    <w:p w14:paraId="77DB4C2E" w14:textId="77777777" w:rsidR="00FA58E3" w:rsidRDefault="00FA58E3" w:rsidP="00255A24">
      <w:pPr>
        <w:pBdr>
          <w:top w:val="single" w:sz="4" w:space="1" w:color="auto"/>
          <w:left w:val="single" w:sz="4" w:space="4" w:color="auto"/>
          <w:bottom w:val="single" w:sz="4" w:space="1" w:color="auto"/>
          <w:right w:val="single" w:sz="4" w:space="4" w:color="auto"/>
        </w:pBdr>
        <w:spacing w:line="240" w:lineRule="auto"/>
        <w:jc w:val="center"/>
        <w:rPr>
          <w:rFonts w:ascii="Arial" w:hAnsi="Arial" w:cs="Arial"/>
        </w:rPr>
      </w:pPr>
    </w:p>
    <w:p w14:paraId="21239221"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ascii="Arial" w:hAnsi="Arial" w:cs="Arial"/>
        </w:rPr>
      </w:pPr>
    </w:p>
    <w:p w14:paraId="4647082F"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ascii="Arial" w:hAnsi="Arial" w:cs="Arial"/>
        </w:rPr>
      </w:pPr>
    </w:p>
    <w:p w14:paraId="4D91826E"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ascii="Arial" w:hAnsi="Arial" w:cs="Arial"/>
        </w:rPr>
      </w:pPr>
    </w:p>
    <w:p w14:paraId="7D816C92"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ascii="Arial" w:hAnsi="Arial" w:cs="Arial"/>
        </w:rPr>
      </w:pPr>
    </w:p>
    <w:p w14:paraId="4F36E8A2" w14:textId="1E3CEFC0" w:rsidR="00162263" w:rsidRP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sz w:val="28"/>
          <w:szCs w:val="28"/>
        </w:rPr>
      </w:pPr>
      <w:r w:rsidRPr="00162263">
        <w:rPr>
          <w:rFonts w:cs="Times New Roman"/>
          <w:b/>
          <w:bCs/>
          <w:sz w:val="28"/>
          <w:szCs w:val="28"/>
        </w:rPr>
        <w:t>Submitted by:</w:t>
      </w:r>
      <w:r w:rsidRPr="00162263">
        <w:rPr>
          <w:rFonts w:cs="Times New Roman"/>
          <w:sz w:val="28"/>
          <w:szCs w:val="28"/>
        </w:rPr>
        <w:t xml:space="preserve"> Pan Lu</w:t>
      </w:r>
    </w:p>
    <w:p w14:paraId="18AF63A9" w14:textId="77777777" w:rsidR="00FA58E3" w:rsidRDefault="00FA58E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339DE926" w14:textId="398C307C" w:rsidR="00162263" w:rsidRP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sz w:val="28"/>
          <w:szCs w:val="28"/>
        </w:rPr>
      </w:pPr>
      <w:r w:rsidRPr="00162263">
        <w:rPr>
          <w:rFonts w:cs="Times New Roman" w:hint="eastAsia"/>
          <w:b/>
          <w:bCs/>
          <w:color w:val="000000"/>
          <w:sz w:val="28"/>
          <w:szCs w:val="28"/>
        </w:rPr>
        <w:t>S</w:t>
      </w:r>
      <w:r w:rsidRPr="00162263">
        <w:rPr>
          <w:rFonts w:cs="Times New Roman"/>
          <w:b/>
          <w:bCs/>
          <w:color w:val="000000"/>
          <w:sz w:val="28"/>
          <w:szCs w:val="28"/>
        </w:rPr>
        <w:t xml:space="preserve">tudent number: </w:t>
      </w:r>
      <w:r w:rsidRPr="00162263">
        <w:rPr>
          <w:rFonts w:cs="Times New Roman"/>
          <w:color w:val="000000"/>
          <w:sz w:val="28"/>
          <w:szCs w:val="28"/>
        </w:rPr>
        <w:t>2211622</w:t>
      </w:r>
    </w:p>
    <w:p w14:paraId="3C1026F3"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4A507306"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0704C0D1"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4752D217" w14:textId="53C62B53"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r>
        <w:rPr>
          <w:rFonts w:cs="Times New Roman" w:hint="eastAsia"/>
          <w:b/>
          <w:bCs/>
          <w:color w:val="000000"/>
        </w:rPr>
        <w:t>L</w:t>
      </w:r>
      <w:r>
        <w:rPr>
          <w:rFonts w:cs="Times New Roman"/>
          <w:b/>
          <w:bCs/>
          <w:color w:val="000000"/>
        </w:rPr>
        <w:t xml:space="preserve">ecturer: </w:t>
      </w:r>
      <w:r w:rsidRPr="00162263">
        <w:rPr>
          <w:rFonts w:cs="Times New Roman"/>
          <w:bCs/>
        </w:rPr>
        <w:t>Dr</w:t>
      </w:r>
      <w:r>
        <w:rPr>
          <w:rFonts w:cs="Times New Roman"/>
          <w:bCs/>
        </w:rPr>
        <w:t>.</w:t>
      </w:r>
      <w:r w:rsidRPr="00162263">
        <w:rPr>
          <w:rFonts w:cs="Times New Roman"/>
          <w:bCs/>
        </w:rPr>
        <w:t xml:space="preserve"> Gareth Hughes</w:t>
      </w:r>
    </w:p>
    <w:p w14:paraId="5E0FAEAE"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16690084" w14:textId="66F5887B" w:rsidR="00162263" w:rsidRP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Cs/>
          <w:color w:val="000000"/>
        </w:rPr>
      </w:pPr>
      <w:r>
        <w:rPr>
          <w:rFonts w:cs="Times New Roman" w:hint="eastAsia"/>
          <w:b/>
          <w:bCs/>
          <w:color w:val="000000"/>
        </w:rPr>
        <w:t>S</w:t>
      </w:r>
      <w:r>
        <w:rPr>
          <w:rFonts w:cs="Times New Roman"/>
          <w:b/>
          <w:bCs/>
          <w:color w:val="000000"/>
        </w:rPr>
        <w:t xml:space="preserve">ubmission Due Date: </w:t>
      </w:r>
      <w:r w:rsidR="00B96898">
        <w:rPr>
          <w:rFonts w:cs="Times New Roman"/>
          <w:bCs/>
        </w:rPr>
        <w:t>5</w:t>
      </w:r>
      <w:r w:rsidRPr="00162263">
        <w:rPr>
          <w:rFonts w:cs="Times New Roman"/>
          <w:bCs/>
        </w:rPr>
        <w:t xml:space="preserve"> </w:t>
      </w:r>
      <w:r w:rsidR="00B96898">
        <w:rPr>
          <w:rFonts w:cs="Times New Roman"/>
          <w:bCs/>
        </w:rPr>
        <w:t>June</w:t>
      </w:r>
      <w:r w:rsidRPr="00162263">
        <w:rPr>
          <w:rFonts w:cs="Times New Roman"/>
          <w:bCs/>
        </w:rPr>
        <w:t xml:space="preserve"> 202</w:t>
      </w:r>
      <w:r w:rsidR="00B96898">
        <w:rPr>
          <w:rFonts w:cs="Times New Roman"/>
          <w:bCs/>
        </w:rPr>
        <w:t>3</w:t>
      </w:r>
    </w:p>
    <w:p w14:paraId="51CE5502"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03B586E4" w14:textId="131CD977" w:rsidR="00162263" w:rsidRP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color w:val="000000"/>
        </w:rPr>
      </w:pPr>
      <w:r>
        <w:rPr>
          <w:rFonts w:cs="Times New Roman" w:hint="eastAsia"/>
          <w:b/>
          <w:bCs/>
          <w:color w:val="000000"/>
        </w:rPr>
        <w:t>W</w:t>
      </w:r>
      <w:r>
        <w:rPr>
          <w:rFonts w:cs="Times New Roman"/>
          <w:b/>
          <w:bCs/>
          <w:color w:val="000000"/>
        </w:rPr>
        <w:t>ord Count:</w:t>
      </w:r>
      <w:r>
        <w:rPr>
          <w:rFonts w:cs="Times New Roman"/>
          <w:color w:val="000000"/>
        </w:rPr>
        <w:t xml:space="preserve"> </w:t>
      </w:r>
      <w:r w:rsidR="00D44C8F">
        <w:rPr>
          <w:rFonts w:cs="Times New Roman"/>
          <w:color w:val="000000"/>
        </w:rPr>
        <w:t>6672</w:t>
      </w:r>
    </w:p>
    <w:p w14:paraId="13A1BE9A"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5BC51B96"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6F4E8C12"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11684EA0" w14:textId="77777777" w:rsidR="00255A24" w:rsidRDefault="00255A24"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0C33670D" w14:textId="77777777" w:rsidR="00162263" w:rsidRDefault="00162263" w:rsidP="00255A24">
      <w:pPr>
        <w:pBdr>
          <w:top w:val="single" w:sz="4" w:space="1" w:color="auto"/>
          <w:left w:val="single" w:sz="4" w:space="4" w:color="auto"/>
          <w:bottom w:val="single" w:sz="4" w:space="1" w:color="auto"/>
          <w:right w:val="single" w:sz="4" w:space="4" w:color="auto"/>
        </w:pBdr>
        <w:spacing w:line="240" w:lineRule="auto"/>
        <w:jc w:val="center"/>
        <w:rPr>
          <w:rFonts w:cs="Times New Roman"/>
          <w:b/>
          <w:bCs/>
          <w:color w:val="000000"/>
        </w:rPr>
      </w:pPr>
    </w:p>
    <w:p w14:paraId="03816CE3" w14:textId="77777777" w:rsidR="00FA58E3" w:rsidRDefault="00FA58E3">
      <w:pPr>
        <w:spacing w:line="240" w:lineRule="auto"/>
        <w:rPr>
          <w:rFonts w:cs="Times New Roman"/>
          <w:b/>
          <w:bCs/>
          <w:color w:val="000000"/>
          <w:sz w:val="22"/>
        </w:rPr>
      </w:pPr>
    </w:p>
    <w:p w14:paraId="6ADC2B2A" w14:textId="555CF47E" w:rsidR="00240153" w:rsidRDefault="003849BE">
      <w:pPr>
        <w:pStyle w:val="TOC1"/>
        <w:tabs>
          <w:tab w:val="right" w:leader="dot" w:pos="8296"/>
        </w:tabs>
        <w:rPr>
          <w:rFonts w:asciiTheme="minorHAnsi" w:hAnsiTheme="minorHAnsi"/>
          <w:noProof/>
          <w:sz w:val="21"/>
          <w:szCs w:val="22"/>
          <w14:ligatures w14:val="standardContextual"/>
        </w:rPr>
      </w:pPr>
      <w:r>
        <w:lastRenderedPageBreak/>
        <w:fldChar w:fldCharType="begin"/>
      </w:r>
      <w:r>
        <w:instrText xml:space="preserve"> TOC \o "1-3" \h \z \u </w:instrText>
      </w:r>
      <w:r>
        <w:fldChar w:fldCharType="separate"/>
      </w:r>
      <w:hyperlink w:anchor="_Toc136805905" w:history="1">
        <w:r w:rsidR="00240153" w:rsidRPr="008F20B4">
          <w:rPr>
            <w:rStyle w:val="ad"/>
            <w:noProof/>
          </w:rPr>
          <w:t>Part 1. Explore critically the purpose, content and format of a Critical Literature Review for Doctoral Research.</w:t>
        </w:r>
        <w:r w:rsidR="00240153">
          <w:rPr>
            <w:noProof/>
            <w:webHidden/>
          </w:rPr>
          <w:tab/>
        </w:r>
        <w:r w:rsidR="00240153">
          <w:rPr>
            <w:noProof/>
            <w:webHidden/>
          </w:rPr>
          <w:fldChar w:fldCharType="begin"/>
        </w:r>
        <w:r w:rsidR="00240153">
          <w:rPr>
            <w:noProof/>
            <w:webHidden/>
          </w:rPr>
          <w:instrText xml:space="preserve"> PAGEREF _Toc136805905 \h </w:instrText>
        </w:r>
        <w:r w:rsidR="00240153">
          <w:rPr>
            <w:noProof/>
            <w:webHidden/>
          </w:rPr>
        </w:r>
        <w:r w:rsidR="00240153">
          <w:rPr>
            <w:noProof/>
            <w:webHidden/>
          </w:rPr>
          <w:fldChar w:fldCharType="separate"/>
        </w:r>
        <w:r w:rsidR="00240153">
          <w:rPr>
            <w:noProof/>
            <w:webHidden/>
          </w:rPr>
          <w:t>3</w:t>
        </w:r>
        <w:r w:rsidR="00240153">
          <w:rPr>
            <w:noProof/>
            <w:webHidden/>
          </w:rPr>
          <w:fldChar w:fldCharType="end"/>
        </w:r>
      </w:hyperlink>
    </w:p>
    <w:p w14:paraId="1B70E4C5" w14:textId="364D9D00" w:rsidR="00240153" w:rsidRDefault="00000000">
      <w:pPr>
        <w:pStyle w:val="TOC2"/>
        <w:tabs>
          <w:tab w:val="right" w:leader="dot" w:pos="8296"/>
        </w:tabs>
        <w:rPr>
          <w:rFonts w:asciiTheme="minorHAnsi" w:hAnsiTheme="minorHAnsi"/>
          <w:noProof/>
          <w:sz w:val="21"/>
          <w:szCs w:val="22"/>
          <w14:ligatures w14:val="standardContextual"/>
        </w:rPr>
      </w:pPr>
      <w:hyperlink w:anchor="_Toc136805906" w:history="1">
        <w:r w:rsidR="00240153" w:rsidRPr="008F20B4">
          <w:rPr>
            <w:rStyle w:val="ad"/>
            <w:noProof/>
          </w:rPr>
          <w:t>Executive Summary</w:t>
        </w:r>
        <w:r w:rsidR="00240153">
          <w:rPr>
            <w:noProof/>
            <w:webHidden/>
          </w:rPr>
          <w:tab/>
        </w:r>
        <w:r w:rsidR="00240153">
          <w:rPr>
            <w:noProof/>
            <w:webHidden/>
          </w:rPr>
          <w:fldChar w:fldCharType="begin"/>
        </w:r>
        <w:r w:rsidR="00240153">
          <w:rPr>
            <w:noProof/>
            <w:webHidden/>
          </w:rPr>
          <w:instrText xml:space="preserve"> PAGEREF _Toc136805906 \h </w:instrText>
        </w:r>
        <w:r w:rsidR="00240153">
          <w:rPr>
            <w:noProof/>
            <w:webHidden/>
          </w:rPr>
        </w:r>
        <w:r w:rsidR="00240153">
          <w:rPr>
            <w:noProof/>
            <w:webHidden/>
          </w:rPr>
          <w:fldChar w:fldCharType="separate"/>
        </w:r>
        <w:r w:rsidR="00240153">
          <w:rPr>
            <w:noProof/>
            <w:webHidden/>
          </w:rPr>
          <w:t>3</w:t>
        </w:r>
        <w:r w:rsidR="00240153">
          <w:rPr>
            <w:noProof/>
            <w:webHidden/>
          </w:rPr>
          <w:fldChar w:fldCharType="end"/>
        </w:r>
      </w:hyperlink>
    </w:p>
    <w:p w14:paraId="55050C71" w14:textId="088F55DD" w:rsidR="00240153" w:rsidRDefault="00000000">
      <w:pPr>
        <w:pStyle w:val="TOC2"/>
        <w:tabs>
          <w:tab w:val="right" w:leader="dot" w:pos="8296"/>
        </w:tabs>
        <w:rPr>
          <w:rFonts w:asciiTheme="minorHAnsi" w:hAnsiTheme="minorHAnsi"/>
          <w:noProof/>
          <w:sz w:val="21"/>
          <w:szCs w:val="22"/>
          <w14:ligatures w14:val="standardContextual"/>
        </w:rPr>
      </w:pPr>
      <w:hyperlink w:anchor="_Toc136805907" w:history="1">
        <w:r w:rsidR="00240153" w:rsidRPr="008F20B4">
          <w:rPr>
            <w:rStyle w:val="ad"/>
            <w:noProof/>
          </w:rPr>
          <w:t>1 Introduction</w:t>
        </w:r>
        <w:r w:rsidR="00240153">
          <w:rPr>
            <w:noProof/>
            <w:webHidden/>
          </w:rPr>
          <w:tab/>
        </w:r>
        <w:r w:rsidR="00240153">
          <w:rPr>
            <w:noProof/>
            <w:webHidden/>
          </w:rPr>
          <w:fldChar w:fldCharType="begin"/>
        </w:r>
        <w:r w:rsidR="00240153">
          <w:rPr>
            <w:noProof/>
            <w:webHidden/>
          </w:rPr>
          <w:instrText xml:space="preserve"> PAGEREF _Toc136805907 \h </w:instrText>
        </w:r>
        <w:r w:rsidR="00240153">
          <w:rPr>
            <w:noProof/>
            <w:webHidden/>
          </w:rPr>
        </w:r>
        <w:r w:rsidR="00240153">
          <w:rPr>
            <w:noProof/>
            <w:webHidden/>
          </w:rPr>
          <w:fldChar w:fldCharType="separate"/>
        </w:r>
        <w:r w:rsidR="00240153">
          <w:rPr>
            <w:noProof/>
            <w:webHidden/>
          </w:rPr>
          <w:t>3</w:t>
        </w:r>
        <w:r w:rsidR="00240153">
          <w:rPr>
            <w:noProof/>
            <w:webHidden/>
          </w:rPr>
          <w:fldChar w:fldCharType="end"/>
        </w:r>
      </w:hyperlink>
    </w:p>
    <w:p w14:paraId="3DBB31B4" w14:textId="6D0DB9EF" w:rsidR="00240153" w:rsidRDefault="00000000">
      <w:pPr>
        <w:pStyle w:val="TOC3"/>
        <w:tabs>
          <w:tab w:val="left" w:pos="630"/>
          <w:tab w:val="right" w:leader="dot" w:pos="8296"/>
        </w:tabs>
        <w:rPr>
          <w:rFonts w:asciiTheme="minorHAnsi" w:hAnsiTheme="minorHAnsi"/>
          <w:noProof/>
          <w:sz w:val="21"/>
          <w:szCs w:val="22"/>
          <w14:ligatures w14:val="standardContextual"/>
        </w:rPr>
      </w:pPr>
      <w:hyperlink w:anchor="_Toc136805908" w:history="1">
        <w:r w:rsidR="00240153" w:rsidRPr="008F20B4">
          <w:rPr>
            <w:rStyle w:val="ad"/>
            <w:noProof/>
          </w:rPr>
          <w:t>1.1</w:t>
        </w:r>
        <w:r w:rsidR="00240153">
          <w:rPr>
            <w:rFonts w:asciiTheme="minorHAnsi" w:hAnsiTheme="minorHAnsi"/>
            <w:noProof/>
            <w:sz w:val="21"/>
            <w:szCs w:val="22"/>
            <w14:ligatures w14:val="standardContextual"/>
          </w:rPr>
          <w:tab/>
        </w:r>
        <w:r w:rsidR="00240153" w:rsidRPr="008F20B4">
          <w:rPr>
            <w:rStyle w:val="ad"/>
            <w:noProof/>
          </w:rPr>
          <w:t>Background</w:t>
        </w:r>
        <w:r w:rsidR="00240153">
          <w:rPr>
            <w:noProof/>
            <w:webHidden/>
          </w:rPr>
          <w:tab/>
        </w:r>
        <w:r w:rsidR="00240153">
          <w:rPr>
            <w:noProof/>
            <w:webHidden/>
          </w:rPr>
          <w:fldChar w:fldCharType="begin"/>
        </w:r>
        <w:r w:rsidR="00240153">
          <w:rPr>
            <w:noProof/>
            <w:webHidden/>
          </w:rPr>
          <w:instrText xml:space="preserve"> PAGEREF _Toc136805908 \h </w:instrText>
        </w:r>
        <w:r w:rsidR="00240153">
          <w:rPr>
            <w:noProof/>
            <w:webHidden/>
          </w:rPr>
        </w:r>
        <w:r w:rsidR="00240153">
          <w:rPr>
            <w:noProof/>
            <w:webHidden/>
          </w:rPr>
          <w:fldChar w:fldCharType="separate"/>
        </w:r>
        <w:r w:rsidR="00240153">
          <w:rPr>
            <w:noProof/>
            <w:webHidden/>
          </w:rPr>
          <w:t>4</w:t>
        </w:r>
        <w:r w:rsidR="00240153">
          <w:rPr>
            <w:noProof/>
            <w:webHidden/>
          </w:rPr>
          <w:fldChar w:fldCharType="end"/>
        </w:r>
      </w:hyperlink>
    </w:p>
    <w:p w14:paraId="516E9A62" w14:textId="185513C6" w:rsidR="00240153" w:rsidRDefault="00000000">
      <w:pPr>
        <w:pStyle w:val="TOC2"/>
        <w:tabs>
          <w:tab w:val="right" w:leader="dot" w:pos="8296"/>
        </w:tabs>
        <w:rPr>
          <w:rFonts w:asciiTheme="minorHAnsi" w:hAnsiTheme="minorHAnsi"/>
          <w:noProof/>
          <w:sz w:val="21"/>
          <w:szCs w:val="22"/>
          <w14:ligatures w14:val="standardContextual"/>
        </w:rPr>
      </w:pPr>
      <w:hyperlink w:anchor="_Toc136805909" w:history="1">
        <w:r w:rsidR="00240153" w:rsidRPr="008F20B4">
          <w:rPr>
            <w:rStyle w:val="ad"/>
            <w:noProof/>
          </w:rPr>
          <w:t>2 Definition of a literature review</w:t>
        </w:r>
        <w:r w:rsidR="00240153">
          <w:rPr>
            <w:noProof/>
            <w:webHidden/>
          </w:rPr>
          <w:tab/>
        </w:r>
        <w:r w:rsidR="00240153">
          <w:rPr>
            <w:noProof/>
            <w:webHidden/>
          </w:rPr>
          <w:fldChar w:fldCharType="begin"/>
        </w:r>
        <w:r w:rsidR="00240153">
          <w:rPr>
            <w:noProof/>
            <w:webHidden/>
          </w:rPr>
          <w:instrText xml:space="preserve"> PAGEREF _Toc136805909 \h </w:instrText>
        </w:r>
        <w:r w:rsidR="00240153">
          <w:rPr>
            <w:noProof/>
            <w:webHidden/>
          </w:rPr>
        </w:r>
        <w:r w:rsidR="00240153">
          <w:rPr>
            <w:noProof/>
            <w:webHidden/>
          </w:rPr>
          <w:fldChar w:fldCharType="separate"/>
        </w:r>
        <w:r w:rsidR="00240153">
          <w:rPr>
            <w:noProof/>
            <w:webHidden/>
          </w:rPr>
          <w:t>6</w:t>
        </w:r>
        <w:r w:rsidR="00240153">
          <w:rPr>
            <w:noProof/>
            <w:webHidden/>
          </w:rPr>
          <w:fldChar w:fldCharType="end"/>
        </w:r>
      </w:hyperlink>
    </w:p>
    <w:p w14:paraId="1B259332" w14:textId="69A556A9" w:rsidR="00240153" w:rsidRDefault="00000000">
      <w:pPr>
        <w:pStyle w:val="TOC2"/>
        <w:tabs>
          <w:tab w:val="right" w:leader="dot" w:pos="8296"/>
        </w:tabs>
        <w:rPr>
          <w:rFonts w:asciiTheme="minorHAnsi" w:hAnsiTheme="minorHAnsi"/>
          <w:noProof/>
          <w:sz w:val="21"/>
          <w:szCs w:val="22"/>
          <w14:ligatures w14:val="standardContextual"/>
        </w:rPr>
      </w:pPr>
      <w:hyperlink w:anchor="_Toc136805910" w:history="1">
        <w:r w:rsidR="00240153" w:rsidRPr="008F20B4">
          <w:rPr>
            <w:rStyle w:val="ad"/>
            <w:noProof/>
          </w:rPr>
          <w:t>3 Purpose of the literature review</w:t>
        </w:r>
        <w:r w:rsidR="00240153">
          <w:rPr>
            <w:noProof/>
            <w:webHidden/>
          </w:rPr>
          <w:tab/>
        </w:r>
        <w:r w:rsidR="00240153">
          <w:rPr>
            <w:noProof/>
            <w:webHidden/>
          </w:rPr>
          <w:fldChar w:fldCharType="begin"/>
        </w:r>
        <w:r w:rsidR="00240153">
          <w:rPr>
            <w:noProof/>
            <w:webHidden/>
          </w:rPr>
          <w:instrText xml:space="preserve"> PAGEREF _Toc136805910 \h </w:instrText>
        </w:r>
        <w:r w:rsidR="00240153">
          <w:rPr>
            <w:noProof/>
            <w:webHidden/>
          </w:rPr>
        </w:r>
        <w:r w:rsidR="00240153">
          <w:rPr>
            <w:noProof/>
            <w:webHidden/>
          </w:rPr>
          <w:fldChar w:fldCharType="separate"/>
        </w:r>
        <w:r w:rsidR="00240153">
          <w:rPr>
            <w:noProof/>
            <w:webHidden/>
          </w:rPr>
          <w:t>8</w:t>
        </w:r>
        <w:r w:rsidR="00240153">
          <w:rPr>
            <w:noProof/>
            <w:webHidden/>
          </w:rPr>
          <w:fldChar w:fldCharType="end"/>
        </w:r>
      </w:hyperlink>
    </w:p>
    <w:p w14:paraId="0B8CA6BB" w14:textId="50F9C893" w:rsidR="00240153" w:rsidRDefault="00000000">
      <w:pPr>
        <w:pStyle w:val="TOC2"/>
        <w:tabs>
          <w:tab w:val="right" w:leader="dot" w:pos="8296"/>
        </w:tabs>
        <w:rPr>
          <w:rFonts w:asciiTheme="minorHAnsi" w:hAnsiTheme="minorHAnsi"/>
          <w:noProof/>
          <w:sz w:val="21"/>
          <w:szCs w:val="22"/>
          <w14:ligatures w14:val="standardContextual"/>
        </w:rPr>
      </w:pPr>
      <w:hyperlink w:anchor="_Toc136805911" w:history="1">
        <w:r w:rsidR="00240153" w:rsidRPr="008F20B4">
          <w:rPr>
            <w:rStyle w:val="ad"/>
            <w:noProof/>
          </w:rPr>
          <w:t>4 Content of the literature review</w:t>
        </w:r>
        <w:r w:rsidR="00240153">
          <w:rPr>
            <w:noProof/>
            <w:webHidden/>
          </w:rPr>
          <w:tab/>
        </w:r>
        <w:r w:rsidR="00240153">
          <w:rPr>
            <w:noProof/>
            <w:webHidden/>
          </w:rPr>
          <w:fldChar w:fldCharType="begin"/>
        </w:r>
        <w:r w:rsidR="00240153">
          <w:rPr>
            <w:noProof/>
            <w:webHidden/>
          </w:rPr>
          <w:instrText xml:space="preserve"> PAGEREF _Toc136805911 \h </w:instrText>
        </w:r>
        <w:r w:rsidR="00240153">
          <w:rPr>
            <w:noProof/>
            <w:webHidden/>
          </w:rPr>
        </w:r>
        <w:r w:rsidR="00240153">
          <w:rPr>
            <w:noProof/>
            <w:webHidden/>
          </w:rPr>
          <w:fldChar w:fldCharType="separate"/>
        </w:r>
        <w:r w:rsidR="00240153">
          <w:rPr>
            <w:noProof/>
            <w:webHidden/>
          </w:rPr>
          <w:t>9</w:t>
        </w:r>
        <w:r w:rsidR="00240153">
          <w:rPr>
            <w:noProof/>
            <w:webHidden/>
          </w:rPr>
          <w:fldChar w:fldCharType="end"/>
        </w:r>
      </w:hyperlink>
    </w:p>
    <w:p w14:paraId="2DE504F0" w14:textId="05BE5366" w:rsidR="00240153" w:rsidRDefault="00000000">
      <w:pPr>
        <w:pStyle w:val="TOC2"/>
        <w:tabs>
          <w:tab w:val="right" w:leader="dot" w:pos="8296"/>
        </w:tabs>
        <w:rPr>
          <w:rFonts w:asciiTheme="minorHAnsi" w:hAnsiTheme="minorHAnsi"/>
          <w:noProof/>
          <w:sz w:val="21"/>
          <w:szCs w:val="22"/>
          <w14:ligatures w14:val="standardContextual"/>
        </w:rPr>
      </w:pPr>
      <w:hyperlink w:anchor="_Toc136805912" w:history="1">
        <w:r w:rsidR="00240153" w:rsidRPr="008F20B4">
          <w:rPr>
            <w:rStyle w:val="ad"/>
            <w:noProof/>
          </w:rPr>
          <w:t>5 Conclusion</w:t>
        </w:r>
        <w:r w:rsidR="00240153">
          <w:rPr>
            <w:noProof/>
            <w:webHidden/>
          </w:rPr>
          <w:tab/>
        </w:r>
        <w:r w:rsidR="00240153">
          <w:rPr>
            <w:noProof/>
            <w:webHidden/>
          </w:rPr>
          <w:fldChar w:fldCharType="begin"/>
        </w:r>
        <w:r w:rsidR="00240153">
          <w:rPr>
            <w:noProof/>
            <w:webHidden/>
          </w:rPr>
          <w:instrText xml:space="preserve"> PAGEREF _Toc136805912 \h </w:instrText>
        </w:r>
        <w:r w:rsidR="00240153">
          <w:rPr>
            <w:noProof/>
            <w:webHidden/>
          </w:rPr>
        </w:r>
        <w:r w:rsidR="00240153">
          <w:rPr>
            <w:noProof/>
            <w:webHidden/>
          </w:rPr>
          <w:fldChar w:fldCharType="separate"/>
        </w:r>
        <w:r w:rsidR="00240153">
          <w:rPr>
            <w:noProof/>
            <w:webHidden/>
          </w:rPr>
          <w:t>11</w:t>
        </w:r>
        <w:r w:rsidR="00240153">
          <w:rPr>
            <w:noProof/>
            <w:webHidden/>
          </w:rPr>
          <w:fldChar w:fldCharType="end"/>
        </w:r>
      </w:hyperlink>
    </w:p>
    <w:p w14:paraId="45FB3D16" w14:textId="58B5BFE9" w:rsidR="00240153" w:rsidRDefault="00000000">
      <w:pPr>
        <w:pStyle w:val="TOC2"/>
        <w:tabs>
          <w:tab w:val="right" w:leader="dot" w:pos="8296"/>
        </w:tabs>
        <w:rPr>
          <w:rFonts w:asciiTheme="minorHAnsi" w:hAnsiTheme="minorHAnsi"/>
          <w:noProof/>
          <w:sz w:val="21"/>
          <w:szCs w:val="22"/>
          <w14:ligatures w14:val="standardContextual"/>
        </w:rPr>
      </w:pPr>
      <w:hyperlink w:anchor="_Toc136805913" w:history="1">
        <w:r w:rsidR="00240153" w:rsidRPr="008F20B4">
          <w:rPr>
            <w:rStyle w:val="ad"/>
            <w:noProof/>
          </w:rPr>
          <w:t>6 Reference List</w:t>
        </w:r>
        <w:r w:rsidR="00240153">
          <w:rPr>
            <w:noProof/>
            <w:webHidden/>
          </w:rPr>
          <w:tab/>
        </w:r>
        <w:r w:rsidR="00240153">
          <w:rPr>
            <w:noProof/>
            <w:webHidden/>
          </w:rPr>
          <w:fldChar w:fldCharType="begin"/>
        </w:r>
        <w:r w:rsidR="00240153">
          <w:rPr>
            <w:noProof/>
            <w:webHidden/>
          </w:rPr>
          <w:instrText xml:space="preserve"> PAGEREF _Toc136805913 \h </w:instrText>
        </w:r>
        <w:r w:rsidR="00240153">
          <w:rPr>
            <w:noProof/>
            <w:webHidden/>
          </w:rPr>
        </w:r>
        <w:r w:rsidR="00240153">
          <w:rPr>
            <w:noProof/>
            <w:webHidden/>
          </w:rPr>
          <w:fldChar w:fldCharType="separate"/>
        </w:r>
        <w:r w:rsidR="00240153">
          <w:rPr>
            <w:noProof/>
            <w:webHidden/>
          </w:rPr>
          <w:t>11</w:t>
        </w:r>
        <w:r w:rsidR="00240153">
          <w:rPr>
            <w:noProof/>
            <w:webHidden/>
          </w:rPr>
          <w:fldChar w:fldCharType="end"/>
        </w:r>
      </w:hyperlink>
    </w:p>
    <w:p w14:paraId="52633CEC" w14:textId="38285DE0" w:rsidR="00240153" w:rsidRDefault="00000000">
      <w:pPr>
        <w:pStyle w:val="TOC1"/>
        <w:tabs>
          <w:tab w:val="right" w:leader="dot" w:pos="8296"/>
        </w:tabs>
        <w:rPr>
          <w:rFonts w:asciiTheme="minorHAnsi" w:hAnsiTheme="minorHAnsi"/>
          <w:noProof/>
          <w:sz w:val="21"/>
          <w:szCs w:val="22"/>
          <w14:ligatures w14:val="standardContextual"/>
        </w:rPr>
      </w:pPr>
      <w:hyperlink w:anchor="_Toc136805914" w:history="1">
        <w:r w:rsidR="00240153" w:rsidRPr="008F20B4">
          <w:rPr>
            <w:rStyle w:val="ad"/>
            <w:noProof/>
          </w:rPr>
          <w:t>Part 2. Literature List Table</w:t>
        </w:r>
        <w:r w:rsidR="00240153">
          <w:rPr>
            <w:noProof/>
            <w:webHidden/>
          </w:rPr>
          <w:tab/>
        </w:r>
        <w:r w:rsidR="00240153">
          <w:rPr>
            <w:noProof/>
            <w:webHidden/>
          </w:rPr>
          <w:fldChar w:fldCharType="begin"/>
        </w:r>
        <w:r w:rsidR="00240153">
          <w:rPr>
            <w:noProof/>
            <w:webHidden/>
          </w:rPr>
          <w:instrText xml:space="preserve"> PAGEREF _Toc136805914 \h </w:instrText>
        </w:r>
        <w:r w:rsidR="00240153">
          <w:rPr>
            <w:noProof/>
            <w:webHidden/>
          </w:rPr>
        </w:r>
        <w:r w:rsidR="00240153">
          <w:rPr>
            <w:noProof/>
            <w:webHidden/>
          </w:rPr>
          <w:fldChar w:fldCharType="separate"/>
        </w:r>
        <w:r w:rsidR="00240153">
          <w:rPr>
            <w:noProof/>
            <w:webHidden/>
          </w:rPr>
          <w:t>13</w:t>
        </w:r>
        <w:r w:rsidR="00240153">
          <w:rPr>
            <w:noProof/>
            <w:webHidden/>
          </w:rPr>
          <w:fldChar w:fldCharType="end"/>
        </w:r>
      </w:hyperlink>
    </w:p>
    <w:p w14:paraId="442511F6" w14:textId="10AA6138" w:rsidR="00240153" w:rsidRDefault="00000000">
      <w:pPr>
        <w:pStyle w:val="TOC1"/>
        <w:tabs>
          <w:tab w:val="right" w:leader="dot" w:pos="8296"/>
        </w:tabs>
        <w:rPr>
          <w:rFonts w:asciiTheme="minorHAnsi" w:hAnsiTheme="minorHAnsi"/>
          <w:noProof/>
          <w:sz w:val="21"/>
          <w:szCs w:val="22"/>
          <w14:ligatures w14:val="standardContextual"/>
        </w:rPr>
      </w:pPr>
      <w:hyperlink w:anchor="_Toc136805915" w:history="1">
        <w:r w:rsidR="00240153" w:rsidRPr="008F20B4">
          <w:rPr>
            <w:rStyle w:val="ad"/>
            <w:noProof/>
          </w:rPr>
          <w:t>Part 3. A preliminary literature review on the impact of the e-CNY on older people</w:t>
        </w:r>
        <w:r w:rsidR="00240153">
          <w:rPr>
            <w:noProof/>
            <w:webHidden/>
          </w:rPr>
          <w:tab/>
        </w:r>
        <w:r w:rsidR="00240153">
          <w:rPr>
            <w:noProof/>
            <w:webHidden/>
          </w:rPr>
          <w:fldChar w:fldCharType="begin"/>
        </w:r>
        <w:r w:rsidR="00240153">
          <w:rPr>
            <w:noProof/>
            <w:webHidden/>
          </w:rPr>
          <w:instrText xml:space="preserve"> PAGEREF _Toc136805915 \h </w:instrText>
        </w:r>
        <w:r w:rsidR="00240153">
          <w:rPr>
            <w:noProof/>
            <w:webHidden/>
          </w:rPr>
        </w:r>
        <w:r w:rsidR="00240153">
          <w:rPr>
            <w:noProof/>
            <w:webHidden/>
          </w:rPr>
          <w:fldChar w:fldCharType="separate"/>
        </w:r>
        <w:r w:rsidR="00240153">
          <w:rPr>
            <w:noProof/>
            <w:webHidden/>
          </w:rPr>
          <w:t>14</w:t>
        </w:r>
        <w:r w:rsidR="00240153">
          <w:rPr>
            <w:noProof/>
            <w:webHidden/>
          </w:rPr>
          <w:fldChar w:fldCharType="end"/>
        </w:r>
      </w:hyperlink>
    </w:p>
    <w:p w14:paraId="5D2ED73E" w14:textId="00E83595" w:rsidR="00240153" w:rsidRDefault="00000000">
      <w:pPr>
        <w:pStyle w:val="TOC1"/>
        <w:tabs>
          <w:tab w:val="right" w:leader="dot" w:pos="8296"/>
        </w:tabs>
        <w:rPr>
          <w:rFonts w:asciiTheme="minorHAnsi" w:hAnsiTheme="minorHAnsi"/>
          <w:noProof/>
          <w:sz w:val="21"/>
          <w:szCs w:val="22"/>
          <w14:ligatures w14:val="standardContextual"/>
        </w:rPr>
      </w:pPr>
      <w:hyperlink w:anchor="_Toc136805916" w:history="1">
        <w:r w:rsidR="00240153" w:rsidRPr="008F20B4">
          <w:rPr>
            <w:rStyle w:val="ad"/>
            <w:noProof/>
          </w:rPr>
          <w:t>Part 3. Preliminary Literature Review</w:t>
        </w:r>
        <w:r w:rsidR="00240153">
          <w:rPr>
            <w:noProof/>
            <w:webHidden/>
          </w:rPr>
          <w:tab/>
        </w:r>
        <w:r w:rsidR="00240153">
          <w:rPr>
            <w:noProof/>
            <w:webHidden/>
          </w:rPr>
          <w:fldChar w:fldCharType="begin"/>
        </w:r>
        <w:r w:rsidR="00240153">
          <w:rPr>
            <w:noProof/>
            <w:webHidden/>
          </w:rPr>
          <w:instrText xml:space="preserve"> PAGEREF _Toc136805916 \h </w:instrText>
        </w:r>
        <w:r w:rsidR="00240153">
          <w:rPr>
            <w:noProof/>
            <w:webHidden/>
          </w:rPr>
        </w:r>
        <w:r w:rsidR="00240153">
          <w:rPr>
            <w:noProof/>
            <w:webHidden/>
          </w:rPr>
          <w:fldChar w:fldCharType="separate"/>
        </w:r>
        <w:r w:rsidR="00240153">
          <w:rPr>
            <w:noProof/>
            <w:webHidden/>
          </w:rPr>
          <w:t>15</w:t>
        </w:r>
        <w:r w:rsidR="00240153">
          <w:rPr>
            <w:noProof/>
            <w:webHidden/>
          </w:rPr>
          <w:fldChar w:fldCharType="end"/>
        </w:r>
      </w:hyperlink>
    </w:p>
    <w:p w14:paraId="15E3945E" w14:textId="69044D4C" w:rsidR="003849BE" w:rsidRDefault="003849BE">
      <w:pPr>
        <w:rPr>
          <w:rFonts w:eastAsia="宋体"/>
          <w:b/>
          <w:bCs/>
          <w:kern w:val="44"/>
          <w:sz w:val="28"/>
          <w:szCs w:val="44"/>
        </w:rPr>
      </w:pPr>
      <w:r>
        <w:fldChar w:fldCharType="end"/>
      </w:r>
      <w:r>
        <w:br w:type="page"/>
      </w:r>
    </w:p>
    <w:p w14:paraId="564173F1" w14:textId="0C224508" w:rsidR="00E10243" w:rsidRPr="00E10243" w:rsidRDefault="00A60A66" w:rsidP="008B733C">
      <w:pPr>
        <w:pStyle w:val="1"/>
      </w:pPr>
      <w:bookmarkStart w:id="0" w:name="_Toc136805905"/>
      <w:r w:rsidRPr="008B733C">
        <w:rPr>
          <w:rFonts w:hint="eastAsia"/>
        </w:rPr>
        <w:lastRenderedPageBreak/>
        <w:t>P</w:t>
      </w:r>
      <w:r w:rsidRPr="008B733C">
        <w:t>art 1. Explore critically the purpose, content and format of a Critic</w:t>
      </w:r>
      <w:r w:rsidR="008B733C" w:rsidRPr="008B733C">
        <w:t>a</w:t>
      </w:r>
      <w:r w:rsidRPr="008B733C">
        <w:t>l Literature Review for Doctoral Research.</w:t>
      </w:r>
      <w:bookmarkEnd w:id="0"/>
    </w:p>
    <w:p w14:paraId="5E0A9D1C" w14:textId="77777777" w:rsidR="00BF0395" w:rsidRDefault="00BF0395" w:rsidP="00E10243">
      <w:pPr>
        <w:pStyle w:val="2"/>
      </w:pPr>
      <w:bookmarkStart w:id="1" w:name="_Toc135000552"/>
      <w:bookmarkStart w:id="2" w:name="_Toc136805906"/>
      <w:r w:rsidRPr="00A837D8">
        <w:t>Executive Summary</w:t>
      </w:r>
      <w:bookmarkEnd w:id="1"/>
      <w:bookmarkEnd w:id="2"/>
    </w:p>
    <w:p w14:paraId="5A0C5015" w14:textId="1D3BE2CB" w:rsidR="00B01801" w:rsidRDefault="00B01801" w:rsidP="00E10243">
      <w:r w:rsidRPr="00B01801">
        <w:t>Before writing a literature review, it is important to first understand the literature. The first part introduces the definition of a literature review, the purpose of writing a literature review, and the content and format of a literature review.</w:t>
      </w:r>
    </w:p>
    <w:p w14:paraId="31153CD6" w14:textId="60248447" w:rsidR="00A60A66" w:rsidRPr="00E10243" w:rsidRDefault="00E10243" w:rsidP="00E10243">
      <w:pPr>
        <w:pStyle w:val="2"/>
      </w:pPr>
      <w:bookmarkStart w:id="3" w:name="_Toc136805907"/>
      <w:r w:rsidRPr="00E10243">
        <w:t xml:space="preserve">1 </w:t>
      </w:r>
      <w:r w:rsidR="00A60A66" w:rsidRPr="00E10243">
        <w:t>Introduction</w:t>
      </w:r>
      <w:bookmarkEnd w:id="3"/>
    </w:p>
    <w:p w14:paraId="603DFCB1" w14:textId="3687333C" w:rsidR="00BC614A" w:rsidRDefault="00B01801" w:rsidP="00BC614A">
      <w:r w:rsidRPr="00B01801">
        <w:t>Beginning the writing process for a paper necessitates a literature review to be conducted following the identification of the research question. By thoroughly sifting through the numerous articles related to the research topic and staying informed of current research conducted by other scholars, the writer can keep abreast of the most recent advances in the field and the newest discoveries regarding the problem. A literature review is a report written by the author after analysing, collating, and summarising the literature he or she has read, not only to allow the author to summarise past research findings but also to give the reader a quick overview of the latest developments in the relevant discipline. By studying the existing scholarship related to a given topic, we can gain a deeper understanding of the area and use this knowledge as the foundation for further research and analysis. Through the process of writing a literature review, we are able to build upon the work of our predecessors, taking the body of knowledge to the next level. By standing on the shoulders of those who have come before us, we can continue to expand our knowledge and understanding of the world.</w:t>
      </w:r>
      <w:r w:rsidR="004E001D" w:rsidRPr="004E001D">
        <w:t xml:space="preserve"> </w:t>
      </w:r>
    </w:p>
    <w:p w14:paraId="1663D255" w14:textId="38402601" w:rsidR="00E10243" w:rsidRDefault="00BF20FF" w:rsidP="00BF20FF">
      <w:pPr>
        <w:pStyle w:val="3"/>
        <w:numPr>
          <w:ilvl w:val="1"/>
          <w:numId w:val="7"/>
        </w:numPr>
      </w:pPr>
      <w:bookmarkStart w:id="4" w:name="_Toc136805908"/>
      <w:r>
        <w:lastRenderedPageBreak/>
        <w:t>B</w:t>
      </w:r>
      <w:r>
        <w:rPr>
          <w:rFonts w:hint="eastAsia"/>
        </w:rPr>
        <w:t>ackground</w:t>
      </w:r>
      <w:bookmarkEnd w:id="4"/>
    </w:p>
    <w:p w14:paraId="7F5D457F" w14:textId="0BF4789C" w:rsidR="00BF20FF" w:rsidRDefault="00700A7E" w:rsidP="00BF20FF">
      <w:r w:rsidRPr="00700A7E">
        <w:t>The form of a literature review can be traced back to the early stages of scientific research. Although there is no exact point in time that can be determined, the practise of literature review can be traced back to ancient times. In ancient times, scholars disseminated and exchanged knowledge through letters, manuscripts, and treatises.</w:t>
      </w:r>
      <w:r w:rsidR="00A024FA">
        <w:t xml:space="preserve"> </w:t>
      </w:r>
      <w:r w:rsidR="00B40D49" w:rsidRPr="00B40D49">
        <w:t>They would cite, explain, and evaluate the findings of other scholars in their own writings, thus creating a prototype of a literature review. The ancient Greek philosopher Plato can be regarded as one of the early pioneers of literary synthesis. His works in the form of dialogues often brought together various views and discussions through dialogue and debate to review and summarise particular topics. In addition, the practise of documentary synthesis was also reflected in other cultures of antiquity. For example, in the ancient Chinese academic tradition, scholars would often compile works similar to literature reviews to summarise the doctrines and achievements of their predecessors, such as the Taiping Jing and the General Literature Survey.</w:t>
      </w:r>
    </w:p>
    <w:p w14:paraId="7EBF61E9" w14:textId="012033CE" w:rsidR="00700A7E" w:rsidRDefault="00700A7E" w:rsidP="00BF20FF">
      <w:r w:rsidRPr="00700A7E">
        <w:t xml:space="preserve">However, the importance and standardisation of the literature review in modern scientific research have been gradually developed and established in recent times. With the professionalisation of scientific research and the rise of academic journals, researchers began to include reviews and summaries of existing research as an important part of their research papers, and clearer requirements and guidelines were given for the writing of literature reviews </w:t>
      </w:r>
      <w:r w:rsidR="00B01801" w:rsidRPr="00B01801">
        <w:t>(Heintz, K.J., 2018)</w:t>
      </w:r>
      <w:r w:rsidRPr="00700A7E">
        <w:t xml:space="preserve">. This standardised </w:t>
      </w:r>
      <w:r w:rsidRPr="00700A7E">
        <w:lastRenderedPageBreak/>
        <w:t>practise of literature review can be traced back to scientific research in the 18th and 19th centuries.</w:t>
      </w:r>
    </w:p>
    <w:p w14:paraId="13D84DAA" w14:textId="77777777" w:rsidR="00B01801" w:rsidRDefault="00B01801" w:rsidP="00BF20FF">
      <w:r w:rsidRPr="00B01801">
        <w:t>In the 18th century, scholars such as Carl Linnaeus made significant contributions to the development of the literature review. Linnaeus's work in categorising and organising knowledge, particularly in his monumental work "Systema Naturae," can be seen as an early example of a literature review, as he compiled and synthesised existing knowledge in the field of natural science (Müller-Wille, S., and Charmantier, I., 2012). Furthermore, in the 19th century, the practise of literature reviews became more widespread and systematic. Researchers are increasingly recognising the importance of critically evaluating existing research and incorporating it into their own work. They are beginning to publish commentaries and monographs that provide an overview of the state of knowledge in a particular field, highlighting progress, controversies, and future research directions.</w:t>
      </w:r>
    </w:p>
    <w:p w14:paraId="2E61EC4F" w14:textId="4EE7208B" w:rsidR="00B40D49" w:rsidRDefault="00476E59" w:rsidP="00BF20FF">
      <w:r w:rsidRPr="00476E59">
        <w:t xml:space="preserve">By the 20th century, the rapid increase in the number and influence of academic journals, the specialisation and disciplinary segmentation of academic research, the spread of computer technology and the Internet, as well as international collaboration and globalisation, had enabled researchers to easily and quickly collect and sift through the vast amount of information in the literature while enhancing the interactions between scholars from different countries. In addition, statistical methods such as meta-analysis and systematic reviews have provided researchers with more comprehensive and reliable research evidence (Booth, A., Sutton, A., and Papaioannou, D., 2016). In conclusion, literature reviews play an important role in </w:t>
      </w:r>
      <w:r w:rsidRPr="00476E59">
        <w:lastRenderedPageBreak/>
        <w:t>scientific research, providing a theoretical basis, research context, and methodological guidance for research.</w:t>
      </w:r>
    </w:p>
    <w:p w14:paraId="586C6512" w14:textId="41F67B9B" w:rsidR="00476E59" w:rsidRPr="00BF20FF" w:rsidRDefault="00476E59" w:rsidP="00545E48">
      <w:pPr>
        <w:pStyle w:val="2"/>
      </w:pPr>
      <w:bookmarkStart w:id="5" w:name="_Toc136805909"/>
      <w:r>
        <w:t xml:space="preserve">2 </w:t>
      </w:r>
      <w:r w:rsidR="00545E48" w:rsidRPr="00545E48">
        <w:t>Definition of a literature review</w:t>
      </w:r>
      <w:bookmarkEnd w:id="5"/>
    </w:p>
    <w:p w14:paraId="73CE5FEB" w14:textId="4CC21B4A" w:rsidR="009F7D89" w:rsidRDefault="00BC614A" w:rsidP="00564C47">
      <w:r w:rsidRPr="00BC614A">
        <w:t>A literature review, also known as literature analysis, is a kind of academic paper in which the author, after deciding on a chosen topic, collects a large amount of relevant information on the subject, then reads, analyses, summarises, and collates the latest developments in the current subject, the academic opinions or recommendations of industry experts, and makes a comprehensive introduction and exposition of it</w:t>
      </w:r>
      <w:r w:rsidR="009F7D89" w:rsidRPr="009F7D89">
        <w:t xml:space="preserve"> </w:t>
      </w:r>
      <w:bookmarkStart w:id="6" w:name="_Hlk136538421"/>
      <w:r w:rsidR="009F7D89">
        <w:t>(</w:t>
      </w:r>
      <w:r w:rsidR="00564C47">
        <w:t>Fu, Y., Bai, Z., etc.</w:t>
      </w:r>
      <w:r w:rsidR="009F7D89">
        <w:t>,</w:t>
      </w:r>
      <w:r w:rsidR="009F7D89" w:rsidRPr="009F7D89">
        <w:t xml:space="preserve"> 20</w:t>
      </w:r>
      <w:r w:rsidR="00564C47">
        <w:t>07</w:t>
      </w:r>
      <w:r w:rsidR="009F7D89" w:rsidRPr="009F7D89">
        <w:t>)</w:t>
      </w:r>
      <w:bookmarkEnd w:id="6"/>
      <w:r w:rsidRPr="00BC614A">
        <w:t xml:space="preserve">. </w:t>
      </w:r>
    </w:p>
    <w:p w14:paraId="322019BC" w14:textId="44EFB650" w:rsidR="008941C8" w:rsidRDefault="008941C8" w:rsidP="00BC614A">
      <w:r w:rsidRPr="008941C8">
        <w:t>In a literature review, the author analyses the current state of research and development prospects in the chosen field of study and presents his or her own opinions and research ideas. The current state of research includes the main academic perspectives, previous research results, points of contention, current problems, and possible reasons for them (Huang, X., 2002). A literature review can demonstrate the author's grasp of the latest literature relevant to the topic, providing a solid foundation for subsequent research. It is an effective way to reflect the author's knowledge and understanding of the subject matter. Through a comprehensive review of the literature, the author is able to evaluate the current state of research and identify any gaps in knowledge that can be addressed in future research. By summarising and synthesising the existing literature, the author is able to draw conclusions and offer insights that may be used to inform and shape the direction of future research.</w:t>
      </w:r>
    </w:p>
    <w:p w14:paraId="6C177EF4" w14:textId="48D2A8F1" w:rsidR="00DA2889" w:rsidRDefault="008941C8" w:rsidP="00DA2889">
      <w:r w:rsidRPr="008941C8">
        <w:lastRenderedPageBreak/>
        <w:t>The writer once heard a very interesting analogy from my teacher. If all the knowledge in our world is a round pie, then all the known knowledge in all our disciplines is now a point inside the pie. Starting from the centre, each line from the midpoint to the edge represents the most basic theory of knowledge in each different discipline, from the very beginning to the most recently discovered theory of knowledge in the most marginal industry. At the undergraduate level, a student is studying the first half of the line; at the master's level, the second half of the line; and at the PhD level, a little further out at the edge of the pie (as in Figure 1).</w:t>
      </w:r>
      <w:r>
        <w:t xml:space="preserve"> </w:t>
      </w:r>
      <w:r w:rsidR="00064C33" w:rsidRPr="00064C33">
        <w:t>This also means that a PhD requires you to research new breakthroughs and new theories after integrating the direction of the subject you are studying. In this way, when all disciplines have countless researchers working outward at the same time, it allows all the knowledge in our world to grow and develop more and more profoundly, and the pie of knowledge to grow bigger and bigger. A literature review is a way for researchers to sort out and summarise all the previous theories on the line inside the pie as they explore the edges of the pie and break outward. This allows each researcher to see not only the shortcomings of previous research but also the future direction of what has been done before. This is also called "standing on the shoulders of giants".</w:t>
      </w:r>
    </w:p>
    <w:p w14:paraId="035B2BB4" w14:textId="29AEE62E" w:rsidR="00543BAA" w:rsidRDefault="00000000" w:rsidP="00543BAA">
      <w:r>
        <w:rPr>
          <w:noProof/>
          <w:color w:val="808080" w:themeColor="background1" w:themeShade="80"/>
        </w:rPr>
        <w:pict w14:anchorId="06E1F05E">
          <v:group id="_x0000_s1031" style="position:absolute;left:0;text-align:left;margin-left:129.75pt;margin-top:9.75pt;width:84pt;height:82.5pt;z-index:251666943" coordorigin="4395,5379" coordsize="1680,1650">
            <v:oval id="_x0000_s1027" style="position:absolute;left:4395;top:5379;width:1680;height:1650" fillcolor="white [3201]" strokecolor="black [3200]" strokeweight="2.5pt">
              <v:shadow color="#868686"/>
            </v:oval>
            <v:shapetype id="_x0000_t32" coordsize="21600,21600" o:spt="32" o:oned="t" path="m,l21600,21600e" filled="f">
              <v:path arrowok="t" fillok="f" o:connecttype="none"/>
              <o:lock v:ext="edit" shapetype="t"/>
            </v:shapetype>
            <v:shape id="_x0000_s1029" type="#_x0000_t32" style="position:absolute;left:5265;top:5724;width:630;height:495;flip:y" o:connectortype="straight" strokecolor="#ed7d31 [3205]" strokeweight="2.5pt">
              <v:stroke endarrow="block"/>
              <v:shadow color="#868686"/>
            </v:shape>
          </v:group>
        </w:pict>
      </w:r>
    </w:p>
    <w:p w14:paraId="6378E98D" w14:textId="62514324" w:rsidR="00543BAA" w:rsidRDefault="00000000" w:rsidP="00543BAA">
      <w:r>
        <w:rPr>
          <w:noProof/>
        </w:rPr>
        <w:pict w14:anchorId="4EA63B18">
          <v:rect id="墨迹 16" o:spid="_x0000_s1032" style="position:absolute;left:0;text-align:left;margin-left:170pt;margin-top:-7.25pt;width:37.5pt;height:30.45pt;z-index:251668480;visibility:visible;mso-wrap-style:square;mso-wrap-distance-left:9pt;mso-wrap-distance-top:0;mso-wrap-distance-right:9pt;mso-wrap-distance-bottom:0;mso-position-horizontal:absolute;mso-position-horizontal-relative:text;mso-position-vertical:absolute;mso-position-vertical-relative:text" filled="f" strokecolor="#f6630d" strokeweight="2mm">
            <v:stroke endcap="round"/>
            <v:path shadowok="f" o:extrusionok="f" fillok="f" insetpenok="f"/>
            <o:lock v:ext="edit" rotation="t" aspectratio="t" verticies="t" text="t" shapetype="t"/>
            <o:ink i="AH8dAmpWARBYz1SK5pfFT48G+LrS4ZsiAwxIEET2xzVFyAFGyAEFAzgLZBkjMgqBx///D4DH//8P&#10;MwqBx///D4DH//8POAkA/v8DAAAAAAAKGAIMRkRkAlAQX/9AAAoAESAQx5ZeV5LZAQoVAQEAC21A&#10;EF//CgARIMC1lmBXktkB&#10;" annotation="t"/>
          </v:rect>
        </w:pict>
      </w:r>
    </w:p>
    <w:p w14:paraId="37D6A963" w14:textId="165552E8" w:rsidR="00543BAA" w:rsidRDefault="00543BAA" w:rsidP="00543BAA"/>
    <w:p w14:paraId="28FCC500" w14:textId="054BBA7C" w:rsidR="00064C33" w:rsidRPr="002D64DD" w:rsidRDefault="00543BAA" w:rsidP="00A22D34">
      <w:pPr>
        <w:ind w:firstLineChars="1200" w:firstLine="2880"/>
      </w:pPr>
      <w:r w:rsidRPr="00543BAA">
        <w:rPr>
          <w:color w:val="808080" w:themeColor="background1" w:themeShade="80"/>
        </w:rPr>
        <w:t>Figure 1</w:t>
      </w:r>
    </w:p>
    <w:p w14:paraId="40F9C541" w14:textId="0B879ABC" w:rsidR="009563DC" w:rsidRPr="00C61BD7" w:rsidRDefault="00C61BD7" w:rsidP="00C61BD7">
      <w:pPr>
        <w:pStyle w:val="2"/>
      </w:pPr>
      <w:bookmarkStart w:id="7" w:name="_Toc136805910"/>
      <w:r>
        <w:lastRenderedPageBreak/>
        <w:t xml:space="preserve">3 </w:t>
      </w:r>
      <w:r w:rsidR="009563DC" w:rsidRPr="00C61BD7">
        <w:t>Purpose of the literature review</w:t>
      </w:r>
      <w:bookmarkEnd w:id="7"/>
    </w:p>
    <w:p w14:paraId="69E2A442" w14:textId="2C43B3CF" w:rsidR="003A783A" w:rsidRDefault="003A783A" w:rsidP="00B43A05">
      <w:r w:rsidRPr="003A783A">
        <w:t>The basic purpose of most literature reviews is, firstly, to familiarise the reader with the progress and dilemmas of relevant research in the existing subject area of study (University of Illinois, 2022). Through extensive literature collection and reading, the authors are able to help researchers update their own expertise while collating the results of their predecessors and reorganising their knowledge of the field under study. The second is to provide subsequent researchers with food for thought as to whether future research can identify more meaningful and significant results. By summarising and sorting out previous research, the researcher will be able to find further scope for exploration in the field and continue the direction of future development.</w:t>
      </w:r>
      <w:r>
        <w:t xml:space="preserve"> </w:t>
      </w:r>
      <w:r w:rsidRPr="003A783A">
        <w:t>The third is an illustration of the position of various theories, which can present different conceptual structures. It is said that there are a thousand Hamlets for a thousand readers, and in the eyes of different researchers, the same field and the same theory standing from different perspectives can see the world differently. In different theoretical positions, researchers can propose different conceptual frameworks based on their own understanding and refine theories from different perspectives. Finally, it is possible to improve and criticise the shortcomings of existing research, to introduce alternative research, to discover new research methods and approaches, and to validate other related research. It is important to identify the shortcomings or errors in previous research and improve on them, to explore new research questions from aspects that have not been studied before, or to try to solve the problem from another perspective using other research methods.</w:t>
      </w:r>
    </w:p>
    <w:p w14:paraId="64B65B76" w14:textId="15D7FCA4" w:rsidR="00A22D34" w:rsidRDefault="00B43A05" w:rsidP="00AE5D97">
      <w:r w:rsidRPr="00B43A05">
        <w:lastRenderedPageBreak/>
        <w:t>Different types of literature reviews serve different purposes. For example, a systematic review aims to comprehensively summarise and synthesise the findings of existing research in order to answer a specific research question. A feasibility review, on the other hand, is concerned with the feasibility and viability assessment of a particular action or policy. Specific types of literature reviews may therefore vary in terms of purpose, methodology, and results to suit particular research objectives and questions (Snyder, H., 2019).</w:t>
      </w:r>
    </w:p>
    <w:p w14:paraId="1B665768" w14:textId="6CD8412D" w:rsidR="00A22D34" w:rsidRPr="00C61BD7" w:rsidRDefault="00C61BD7" w:rsidP="00C61BD7">
      <w:pPr>
        <w:pStyle w:val="2"/>
      </w:pPr>
      <w:bookmarkStart w:id="8" w:name="_Toc136805911"/>
      <w:r>
        <w:t xml:space="preserve">4 </w:t>
      </w:r>
      <w:r w:rsidR="00A22D34" w:rsidRPr="00C61BD7">
        <w:t>Content of the literature review</w:t>
      </w:r>
      <w:bookmarkEnd w:id="8"/>
    </w:p>
    <w:p w14:paraId="10CA7E85" w14:textId="26410607" w:rsidR="00A22D34" w:rsidRDefault="00AE5D97" w:rsidP="00A22D34">
      <w:r w:rsidRPr="00AE5D97">
        <w:t>A literature review is designed to examine the author's knowledge of what has already been done in the neighbourhood under study, his or her understanding of what has gone before and what has been learned from it, and his or her future outlook on what is to be expanded (Chuang, Y. C., 2023). Therefore, when writing a literature review, one should write the specific content according to the different research objectives. In general, literature reviews generally contain four sections: an abstract, an introduction, a main body, and a bibliography.</w:t>
      </w:r>
      <w:r>
        <w:t xml:space="preserve"> </w:t>
      </w:r>
      <w:r w:rsidRPr="00AE5D97">
        <w:t xml:space="preserve">The abstract section is an overview of the entire literature review, including the author's research area, research questions, conclusions drawn, etc. The introduction section is more specific about the literature review, such as how many relevant papers the author has compiled, what methods were used, what issues were identified, etc. The main body of the literature review is the most important part of the review. The author can do this by organising a section of the literature into a table and comparing different views on the same issue or relevant data (Winchester, C.L., and Salji, M., 2016). In the main body, the author needs to describe </w:t>
      </w:r>
      <w:r w:rsidRPr="00AE5D97">
        <w:lastRenderedPageBreak/>
        <w:t>in detail the content of the literature they have collated so that the reader can clearly see the author's summary of the literature and their own views. Finally, there are all the references used by the author in this article.</w:t>
      </w:r>
    </w:p>
    <w:p w14:paraId="7FA0351F" w14:textId="3EC840E0" w:rsidR="00AE5D97" w:rsidRDefault="00AE5D97" w:rsidP="00A22D34">
      <w:r w:rsidRPr="00AE5D97">
        <w:t xml:space="preserve">Writing a literature review usually involves several steps: First, choosing a topic The researcher first needs to identify the particular topic or area of study to be reviewed and clarify the purpose and scope of the study. The next step is to collect literature. The researcher collects literature related to the selected topic by using academic databases, library resources, journals, and conference papers. The third step is to screen the literature. The researcher screens the collected literature, eliminating those that do not meet the requirements based on pre-determined criteria (e.g., age, research methodology, quality of literature, etc.) and retaining those that are compatible with the purpose of the study. </w:t>
      </w:r>
      <w:r w:rsidR="00DF1B8B" w:rsidRPr="00DF1B8B">
        <w:t>Then comes the reading and analysis of the literature. The researcher reads and analyses the selected literature carefully to extract key information, such as the purpose of the study, methodology, main findings, and conclusions.</w:t>
      </w:r>
      <w:r w:rsidR="00DF1B8B">
        <w:t xml:space="preserve"> </w:t>
      </w:r>
      <w:r w:rsidR="00DF1B8B" w:rsidRPr="00DF1B8B">
        <w:t>The fifth step is to synthesise and summarise. The researcher collates and summarises the key information extracted, organises it according to a certain logical sequence, synthesises the main findings and advances of past research, and points out the links and differences between different studies. Finally, a literature review is prepared. Based on the information collated and summarised, the researcher writes the formal text of the literature review, including sections such as the introduction, methodology, results, and discussion.</w:t>
      </w:r>
    </w:p>
    <w:p w14:paraId="440CEE00" w14:textId="6D12C1B2" w:rsidR="00A22D34" w:rsidRPr="00C61BD7" w:rsidRDefault="00C61BD7" w:rsidP="00C61BD7">
      <w:pPr>
        <w:pStyle w:val="2"/>
      </w:pPr>
      <w:bookmarkStart w:id="9" w:name="_Toc136805912"/>
      <w:r>
        <w:lastRenderedPageBreak/>
        <w:t xml:space="preserve">5 </w:t>
      </w:r>
      <w:r w:rsidR="00DF1B8B" w:rsidRPr="00DF1B8B">
        <w:t>Conclusion</w:t>
      </w:r>
      <w:bookmarkEnd w:id="9"/>
    </w:p>
    <w:p w14:paraId="082A5220" w14:textId="3F906690" w:rsidR="00C61BD7" w:rsidRDefault="00DF1B8B" w:rsidP="00C61BD7">
      <w:r w:rsidRPr="00DF1B8B">
        <w:t>A literature review is an important part of a dissertation, helping the researcher to see the experience of those who have gone before and to firm up his or her direction. In writing a literature review, the researcher is likewise undertaking a systematic review of past knowledge. A literature review also helps the reader quickly understand the current state of research in a field. It can be said that a literature review is the foundation on which a dissertation begins.</w:t>
      </w:r>
    </w:p>
    <w:p w14:paraId="73A208BC" w14:textId="083C3B49" w:rsidR="00DF1B8B" w:rsidRDefault="00DF1B8B" w:rsidP="00DF1B8B">
      <w:pPr>
        <w:pStyle w:val="2"/>
      </w:pPr>
      <w:bookmarkStart w:id="10" w:name="_Toc136805913"/>
      <w:r>
        <w:rPr>
          <w:rFonts w:hint="eastAsia"/>
        </w:rPr>
        <w:t>6</w:t>
      </w:r>
      <w:r>
        <w:t xml:space="preserve"> </w:t>
      </w:r>
      <w:r w:rsidRPr="00DF1B8B">
        <w:t>Reference</w:t>
      </w:r>
      <w:r>
        <w:t xml:space="preserve"> List</w:t>
      </w:r>
      <w:bookmarkEnd w:id="10"/>
    </w:p>
    <w:p w14:paraId="762AD659" w14:textId="57AB0D93" w:rsidR="00DF1B8B" w:rsidRDefault="00DF1B8B" w:rsidP="00DF1B8B">
      <w:pPr>
        <w:pStyle w:val="a3"/>
        <w:numPr>
          <w:ilvl w:val="0"/>
          <w:numId w:val="9"/>
        </w:numPr>
        <w:ind w:firstLineChars="0"/>
      </w:pPr>
      <w:r>
        <w:t>Booth, A., Sutton, A. and Papaioannou, D. (2016). Systematic Approaches to a Successful Literature Review. 2nd ed. Sage Publications.</w:t>
      </w:r>
    </w:p>
    <w:p w14:paraId="6F4A2FC0" w14:textId="67FCFC02" w:rsidR="00DF1B8B" w:rsidRDefault="00DF1B8B" w:rsidP="00DF1B8B">
      <w:pPr>
        <w:pStyle w:val="a3"/>
        <w:numPr>
          <w:ilvl w:val="0"/>
          <w:numId w:val="9"/>
        </w:numPr>
        <w:ind w:firstLineChars="0"/>
      </w:pPr>
      <w:r>
        <w:t>Chuang, Y. C., (2023). How to do a literature review for graduation design How to do a literature review for graduation design. Youth Reporter (06), 128. doi:10.15997/j.cnki.qnjz.2023.06.031.</w:t>
      </w:r>
    </w:p>
    <w:p w14:paraId="62BC03E7" w14:textId="1517EDB1" w:rsidR="00DF1B8B" w:rsidRDefault="00DF1B8B" w:rsidP="00DF1B8B">
      <w:pPr>
        <w:pStyle w:val="a3"/>
        <w:numPr>
          <w:ilvl w:val="0"/>
          <w:numId w:val="9"/>
        </w:numPr>
        <w:ind w:firstLineChars="0"/>
      </w:pPr>
      <w:r>
        <w:t>Fu You, Bai Zhongkui, Liu Yong, Zhang Xinsheng, and Chen Hu (2007) How to write a literature review. Journal of Agricultural Library and Information (05), 145–149.</w:t>
      </w:r>
    </w:p>
    <w:p w14:paraId="19040D59" w14:textId="0BCEBC3B" w:rsidR="00DF1B8B" w:rsidRDefault="00DF1B8B" w:rsidP="00DF1B8B">
      <w:pPr>
        <w:pStyle w:val="a3"/>
        <w:numPr>
          <w:ilvl w:val="0"/>
          <w:numId w:val="9"/>
        </w:numPr>
        <w:ind w:firstLineChars="0"/>
      </w:pPr>
      <w:r>
        <w:t>Hart, C. (1998). Doing a literature review : releasing the social science research imagination. Los Angeles: Sage Publications.</w:t>
      </w:r>
    </w:p>
    <w:p w14:paraId="27C69977" w14:textId="16A9D14A" w:rsidR="00DF1B8B" w:rsidRDefault="00DF1B8B" w:rsidP="00DF1B8B">
      <w:pPr>
        <w:pStyle w:val="a3"/>
        <w:numPr>
          <w:ilvl w:val="0"/>
          <w:numId w:val="9"/>
        </w:numPr>
        <w:ind w:firstLineChars="0"/>
      </w:pPr>
      <w:r>
        <w:t>Heintz, K.J. (2018). Guidelines for Writing an Effective Research Paper. [online] Wordvice. Available at: https://blog.wordvice.com/seminar-how-to-write-an-effective-research-paper/.</w:t>
      </w:r>
    </w:p>
    <w:p w14:paraId="01747659" w14:textId="2689FC89" w:rsidR="00DF1B8B" w:rsidRDefault="00DF1B8B" w:rsidP="00DF1B8B">
      <w:pPr>
        <w:pStyle w:val="a3"/>
        <w:numPr>
          <w:ilvl w:val="0"/>
          <w:numId w:val="9"/>
        </w:numPr>
        <w:ind w:firstLineChars="0"/>
      </w:pPr>
      <w:r>
        <w:lastRenderedPageBreak/>
        <w:t>Huang, X. (2002), Writing a Literature Review," North China Defence Medicine, 14(3): 221-222</w:t>
      </w:r>
    </w:p>
    <w:p w14:paraId="7A9FA0B4" w14:textId="4715B33D" w:rsidR="00DF1B8B" w:rsidRDefault="00DF1B8B" w:rsidP="00DF1B8B">
      <w:pPr>
        <w:pStyle w:val="a3"/>
        <w:numPr>
          <w:ilvl w:val="0"/>
          <w:numId w:val="9"/>
        </w:numPr>
        <w:ind w:firstLineChars="0"/>
      </w:pPr>
      <w:r>
        <w:t>Jesson, J., Matheson, L. and Lacey, F.M. (2011). Doing your literature Review : traditional and systematic techniques. London: Sage.</w:t>
      </w:r>
    </w:p>
    <w:p w14:paraId="69F0D87F" w14:textId="602358E2" w:rsidR="00DF1B8B" w:rsidRDefault="00DF1B8B" w:rsidP="00DF1B8B">
      <w:pPr>
        <w:pStyle w:val="a3"/>
        <w:numPr>
          <w:ilvl w:val="0"/>
          <w:numId w:val="9"/>
        </w:numPr>
        <w:ind w:firstLineChars="0"/>
      </w:pPr>
      <w:r>
        <w:t>Müller-Wille, S. and Charmantier, I. (2012). Natural history and information overload: The case of Linnaeus. Studies in History and Philosophy of Science Part C: Studies in History and Philosophy of Biological and Biomedical Sciences, 43(1), pp.4–15. doi:https://doi.org/10.1016/j.shpsc.2011.10.021.</w:t>
      </w:r>
    </w:p>
    <w:p w14:paraId="58AFE71E" w14:textId="47F0135B" w:rsidR="00DF1B8B" w:rsidRDefault="00DF1B8B" w:rsidP="00DF1B8B">
      <w:pPr>
        <w:pStyle w:val="a3"/>
        <w:numPr>
          <w:ilvl w:val="0"/>
          <w:numId w:val="9"/>
        </w:numPr>
        <w:ind w:firstLineChars="0"/>
      </w:pPr>
      <w:r>
        <w:t>Ridley, D. (2012). The Literature Review : a step-by-step Guide for Students. 2nd ed. London: Sage.</w:t>
      </w:r>
    </w:p>
    <w:p w14:paraId="5E80808F" w14:textId="3EE73BDB" w:rsidR="00DF1B8B" w:rsidRDefault="00DF1B8B" w:rsidP="00DF1B8B">
      <w:pPr>
        <w:pStyle w:val="a3"/>
        <w:numPr>
          <w:ilvl w:val="0"/>
          <w:numId w:val="9"/>
        </w:numPr>
        <w:ind w:firstLineChars="0"/>
      </w:pPr>
      <w:r>
        <w:t>Snyder, H. (2019). Literature Review as a Research methodology: an Overview and Guidelines. Journal of Business Research, [online] 104(1), pp.333–339. Available at: https://www.sciencedirect.com/science/article/pii/S0148296319304564.</w:t>
      </w:r>
    </w:p>
    <w:p w14:paraId="22E2F023" w14:textId="57965FD4" w:rsidR="00DF1B8B" w:rsidRDefault="00DF1B8B" w:rsidP="00DF1B8B">
      <w:pPr>
        <w:pStyle w:val="a3"/>
        <w:numPr>
          <w:ilvl w:val="0"/>
          <w:numId w:val="9"/>
        </w:numPr>
        <w:ind w:firstLineChars="0"/>
      </w:pPr>
      <w:r>
        <w:t>University of Illinois (2022). Literature Review | University of Illinois Springfield. [online] www.uis.edu. Available at: https://www.uis.edu/learning-hub/writing-resources/handouts/learning-hub/literature-review.</w:t>
      </w:r>
    </w:p>
    <w:p w14:paraId="77233645" w14:textId="77777777" w:rsidR="00DF1B8B" w:rsidRDefault="00DF1B8B" w:rsidP="00DF1B8B">
      <w:pPr>
        <w:pStyle w:val="a3"/>
        <w:numPr>
          <w:ilvl w:val="0"/>
          <w:numId w:val="9"/>
        </w:numPr>
        <w:ind w:firstLineChars="0"/>
      </w:pPr>
      <w:r>
        <w:t>Winchester, C.L. and Salji, M. (2016). Writing a Literature Review. Journal of Clinical Urology, [online] 9(5), pp.308–312. doi:https://doi.org/10.1177/2051415816650133.</w:t>
      </w:r>
    </w:p>
    <w:p w14:paraId="4D0148E5" w14:textId="1CE5F7D2" w:rsidR="00DF1B8B" w:rsidRPr="00DF1B8B" w:rsidRDefault="00DF1B8B" w:rsidP="00DF1B8B">
      <w:r>
        <w:t>‌</w:t>
      </w:r>
    </w:p>
    <w:p w14:paraId="520A11CF" w14:textId="0221C2FA" w:rsidR="00C370EC" w:rsidRDefault="00C370EC">
      <w:pPr>
        <w:jc w:val="left"/>
      </w:pPr>
      <w:r>
        <w:br w:type="page"/>
      </w:r>
    </w:p>
    <w:p w14:paraId="6441A4D2" w14:textId="15A4D83D" w:rsidR="004810E1" w:rsidRDefault="00C370EC" w:rsidP="00C370EC">
      <w:pPr>
        <w:pStyle w:val="1"/>
      </w:pPr>
      <w:bookmarkStart w:id="11" w:name="_Toc136805914"/>
      <w:r>
        <w:rPr>
          <w:rFonts w:hint="eastAsia"/>
        </w:rPr>
        <w:lastRenderedPageBreak/>
        <w:t>P</w:t>
      </w:r>
      <w:r>
        <w:t xml:space="preserve">art 2. </w:t>
      </w:r>
      <w:bookmarkEnd w:id="11"/>
      <w:r w:rsidR="00B04BFC" w:rsidRPr="00395761">
        <w:t>Annotated Bibliography</w:t>
      </w:r>
    </w:p>
    <w:p w14:paraId="675F0DCA" w14:textId="22094192" w:rsidR="004D3C69" w:rsidRPr="00B04BFC" w:rsidRDefault="004D3C69" w:rsidP="00B04BFC">
      <w:pPr>
        <w:rPr>
          <w:rFonts w:hint="eastAsia"/>
        </w:rPr>
      </w:pPr>
      <w:r w:rsidRPr="004D3C69">
        <w:rPr>
          <w:noProof/>
        </w:rPr>
        <w:drawing>
          <wp:inline distT="0" distB="0" distL="0" distR="0" wp14:anchorId="4C04A35C" wp14:editId="3849F115">
            <wp:extent cx="5735829" cy="8239125"/>
            <wp:effectExtent l="0" t="0" r="0" b="0"/>
            <wp:docPr id="886249827" name="图片 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49827" name="图片 2" descr="表格&#10;&#10;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8249" cy="8242601"/>
                    </a:xfrm>
                    <a:prstGeom prst="rect">
                      <a:avLst/>
                    </a:prstGeom>
                    <a:noFill/>
                    <a:ln>
                      <a:noFill/>
                    </a:ln>
                  </pic:spPr>
                </pic:pic>
              </a:graphicData>
            </a:graphic>
          </wp:inline>
        </w:drawing>
      </w:r>
    </w:p>
    <w:p w14:paraId="39B82E0A" w14:textId="77777777" w:rsidR="004D3C69" w:rsidRDefault="004D3C69">
      <w:pPr>
        <w:jc w:val="left"/>
      </w:pPr>
      <w:r w:rsidRPr="004D3C69">
        <w:rPr>
          <w:noProof/>
        </w:rPr>
        <w:lastRenderedPageBreak/>
        <w:drawing>
          <wp:inline distT="0" distB="0" distL="0" distR="0" wp14:anchorId="62677214" wp14:editId="5A06FEB3">
            <wp:extent cx="5695950" cy="8840175"/>
            <wp:effectExtent l="0" t="0" r="0" b="0"/>
            <wp:docPr id="215967647" name="图片 4" descr="图片包含 日历&#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967647" name="图片 4" descr="图片包含 日历&#10;&#10;描述已自动生成"/>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97063" cy="8841903"/>
                    </a:xfrm>
                    <a:prstGeom prst="rect">
                      <a:avLst/>
                    </a:prstGeom>
                    <a:noFill/>
                    <a:ln>
                      <a:noFill/>
                    </a:ln>
                  </pic:spPr>
                </pic:pic>
              </a:graphicData>
            </a:graphic>
          </wp:inline>
        </w:drawing>
      </w:r>
    </w:p>
    <w:p w14:paraId="6A08A124" w14:textId="77777777" w:rsidR="004D3C69" w:rsidRDefault="004D3C69">
      <w:pPr>
        <w:jc w:val="left"/>
      </w:pPr>
      <w:r w:rsidRPr="004D3C69">
        <w:rPr>
          <w:noProof/>
        </w:rPr>
        <w:lastRenderedPageBreak/>
        <w:drawing>
          <wp:inline distT="0" distB="0" distL="0" distR="0" wp14:anchorId="66EAA6DB" wp14:editId="0B87E7B4">
            <wp:extent cx="5676900" cy="9278786"/>
            <wp:effectExtent l="0" t="0" r="0" b="0"/>
            <wp:docPr id="45154699" name="图片 7" descr="日历&#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54699" name="图片 7" descr="日历&#10;&#10;中度可信度描述已自动生成"/>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78138" cy="9280810"/>
                    </a:xfrm>
                    <a:prstGeom prst="rect">
                      <a:avLst/>
                    </a:prstGeom>
                    <a:noFill/>
                    <a:ln>
                      <a:noFill/>
                    </a:ln>
                  </pic:spPr>
                </pic:pic>
              </a:graphicData>
            </a:graphic>
          </wp:inline>
        </w:drawing>
      </w:r>
    </w:p>
    <w:p w14:paraId="636A15B3" w14:textId="77777777" w:rsidR="004D3C69" w:rsidRDefault="004D3C69">
      <w:pPr>
        <w:jc w:val="left"/>
      </w:pPr>
      <w:r w:rsidRPr="004D3C69">
        <w:rPr>
          <w:noProof/>
        </w:rPr>
        <w:lastRenderedPageBreak/>
        <w:drawing>
          <wp:inline distT="0" distB="0" distL="0" distR="0" wp14:anchorId="6571CA90" wp14:editId="0E3D3960">
            <wp:extent cx="5667375" cy="8608870"/>
            <wp:effectExtent l="0" t="0" r="0" b="0"/>
            <wp:docPr id="567806956" name="图片 8" descr="表格&#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806956" name="图片 8" descr="表格&#10;&#10;低可信度描述已自动生成"/>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68827" cy="8611076"/>
                    </a:xfrm>
                    <a:prstGeom prst="rect">
                      <a:avLst/>
                    </a:prstGeom>
                    <a:noFill/>
                    <a:ln>
                      <a:noFill/>
                    </a:ln>
                  </pic:spPr>
                </pic:pic>
              </a:graphicData>
            </a:graphic>
          </wp:inline>
        </w:drawing>
      </w:r>
    </w:p>
    <w:p w14:paraId="3BFCA3B5" w14:textId="77777777" w:rsidR="004D3C69" w:rsidRDefault="004D3C69">
      <w:pPr>
        <w:jc w:val="left"/>
      </w:pPr>
      <w:r w:rsidRPr="004D3C69">
        <w:rPr>
          <w:noProof/>
        </w:rPr>
        <w:lastRenderedPageBreak/>
        <w:drawing>
          <wp:inline distT="0" distB="0" distL="0" distR="0" wp14:anchorId="785AE6B0" wp14:editId="4292611F">
            <wp:extent cx="5648325" cy="9138916"/>
            <wp:effectExtent l="0" t="0" r="0" b="0"/>
            <wp:docPr id="1852620131" name="图片 10" descr="图片包含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20131" name="图片 10" descr="图片包含 图示&#10;&#10;描述已自动生成"/>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50232" cy="9142001"/>
                    </a:xfrm>
                    <a:prstGeom prst="rect">
                      <a:avLst/>
                    </a:prstGeom>
                    <a:noFill/>
                    <a:ln>
                      <a:noFill/>
                    </a:ln>
                  </pic:spPr>
                </pic:pic>
              </a:graphicData>
            </a:graphic>
          </wp:inline>
        </w:drawing>
      </w:r>
    </w:p>
    <w:p w14:paraId="40AC4843" w14:textId="77777777" w:rsidR="00051006" w:rsidRDefault="00051006">
      <w:pPr>
        <w:jc w:val="left"/>
      </w:pPr>
      <w:r w:rsidRPr="00051006">
        <w:rPr>
          <w:noProof/>
        </w:rPr>
        <w:lastRenderedPageBreak/>
        <w:drawing>
          <wp:inline distT="0" distB="0" distL="0" distR="0" wp14:anchorId="7DDF15D2" wp14:editId="40A7E13C">
            <wp:extent cx="5734050" cy="8710150"/>
            <wp:effectExtent l="0" t="0" r="0" b="0"/>
            <wp:docPr id="1275397252" name="图片 12" descr="表格&#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397252" name="图片 12" descr="表格&#10;&#10;低可信度描述已自动生成"/>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8763" cy="8717308"/>
                    </a:xfrm>
                    <a:prstGeom prst="rect">
                      <a:avLst/>
                    </a:prstGeom>
                    <a:noFill/>
                    <a:ln>
                      <a:noFill/>
                    </a:ln>
                  </pic:spPr>
                </pic:pic>
              </a:graphicData>
            </a:graphic>
          </wp:inline>
        </w:drawing>
      </w:r>
    </w:p>
    <w:p w14:paraId="5FCA8530" w14:textId="77777777" w:rsidR="00162720" w:rsidRDefault="00162720">
      <w:pPr>
        <w:jc w:val="left"/>
      </w:pPr>
      <w:r w:rsidRPr="00162720">
        <w:rPr>
          <w:noProof/>
        </w:rPr>
        <w:lastRenderedPageBreak/>
        <w:drawing>
          <wp:inline distT="0" distB="0" distL="0" distR="0" wp14:anchorId="4D2F72C9" wp14:editId="72A19338">
            <wp:extent cx="5734050" cy="8615572"/>
            <wp:effectExtent l="0" t="0" r="0" b="0"/>
            <wp:docPr id="284851335" name="图片 13" descr="图片包含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851335" name="图片 13" descr="图片包含 表格&#10;&#10;描述已自动生成"/>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7362" cy="8620548"/>
                    </a:xfrm>
                    <a:prstGeom prst="rect">
                      <a:avLst/>
                    </a:prstGeom>
                    <a:noFill/>
                    <a:ln>
                      <a:noFill/>
                    </a:ln>
                  </pic:spPr>
                </pic:pic>
              </a:graphicData>
            </a:graphic>
          </wp:inline>
        </w:drawing>
      </w:r>
    </w:p>
    <w:p w14:paraId="647090B5" w14:textId="6069E168" w:rsidR="00162720" w:rsidRDefault="00306868">
      <w:pPr>
        <w:jc w:val="left"/>
      </w:pPr>
      <w:r w:rsidRPr="00306868">
        <w:rPr>
          <w:noProof/>
        </w:rPr>
        <w:lastRenderedPageBreak/>
        <w:drawing>
          <wp:inline distT="0" distB="0" distL="0" distR="0" wp14:anchorId="37F9E9BE" wp14:editId="4469FA75">
            <wp:extent cx="5724525" cy="7845204"/>
            <wp:effectExtent l="0" t="0" r="0" b="0"/>
            <wp:docPr id="1903044847" name="图片 14" descr="图片包含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044847" name="图片 14" descr="图片包含 表格&#10;&#10;描述已自动生成"/>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6555" cy="7847986"/>
                    </a:xfrm>
                    <a:prstGeom prst="rect">
                      <a:avLst/>
                    </a:prstGeom>
                    <a:noFill/>
                    <a:ln>
                      <a:noFill/>
                    </a:ln>
                  </pic:spPr>
                </pic:pic>
              </a:graphicData>
            </a:graphic>
          </wp:inline>
        </w:drawing>
      </w:r>
    </w:p>
    <w:p w14:paraId="73EF74B2" w14:textId="77777777" w:rsidR="00306868" w:rsidRDefault="00306868">
      <w:pPr>
        <w:jc w:val="left"/>
      </w:pPr>
    </w:p>
    <w:p w14:paraId="30534738" w14:textId="77777777" w:rsidR="00306868" w:rsidRDefault="00306868">
      <w:pPr>
        <w:jc w:val="left"/>
      </w:pPr>
    </w:p>
    <w:p w14:paraId="7C631D8C" w14:textId="6EE8A556" w:rsidR="00306868" w:rsidRDefault="00DA0AC5">
      <w:pPr>
        <w:jc w:val="left"/>
        <w:rPr>
          <w:rFonts w:hint="eastAsia"/>
        </w:rPr>
      </w:pPr>
      <w:r w:rsidRPr="00DA0AC5">
        <w:rPr>
          <w:noProof/>
        </w:rPr>
        <w:lastRenderedPageBreak/>
        <w:drawing>
          <wp:inline distT="0" distB="0" distL="0" distR="0" wp14:anchorId="15568B06" wp14:editId="15039DDD">
            <wp:extent cx="5274310" cy="5661660"/>
            <wp:effectExtent l="0" t="0" r="0" b="0"/>
            <wp:docPr id="142000228" name="图片 15" descr="表格&#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00228" name="图片 15" descr="表格&#10;&#10;低可信度描述已自动生成"/>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4310" cy="5661660"/>
                    </a:xfrm>
                    <a:prstGeom prst="rect">
                      <a:avLst/>
                    </a:prstGeom>
                    <a:noFill/>
                    <a:ln>
                      <a:noFill/>
                    </a:ln>
                  </pic:spPr>
                </pic:pic>
              </a:graphicData>
            </a:graphic>
          </wp:inline>
        </w:drawing>
      </w:r>
    </w:p>
    <w:p w14:paraId="3D941E96" w14:textId="77647885" w:rsidR="00C370EC" w:rsidRDefault="00051006">
      <w:pPr>
        <w:jc w:val="left"/>
      </w:pPr>
      <w:r w:rsidRPr="00051006">
        <w:t xml:space="preserve"> </w:t>
      </w:r>
      <w:r w:rsidR="00DF1B8B">
        <w:br w:type="page"/>
      </w:r>
    </w:p>
    <w:p w14:paraId="4C934CA2" w14:textId="78BA297F" w:rsidR="00C370EC" w:rsidRPr="00B04BFC" w:rsidRDefault="00C370EC" w:rsidP="00B04BFC">
      <w:pPr>
        <w:pStyle w:val="1"/>
      </w:pPr>
      <w:bookmarkStart w:id="12" w:name="_Toc136805916"/>
      <w:r w:rsidRPr="00B04BFC">
        <w:rPr>
          <w:rFonts w:hint="eastAsia"/>
        </w:rPr>
        <w:lastRenderedPageBreak/>
        <w:t>P</w:t>
      </w:r>
      <w:r w:rsidRPr="00B04BFC">
        <w:t>art 3. Preliminary Literature Review</w:t>
      </w:r>
      <w:bookmarkEnd w:id="12"/>
    </w:p>
    <w:p w14:paraId="148877E3" w14:textId="77777777" w:rsidR="00B04BFC" w:rsidRDefault="00B04BFC" w:rsidP="00B04BFC">
      <w:pPr>
        <w:pStyle w:val="2"/>
      </w:pPr>
      <w:r>
        <w:rPr>
          <w:rFonts w:hint="eastAsia"/>
        </w:rPr>
        <w:t>A</w:t>
      </w:r>
      <w:r>
        <w:t>bstract</w:t>
      </w:r>
    </w:p>
    <w:p w14:paraId="5E4096AE" w14:textId="6AF9DB26" w:rsidR="00B04BFC" w:rsidRPr="00B04BFC" w:rsidRDefault="008C4C4E" w:rsidP="00B04BFC">
      <w:r w:rsidRPr="008C4C4E">
        <w:t>The digital Chinese Yuan (e-CNY) is a Chinese legal tender developed under the auspices of the People's Bank of China (PBC), China's central bank, and will be launched as a pilot in several Chinese cities in 2019. The existing Chinese literature on the e-CNY is more focused on the theoretical research stage, mainly focusing on the connotation of the e-CNY, the underlying technical logic and means of implementation, the issuance and operation mechanism, regulation and control, and the impact of the issuance and use of the e-CNY on the economy. The rest of the foreign literature is still focused on research related to central bank digital currencies (CBDC).</w:t>
      </w:r>
    </w:p>
    <w:p w14:paraId="526BECA5" w14:textId="111A8176" w:rsidR="00B04BFC" w:rsidRPr="00395761" w:rsidRDefault="002F4DF5" w:rsidP="00B04BFC">
      <w:pPr>
        <w:pStyle w:val="2"/>
      </w:pPr>
      <w:r>
        <w:t xml:space="preserve">1. </w:t>
      </w:r>
      <w:r w:rsidR="00B04BFC">
        <w:rPr>
          <w:rFonts w:hint="eastAsia"/>
        </w:rPr>
        <w:t>I</w:t>
      </w:r>
      <w:r w:rsidR="00B04BFC">
        <w:t>ntroduction</w:t>
      </w:r>
    </w:p>
    <w:p w14:paraId="01ABF252" w14:textId="4BB70F68" w:rsidR="00C370EC" w:rsidRDefault="009621C0" w:rsidP="00C370EC">
      <w:r w:rsidRPr="009621C0">
        <w:t xml:space="preserve">In recent years, with the popularity of mobile payments, the world has also gradually entered the digital economy. While the invention of Bitcoin has gradually made people aware of digital currencies, many countries have also started the development of central bank digital currencies (CBDC). China has been developing a digital yuan (e-CNY) since 2014, with an official launch and pilot tests in several cities in 2019. The market performance of China's e-CNY is gradually becoming a focus of research in various countries. Many scholars in China have already launched research on various aspects of the e-CNY, while most of the research in other countries is still focused on the CBDC. This article begins with the history of the development of digital currencies, summarises information from the literature on digital currencies in </w:t>
      </w:r>
      <w:r w:rsidRPr="009621C0">
        <w:lastRenderedPageBreak/>
        <w:t>various countries in recent years, and also explores the development of e-CNY and the current research findings of researchers in the context of e-CNY in China. The impact of e-CNY on the lives of older people and related improvements are explored.</w:t>
      </w:r>
    </w:p>
    <w:p w14:paraId="79C31CC5" w14:textId="1E79800F" w:rsidR="009621C0" w:rsidRDefault="002F4DF5" w:rsidP="009621C0">
      <w:pPr>
        <w:pStyle w:val="2"/>
      </w:pPr>
      <w:r>
        <w:t>2</w:t>
      </w:r>
      <w:r w:rsidR="009621C0">
        <w:t>.</w:t>
      </w:r>
      <w:r w:rsidR="009621C0" w:rsidRPr="009621C0">
        <w:t>The origin and development of digital currencies</w:t>
      </w:r>
    </w:p>
    <w:p w14:paraId="3A6A61BE" w14:textId="53A3D40B" w:rsidR="009621C0" w:rsidRDefault="00254182" w:rsidP="009621C0">
      <w:r w:rsidRPr="00254182">
        <w:t>In the past, electronic money first appeared in the United States. In the early 1980s, some American economists proposed "electronic cash", which they believed could be used in the same way as real money. The concept originated in a paper published by Dai in 1998, entitled 'B-money, an anonymous, distributed electronic cash system'. This paper is the first to explore the meaning and implications of "digital money". On this basis, a new, anonymous, distributed, electronic, non-public, undisclosed, and unknown electronic cryptosystem (Dai, 1998), represented by Bmoney, was born. Based on blockchain technology, it uses distributed bookkeeping, cryptographic algorithms, and smart contracts to decentralise the process of issuing, circulating, paying, clearing, and managing digital currencies, and it is a programmable currency (Ba, S. S., Zhang, D. C., and Zhu, Y. Q., 2020). In recent years, along with the rapid development of information technology and cryptography, the development of digital currencies has received high attention from researchers in various countries.</w:t>
      </w:r>
    </w:p>
    <w:p w14:paraId="61E0955E" w14:textId="707D03AD" w:rsidR="00254182" w:rsidRDefault="00F860D5" w:rsidP="009621C0">
      <w:r w:rsidRPr="00F860D5">
        <w:t xml:space="preserve">Digital currencies can be divided into official and non-official state-issued currencies according to the issuing entity. Although there has been a lot of international research on unofficial digital currencies, the nature of unofficial digital currencies themselves determines that there are limitations to their use in the international arena. David Yermack made a similar point on this issue in 2013 (Yermack D., 2013). Smith Jacob </w:t>
      </w:r>
      <w:r w:rsidRPr="00F860D5">
        <w:lastRenderedPageBreak/>
        <w:t>pointed out in 2004 that bitcoin coins emerged and skyrocketed in value in large part due to loopholes in the traditional money market, which also led to a lack of functionality in terms of standards and the circulation of the value of the bitcoin currency (Smith J., 2014). Bitcoin was first mentioned by Nakamoto back in 2008 in his book Bitcoin: A Peer-to-Peer Electronic Cash System and was used as the basis for a system that used cryptography to create a more seller-friendly, peer-to-peer, cryptography-based, virtual reality technology that did not require third-party involvement, etc. (Nakamoto S., 2008). Most of the foreign studies on unofficial digital currencies have focused on the subject and purpose of their issuance. The question of whether unofficial digital currencies are fungible, whether they can be an alternative to fiat currencies, and whether they can compete with traditional currencies is also one of the key issues in the current research on unofficial digital currencies. Due to the nature of unofficial digital currencies, they may compete with, replace, or even surpass traditional currencies in practise. For example, Schinckus points out that both Bitcoin and Ether have the characteristic of "anonymity", while Ether does not (Schinckus, C., Nguyen, C.P., and Chong, F.H.L. 2021).</w:t>
      </w:r>
    </w:p>
    <w:p w14:paraId="19DED720" w14:textId="4D250B55" w:rsidR="00F860D5" w:rsidRDefault="004E075C" w:rsidP="009621C0">
      <w:r w:rsidRPr="004E075C">
        <w:t xml:space="preserve">Unofficial digital currencies suffer from "no state authority", "no legal status", "no borders," and "anarchy" due to their creditworthiness. The "official electronic currency" issued by the central bank is the "official electronic currency". The "official e-money" issued by the central bank has won the approval of most Chinese scholars because of its advantages, such as control and government support. Scholars such as Zhang, Z., and Zhao, Y., point out that the central bank's digital currency has a certain </w:t>
      </w:r>
      <w:r w:rsidRPr="004E075C">
        <w:lastRenderedPageBreak/>
        <w:t>controllable quantity, a high credit rating, and the advantages of being non-profit in nature and easy to regulate due to its orientation towards special groups (Zhang, Z., and Zhao, Y., 2016). Sheng Songcheng, Jiang Yile, et al. (2016) point out that the regulation of economic operations by the central bank is necessary and that only the central bank regulates economic operations to ensure the proper functioning of the entire economic system and monetary system (Sheng, S., Jiang, Y., 2016).</w:t>
      </w:r>
      <w:r>
        <w:t xml:space="preserve"> </w:t>
      </w:r>
      <w:r w:rsidRPr="004E075C">
        <w:t>Liu Jinhan predicts that "e-money" is expected to become a new form of currency that complements, replaces, or even becomes an international currency (Liu, J., Chen, J., 2018). Fang Xiancang and Huang Siyu, on the other hand, argue that a digital currency launched in the name of the official will have much more credibility compared to the operations of some banks and corporations (Fang, X., Huang, S., 2020). Yang, X., and Zhang, M., compare Libra with the two development paths of central banks, arguing that there is some conflict between the development path of central banks and their long-term development direction, but Libra is more robust than the DC/EP of central banks (Yang, X., Zhang, M., 2019). Based on dynamic stochastic general equilibrium (DSGE) theory, Yao Qian suggests that the PBOC can effectively curb the development of 'marketization' through a 'digital currency' (DSGE), thereby reducing the 'marketization' fiscal risk (Yao, X., Zhang, M., 2019). fiscal risks of "marketization" (Yao, Q. 2019).</w:t>
      </w:r>
      <w:r>
        <w:t xml:space="preserve"> </w:t>
      </w:r>
      <w:r w:rsidRPr="004E075C">
        <w:t>Compared to traditional currencies, digital currencies based on blockchain and cryptography are less costly and efficient in their roles of settlement and payment, and they can also reduce information asymmetry in the transaction process to a certain extent.</w:t>
      </w:r>
    </w:p>
    <w:p w14:paraId="60B2DC97" w14:textId="6CE54BC4" w:rsidR="004E075C" w:rsidRDefault="002E1C93" w:rsidP="009621C0">
      <w:r w:rsidRPr="002E1C93">
        <w:lastRenderedPageBreak/>
        <w:t>Furthermore, among international researchers, Barrdear and Kumhof argue that digital currency is a liability of the central bank, whose liabilities have a certain interest rate, and that this liability can be seen as a medium of trade (Barrdear, J.; Kumhof, M., 2016). Andolfatto David, from the point of view of the impact on commercial banks, has Raskin et al. argue that a central bank digital currency will change the type of currency, the way it is traded, and the scope of circulation (Raskin, M., and Yermack, D., 2018).</w:t>
      </w:r>
    </w:p>
    <w:p w14:paraId="2CB20BAC" w14:textId="4CEAAC2B" w:rsidR="00553C98" w:rsidRPr="00553C98" w:rsidRDefault="002F4DF5" w:rsidP="00553C98">
      <w:pPr>
        <w:pStyle w:val="2"/>
      </w:pPr>
      <w:r>
        <w:t>3</w:t>
      </w:r>
      <w:r w:rsidR="002E1C93" w:rsidRPr="00553C98">
        <w:t xml:space="preserve">. </w:t>
      </w:r>
      <w:r w:rsidR="00553C98" w:rsidRPr="00553C98">
        <w:t xml:space="preserve">Digital Chinese Yuan </w:t>
      </w:r>
      <w:r w:rsidR="00553C98" w:rsidRPr="00553C98">
        <w:rPr>
          <w:rFonts w:hint="eastAsia"/>
        </w:rPr>
        <w:t>(</w:t>
      </w:r>
      <w:r w:rsidR="00553C98" w:rsidRPr="00553C98">
        <w:t>e-CNY)</w:t>
      </w:r>
    </w:p>
    <w:p w14:paraId="6BD85C45" w14:textId="37EEAE16" w:rsidR="00553C98" w:rsidRDefault="002F4DF5" w:rsidP="00553C98">
      <w:pPr>
        <w:pStyle w:val="3"/>
      </w:pPr>
      <w:r>
        <w:t>3</w:t>
      </w:r>
      <w:r w:rsidR="00553C98">
        <w:t xml:space="preserve">.1 </w:t>
      </w:r>
      <w:r w:rsidR="002E1C93" w:rsidRPr="002E1C93">
        <w:t xml:space="preserve">The background of </w:t>
      </w:r>
      <w:r w:rsidR="002E1C93">
        <w:t>e</w:t>
      </w:r>
      <w:r w:rsidR="002E1C93" w:rsidRPr="002E1C93">
        <w:t>-CNY</w:t>
      </w:r>
    </w:p>
    <w:p w14:paraId="73DDFB8A" w14:textId="49D4F016" w:rsidR="00553C98" w:rsidRDefault="00553C98" w:rsidP="00553C98">
      <w:r w:rsidRPr="00553C98">
        <w:t>There are five main aspects in the background of the creation of e-CNY. From an economic point of view, the development of the digital economy cannot be separated from the digitization of money, and when data capital gradually becomes social capital, e-CNY is the monetary basis for the digital economy to reduce costs. From a technical standpoint, paper money is a huge source of manpower and material resources, from production and issuance to recycling and destruction. e-CNY is the inevitable result of the promotion of information technology. Politically, as all countries are currently studying legal digital currencies, the issuance of e-CNY is conducive to mitigating the risk impact of virtual digital currencies while consolidating the status of sovereign currencies and protecting the stability of the financial system.</w:t>
      </w:r>
      <w:r>
        <w:t xml:space="preserve"> </w:t>
      </w:r>
      <w:r w:rsidRPr="00553C98">
        <w:t xml:space="preserve">The e-CNY can also enhance China's international status by facilitating the settlement of payments in the "One Belt, One Road" region. Socially, e-CNY can reduce the public's reliance on online payments and ensure the security of </w:t>
      </w:r>
      <w:r w:rsidRPr="00553C98">
        <w:lastRenderedPageBreak/>
        <w:t>public payments by issuing e-CNY based on national credit. From a regulatory perspective, the lack of information transparency is an obstacle to the implementation of various policies. e-CNY issuance allows the central bank to grasp the direction of currency circulation, combat money laundering, black money, and other illegal activities, and provide detailed data for the central bank to implement monetary policies (Ding, X. W., 2021).</w:t>
      </w:r>
    </w:p>
    <w:p w14:paraId="12F9DD47" w14:textId="56B0F6AE" w:rsidR="00553C98" w:rsidRDefault="00553C98" w:rsidP="00553C98">
      <w:r w:rsidRPr="00553C98">
        <w:t>The e-CNY is a legal digital currency launched by the Chinese central bank and has the same basic features as legal digital currencies issued by other countries. The difference lies in the issuance and recovery mechanisms of e-CNY. e-CNY is issued using a two-tier operation system, with the central bank issuing it to commercial banks, which in turn send it to the public. The specific process is for commercial banks to submit applications for e-CNY to the central bank according to their needs and for the central bank to approve.</w:t>
      </w:r>
      <w:r>
        <w:t xml:space="preserve"> </w:t>
      </w:r>
      <w:r w:rsidRPr="00553C98">
        <w:t>When approved by the central bank, the deposit reserve of the commercial bank is deducted in the accounting system, and an equal amount of e-CNY is issued to the commercial bank, which receives the e-CNY from the central bank and then performs the deposit operation. Similarly, the recovery of e-CNY is initiated by commercial banks, approved through the digital currency system, and the transaction is carried out in the accounting and settlement system to recover the e-CNY submitted by commercial banks (Tang, K., &amp; Chen, Y., 2020).</w:t>
      </w:r>
      <w:r>
        <w:t xml:space="preserve"> </w:t>
      </w:r>
      <w:r w:rsidRPr="00553C98">
        <w:t xml:space="preserve">To use e-CNY, the public first opens an e-CNY account, converts their savings and loans into e-CNY, and then carries out the daily transaction operations of e-CNY. Throughout the entire issuance process from the central bank to the public, the central bank is able </w:t>
      </w:r>
      <w:r w:rsidRPr="00553C98">
        <w:lastRenderedPageBreak/>
        <w:t xml:space="preserve">to transparently and readily monitor the movement of e-CNY, not only to regulate the issuance of e-CNY according to the macroeconomic situation but also to combat illegal </w:t>
      </w:r>
      <w:r>
        <w:t>CNY</w:t>
      </w:r>
      <w:r w:rsidRPr="00553C98">
        <w:t xml:space="preserve"> criminal activities.</w:t>
      </w:r>
    </w:p>
    <w:p w14:paraId="01997042" w14:textId="4679422A" w:rsidR="00553C98" w:rsidRDefault="002F4DF5" w:rsidP="00553C98">
      <w:pPr>
        <w:pStyle w:val="3"/>
      </w:pPr>
      <w:r>
        <w:t>3</w:t>
      </w:r>
      <w:r w:rsidR="00553C98">
        <w:t xml:space="preserve">.2 </w:t>
      </w:r>
      <w:r w:rsidR="00553C98" w:rsidRPr="00553C98">
        <w:t>What e-CNY is all about</w:t>
      </w:r>
    </w:p>
    <w:p w14:paraId="054AA693" w14:textId="17B51C41" w:rsidR="00553C98" w:rsidRDefault="00195BA8" w:rsidP="00553C98">
      <w:r w:rsidRPr="00195BA8">
        <w:t>Zhou Dengxian points out that the concept of e-CNY is a legal digital currency issued by the People's Bank of China, abbreviated as "DC/EP" (Digital Currency/Electronic Payment), also abbreviated or translated as "e-CNY". e-CNY is backed by state credit and enables the combination of digital currency and electronic payment through blockchain technology (Zhou, D. X., 2021).</w:t>
      </w:r>
      <w:r>
        <w:t xml:space="preserve"> </w:t>
      </w:r>
      <w:r w:rsidRPr="00195BA8">
        <w:t>On the monetary level, e-CNY belongs to M0, which is essentially a substitute for cash in circulation and does not pay interest for the time being. Feng, S.H., &amp; Yang, J., 2021). The e-CNY continues to follow the centralised issuance and two-tier operation system of the central bank, i.e., the central bank does not issue directly to the public, but commercial banks exchange e-CNY with the People's Bank of China first and then with the public (Feng, S.H., &amp; Yang, J., 2021). e-CNY's issuance mechanism is consistent with the current system of issuing banknotes. The e-CNY issuance mechanism is consistent with the current banknote issuance system, with commercial banks remaining an important medium and transmission intermediary between the central bank and the public.</w:t>
      </w:r>
      <w:r>
        <w:t xml:space="preserve"> </w:t>
      </w:r>
      <w:r w:rsidRPr="00195BA8">
        <w:t xml:space="preserve">The e-CNY supports loose coupling of bank accounts, i.e., no bank account is required to open an e-CNY wallet, just as residents holding cash in Chinese Yuan may not have a bank account in their name. Compared to cash Chinese Yuan, e-CNY wallets can provide residents with a richer and more convenient service through more advanced online </w:t>
      </w:r>
      <w:r w:rsidRPr="00195BA8">
        <w:lastRenderedPageBreak/>
        <w:t>technology. For those who do not have a bank account, they can also enjoy financial services through their digital wallets, thus enabling the e-CNY services to reach all segments of society.</w:t>
      </w:r>
      <w:r>
        <w:t xml:space="preserve"> </w:t>
      </w:r>
      <w:r w:rsidRPr="00195BA8">
        <w:t>Qiu Yanfei concludes that e-CNY is also characterised by double offline payments, controlled anonymity, and high traceability, which provide information to support the fight against crime and make it difficult for corrupt individuals to evade supervision even if they resort to hiding stolen money by means such as turning it into pieces (Qiu, Y. F., 2021).</w:t>
      </w:r>
    </w:p>
    <w:p w14:paraId="7DAE4F18" w14:textId="003DB433" w:rsidR="00195BA8" w:rsidRDefault="002F4DF5" w:rsidP="00195BA8">
      <w:pPr>
        <w:pStyle w:val="3"/>
      </w:pPr>
      <w:r>
        <w:t>3</w:t>
      </w:r>
      <w:r w:rsidR="00195BA8" w:rsidRPr="00195BA8">
        <w:t>.3 The significance of issuing e-CNY</w:t>
      </w:r>
    </w:p>
    <w:p w14:paraId="539C8206" w14:textId="3F83B0F8" w:rsidR="00553C98" w:rsidRDefault="00E455D8" w:rsidP="00553C98">
      <w:r w:rsidRPr="00E455D8">
        <w:t>The use of e-CNY makes trading and circulation easier.</w:t>
      </w:r>
      <w:r>
        <w:t xml:space="preserve"> </w:t>
      </w:r>
      <w:r w:rsidR="00195BA8" w:rsidRPr="00195BA8">
        <w:t>Meng Gang believes that the central bank's digital currency can reduce circulation costs and improve the efficiency of fund settlement. The replacement of cash by a legal digital currency can reduce the cost of printing, transporting, counterfeiting, recycling, and destroying banknotes. Moreover, the peer-to-peer payment mechanism can be designed to achieve "payment as settlement", thus reducing settlement costs and improving settlement efficiency (Meng, G., 2019). Zou Chuanwei, in conjunction with the Federal Reserve's qualitative estimate of the cost of manufacturing banknotes in US dollars, also describes the current situation where coin manufacturing is "out of reach" and the burden of production exceeds the economic value (Zou, C. W., 2019).</w:t>
      </w:r>
      <w:r w:rsidR="00195BA8">
        <w:t xml:space="preserve"> </w:t>
      </w:r>
      <w:r w:rsidR="00195BA8" w:rsidRPr="00195BA8">
        <w:t>In the context of the global epidemic, the advantages of a fiat digital currency are clear.</w:t>
      </w:r>
      <w:r w:rsidR="00195BA8">
        <w:t xml:space="preserve"> </w:t>
      </w:r>
      <w:r w:rsidR="00195BA8" w:rsidRPr="00195BA8">
        <w:t xml:space="preserve">Wang Jiajia, against the background of the 'helicopter money' relief programme in the United States, conducted calculations on the proportion of people in the country who require the government to mail them checks due to a lack of bank accounts. The study also </w:t>
      </w:r>
      <w:r w:rsidR="00195BA8" w:rsidRPr="00195BA8">
        <w:lastRenderedPageBreak/>
        <w:t>qualitatively described the time, manpower, and material costs associated with check mailing, highlighting the convenience of central bank digital currency, which eliminates the need for bank accounts, and the immediate availability of subsidies, as well as the pandemic-safe nature of online transactions (Wang, J.J., &amp; Shen, K.K., 2021).</w:t>
      </w:r>
    </w:p>
    <w:p w14:paraId="5CE105BC" w14:textId="4FA6B3BB" w:rsidR="00195BA8" w:rsidRDefault="00E455D8" w:rsidP="00553C98">
      <w:r w:rsidRPr="00E455D8">
        <w:t>The development of e-CNY can enrich the pool of monetary policy tools.</w:t>
      </w:r>
      <w:r>
        <w:t xml:space="preserve"> </w:t>
      </w:r>
      <w:r w:rsidR="00195BA8" w:rsidRPr="00195BA8">
        <w:t>For the impact of the central bank's digital currency on money creation and other aspects, Guangdong Gu qualitatively analyses the impact of the legal digital currency on deposit derivation and money creation based on the money multiplier model as well as the deposit money derivation multiplier model, arguing that the issuance of the legal digital currency will lead to cash deposits in the short term and a corresponding increase in deposit reserves, i.e., the money derivation and deposit creation capacity will be enhanced in the short term and return to In other words, money generation and deposit creation will increase in the short term and return to normal levels in the long term (Gu, G. D., and Li, H., 2022).</w:t>
      </w:r>
      <w:r w:rsidR="00195BA8">
        <w:t xml:space="preserve"> </w:t>
      </w:r>
      <w:r w:rsidR="00195BA8" w:rsidRPr="00195BA8">
        <w:t>In terms of the impact on the supply and demand for money, Ke Da also argues that legal digital money will increase the supply of money while concluding that digital money will reduce the demand for money according to Keynesian money demand theory (Ke, D., 2023). Yang Rong Hai also studied the mechanism of the impact of e-CNY on China's economy in different future development stages from a macro-theoretical perspective (Yang, R. H., &amp; Li, Y. B., 2023).</w:t>
      </w:r>
    </w:p>
    <w:p w14:paraId="13C986B9" w14:textId="58FF33BC" w:rsidR="00195BA8" w:rsidRDefault="00E455D8" w:rsidP="00553C98">
      <w:r w:rsidRPr="00E455D8">
        <w:lastRenderedPageBreak/>
        <w:t>The development of e-CNY can bring new opportunities and challenges to financial institutions. Li believes that the introduction of legal digital currency will intensify market competition among commercial banks and other non-financial institutions, as well as reduce cash circulation costs and operating costs of commercial banks, improve payment efficiency, and weaken the function of physical branches (Li, Z. P., Deng, X., and Xiang, Q., 2021). Residents who use digital currencies will not contribute deposits but remain customers of banks and remain sticky. While central bank digital currencies present opportunities for commercial banks, they also present challenges to their revenue.</w:t>
      </w:r>
      <w:r>
        <w:t xml:space="preserve"> </w:t>
      </w:r>
      <w:r w:rsidRPr="00E455D8">
        <w:t>Considering the payment substitution function of the central bank's digital currency for card transactions, Yan's assessment model concludes that the issuance of the central bank's digital currency will have a significant negative impact on the income of commercial banks (Yan, Y. J., Gong, X. Y., 2023). Therefore, in order to meet the challenges and opportunities, commercial banks should intensify their research work on e-CNY wallets, improve their technology reserves that can undertake the continuous upgrading and innovation of e-CNY, increase the corresponding technological investment, and at the same time do a good job of transforming their offline physical branches to further create and build application scenarios for digital currencies. They should also do a good job of risk management and strengthen risk identification and prevention while promoting digital transformation.</w:t>
      </w:r>
    </w:p>
    <w:p w14:paraId="6764780E" w14:textId="3559BF28" w:rsidR="00E455D8" w:rsidRDefault="00B3716D" w:rsidP="00553C98">
      <w:r w:rsidRPr="00B3716D">
        <w:t xml:space="preserve">The development of e-CNY can promote the internationalisation of the Chinese Yuan. Peng believes that a central bank digital currency will effectively reduce cross-border </w:t>
      </w:r>
      <w:r w:rsidRPr="00B3716D">
        <w:lastRenderedPageBreak/>
        <w:t>payment costs and improve payment efficiency while also reducing exchange rate and credit risks in international trade (Peng, X. S., 2020). Shi Jianxun and Liu Yu analyse the impact of e-CNY on the internationalisation of the Chinese Yuan. Firstly, e-CNY will have a positive impact on the stability of the regulation and operation of China's domestic financial system, which will enhance the stability of the Chinese currency's value and acceptance in the international settlement field and thus increase the proportion of the RMB in international payment settlement in the change of the international clearing system in the digital economy while reshaping the RMB. This will increase the proportion of RMB in international payment settlement in the changing international clearing system in the digital economy while reshaping the Chinese Yuan cross-border clearing system and safeguarding China's financial sovereignty (Shi, J. X., and Liu, Y., 2021). The launch of e-CNY will therefore effectively enhance the Chinese Yuan's international discourse in the digital era.</w:t>
      </w:r>
    </w:p>
    <w:p w14:paraId="64F93CFE" w14:textId="5A9A2FC6" w:rsidR="00195BA8" w:rsidRPr="00553C98" w:rsidRDefault="002F4DF5" w:rsidP="00553C98">
      <w:r w:rsidRPr="002F4DF5">
        <w:t>In addition, there are other researchers who have conducted relevant studies on e-CNY.</w:t>
      </w:r>
      <w:r>
        <w:t xml:space="preserve"> </w:t>
      </w:r>
      <w:r w:rsidRPr="002F4DF5">
        <w:t xml:space="preserve">According to Fan, the central bank's e-money is like M0, which has the legal ability to be repaid without restriction. Therefore, we can use the e-CNY APP to achieve double offline payments without the need to tie it to a credit card or incur charges in the transaction (Fan, Y., 2016). Yao Qian and Tang Yingwei's research found that in real-life applications, e-money systems must be combined with core technologies such as blockchain and distributed accounting to better perform their functions; furthermore, they argued that when designing the underlying nature of a central bank's digital currency, the most important concern should be to ensure the stability of its coin value </w:t>
      </w:r>
      <w:r w:rsidRPr="002F4DF5">
        <w:lastRenderedPageBreak/>
        <w:t>(Yao, Q., 2017). Based on this, Xu proposed three systems, namely: a completely closed system, a selective combination system, and a completely open system (Xu, Z.; Yao, Q., 2016). Based on the above analysis, Wu, Wang, et al. argue that the construction of an electronic money system in China is inevitable, and its shortcomings lie in the need to protect our monetary sovereignty on the one hand, maintain the legal tender status on the other hand, and pay attention to its own importance (Wu, T., Wang, J.P., 2020). Liu Dongmin and Song Shuang both point out that currently, China still relies on settlement mechanisms such as SWIFT and Clearing House (CHIPS) for cross-border trade and finance and that the introduction of a digital currency can make up for the shortcomings of these two systems in cross-border trade and finance and can strengthen its cross-border trade and financial services, which will have an impact on promoting the regionalization and even the internationalisation of the CNY (Liu, D., Song, S., 2020).</w:t>
      </w:r>
    </w:p>
    <w:p w14:paraId="15091A14" w14:textId="3FF8CC57" w:rsidR="00BA440A" w:rsidRDefault="002F4DF5" w:rsidP="00BA440A">
      <w:pPr>
        <w:pStyle w:val="2"/>
      </w:pPr>
      <w:r>
        <w:t xml:space="preserve">4. </w:t>
      </w:r>
      <w:r w:rsidR="00BA440A" w:rsidRPr="00DF1B8B">
        <w:t>Conclusion</w:t>
      </w:r>
    </w:p>
    <w:p w14:paraId="31EA5507" w14:textId="68279399" w:rsidR="00BA440A" w:rsidRPr="00BA440A" w:rsidRDefault="00B3716D" w:rsidP="00BA440A">
      <w:r w:rsidRPr="00B3716D">
        <w:t>The meaningfulness of the issuance of digital currency by the People's Bank of China (PBC) and the potential value it may bring to the Chinese economy are topics of scholarly interest in the study of digital currency. Research on the value of a currency primarily focuses on its impact on currency circulation, regulation, the financial environment, and higher-level financial frameworks. This article aims to expound upon the background and significance of the emergence of digital currency, and further discuss the relevant research conducted by domestic and international scholars regarding the issuance of digital currency.</w:t>
      </w:r>
    </w:p>
    <w:p w14:paraId="4807A2D9" w14:textId="7273499D" w:rsidR="002F4DF5" w:rsidRDefault="000A3FB3" w:rsidP="002F4DF5">
      <w:pPr>
        <w:pStyle w:val="2"/>
      </w:pPr>
      <w:r w:rsidRPr="00DF1B8B">
        <w:lastRenderedPageBreak/>
        <w:t>Reference</w:t>
      </w:r>
      <w:r w:rsidR="00553C98">
        <w:t>s</w:t>
      </w:r>
    </w:p>
    <w:p w14:paraId="43CF3FEF" w14:textId="1F900096" w:rsidR="002F4DF5" w:rsidRDefault="002F4DF5" w:rsidP="002F4DF5">
      <w:pPr>
        <w:pStyle w:val="a3"/>
        <w:numPr>
          <w:ilvl w:val="0"/>
          <w:numId w:val="14"/>
        </w:numPr>
        <w:ind w:firstLineChars="0"/>
      </w:pPr>
      <w:r>
        <w:rPr>
          <w:rFonts w:hint="eastAsia"/>
        </w:rPr>
        <w:t>Andolfatto D. (2018).Assessing the Ipact of Central Bank Digital Currency on Private Banks[R].FRB St. Louis Working Paper</w:t>
      </w:r>
      <w:r>
        <w:rPr>
          <w:rFonts w:hint="eastAsia"/>
        </w:rPr>
        <w:t>，</w:t>
      </w:r>
      <w:r>
        <w:rPr>
          <w:rFonts w:hint="eastAsia"/>
        </w:rPr>
        <w:t>2018(25).</w:t>
      </w:r>
    </w:p>
    <w:p w14:paraId="75D57E38" w14:textId="5943F80D" w:rsidR="002F4DF5" w:rsidRDefault="002F4DF5" w:rsidP="002F4DF5">
      <w:pPr>
        <w:pStyle w:val="a3"/>
        <w:numPr>
          <w:ilvl w:val="0"/>
          <w:numId w:val="14"/>
        </w:numPr>
        <w:ind w:firstLineChars="0"/>
      </w:pPr>
      <w:r>
        <w:rPr>
          <w:rFonts w:hint="eastAsia"/>
        </w:rPr>
        <w:t>Barrdear J</w:t>
      </w:r>
      <w:r>
        <w:rPr>
          <w:rFonts w:hint="eastAsia"/>
        </w:rPr>
        <w:t>，</w:t>
      </w:r>
      <w:r>
        <w:rPr>
          <w:rFonts w:hint="eastAsia"/>
        </w:rPr>
        <w:t>Kumhof M. (2016).The Macroeconomics of Central Bank Issued Digital Currencies[R]. Bank of England Staff Working Paper</w:t>
      </w:r>
      <w:r>
        <w:rPr>
          <w:rFonts w:hint="eastAsia"/>
        </w:rPr>
        <w:t>，</w:t>
      </w:r>
      <w:r>
        <w:rPr>
          <w:rFonts w:hint="eastAsia"/>
        </w:rPr>
        <w:t>2016(605).</w:t>
      </w:r>
    </w:p>
    <w:p w14:paraId="426DE544" w14:textId="076C1A92" w:rsidR="002F4DF5" w:rsidRDefault="002F4DF5" w:rsidP="002F4DF5">
      <w:pPr>
        <w:pStyle w:val="a3"/>
        <w:numPr>
          <w:ilvl w:val="0"/>
          <w:numId w:val="14"/>
        </w:numPr>
        <w:ind w:firstLineChars="0"/>
      </w:pPr>
      <w:r>
        <w:t>Ba Shu-Song, Zhang Dai-Chao &amp; Zhu Yuan-Qian. (2020). Current status and trends in the development of global digital currencies. Financial Development Research (11), 3-9. doi:10.19647/j.cnki.37-1462/f.2020.11.001.</w:t>
      </w:r>
    </w:p>
    <w:p w14:paraId="05869BF4" w14:textId="19C07598" w:rsidR="002F4DF5" w:rsidRDefault="002F4DF5" w:rsidP="002F4DF5">
      <w:pPr>
        <w:pStyle w:val="a3"/>
        <w:numPr>
          <w:ilvl w:val="0"/>
          <w:numId w:val="14"/>
        </w:numPr>
        <w:ind w:firstLineChars="0"/>
      </w:pPr>
      <w:r>
        <w:t>Dai, (1998).“B-money, an anonymous, distributed electronic cash system”, http://www.weidai.com/bmoney.txt</w:t>
      </w:r>
    </w:p>
    <w:p w14:paraId="286A14DB" w14:textId="71DF2CA4" w:rsidR="002F4DF5" w:rsidRDefault="002F4DF5" w:rsidP="002F4DF5">
      <w:pPr>
        <w:pStyle w:val="a3"/>
        <w:numPr>
          <w:ilvl w:val="0"/>
          <w:numId w:val="14"/>
        </w:numPr>
        <w:ind w:firstLineChars="0"/>
      </w:pPr>
      <w:r>
        <w:t>Ding, X. W., (2021). From Internet finance to digital finance: Development trends, characteristics and concepts. Journal of Nanjing University (Philosophy-Humanities-Social Sciences) (06), 28-44+162.</w:t>
      </w:r>
    </w:p>
    <w:p w14:paraId="38991F72" w14:textId="30EC3CA4" w:rsidR="002F4DF5" w:rsidRDefault="002F4DF5" w:rsidP="002F4DF5">
      <w:pPr>
        <w:pStyle w:val="a3"/>
        <w:numPr>
          <w:ilvl w:val="0"/>
          <w:numId w:val="14"/>
        </w:numPr>
        <w:ind w:firstLineChars="0"/>
      </w:pPr>
      <w:r>
        <w:t>Fang, X., Huang, S., (2020). Digital Currency and the Transformation of China's Monetary Policy, Academic Forum 2020, No. 2, pp. 91–101.</w:t>
      </w:r>
    </w:p>
    <w:p w14:paraId="01DAACD1" w14:textId="0C082E7E" w:rsidR="002F4DF5" w:rsidRDefault="002F4DF5" w:rsidP="002F4DF5">
      <w:pPr>
        <w:pStyle w:val="a3"/>
        <w:numPr>
          <w:ilvl w:val="0"/>
          <w:numId w:val="14"/>
        </w:numPr>
        <w:ind w:firstLineChars="0"/>
      </w:pPr>
      <w:r>
        <w:t>Fan, Y., (2016). Theoretical basis and architectural options for a legal Chinese digital currency [J]. China Finance, 2016(17): 10-12</w:t>
      </w:r>
    </w:p>
    <w:p w14:paraId="3DB8B041" w14:textId="006A6097" w:rsidR="002F4DF5" w:rsidRDefault="002F4DF5" w:rsidP="002F4DF5">
      <w:pPr>
        <w:pStyle w:val="a3"/>
        <w:numPr>
          <w:ilvl w:val="0"/>
          <w:numId w:val="14"/>
        </w:numPr>
        <w:ind w:firstLineChars="0"/>
      </w:pPr>
      <w:r>
        <w:t>Feng, S.H. &amp; Yang, J., (2021). Mechanisms of the role of digital RMB in preventing data monopoly risks on Internet platforms. Reform (12), 69-80.</w:t>
      </w:r>
    </w:p>
    <w:p w14:paraId="6D39389A" w14:textId="63D66962" w:rsidR="002F4DF5" w:rsidRDefault="002F4DF5" w:rsidP="002F4DF5">
      <w:pPr>
        <w:pStyle w:val="a3"/>
        <w:numPr>
          <w:ilvl w:val="0"/>
          <w:numId w:val="14"/>
        </w:numPr>
        <w:ind w:firstLineChars="0"/>
      </w:pPr>
      <w:r>
        <w:t>Gu, G. D., and Li, H., (2022). Game analysis of central bank digital RMB in the process of regionalization of "One Belt, One Road". Journal of Nanjing Audit University, 19(06):101–110.</w:t>
      </w:r>
    </w:p>
    <w:p w14:paraId="19794A6B" w14:textId="07BC74B8" w:rsidR="002F4DF5" w:rsidRDefault="002F4DF5" w:rsidP="002F4DF5">
      <w:pPr>
        <w:pStyle w:val="a3"/>
        <w:numPr>
          <w:ilvl w:val="0"/>
          <w:numId w:val="14"/>
        </w:numPr>
        <w:ind w:firstLineChars="0"/>
      </w:pPr>
      <w:r>
        <w:lastRenderedPageBreak/>
        <w:t>Ke, D., (2023). Legal regulation of offline payments in digital RMB Journal of Shanghai University of Finance and Economics, 25(02):49–63.</w:t>
      </w:r>
    </w:p>
    <w:p w14:paraId="7B6C2133" w14:textId="074BF32B" w:rsidR="002F4DF5" w:rsidRDefault="002F4DF5" w:rsidP="002F4DF5">
      <w:pPr>
        <w:pStyle w:val="a3"/>
        <w:numPr>
          <w:ilvl w:val="0"/>
          <w:numId w:val="14"/>
        </w:numPr>
        <w:ind w:firstLineChars="0"/>
      </w:pPr>
      <w:r>
        <w:t>Ke, D., (2023). The protection of personal information in China's legal digital currency based on public and private interests Nanjing Social Science, 05: 80–93.</w:t>
      </w:r>
    </w:p>
    <w:p w14:paraId="598BDF69" w14:textId="00E5B48B" w:rsidR="002F4DF5" w:rsidRDefault="002F4DF5" w:rsidP="002F4DF5">
      <w:pPr>
        <w:pStyle w:val="a3"/>
        <w:numPr>
          <w:ilvl w:val="0"/>
          <w:numId w:val="14"/>
        </w:numPr>
        <w:ind w:firstLineChars="0"/>
      </w:pPr>
      <w:r>
        <w:t>Liu, D., Song, S., (2020). 'Digital currencies, cross-border payments and the transformation of the international monetary system', Financial Forum, Vol. 25, No. 11, 2020, pp. 3-10.</w:t>
      </w:r>
    </w:p>
    <w:p w14:paraId="294CA902" w14:textId="163EC3AE" w:rsidR="002F4DF5" w:rsidRDefault="002F4DF5" w:rsidP="002F4DF5">
      <w:pPr>
        <w:pStyle w:val="a3"/>
        <w:numPr>
          <w:ilvl w:val="0"/>
          <w:numId w:val="14"/>
        </w:numPr>
        <w:ind w:firstLineChars="0"/>
      </w:pPr>
      <w:r>
        <w:t>Liu, J.,Chen, J., (2018). A study on the impact of digital currencies on the international monetary system", The Economist, Vol. 5, 2018, pp. 17–22.</w:t>
      </w:r>
    </w:p>
    <w:p w14:paraId="7EFED14B" w14:textId="428C2A47" w:rsidR="002F4DF5" w:rsidRDefault="002F4DF5" w:rsidP="002F4DF5">
      <w:pPr>
        <w:pStyle w:val="a3"/>
        <w:numPr>
          <w:ilvl w:val="0"/>
          <w:numId w:val="14"/>
        </w:numPr>
        <w:ind w:firstLineChars="0"/>
      </w:pPr>
      <w:r>
        <w:t>Li, Z. P., Deng, X., and Xiang, Q., (2021). Digital renminbi exploration for building a new cross-border payment system International Trade, 12: 84–92.</w:t>
      </w:r>
    </w:p>
    <w:p w14:paraId="50F1D42E" w14:textId="1B6D135A" w:rsidR="002F4DF5" w:rsidRDefault="002F4DF5" w:rsidP="002F4DF5">
      <w:pPr>
        <w:pStyle w:val="a3"/>
        <w:numPr>
          <w:ilvl w:val="0"/>
          <w:numId w:val="14"/>
        </w:numPr>
        <w:ind w:firstLineChars="0"/>
      </w:pPr>
      <w:r>
        <w:t>Meng, G., (2019). Legal digital currency and RMB internationalisation. China Finance (24), 31–33.</w:t>
      </w:r>
    </w:p>
    <w:p w14:paraId="231C0A70" w14:textId="1EA0D737" w:rsidR="002F4DF5" w:rsidRDefault="002F4DF5" w:rsidP="002F4DF5">
      <w:pPr>
        <w:pStyle w:val="a3"/>
        <w:numPr>
          <w:ilvl w:val="0"/>
          <w:numId w:val="14"/>
        </w:numPr>
        <w:ind w:firstLineChars="0"/>
      </w:pPr>
      <w:r>
        <w:rPr>
          <w:rFonts w:hint="eastAsia"/>
        </w:rPr>
        <w:t>Nakamoto S., (2008).</w:t>
      </w:r>
      <w:r>
        <w:rPr>
          <w:rFonts w:hint="eastAsia"/>
        </w:rPr>
        <w:t>“</w:t>
      </w:r>
      <w:r>
        <w:rPr>
          <w:rFonts w:hint="eastAsia"/>
        </w:rPr>
        <w:t>Bitcoin: A Peer</w:t>
      </w:r>
      <w:r>
        <w:rPr>
          <w:rFonts w:hint="eastAsia"/>
        </w:rPr>
        <w:t>－</w:t>
      </w:r>
      <w:r>
        <w:rPr>
          <w:rFonts w:hint="eastAsia"/>
        </w:rPr>
        <w:t>to</w:t>
      </w:r>
      <w:r>
        <w:rPr>
          <w:rFonts w:hint="eastAsia"/>
        </w:rPr>
        <w:t>－</w:t>
      </w:r>
      <w:r>
        <w:rPr>
          <w:rFonts w:hint="eastAsia"/>
        </w:rPr>
        <w:t>Peer Electronic Cash System", bitcoin. org/bitcoin. pdf.</w:t>
      </w:r>
    </w:p>
    <w:p w14:paraId="15092436" w14:textId="47C9AA8E" w:rsidR="002F4DF5" w:rsidRDefault="002F4DF5" w:rsidP="002F4DF5">
      <w:pPr>
        <w:pStyle w:val="a3"/>
        <w:numPr>
          <w:ilvl w:val="0"/>
          <w:numId w:val="14"/>
        </w:numPr>
        <w:ind w:firstLineChars="0"/>
      </w:pPr>
      <w:r>
        <w:t>Peng, X. S., (2020). The dual impact of central bank digital currency and digital RMB issuance strategy. Economic Vertical (12), 77-85. doi:10.16528/j.cnki.22-1054/f.202012077.</w:t>
      </w:r>
    </w:p>
    <w:p w14:paraId="26DD94C4" w14:textId="2BDFE7BB" w:rsidR="002F4DF5" w:rsidRDefault="002F4DF5" w:rsidP="002F4DF5">
      <w:pPr>
        <w:pStyle w:val="a3"/>
        <w:numPr>
          <w:ilvl w:val="0"/>
          <w:numId w:val="14"/>
        </w:numPr>
        <w:ind w:firstLineChars="0"/>
      </w:pPr>
      <w:r>
        <w:t>Qiu, Y. F., (2021). Barriers to cross-border payments in digital RMB and the legal path Finance and Economics, 11: 81–88.</w:t>
      </w:r>
    </w:p>
    <w:p w14:paraId="3EFC7B83" w14:textId="56C7038C" w:rsidR="002F4DF5" w:rsidRDefault="002F4DF5" w:rsidP="002F4DF5">
      <w:pPr>
        <w:pStyle w:val="a3"/>
        <w:numPr>
          <w:ilvl w:val="0"/>
          <w:numId w:val="14"/>
        </w:numPr>
        <w:ind w:firstLineChars="0"/>
      </w:pPr>
      <w:r>
        <w:lastRenderedPageBreak/>
        <w:t>Raskin, M. and Yermack, D. (2018). Digital currencies, decentralized ledgers and the future of central banking. Research Handbook on Central Banking, law(2018), pp.474–486. doi:https://doi.org/10.4337/9781784719227.00028.</w:t>
      </w:r>
    </w:p>
    <w:p w14:paraId="6771388E" w14:textId="7DD13088" w:rsidR="002F4DF5" w:rsidRDefault="002F4DF5" w:rsidP="002F4DF5">
      <w:pPr>
        <w:pStyle w:val="a3"/>
        <w:numPr>
          <w:ilvl w:val="0"/>
          <w:numId w:val="14"/>
        </w:numPr>
        <w:ind w:firstLineChars="0"/>
      </w:pPr>
      <w:r>
        <w:t>Schinckus, C., Nguyen, C.P. and Chong, F.H.L. (2021). Are Bitcoin and Ether Affected by Strictly Anonymous Crypto-Currencies? An Exploratory Study. Economics, Management, and Financial Markets, [online] 16(4), pp.9–27. Available at: https://www.ceeol.com/search/article-detail?id=1005654 [Accessed 5 Jun. 2023].</w:t>
      </w:r>
    </w:p>
    <w:p w14:paraId="1FF641A1" w14:textId="7A071C2F" w:rsidR="002F4DF5" w:rsidRDefault="002F4DF5" w:rsidP="002F4DF5">
      <w:pPr>
        <w:pStyle w:val="a3"/>
        <w:numPr>
          <w:ilvl w:val="0"/>
          <w:numId w:val="14"/>
        </w:numPr>
        <w:ind w:firstLineChars="0"/>
      </w:pPr>
      <w:r>
        <w:t>Sheng, S.,Jiang, Y., (2016). 'Central bank digital currency is the real currency', China Finance, Vol. 14, No. 14, 2016, pp. 12–14.</w:t>
      </w:r>
    </w:p>
    <w:p w14:paraId="592B4C7F" w14:textId="381E35EA" w:rsidR="002F4DF5" w:rsidRDefault="002F4DF5" w:rsidP="002F4DF5">
      <w:pPr>
        <w:pStyle w:val="a3"/>
        <w:numPr>
          <w:ilvl w:val="0"/>
          <w:numId w:val="14"/>
        </w:numPr>
        <w:ind w:firstLineChars="0"/>
      </w:pPr>
      <w:r>
        <w:t>Shen, W., and Zhao, E. (2023): Digital renminbi and renminbi internationalisation under the international monetary power theory: an examination based on feasibility and realism. Journal of Jiangxi University of Finance and Economics, 02: 126–137</w:t>
      </w:r>
    </w:p>
    <w:p w14:paraId="636F41A4" w14:textId="276A67D6" w:rsidR="002F4DF5" w:rsidRDefault="002F4DF5" w:rsidP="002F4DF5">
      <w:pPr>
        <w:pStyle w:val="a3"/>
        <w:numPr>
          <w:ilvl w:val="0"/>
          <w:numId w:val="14"/>
        </w:numPr>
        <w:ind w:firstLineChars="0"/>
      </w:pPr>
      <w:r>
        <w:t>Shen, Y. P., Sun, S. N., He, T., Liu, D. Q., Tang, Y. H., and Wang, Y. F., (2023). A new model of smart metres and real-time power trading based on digital RMB Power System Protection and Control, 51(07):178–187.</w:t>
      </w:r>
    </w:p>
    <w:p w14:paraId="3B9EEC82" w14:textId="28AA46C9" w:rsidR="002F4DF5" w:rsidRDefault="002F4DF5" w:rsidP="002F4DF5">
      <w:pPr>
        <w:pStyle w:val="a3"/>
        <w:numPr>
          <w:ilvl w:val="0"/>
          <w:numId w:val="14"/>
        </w:numPr>
        <w:ind w:firstLineChars="0"/>
      </w:pPr>
      <w:r>
        <w:t>Shi, J. X., and Liu, Y., (2021). The significance and countermeasures of legal digital renminbi to the internationalisation strategy of the renminbi Journal of Xinjiang Normal University (Philosophy and Social Science Edition) (04), 136–144+2. doi:10.14100/j.cnki.65-1039/g4.20201102.001.</w:t>
      </w:r>
    </w:p>
    <w:p w14:paraId="7886E0D4" w14:textId="6764FF7D" w:rsidR="002F4DF5" w:rsidRDefault="002F4DF5" w:rsidP="002F4DF5">
      <w:pPr>
        <w:pStyle w:val="a3"/>
        <w:numPr>
          <w:ilvl w:val="0"/>
          <w:numId w:val="14"/>
        </w:numPr>
        <w:ind w:firstLineChars="0"/>
      </w:pPr>
      <w:r>
        <w:lastRenderedPageBreak/>
        <w:t>Smith J. ,(2014). An Analysis of Bitcoin ExchangeRates, SSRN Working Paper</w:t>
      </w:r>
    </w:p>
    <w:p w14:paraId="764C9689" w14:textId="306680B9" w:rsidR="002F4DF5" w:rsidRDefault="002F4DF5" w:rsidP="002F4DF5">
      <w:pPr>
        <w:pStyle w:val="a3"/>
        <w:numPr>
          <w:ilvl w:val="0"/>
          <w:numId w:val="14"/>
        </w:numPr>
        <w:ind w:firstLineChars="0"/>
      </w:pPr>
      <w:r>
        <w:t>Tang, K., &amp; Chen, Y., (2020). The issuance and operation of digital RMB: A study of opportunities and challenges for commercial banks. Southwest Finance (11), 24-34.</w:t>
      </w:r>
    </w:p>
    <w:p w14:paraId="43F439B0" w14:textId="6598C265" w:rsidR="002F4DF5" w:rsidRDefault="002F4DF5" w:rsidP="002F4DF5">
      <w:pPr>
        <w:pStyle w:val="a3"/>
        <w:numPr>
          <w:ilvl w:val="0"/>
          <w:numId w:val="14"/>
        </w:numPr>
        <w:ind w:firstLineChars="0"/>
      </w:pPr>
      <w:r>
        <w:t>Wang, J. J., and Shen, K. K., (2021) Realistic challenges and optimisation paths in promoting the development of digital RMB. Economic Vertical (11), 121–128, doi:10.16528/j.cnki.22-1054/f.202111121.</w:t>
      </w:r>
    </w:p>
    <w:p w14:paraId="7C3188E4" w14:textId="6F45D8BD" w:rsidR="002F4DF5" w:rsidRDefault="002F4DF5" w:rsidP="002F4DF5">
      <w:pPr>
        <w:pStyle w:val="a3"/>
        <w:numPr>
          <w:ilvl w:val="0"/>
          <w:numId w:val="14"/>
        </w:numPr>
        <w:ind w:firstLineChars="0"/>
      </w:pPr>
      <w:r>
        <w:t>Wu, T.,Wang, J. P., (2020). The issuance of digital currency by China's central bank: implications, problems and countermeasures, Observations and Reflections, No. 7, 2020, pp. 25-37.</w:t>
      </w:r>
    </w:p>
    <w:p w14:paraId="06C4B855" w14:textId="2FF89A57" w:rsidR="002F4DF5" w:rsidRDefault="002F4DF5" w:rsidP="002F4DF5">
      <w:pPr>
        <w:pStyle w:val="a3"/>
        <w:numPr>
          <w:ilvl w:val="0"/>
          <w:numId w:val="14"/>
        </w:numPr>
        <w:ind w:firstLineChars="0"/>
      </w:pPr>
      <w:r>
        <w:t>Xu, Z., Yao, Q., (2016). Preliminary proposal for a digital note trading platform[J]. China Finance, 2016(17) : 31 -33</w:t>
      </w:r>
    </w:p>
    <w:p w14:paraId="0C8710C8" w14:textId="3F5EB954" w:rsidR="002F4DF5" w:rsidRDefault="002F4DF5" w:rsidP="002F4DF5">
      <w:pPr>
        <w:pStyle w:val="a3"/>
        <w:numPr>
          <w:ilvl w:val="0"/>
          <w:numId w:val="14"/>
        </w:numPr>
        <w:ind w:firstLineChars="0"/>
      </w:pPr>
      <w:r>
        <w:t>Yang, R. H. &amp; Li, Y. B. (2023). The current status of global central bank digital currency competition and the development strategy of digital RMB The Economist, 05:46–56</w:t>
      </w:r>
    </w:p>
    <w:p w14:paraId="49E22DF3" w14:textId="2BED0828" w:rsidR="002F4DF5" w:rsidRDefault="002F4DF5" w:rsidP="002F4DF5">
      <w:pPr>
        <w:pStyle w:val="a3"/>
        <w:numPr>
          <w:ilvl w:val="0"/>
          <w:numId w:val="14"/>
        </w:numPr>
        <w:ind w:firstLineChars="0"/>
      </w:pPr>
      <w:r>
        <w:t>Yang, X., Zhang, M., (2019). Libra: conceptual rationale, potential impact, and its comparison with China's version of digital currency', Financial Review, Vol. 4, 2019, pp. 54–66.</w:t>
      </w:r>
    </w:p>
    <w:p w14:paraId="5C1142C0" w14:textId="362E5E86" w:rsidR="002F4DF5" w:rsidRDefault="002F4DF5" w:rsidP="002F4DF5">
      <w:pPr>
        <w:pStyle w:val="a3"/>
        <w:numPr>
          <w:ilvl w:val="0"/>
          <w:numId w:val="14"/>
        </w:numPr>
        <w:ind w:firstLineChars="0"/>
      </w:pPr>
      <w:r>
        <w:t>Yan, Y. J., Gong, X. Y., (2023). The development value of digital RMB and the way forward Academic Exchange, 02: 88–98.</w:t>
      </w:r>
    </w:p>
    <w:p w14:paraId="6FAC7EC9" w14:textId="10415A35" w:rsidR="002F4DF5" w:rsidRDefault="002F4DF5" w:rsidP="002F4DF5">
      <w:pPr>
        <w:pStyle w:val="a3"/>
        <w:numPr>
          <w:ilvl w:val="0"/>
          <w:numId w:val="14"/>
        </w:numPr>
        <w:ind w:firstLineChars="0"/>
      </w:pPr>
      <w:r>
        <w:lastRenderedPageBreak/>
        <w:t>Yao, Q., (2017). Understanding central bank digital currency:A systematic framework[J]. China Science: Information Science, 2017 (11):1-9</w:t>
      </w:r>
    </w:p>
    <w:p w14:paraId="6AABE36B" w14:textId="3DF69B53" w:rsidR="002F4DF5" w:rsidRDefault="002F4DF5" w:rsidP="002F4DF5">
      <w:pPr>
        <w:pStyle w:val="a3"/>
        <w:numPr>
          <w:ilvl w:val="0"/>
          <w:numId w:val="14"/>
        </w:numPr>
        <w:ind w:firstLineChars="0"/>
      </w:pPr>
      <w:r>
        <w:t>Yao, Q. (2019) Analysis of the Economic Effects of Legal Digital Currency: Theory and Empirical Evidence, International Financial Studies, Vol. 1, 2019, pp. 16–27.</w:t>
      </w:r>
    </w:p>
    <w:p w14:paraId="46DD5D54" w14:textId="2A41EB8F" w:rsidR="002F4DF5" w:rsidRDefault="002F4DF5" w:rsidP="002F4DF5">
      <w:pPr>
        <w:pStyle w:val="a3"/>
        <w:numPr>
          <w:ilvl w:val="0"/>
          <w:numId w:val="14"/>
        </w:numPr>
        <w:ind w:firstLineChars="0"/>
      </w:pPr>
      <w:r>
        <w:t>Yermack D.,(2013). Is Bitcoin a Real Currency An economic appraisal, NBER Working Paper, No.19747</w:t>
      </w:r>
    </w:p>
    <w:p w14:paraId="2BEE2692" w14:textId="0D986406" w:rsidR="002F4DF5" w:rsidRPr="002F4DF5" w:rsidRDefault="002F4DF5" w:rsidP="002F4DF5">
      <w:pPr>
        <w:pStyle w:val="a3"/>
        <w:numPr>
          <w:ilvl w:val="0"/>
          <w:numId w:val="14"/>
        </w:numPr>
        <w:ind w:firstLineChars="0"/>
      </w:pPr>
      <w:r>
        <w:t>Zhang, Z.,Zhao, Y., (2016). International experience of central banks in exploring legal digital currencies, China Finance, Vol. 17, 2016, pp. 28–30</w:t>
      </w:r>
    </w:p>
    <w:p w14:paraId="481E9529" w14:textId="38B198D8" w:rsidR="002F4DF5" w:rsidRDefault="002F4DF5" w:rsidP="002F4DF5">
      <w:pPr>
        <w:pStyle w:val="a3"/>
        <w:numPr>
          <w:ilvl w:val="0"/>
          <w:numId w:val="14"/>
        </w:numPr>
        <w:ind w:firstLineChars="0"/>
      </w:pPr>
      <w:r>
        <w:t>Zhou, D. X., (2021). Research on financial accounting and management under the digital RMB pilot. China CPA, 12: 88-91.</w:t>
      </w:r>
    </w:p>
    <w:p w14:paraId="584D23B4" w14:textId="77777777" w:rsidR="002F4DF5" w:rsidRDefault="002F4DF5" w:rsidP="002F4DF5">
      <w:pPr>
        <w:pStyle w:val="a3"/>
        <w:numPr>
          <w:ilvl w:val="0"/>
          <w:numId w:val="14"/>
        </w:numPr>
        <w:ind w:firstLineChars="0"/>
      </w:pPr>
      <w:r>
        <w:t>Zou, C. W., (2019). A preliminary analysis of the People's Bank of China's digital currency and electronic payment New Finance(12),10-16.</w:t>
      </w:r>
    </w:p>
    <w:p w14:paraId="3B5AC4C8" w14:textId="225F9A1E" w:rsidR="002E1C93" w:rsidRPr="002E1C93" w:rsidRDefault="002F4DF5" w:rsidP="002F4DF5">
      <w:r>
        <w:t>‌</w:t>
      </w:r>
    </w:p>
    <w:sectPr w:rsidR="002E1C93" w:rsidRPr="002E1C93">
      <w:footerReference w:type="default" r:id="rId1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8BA1D" w14:textId="77777777" w:rsidR="00AE539B" w:rsidRDefault="00AE539B" w:rsidP="00440984">
      <w:pPr>
        <w:spacing w:line="240" w:lineRule="auto"/>
      </w:pPr>
      <w:r>
        <w:separator/>
      </w:r>
    </w:p>
  </w:endnote>
  <w:endnote w:type="continuationSeparator" w:id="0">
    <w:p w14:paraId="733139E0" w14:textId="77777777" w:rsidR="00AE539B" w:rsidRDefault="00AE539B" w:rsidP="004409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643134"/>
      <w:docPartObj>
        <w:docPartGallery w:val="Page Numbers (Bottom of Page)"/>
        <w:docPartUnique/>
      </w:docPartObj>
    </w:sdtPr>
    <w:sdtContent>
      <w:p w14:paraId="71227AE3" w14:textId="4446D11D" w:rsidR="00A60A66" w:rsidRDefault="00A60A66">
        <w:pPr>
          <w:pStyle w:val="ab"/>
          <w:jc w:val="center"/>
        </w:pPr>
        <w:r>
          <w:fldChar w:fldCharType="begin"/>
        </w:r>
        <w:r>
          <w:instrText>PAGE   \* MERGEFORMAT</w:instrText>
        </w:r>
        <w:r>
          <w:fldChar w:fldCharType="separate"/>
        </w:r>
        <w:r>
          <w:rPr>
            <w:lang w:val="zh-CN"/>
          </w:rPr>
          <w:t>2</w:t>
        </w:r>
        <w:r>
          <w:fldChar w:fldCharType="end"/>
        </w:r>
      </w:p>
    </w:sdtContent>
  </w:sdt>
  <w:p w14:paraId="6030D7D9" w14:textId="77777777" w:rsidR="00A60A66" w:rsidRDefault="00A60A66">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9606A" w14:textId="77777777" w:rsidR="00AE539B" w:rsidRDefault="00AE539B" w:rsidP="00440984">
      <w:pPr>
        <w:spacing w:line="240" w:lineRule="auto"/>
      </w:pPr>
      <w:r>
        <w:separator/>
      </w:r>
    </w:p>
  </w:footnote>
  <w:footnote w:type="continuationSeparator" w:id="0">
    <w:p w14:paraId="2C7A3888" w14:textId="77777777" w:rsidR="00AE539B" w:rsidRDefault="00AE539B" w:rsidP="004409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46F28"/>
    <w:multiLevelType w:val="hybridMultilevel"/>
    <w:tmpl w:val="E76CBBFE"/>
    <w:lvl w:ilvl="0" w:tplc="EBDABD8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86C3F7B"/>
    <w:multiLevelType w:val="hybridMultilevel"/>
    <w:tmpl w:val="BC3A744A"/>
    <w:lvl w:ilvl="0" w:tplc="D162482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0AF752ED"/>
    <w:multiLevelType w:val="multilevel"/>
    <w:tmpl w:val="2220A4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D7900EA"/>
    <w:multiLevelType w:val="hybridMultilevel"/>
    <w:tmpl w:val="DDB401F0"/>
    <w:lvl w:ilvl="0" w:tplc="7D00D8F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1B136632"/>
    <w:multiLevelType w:val="multilevel"/>
    <w:tmpl w:val="78B2C194"/>
    <w:lvl w:ilvl="0">
      <w:start w:val="1"/>
      <w:numFmt w:val="decimal"/>
      <w:lvlText w:val="%1."/>
      <w:lvlJc w:val="left"/>
      <w:pPr>
        <w:ind w:left="440" w:hanging="440"/>
      </w:p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2F255B6F"/>
    <w:multiLevelType w:val="multilevel"/>
    <w:tmpl w:val="8FB6E03E"/>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6" w15:restartNumberingAfterBreak="0">
    <w:nsid w:val="30642EDD"/>
    <w:multiLevelType w:val="hybridMultilevel"/>
    <w:tmpl w:val="B6C4EB74"/>
    <w:lvl w:ilvl="0" w:tplc="7C08C39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367141FB"/>
    <w:multiLevelType w:val="hybridMultilevel"/>
    <w:tmpl w:val="AA34022C"/>
    <w:lvl w:ilvl="0" w:tplc="F11ECAC0">
      <w:start w:val="3"/>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8" w15:restartNumberingAfterBreak="0">
    <w:nsid w:val="41D262B4"/>
    <w:multiLevelType w:val="hybridMultilevel"/>
    <w:tmpl w:val="D9508920"/>
    <w:lvl w:ilvl="0" w:tplc="2968E82E">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4BB76672"/>
    <w:multiLevelType w:val="hybridMultilevel"/>
    <w:tmpl w:val="8DECFEDC"/>
    <w:lvl w:ilvl="0" w:tplc="D77A0BF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4FB62D62"/>
    <w:multiLevelType w:val="hybridMultilevel"/>
    <w:tmpl w:val="7578E94E"/>
    <w:lvl w:ilvl="0" w:tplc="2968E82E">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5E094B98"/>
    <w:multiLevelType w:val="hybridMultilevel"/>
    <w:tmpl w:val="B91CE938"/>
    <w:lvl w:ilvl="0" w:tplc="A4748DC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75EA75EC"/>
    <w:multiLevelType w:val="hybridMultilevel"/>
    <w:tmpl w:val="FC2CEA2C"/>
    <w:lvl w:ilvl="0" w:tplc="E75A0B2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7F2A37C9"/>
    <w:multiLevelType w:val="hybridMultilevel"/>
    <w:tmpl w:val="E8F0CB72"/>
    <w:lvl w:ilvl="0" w:tplc="0E9E355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847748276">
    <w:abstractNumId w:val="5"/>
  </w:num>
  <w:num w:numId="2" w16cid:durableId="1075468531">
    <w:abstractNumId w:val="4"/>
  </w:num>
  <w:num w:numId="3" w16cid:durableId="522519921">
    <w:abstractNumId w:val="9"/>
  </w:num>
  <w:num w:numId="4" w16cid:durableId="233007729">
    <w:abstractNumId w:val="6"/>
  </w:num>
  <w:num w:numId="5" w16cid:durableId="56321940">
    <w:abstractNumId w:val="0"/>
  </w:num>
  <w:num w:numId="6" w16cid:durableId="974218481">
    <w:abstractNumId w:val="3"/>
  </w:num>
  <w:num w:numId="7" w16cid:durableId="2069380468">
    <w:abstractNumId w:val="2"/>
  </w:num>
  <w:num w:numId="8" w16cid:durableId="1718505006">
    <w:abstractNumId w:val="7"/>
  </w:num>
  <w:num w:numId="9" w16cid:durableId="1957641831">
    <w:abstractNumId w:val="8"/>
  </w:num>
  <w:num w:numId="10" w16cid:durableId="395124701">
    <w:abstractNumId w:val="13"/>
  </w:num>
  <w:num w:numId="11" w16cid:durableId="1314261194">
    <w:abstractNumId w:val="11"/>
  </w:num>
  <w:num w:numId="12" w16cid:durableId="321783627">
    <w:abstractNumId w:val="1"/>
  </w:num>
  <w:num w:numId="13" w16cid:durableId="661589752">
    <w:abstractNumId w:val="12"/>
  </w:num>
  <w:num w:numId="14" w16cid:durableId="192060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DA7C11"/>
    <w:rsid w:val="00015290"/>
    <w:rsid w:val="00051006"/>
    <w:rsid w:val="00060151"/>
    <w:rsid w:val="00064C33"/>
    <w:rsid w:val="00085F4E"/>
    <w:rsid w:val="000A3FB3"/>
    <w:rsid w:val="00101BC1"/>
    <w:rsid w:val="00107099"/>
    <w:rsid w:val="00115990"/>
    <w:rsid w:val="00123E2B"/>
    <w:rsid w:val="00162263"/>
    <w:rsid w:val="00162720"/>
    <w:rsid w:val="001928A9"/>
    <w:rsid w:val="00195BA8"/>
    <w:rsid w:val="001C09CC"/>
    <w:rsid w:val="001C15A9"/>
    <w:rsid w:val="001D0EE3"/>
    <w:rsid w:val="00240153"/>
    <w:rsid w:val="00241099"/>
    <w:rsid w:val="00254182"/>
    <w:rsid w:val="00255A24"/>
    <w:rsid w:val="00281E8D"/>
    <w:rsid w:val="002B2710"/>
    <w:rsid w:val="002D64DD"/>
    <w:rsid w:val="002E1C93"/>
    <w:rsid w:val="002F4DF5"/>
    <w:rsid w:val="00306868"/>
    <w:rsid w:val="00343275"/>
    <w:rsid w:val="003678B6"/>
    <w:rsid w:val="003849BE"/>
    <w:rsid w:val="00395761"/>
    <w:rsid w:val="003A783A"/>
    <w:rsid w:val="004105D5"/>
    <w:rsid w:val="00431B06"/>
    <w:rsid w:val="00440984"/>
    <w:rsid w:val="00476E59"/>
    <w:rsid w:val="004810E1"/>
    <w:rsid w:val="004A0240"/>
    <w:rsid w:val="004C5FB5"/>
    <w:rsid w:val="004D3C69"/>
    <w:rsid w:val="004E001D"/>
    <w:rsid w:val="004E075C"/>
    <w:rsid w:val="00543BAA"/>
    <w:rsid w:val="00543DA1"/>
    <w:rsid w:val="00545E48"/>
    <w:rsid w:val="00553C98"/>
    <w:rsid w:val="00564C47"/>
    <w:rsid w:val="00586D32"/>
    <w:rsid w:val="00632566"/>
    <w:rsid w:val="00665020"/>
    <w:rsid w:val="00666DF9"/>
    <w:rsid w:val="00700A7E"/>
    <w:rsid w:val="00754051"/>
    <w:rsid w:val="008225AF"/>
    <w:rsid w:val="00893A5E"/>
    <w:rsid w:val="008941C8"/>
    <w:rsid w:val="008B733C"/>
    <w:rsid w:val="008C4C4E"/>
    <w:rsid w:val="008C7DFE"/>
    <w:rsid w:val="009539CF"/>
    <w:rsid w:val="009563DC"/>
    <w:rsid w:val="009621C0"/>
    <w:rsid w:val="009B0036"/>
    <w:rsid w:val="009F6B6F"/>
    <w:rsid w:val="009F7D89"/>
    <w:rsid w:val="00A024FA"/>
    <w:rsid w:val="00A03333"/>
    <w:rsid w:val="00A22D34"/>
    <w:rsid w:val="00A47473"/>
    <w:rsid w:val="00A60A66"/>
    <w:rsid w:val="00A74B3F"/>
    <w:rsid w:val="00A9649B"/>
    <w:rsid w:val="00AE539B"/>
    <w:rsid w:val="00AE5D97"/>
    <w:rsid w:val="00AE7A89"/>
    <w:rsid w:val="00B01801"/>
    <w:rsid w:val="00B04BFC"/>
    <w:rsid w:val="00B3541C"/>
    <w:rsid w:val="00B3716D"/>
    <w:rsid w:val="00B40D49"/>
    <w:rsid w:val="00B43A05"/>
    <w:rsid w:val="00B4715C"/>
    <w:rsid w:val="00B96898"/>
    <w:rsid w:val="00BA440A"/>
    <w:rsid w:val="00BC614A"/>
    <w:rsid w:val="00BF0395"/>
    <w:rsid w:val="00BF20FF"/>
    <w:rsid w:val="00C370EC"/>
    <w:rsid w:val="00C61BD7"/>
    <w:rsid w:val="00C75867"/>
    <w:rsid w:val="00C77678"/>
    <w:rsid w:val="00CE11E2"/>
    <w:rsid w:val="00D44C8F"/>
    <w:rsid w:val="00D92348"/>
    <w:rsid w:val="00DA0AC5"/>
    <w:rsid w:val="00DA2889"/>
    <w:rsid w:val="00DA5130"/>
    <w:rsid w:val="00DA7C11"/>
    <w:rsid w:val="00DF1B8B"/>
    <w:rsid w:val="00E10243"/>
    <w:rsid w:val="00E455D8"/>
    <w:rsid w:val="00E549B2"/>
    <w:rsid w:val="00E67D7A"/>
    <w:rsid w:val="00E930B7"/>
    <w:rsid w:val="00F860D5"/>
    <w:rsid w:val="00FA58E3"/>
    <w:rsid w:val="00FD48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rules v:ext="edit">
        <o:r id="V:Rule1" type="connector" idref="#_x0000_s1029"/>
      </o:rules>
    </o:shapelayout>
  </w:shapeDefaults>
  <w:decimalSymbol w:val="."/>
  <w:listSeparator w:val=","/>
  <w14:docId w14:val="7CE2B8A3"/>
  <w15:chartTrackingRefBased/>
  <w15:docId w15:val="{57891A9D-6FA4-4D5E-8AA2-81E7411B2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4"/>
        <w:lang w:val="en-US" w:eastAsia="zh-CN"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225AF"/>
    <w:pPr>
      <w:jc w:val="both"/>
    </w:pPr>
  </w:style>
  <w:style w:type="paragraph" w:styleId="1">
    <w:name w:val="heading 1"/>
    <w:basedOn w:val="a"/>
    <w:next w:val="a"/>
    <w:link w:val="10"/>
    <w:uiPriority w:val="9"/>
    <w:qFormat/>
    <w:rsid w:val="00A74B3F"/>
    <w:pPr>
      <w:keepNext/>
      <w:keepLines/>
      <w:wordWrap w:val="0"/>
      <w:outlineLvl w:val="0"/>
    </w:pPr>
    <w:rPr>
      <w:rFonts w:eastAsia="宋体"/>
      <w:b/>
      <w:bCs/>
      <w:kern w:val="44"/>
      <w:sz w:val="28"/>
      <w:szCs w:val="44"/>
    </w:rPr>
  </w:style>
  <w:style w:type="paragraph" w:styleId="2">
    <w:name w:val="heading 2"/>
    <w:basedOn w:val="a"/>
    <w:next w:val="a"/>
    <w:link w:val="20"/>
    <w:uiPriority w:val="9"/>
    <w:unhideWhenUsed/>
    <w:qFormat/>
    <w:rsid w:val="004A0240"/>
    <w:pPr>
      <w:keepNext/>
      <w:keepLines/>
      <w:wordWrap w:val="0"/>
      <w:outlineLvl w:val="1"/>
    </w:pPr>
    <w:rPr>
      <w:rFonts w:eastAsia="宋体" w:cstheme="majorBidi"/>
      <w:b/>
      <w:bCs/>
      <w:sz w:val="28"/>
      <w:szCs w:val="32"/>
    </w:rPr>
  </w:style>
  <w:style w:type="paragraph" w:styleId="3">
    <w:name w:val="heading 3"/>
    <w:basedOn w:val="a"/>
    <w:next w:val="a"/>
    <w:link w:val="30"/>
    <w:uiPriority w:val="9"/>
    <w:unhideWhenUsed/>
    <w:qFormat/>
    <w:rsid w:val="00E10243"/>
    <w:pPr>
      <w:keepNext/>
      <w:keepLines/>
      <w:outlineLvl w:val="2"/>
    </w:pPr>
    <w:rPr>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563DC"/>
    <w:pPr>
      <w:ind w:firstLineChars="200" w:firstLine="420"/>
    </w:pPr>
  </w:style>
  <w:style w:type="character" w:customStyle="1" w:styleId="20">
    <w:name w:val="标题 2 字符"/>
    <w:basedOn w:val="a0"/>
    <w:link w:val="2"/>
    <w:uiPriority w:val="9"/>
    <w:rsid w:val="004A0240"/>
    <w:rPr>
      <w:rFonts w:ascii="Times New Roman" w:eastAsia="宋体" w:hAnsi="Times New Roman" w:cstheme="majorBidi"/>
      <w:b/>
      <w:bCs/>
      <w:sz w:val="28"/>
      <w:szCs w:val="32"/>
    </w:rPr>
  </w:style>
  <w:style w:type="character" w:styleId="a4">
    <w:name w:val="annotation reference"/>
    <w:basedOn w:val="a0"/>
    <w:uiPriority w:val="99"/>
    <w:semiHidden/>
    <w:unhideWhenUsed/>
    <w:rsid w:val="00543DA1"/>
    <w:rPr>
      <w:sz w:val="21"/>
      <w:szCs w:val="21"/>
    </w:rPr>
  </w:style>
  <w:style w:type="paragraph" w:styleId="a5">
    <w:name w:val="annotation text"/>
    <w:basedOn w:val="a"/>
    <w:link w:val="a6"/>
    <w:uiPriority w:val="99"/>
    <w:unhideWhenUsed/>
    <w:rsid w:val="00543DA1"/>
  </w:style>
  <w:style w:type="character" w:customStyle="1" w:styleId="a6">
    <w:name w:val="批注文字 字符"/>
    <w:basedOn w:val="a0"/>
    <w:link w:val="a5"/>
    <w:uiPriority w:val="99"/>
    <w:rsid w:val="00543DA1"/>
    <w:rPr>
      <w:rFonts w:ascii="Times New Roman" w:hAnsi="Times New Roman"/>
      <w:sz w:val="24"/>
    </w:rPr>
  </w:style>
  <w:style w:type="paragraph" w:styleId="a7">
    <w:name w:val="annotation subject"/>
    <w:basedOn w:val="a5"/>
    <w:next w:val="a5"/>
    <w:link w:val="a8"/>
    <w:uiPriority w:val="99"/>
    <w:semiHidden/>
    <w:unhideWhenUsed/>
    <w:rsid w:val="00543DA1"/>
    <w:rPr>
      <w:b/>
      <w:bCs/>
    </w:rPr>
  </w:style>
  <w:style w:type="character" w:customStyle="1" w:styleId="a8">
    <w:name w:val="批注主题 字符"/>
    <w:basedOn w:val="a6"/>
    <w:link w:val="a7"/>
    <w:uiPriority w:val="99"/>
    <w:semiHidden/>
    <w:rsid w:val="00543DA1"/>
    <w:rPr>
      <w:rFonts w:ascii="Times New Roman" w:hAnsi="Times New Roman"/>
      <w:b/>
      <w:bCs/>
      <w:sz w:val="24"/>
    </w:rPr>
  </w:style>
  <w:style w:type="character" w:customStyle="1" w:styleId="10">
    <w:name w:val="标题 1 字符"/>
    <w:basedOn w:val="a0"/>
    <w:link w:val="1"/>
    <w:uiPriority w:val="9"/>
    <w:rsid w:val="00A74B3F"/>
    <w:rPr>
      <w:rFonts w:ascii="Times New Roman" w:eastAsia="宋体" w:hAnsi="Times New Roman"/>
      <w:b/>
      <w:bCs/>
      <w:kern w:val="44"/>
      <w:sz w:val="28"/>
      <w:szCs w:val="44"/>
    </w:rPr>
  </w:style>
  <w:style w:type="paragraph" w:styleId="a9">
    <w:name w:val="header"/>
    <w:basedOn w:val="a"/>
    <w:link w:val="aa"/>
    <w:uiPriority w:val="99"/>
    <w:unhideWhenUsed/>
    <w:rsid w:val="00440984"/>
    <w:pPr>
      <w:pBdr>
        <w:bottom w:val="single" w:sz="6" w:space="1" w:color="auto"/>
      </w:pBdr>
      <w:tabs>
        <w:tab w:val="center" w:pos="4153"/>
        <w:tab w:val="right" w:pos="8306"/>
      </w:tabs>
      <w:snapToGrid w:val="0"/>
      <w:spacing w:line="240" w:lineRule="auto"/>
      <w:jc w:val="center"/>
    </w:pPr>
    <w:rPr>
      <w:sz w:val="18"/>
      <w:szCs w:val="18"/>
    </w:rPr>
  </w:style>
  <w:style w:type="character" w:customStyle="1" w:styleId="aa">
    <w:name w:val="页眉 字符"/>
    <w:basedOn w:val="a0"/>
    <w:link w:val="a9"/>
    <w:uiPriority w:val="99"/>
    <w:rsid w:val="00440984"/>
    <w:rPr>
      <w:rFonts w:ascii="Times New Roman" w:hAnsi="Times New Roman"/>
      <w:sz w:val="18"/>
      <w:szCs w:val="18"/>
    </w:rPr>
  </w:style>
  <w:style w:type="paragraph" w:styleId="ab">
    <w:name w:val="footer"/>
    <w:basedOn w:val="a"/>
    <w:link w:val="ac"/>
    <w:uiPriority w:val="99"/>
    <w:unhideWhenUsed/>
    <w:rsid w:val="00440984"/>
    <w:pPr>
      <w:tabs>
        <w:tab w:val="center" w:pos="4153"/>
        <w:tab w:val="right" w:pos="8306"/>
      </w:tabs>
      <w:snapToGrid w:val="0"/>
      <w:spacing w:line="240" w:lineRule="auto"/>
    </w:pPr>
    <w:rPr>
      <w:sz w:val="18"/>
      <w:szCs w:val="18"/>
    </w:rPr>
  </w:style>
  <w:style w:type="character" w:customStyle="1" w:styleId="ac">
    <w:name w:val="页脚 字符"/>
    <w:basedOn w:val="a0"/>
    <w:link w:val="ab"/>
    <w:uiPriority w:val="99"/>
    <w:rsid w:val="00440984"/>
    <w:rPr>
      <w:rFonts w:ascii="Times New Roman" w:hAnsi="Times New Roman"/>
      <w:sz w:val="18"/>
      <w:szCs w:val="18"/>
    </w:rPr>
  </w:style>
  <w:style w:type="paragraph" w:styleId="TOC1">
    <w:name w:val="toc 1"/>
    <w:basedOn w:val="a"/>
    <w:next w:val="a"/>
    <w:autoRedefine/>
    <w:uiPriority w:val="39"/>
    <w:unhideWhenUsed/>
    <w:rsid w:val="003849BE"/>
  </w:style>
  <w:style w:type="paragraph" w:styleId="TOC2">
    <w:name w:val="toc 2"/>
    <w:basedOn w:val="a"/>
    <w:next w:val="a"/>
    <w:autoRedefine/>
    <w:uiPriority w:val="39"/>
    <w:unhideWhenUsed/>
    <w:rsid w:val="003849BE"/>
  </w:style>
  <w:style w:type="paragraph" w:styleId="TOC3">
    <w:name w:val="toc 3"/>
    <w:basedOn w:val="a"/>
    <w:next w:val="a"/>
    <w:autoRedefine/>
    <w:uiPriority w:val="39"/>
    <w:unhideWhenUsed/>
    <w:rsid w:val="003849BE"/>
  </w:style>
  <w:style w:type="character" w:styleId="ad">
    <w:name w:val="Hyperlink"/>
    <w:basedOn w:val="a0"/>
    <w:uiPriority w:val="99"/>
    <w:unhideWhenUsed/>
    <w:rsid w:val="003849BE"/>
    <w:rPr>
      <w:color w:val="0563C1" w:themeColor="hyperlink"/>
      <w:u w:val="single"/>
    </w:rPr>
  </w:style>
  <w:style w:type="character" w:customStyle="1" w:styleId="30">
    <w:name w:val="标题 3 字符"/>
    <w:basedOn w:val="a0"/>
    <w:link w:val="3"/>
    <w:uiPriority w:val="9"/>
    <w:rsid w:val="00E10243"/>
    <w:rPr>
      <w:b/>
      <w:bCs/>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029801">
      <w:bodyDiv w:val="1"/>
      <w:marLeft w:val="0"/>
      <w:marRight w:val="0"/>
      <w:marTop w:val="0"/>
      <w:marBottom w:val="0"/>
      <w:divBdr>
        <w:top w:val="none" w:sz="0" w:space="0" w:color="auto"/>
        <w:left w:val="none" w:sz="0" w:space="0" w:color="auto"/>
        <w:bottom w:val="none" w:sz="0" w:space="0" w:color="auto"/>
        <w:right w:val="none" w:sz="0" w:space="0" w:color="auto"/>
      </w:divBdr>
      <w:divsChild>
        <w:div w:id="219023151">
          <w:marLeft w:val="0"/>
          <w:marRight w:val="0"/>
          <w:marTop w:val="0"/>
          <w:marBottom w:val="0"/>
          <w:divBdr>
            <w:top w:val="none" w:sz="0" w:space="0" w:color="auto"/>
            <w:left w:val="none" w:sz="0" w:space="0" w:color="auto"/>
            <w:bottom w:val="none" w:sz="0" w:space="0" w:color="auto"/>
            <w:right w:val="none" w:sz="0" w:space="0" w:color="auto"/>
          </w:divBdr>
        </w:div>
      </w:divsChild>
    </w:div>
    <w:div w:id="1222325184">
      <w:bodyDiv w:val="1"/>
      <w:marLeft w:val="0"/>
      <w:marRight w:val="0"/>
      <w:marTop w:val="0"/>
      <w:marBottom w:val="0"/>
      <w:divBdr>
        <w:top w:val="none" w:sz="0" w:space="0" w:color="auto"/>
        <w:left w:val="none" w:sz="0" w:space="0" w:color="auto"/>
        <w:bottom w:val="none" w:sz="0" w:space="0" w:color="auto"/>
        <w:right w:val="none" w:sz="0" w:space="0" w:color="auto"/>
      </w:divBdr>
    </w:div>
    <w:div w:id="1760056553">
      <w:bodyDiv w:val="1"/>
      <w:marLeft w:val="0"/>
      <w:marRight w:val="0"/>
      <w:marTop w:val="0"/>
      <w:marBottom w:val="0"/>
      <w:divBdr>
        <w:top w:val="none" w:sz="0" w:space="0" w:color="auto"/>
        <w:left w:val="none" w:sz="0" w:space="0" w:color="auto"/>
        <w:bottom w:val="none" w:sz="0" w:space="0" w:color="auto"/>
        <w:right w:val="none" w:sz="0" w:space="0" w:color="auto"/>
      </w:divBdr>
      <w:divsChild>
        <w:div w:id="1926038474">
          <w:marLeft w:val="0"/>
          <w:marRight w:val="0"/>
          <w:marTop w:val="0"/>
          <w:marBottom w:val="0"/>
          <w:divBdr>
            <w:top w:val="none" w:sz="0" w:space="0" w:color="auto"/>
            <w:left w:val="none" w:sz="0" w:space="0" w:color="auto"/>
            <w:bottom w:val="none" w:sz="0" w:space="0" w:color="auto"/>
            <w:right w:val="none" w:sz="0" w:space="0" w:color="auto"/>
          </w:divBdr>
          <w:divsChild>
            <w:div w:id="163474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632472">
      <w:bodyDiv w:val="1"/>
      <w:marLeft w:val="0"/>
      <w:marRight w:val="0"/>
      <w:marTop w:val="0"/>
      <w:marBottom w:val="0"/>
      <w:divBdr>
        <w:top w:val="none" w:sz="0" w:space="0" w:color="auto"/>
        <w:left w:val="none" w:sz="0" w:space="0" w:color="auto"/>
        <w:bottom w:val="none" w:sz="0" w:space="0" w:color="auto"/>
        <w:right w:val="none" w:sz="0" w:space="0" w:color="auto"/>
      </w:divBdr>
      <w:divsChild>
        <w:div w:id="213665439">
          <w:marLeft w:val="0"/>
          <w:marRight w:val="0"/>
          <w:marTop w:val="0"/>
          <w:marBottom w:val="0"/>
          <w:divBdr>
            <w:top w:val="none" w:sz="0" w:space="0" w:color="auto"/>
            <w:left w:val="none" w:sz="0" w:space="0" w:color="auto"/>
            <w:bottom w:val="none" w:sz="0" w:space="0" w:color="auto"/>
            <w:right w:val="none" w:sz="0" w:space="0" w:color="auto"/>
          </w:divBdr>
        </w:div>
      </w:divsChild>
    </w:div>
    <w:div w:id="2033844756">
      <w:bodyDiv w:val="1"/>
      <w:marLeft w:val="0"/>
      <w:marRight w:val="0"/>
      <w:marTop w:val="0"/>
      <w:marBottom w:val="0"/>
      <w:divBdr>
        <w:top w:val="none" w:sz="0" w:space="0" w:color="auto"/>
        <w:left w:val="none" w:sz="0" w:space="0" w:color="auto"/>
        <w:bottom w:val="none" w:sz="0" w:space="0" w:color="auto"/>
        <w:right w:val="none" w:sz="0" w:space="0" w:color="auto"/>
      </w:divBdr>
      <w:divsChild>
        <w:div w:id="16926034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61E7F1-C4E0-4B27-926A-5017EA667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2641</TotalTime>
  <Pages>38</Pages>
  <Words>20964</Words>
  <Characters>23272</Characters>
  <Application>Microsoft Office Word</Application>
  <DocSecurity>0</DocSecurity>
  <Lines>831</Lines>
  <Paragraphs>520</Paragraphs>
  <ScaleCrop>false</ScaleCrop>
  <Company/>
  <LinksUpToDate>false</LinksUpToDate>
  <CharactersWithSpaces>43716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Pan (2211622)</dc:creator>
  <cp:keywords/>
  <dc:description/>
  <cp:lastModifiedBy>Lu Pan (2211622)</cp:lastModifiedBy>
  <cp:revision>50</cp:revision>
  <dcterms:created xsi:type="dcterms:W3CDTF">2023-03-28T10:18:00Z</dcterms:created>
  <dcterms:modified xsi:type="dcterms:W3CDTF">2023-06-05T22:59:00Z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ac938ebe3735e7c65d7cb224489cdaad1b7db16031f8a0cb83fa1540f295bcfb</vt:lpwstr>
  </property>
</Properties>
</file>