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C418E" w14:textId="77777777" w:rsidR="00266C9C" w:rsidRPr="00ED2923" w:rsidRDefault="00266C9C" w:rsidP="00266C9C">
      <w:pPr>
        <w:spacing w:line="480" w:lineRule="auto"/>
        <w:jc w:val="center"/>
        <w:rPr>
          <w:rFonts w:ascii="Times New Roman" w:hAnsi="Times New Roman" w:cs="Times New Roman"/>
          <w:b/>
          <w:sz w:val="24"/>
          <w:szCs w:val="24"/>
        </w:rPr>
      </w:pPr>
      <w:r w:rsidRPr="00ED2923">
        <w:rPr>
          <w:rFonts w:ascii="Times New Roman" w:hAnsi="Times New Roman" w:cs="Times New Roman"/>
          <w:b/>
          <w:sz w:val="24"/>
          <w:szCs w:val="24"/>
        </w:rPr>
        <w:t>ADDITIONAL LEARNING NEEDS (ALN) POLICY IN WALES, UK: A POLICY ANALYSIS REPORT</w:t>
      </w:r>
    </w:p>
    <w:p w14:paraId="775BCE62" w14:textId="77777777" w:rsidR="00266C9C" w:rsidRPr="00ED2923" w:rsidRDefault="00266C9C" w:rsidP="00266C9C">
      <w:pPr>
        <w:spacing w:line="480" w:lineRule="auto"/>
        <w:rPr>
          <w:rFonts w:ascii="Times New Roman" w:hAnsi="Times New Roman" w:cs="Times New Roman"/>
          <w:sz w:val="24"/>
          <w:szCs w:val="24"/>
        </w:rPr>
      </w:pPr>
    </w:p>
    <w:p w14:paraId="180971BA" w14:textId="77777777" w:rsidR="00266C9C" w:rsidRPr="00ED2923" w:rsidRDefault="00266C9C" w:rsidP="00266C9C">
      <w:pPr>
        <w:spacing w:line="480" w:lineRule="auto"/>
        <w:rPr>
          <w:rFonts w:ascii="Times New Roman" w:hAnsi="Times New Roman" w:cs="Times New Roman"/>
          <w:sz w:val="24"/>
          <w:szCs w:val="24"/>
        </w:rPr>
      </w:pPr>
    </w:p>
    <w:p w14:paraId="3D5CA43E" w14:textId="77777777" w:rsidR="00266C9C" w:rsidRPr="00ED2923" w:rsidRDefault="00266C9C" w:rsidP="00266C9C">
      <w:pPr>
        <w:spacing w:line="480" w:lineRule="auto"/>
        <w:rPr>
          <w:rFonts w:ascii="Times New Roman" w:hAnsi="Times New Roman" w:cs="Times New Roman"/>
          <w:sz w:val="24"/>
          <w:szCs w:val="24"/>
        </w:rPr>
      </w:pPr>
    </w:p>
    <w:p w14:paraId="2615B6CA" w14:textId="77777777" w:rsidR="00266C9C" w:rsidRPr="00ED2923" w:rsidRDefault="00266C9C" w:rsidP="00266C9C">
      <w:pPr>
        <w:spacing w:line="480" w:lineRule="auto"/>
        <w:rPr>
          <w:rFonts w:ascii="Times New Roman" w:hAnsi="Times New Roman" w:cs="Times New Roman"/>
          <w:sz w:val="24"/>
          <w:szCs w:val="24"/>
        </w:rPr>
      </w:pPr>
    </w:p>
    <w:p w14:paraId="2A123C2D" w14:textId="77777777" w:rsidR="00266C9C" w:rsidRPr="00ED2923" w:rsidRDefault="00266C9C" w:rsidP="00266C9C">
      <w:pPr>
        <w:spacing w:line="480" w:lineRule="auto"/>
        <w:rPr>
          <w:rFonts w:ascii="Times New Roman" w:hAnsi="Times New Roman" w:cs="Times New Roman"/>
          <w:sz w:val="24"/>
          <w:szCs w:val="24"/>
        </w:rPr>
      </w:pPr>
    </w:p>
    <w:p w14:paraId="189B4731" w14:textId="77777777" w:rsidR="00266C9C" w:rsidRPr="00ED2923" w:rsidRDefault="00266C9C" w:rsidP="00266C9C">
      <w:pPr>
        <w:spacing w:line="480" w:lineRule="auto"/>
        <w:rPr>
          <w:rFonts w:ascii="Times New Roman" w:hAnsi="Times New Roman" w:cs="Times New Roman"/>
          <w:sz w:val="24"/>
          <w:szCs w:val="24"/>
        </w:rPr>
      </w:pPr>
    </w:p>
    <w:p w14:paraId="1806E929" w14:textId="77777777" w:rsidR="00266C9C" w:rsidRPr="00ED2923" w:rsidRDefault="00266C9C" w:rsidP="00266C9C">
      <w:pPr>
        <w:spacing w:line="480" w:lineRule="auto"/>
        <w:rPr>
          <w:rFonts w:ascii="Times New Roman" w:hAnsi="Times New Roman" w:cs="Times New Roman"/>
          <w:sz w:val="24"/>
          <w:szCs w:val="24"/>
        </w:rPr>
      </w:pPr>
    </w:p>
    <w:p w14:paraId="5C2B92E0" w14:textId="77777777" w:rsidR="00266C9C" w:rsidRPr="00ED2923" w:rsidRDefault="00266C9C" w:rsidP="00266C9C">
      <w:pPr>
        <w:spacing w:line="480" w:lineRule="auto"/>
        <w:rPr>
          <w:rFonts w:ascii="Times New Roman" w:hAnsi="Times New Roman" w:cs="Times New Roman"/>
          <w:sz w:val="24"/>
          <w:szCs w:val="24"/>
        </w:rPr>
      </w:pPr>
    </w:p>
    <w:p w14:paraId="0EAE7212" w14:textId="77777777" w:rsidR="00266C9C" w:rsidRPr="00ED2923" w:rsidRDefault="00266C9C" w:rsidP="00266C9C">
      <w:pPr>
        <w:spacing w:line="480" w:lineRule="auto"/>
        <w:rPr>
          <w:rFonts w:ascii="Times New Roman" w:hAnsi="Times New Roman" w:cs="Times New Roman"/>
          <w:sz w:val="24"/>
          <w:szCs w:val="24"/>
        </w:rPr>
      </w:pPr>
    </w:p>
    <w:p w14:paraId="555AD615" w14:textId="77777777" w:rsidR="00266C9C" w:rsidRPr="00ED2923" w:rsidRDefault="00266C9C" w:rsidP="00266C9C">
      <w:pPr>
        <w:spacing w:line="480" w:lineRule="auto"/>
        <w:rPr>
          <w:rFonts w:ascii="Times New Roman" w:hAnsi="Times New Roman" w:cs="Times New Roman"/>
          <w:sz w:val="24"/>
          <w:szCs w:val="24"/>
        </w:rPr>
      </w:pPr>
    </w:p>
    <w:p w14:paraId="18D3D0A7" w14:textId="77777777" w:rsidR="00266C9C" w:rsidRPr="00ED2923" w:rsidRDefault="00266C9C" w:rsidP="00266C9C">
      <w:pPr>
        <w:spacing w:line="480" w:lineRule="auto"/>
        <w:rPr>
          <w:rFonts w:ascii="Times New Roman" w:hAnsi="Times New Roman" w:cs="Times New Roman"/>
          <w:sz w:val="24"/>
          <w:szCs w:val="24"/>
        </w:rPr>
      </w:pPr>
    </w:p>
    <w:p w14:paraId="10F85529" w14:textId="77777777" w:rsidR="00266C9C" w:rsidRPr="00ED2923" w:rsidRDefault="00266C9C" w:rsidP="00266C9C">
      <w:pPr>
        <w:spacing w:line="480" w:lineRule="auto"/>
        <w:rPr>
          <w:rFonts w:ascii="Times New Roman" w:hAnsi="Times New Roman" w:cs="Times New Roman"/>
          <w:sz w:val="24"/>
          <w:szCs w:val="24"/>
        </w:rPr>
      </w:pPr>
    </w:p>
    <w:p w14:paraId="21E7CC1B" w14:textId="77777777" w:rsidR="00266C9C" w:rsidRPr="00ED2923" w:rsidRDefault="00266C9C" w:rsidP="00266C9C">
      <w:pPr>
        <w:spacing w:line="480" w:lineRule="auto"/>
        <w:rPr>
          <w:rFonts w:ascii="Times New Roman" w:hAnsi="Times New Roman" w:cs="Times New Roman"/>
          <w:sz w:val="24"/>
          <w:szCs w:val="24"/>
        </w:rPr>
      </w:pPr>
    </w:p>
    <w:p w14:paraId="548DE2DA" w14:textId="77777777" w:rsidR="00266C9C" w:rsidRPr="00ED2923" w:rsidRDefault="00266C9C" w:rsidP="00266C9C">
      <w:pPr>
        <w:spacing w:line="480" w:lineRule="auto"/>
        <w:rPr>
          <w:rFonts w:ascii="Times New Roman" w:hAnsi="Times New Roman" w:cs="Times New Roman"/>
          <w:sz w:val="24"/>
          <w:szCs w:val="24"/>
        </w:rPr>
      </w:pPr>
    </w:p>
    <w:p w14:paraId="6244A421" w14:textId="77777777" w:rsidR="00266C9C" w:rsidRPr="00ED2923" w:rsidRDefault="00266C9C" w:rsidP="00266C9C">
      <w:pPr>
        <w:spacing w:line="480" w:lineRule="auto"/>
        <w:rPr>
          <w:rFonts w:ascii="Times New Roman" w:hAnsi="Times New Roman" w:cs="Times New Roman"/>
          <w:sz w:val="24"/>
          <w:szCs w:val="24"/>
        </w:rPr>
      </w:pPr>
    </w:p>
    <w:p w14:paraId="7E596525" w14:textId="77777777" w:rsidR="00266C9C" w:rsidRPr="00ED2923" w:rsidRDefault="00266C9C" w:rsidP="00266C9C">
      <w:pPr>
        <w:spacing w:line="480" w:lineRule="auto"/>
        <w:rPr>
          <w:rFonts w:ascii="Times New Roman" w:hAnsi="Times New Roman" w:cs="Times New Roman"/>
          <w:sz w:val="24"/>
          <w:szCs w:val="24"/>
        </w:rPr>
      </w:pPr>
    </w:p>
    <w:p w14:paraId="468A3081" w14:textId="77777777" w:rsidR="00266C9C" w:rsidRPr="00ED2923" w:rsidRDefault="00266C9C" w:rsidP="00266C9C">
      <w:pPr>
        <w:spacing w:line="480" w:lineRule="auto"/>
        <w:rPr>
          <w:rFonts w:ascii="Times New Roman" w:hAnsi="Times New Roman" w:cs="Times New Roman"/>
          <w:sz w:val="24"/>
          <w:szCs w:val="24"/>
        </w:rPr>
      </w:pPr>
    </w:p>
    <w:p w14:paraId="3E73ACA4"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The redesign of the identification and support of learners with AL</w:t>
      </w:r>
      <w:r>
        <w:rPr>
          <w:rFonts w:ascii="Times New Roman" w:hAnsi="Times New Roman" w:cs="Times New Roman"/>
          <w:sz w:val="24"/>
          <w:szCs w:val="24"/>
        </w:rPr>
        <w:t>N</w:t>
      </w:r>
      <w:r w:rsidRPr="00ED2923">
        <w:rPr>
          <w:rFonts w:ascii="Times New Roman" w:hAnsi="Times New Roman" w:cs="Times New Roman"/>
          <w:sz w:val="24"/>
          <w:szCs w:val="24"/>
        </w:rPr>
        <w:t xml:space="preserve"> (Additional Learning Needs) has now been one of the most influential in recent decades in educational reform in Wales. The change in the Special Educational Needs (SEN) framework to the new ALN system demonstrates the Welsh Government in its effort to introduce a more equal approach, transparent and unified to the support of children and young people who experience barriers to learning. The core of the reform is the Additional Learning Needs and Education Tribunal (Wales) Act 2018, which aims to introduce a lean and efficient process that will enhance the cases of early intervention, better collaboration and increased consistency across the local authorities and learning institutions (Additional Learning Needs and Education Tribunal (Wales) Act 2018).</w:t>
      </w:r>
    </w:p>
    <w:p w14:paraId="76B2D901"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In this report, the author explores the objectives, functioning and effects of the ALN policy with focus on how it has been developed, implemented and received. The analysis takes into consideration the history and policy background, examines the frameworks which were behind the reform and analysis the progress of the reform using the prism of research, inspection evidence and media discourse. </w:t>
      </w:r>
    </w:p>
    <w:p w14:paraId="463BFBDE" w14:textId="77777777" w:rsidR="00266C9C" w:rsidRPr="00ED2923" w:rsidRDefault="00266C9C" w:rsidP="00266C9C">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 xml:space="preserve">Context </w:t>
      </w:r>
    </w:p>
    <w:p w14:paraId="063A3AE9"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shift between the framework of SEN and ALN came as a reaction to the general issue of inequality, the lack of consistency and delays in the discovery of the learners who needed another assistance. In the past, the SEN system was mainly based on statements of need which was mostly criticised on its bureaucratic nature and hard to access especially by the families living in the disadvantaged regions. Regional inspection revealed consistent problems with inconsistency in identifying practices and varying degrees of support in different regions, showing that provision was akin to a postcode lottery, and this </w:t>
      </w:r>
      <w:r w:rsidRPr="00ED2923">
        <w:rPr>
          <w:rFonts w:ascii="Times New Roman" w:hAnsi="Times New Roman" w:cs="Times New Roman"/>
          <w:sz w:val="24"/>
          <w:szCs w:val="24"/>
        </w:rPr>
        <w:lastRenderedPageBreak/>
        <w:t>disadvantaged many learners (Estyn, 2018). These inequalities inspired controversy and agitated policy makers to develop a framework that would provide equal access to aid.</w:t>
      </w:r>
    </w:p>
    <w:p w14:paraId="02F2A629"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 process of ALN reforms was long and had to be based on a comprehensive policy development with involvement of a long consultation with practitioners, families and local authorities. The Additional Learning Needs and Education Tribunal (Wales) Act 2018 was a major legislative move that necessitated a new form of approach that is based on Individual Development Plans (IDPs) and focusing on inclusion, early evaluation and increased inter-agency cooperation. The use of such principles in practice was then given statutory guidance in the ALN Code for Wales (Welsh Government, 2019).</w:t>
      </w:r>
    </w:p>
    <w:p w14:paraId="31DD182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 ALN changes were also influenced by the timing of the Welsh education reform agenda. Together with the reform of the curriculum, the Welsh government was interested in establishing a more coherent and learner-centred system that would facilitate the principle of education in everybody. The OECD reports supported the necessity to have transparent structures, robust system-wide governance and mechanisms that are responsive in the locality (OECD, 2021). Consequently, the ALN policy appeared not just as a reaction to old criticism, but also as the overall efforts of Wales to establish a progressive and fair system of education.</w:t>
      </w:r>
    </w:p>
    <w:p w14:paraId="09F3B4C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Some of the key stakeholders in ALN system are learners, parents, teachers, school leaders, local authorities, health boards, support services and national policymakers. All of them have their own unique interests: families expect to obtain access to support fairly; schools want to be guided and have manageable workloads, and government wants to provide a stable and affordable system. Capacity and workload have frequently been discussed by practitioners, and the necessity of continuing professional development and proper resource distribution has been highlighted (Davies and Thomas, 2021). Meanwhile, some researchers of inclusive education like Ainscow (2020) suggest that changes should go beyond the legislation to </w:t>
      </w:r>
      <w:r w:rsidRPr="00ED2923">
        <w:rPr>
          <w:rFonts w:ascii="Times New Roman" w:hAnsi="Times New Roman" w:cs="Times New Roman"/>
          <w:sz w:val="24"/>
          <w:szCs w:val="24"/>
        </w:rPr>
        <w:lastRenderedPageBreak/>
        <w:t>tackle more structural imbalances and make schools able to respond to the diverse learning needs.</w:t>
      </w:r>
    </w:p>
    <w:p w14:paraId="656A503D" w14:textId="77777777" w:rsidR="00266C9C" w:rsidRPr="00ED2923" w:rsidRDefault="00266C9C" w:rsidP="00266C9C">
      <w:pPr>
        <w:pStyle w:val="Caption"/>
        <w:keepNext/>
        <w:rPr>
          <w:rFonts w:ascii="Times New Roman" w:hAnsi="Times New Roman" w:cs="Times New Roman"/>
          <w:sz w:val="24"/>
          <w:szCs w:val="24"/>
        </w:rPr>
      </w:pPr>
      <w:r w:rsidRPr="00ED2923">
        <w:rPr>
          <w:rFonts w:ascii="Times New Roman" w:hAnsi="Times New Roman" w:cs="Times New Roman"/>
          <w:sz w:val="24"/>
          <w:szCs w:val="24"/>
        </w:rPr>
        <w:t xml:space="preserve">Table </w:t>
      </w:r>
      <w:r w:rsidRPr="00ED2923">
        <w:rPr>
          <w:rFonts w:ascii="Times New Roman" w:hAnsi="Times New Roman" w:cs="Times New Roman"/>
          <w:sz w:val="24"/>
          <w:szCs w:val="24"/>
        </w:rPr>
        <w:fldChar w:fldCharType="begin"/>
      </w:r>
      <w:r w:rsidRPr="00ED2923">
        <w:rPr>
          <w:rFonts w:ascii="Times New Roman" w:hAnsi="Times New Roman" w:cs="Times New Roman"/>
          <w:sz w:val="24"/>
          <w:szCs w:val="24"/>
        </w:rPr>
        <w:instrText xml:space="preserve"> SEQ Table \* ARABIC </w:instrText>
      </w:r>
      <w:r w:rsidRPr="00ED2923">
        <w:rPr>
          <w:rFonts w:ascii="Times New Roman" w:hAnsi="Times New Roman" w:cs="Times New Roman"/>
          <w:sz w:val="24"/>
          <w:szCs w:val="24"/>
        </w:rPr>
        <w:fldChar w:fldCharType="separate"/>
      </w:r>
      <w:r w:rsidRPr="00ED2923">
        <w:rPr>
          <w:rFonts w:ascii="Times New Roman" w:hAnsi="Times New Roman" w:cs="Times New Roman"/>
          <w:noProof/>
          <w:sz w:val="24"/>
          <w:szCs w:val="24"/>
        </w:rPr>
        <w:t>1</w:t>
      </w:r>
      <w:r w:rsidRPr="00ED2923">
        <w:rPr>
          <w:rFonts w:ascii="Times New Roman" w:hAnsi="Times New Roman" w:cs="Times New Roman"/>
          <w:sz w:val="24"/>
          <w:szCs w:val="24"/>
        </w:rPr>
        <w:fldChar w:fldCharType="end"/>
      </w:r>
      <w:r w:rsidRPr="00ED2923">
        <w:rPr>
          <w:rFonts w:ascii="Times New Roman" w:hAnsi="Times New Roman" w:cs="Times New Roman"/>
          <w:sz w:val="24"/>
          <w:szCs w:val="24"/>
        </w:rPr>
        <w:t>. Comparison of Policy vs Media Priorities</w:t>
      </w:r>
    </w:p>
    <w:tbl>
      <w:tblPr>
        <w:tblStyle w:val="TableGridLight"/>
        <w:tblW w:w="0" w:type="auto"/>
        <w:tblLook w:val="04A0" w:firstRow="1" w:lastRow="0" w:firstColumn="1" w:lastColumn="0" w:noHBand="0" w:noVBand="1"/>
      </w:tblPr>
      <w:tblGrid>
        <w:gridCol w:w="2058"/>
        <w:gridCol w:w="3071"/>
        <w:gridCol w:w="3887"/>
      </w:tblGrid>
      <w:tr w:rsidR="00266C9C" w:rsidRPr="00ED2923" w14:paraId="766FA074" w14:textId="77777777" w:rsidTr="00F55671">
        <w:tc>
          <w:tcPr>
            <w:tcW w:w="0" w:type="auto"/>
            <w:hideMark/>
          </w:tcPr>
          <w:p w14:paraId="3A95253A" w14:textId="77777777" w:rsidR="00266C9C" w:rsidRPr="00ED2923" w:rsidRDefault="00266C9C" w:rsidP="00F55671">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Theme</w:t>
            </w:r>
          </w:p>
        </w:tc>
        <w:tc>
          <w:tcPr>
            <w:tcW w:w="0" w:type="auto"/>
            <w:hideMark/>
          </w:tcPr>
          <w:p w14:paraId="06C1FF96" w14:textId="77777777" w:rsidR="00266C9C" w:rsidRPr="00ED2923" w:rsidRDefault="00266C9C" w:rsidP="00F55671">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Policy Documents Emphasis</w:t>
            </w:r>
          </w:p>
        </w:tc>
        <w:tc>
          <w:tcPr>
            <w:tcW w:w="0" w:type="auto"/>
            <w:hideMark/>
          </w:tcPr>
          <w:p w14:paraId="5B76C4FA" w14:textId="77777777" w:rsidR="00266C9C" w:rsidRPr="00ED2923" w:rsidRDefault="00266C9C" w:rsidP="00F55671">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Media Coverage Emphasis</w:t>
            </w:r>
          </w:p>
        </w:tc>
      </w:tr>
      <w:tr w:rsidR="00266C9C" w:rsidRPr="00ED2923" w14:paraId="7ABE2375" w14:textId="77777777" w:rsidTr="00F55671">
        <w:tc>
          <w:tcPr>
            <w:tcW w:w="0" w:type="auto"/>
            <w:hideMark/>
          </w:tcPr>
          <w:p w14:paraId="336B8916"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Problem Definition</w:t>
            </w:r>
          </w:p>
        </w:tc>
        <w:tc>
          <w:tcPr>
            <w:tcW w:w="0" w:type="auto"/>
            <w:hideMark/>
          </w:tcPr>
          <w:p w14:paraId="3F76F014"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Structural/systemic causes</w:t>
            </w:r>
          </w:p>
        </w:tc>
        <w:tc>
          <w:tcPr>
            <w:tcW w:w="0" w:type="auto"/>
            <w:hideMark/>
          </w:tcPr>
          <w:p w14:paraId="50E4F5FF"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Human-impact stories</w:t>
            </w:r>
          </w:p>
        </w:tc>
      </w:tr>
      <w:tr w:rsidR="00266C9C" w:rsidRPr="00ED2923" w14:paraId="619571BA" w14:textId="77777777" w:rsidTr="00F55671">
        <w:tc>
          <w:tcPr>
            <w:tcW w:w="0" w:type="auto"/>
            <w:hideMark/>
          </w:tcPr>
          <w:p w14:paraId="6B6327F4"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Responsibility</w:t>
            </w:r>
          </w:p>
        </w:tc>
        <w:tc>
          <w:tcPr>
            <w:tcW w:w="0" w:type="auto"/>
            <w:hideMark/>
          </w:tcPr>
          <w:p w14:paraId="56009D6C"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Government agencies</w:t>
            </w:r>
          </w:p>
        </w:tc>
        <w:tc>
          <w:tcPr>
            <w:tcW w:w="0" w:type="auto"/>
            <w:hideMark/>
          </w:tcPr>
          <w:p w14:paraId="70A413B8"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Politicians / institutions</w:t>
            </w:r>
          </w:p>
        </w:tc>
      </w:tr>
      <w:tr w:rsidR="00266C9C" w:rsidRPr="00ED2923" w14:paraId="773A6488" w14:textId="77777777" w:rsidTr="00F55671">
        <w:tc>
          <w:tcPr>
            <w:tcW w:w="0" w:type="auto"/>
            <w:hideMark/>
          </w:tcPr>
          <w:p w14:paraId="3D38DE63"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Solutions</w:t>
            </w:r>
          </w:p>
        </w:tc>
        <w:tc>
          <w:tcPr>
            <w:tcW w:w="0" w:type="auto"/>
            <w:hideMark/>
          </w:tcPr>
          <w:p w14:paraId="49B8526F"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Long-term reforms</w:t>
            </w:r>
          </w:p>
        </w:tc>
        <w:tc>
          <w:tcPr>
            <w:tcW w:w="0" w:type="auto"/>
            <w:hideMark/>
          </w:tcPr>
          <w:p w14:paraId="3F3F3754" w14:textId="77777777" w:rsidR="00266C9C" w:rsidRPr="00ED2923" w:rsidRDefault="00266C9C" w:rsidP="00F55671">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Immediate failures &amp; public frustration</w:t>
            </w:r>
          </w:p>
        </w:tc>
      </w:tr>
    </w:tbl>
    <w:p w14:paraId="162FBF81" w14:textId="77777777" w:rsidR="00266C9C" w:rsidRPr="00ED2923" w:rsidRDefault="00266C9C" w:rsidP="00266C9C">
      <w:pPr>
        <w:spacing w:line="480" w:lineRule="auto"/>
        <w:rPr>
          <w:rFonts w:ascii="Times New Roman" w:hAnsi="Times New Roman" w:cs="Times New Roman"/>
          <w:sz w:val="24"/>
          <w:szCs w:val="24"/>
        </w:rPr>
      </w:pPr>
    </w:p>
    <w:p w14:paraId="40D26259" w14:textId="77777777" w:rsidR="00266C9C" w:rsidRPr="00ED2923" w:rsidRDefault="00266C9C" w:rsidP="00266C9C">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 xml:space="preserve">Policy Analysis Framework </w:t>
      </w:r>
    </w:p>
    <w:p w14:paraId="6213C9CB"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This report is based on various conceptual frameworks </w:t>
      </w:r>
      <w:proofErr w:type="gramStart"/>
      <w:r w:rsidRPr="00ED2923">
        <w:rPr>
          <w:rFonts w:ascii="Times New Roman" w:hAnsi="Times New Roman" w:cs="Times New Roman"/>
          <w:sz w:val="24"/>
          <w:szCs w:val="24"/>
        </w:rPr>
        <w:t>in order to</w:t>
      </w:r>
      <w:proofErr w:type="gramEnd"/>
      <w:r w:rsidRPr="00ED2923">
        <w:rPr>
          <w:rFonts w:ascii="Times New Roman" w:hAnsi="Times New Roman" w:cs="Times New Roman"/>
          <w:sz w:val="24"/>
          <w:szCs w:val="24"/>
        </w:rPr>
        <w:t xml:space="preserve"> analyse the ALN reforms. The first is inclusive education focus which puts a lot of emphasis on equity, participation and elimination of barriers to learning. The article by Ainscow (2020) on the inclusive school improvement is especially topical, and the proposed idea of continuous collaboration and systemic work is the key to the sustainable change. Through this approach, the devotion of the ALN system to early intervention, the entire school responsibility and learner-based planning can be analysed.</w:t>
      </w:r>
    </w:p>
    <w:p w14:paraId="2C316C4E"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A second theory is the policy implementation theory that looks at how policies are influenced by local capacity, organisational culture and practitioner interpretation. Such an outlook is critical since the ALN reforms are based on practitioner judgement and collaborating across agencies. Davies and Thomas (2021) highlight that research highlights the disparity between </w:t>
      </w:r>
      <w:r w:rsidRPr="00ED2923">
        <w:rPr>
          <w:rFonts w:ascii="Times New Roman" w:hAnsi="Times New Roman" w:cs="Times New Roman"/>
          <w:sz w:val="24"/>
          <w:szCs w:val="24"/>
        </w:rPr>
        <w:lastRenderedPageBreak/>
        <w:t>what is desired in policy and what can be practically provided by schools without significant backing.</w:t>
      </w:r>
    </w:p>
    <w:p w14:paraId="7F14B3F7"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 third component of the analytical framework is the criteria used by OECD (2021) to measure the level of public trust and confidence in the education systems. These are transparency, coherence, stakeholder engagement and ability of reforms to show measurable improvements. Using these principles, it will be possible to conduct a systematic evaluation of the perception of the ALN reforms by professionals, families, and the general population.</w:t>
      </w:r>
    </w:p>
    <w:p w14:paraId="5848FD72"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In the analysis, such important terms as Additional Learning Needs, Individual Development Plans, inclusion, early intervention, and multi-agency collaboration are applied in reference to the definitions provided in the ALN Code (Welsh Government, 2019). </w:t>
      </w:r>
      <w:proofErr w:type="gramStart"/>
      <w:r w:rsidRPr="00ED2923">
        <w:rPr>
          <w:rFonts w:ascii="Times New Roman" w:hAnsi="Times New Roman" w:cs="Times New Roman"/>
          <w:sz w:val="24"/>
          <w:szCs w:val="24"/>
        </w:rPr>
        <w:t>Both of these</w:t>
      </w:r>
      <w:proofErr w:type="gramEnd"/>
      <w:r w:rsidRPr="00ED2923">
        <w:rPr>
          <w:rFonts w:ascii="Times New Roman" w:hAnsi="Times New Roman" w:cs="Times New Roman"/>
          <w:sz w:val="24"/>
          <w:szCs w:val="24"/>
        </w:rPr>
        <w:t xml:space="preserve"> structures and definitions, combined, allow conducting a systematic assessment of the ALN reforms, both in terms of their theoretical advantages and the difficulties they bring to reality.</w:t>
      </w:r>
    </w:p>
    <w:p w14:paraId="032FDBDB" w14:textId="77777777" w:rsidR="00266C9C" w:rsidRPr="00ED2923" w:rsidRDefault="00266C9C" w:rsidP="00266C9C">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Policy Goals and Objectives</w:t>
      </w:r>
    </w:p>
    <w:p w14:paraId="5E12011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ALN system establishes </w:t>
      </w:r>
      <w:proofErr w:type="gramStart"/>
      <w:r w:rsidRPr="00ED2923">
        <w:rPr>
          <w:rFonts w:ascii="Times New Roman" w:hAnsi="Times New Roman" w:cs="Times New Roman"/>
          <w:sz w:val="24"/>
          <w:szCs w:val="24"/>
        </w:rPr>
        <w:t>a number of</w:t>
      </w:r>
      <w:proofErr w:type="gramEnd"/>
      <w:r w:rsidRPr="00ED2923">
        <w:rPr>
          <w:rFonts w:ascii="Times New Roman" w:hAnsi="Times New Roman" w:cs="Times New Roman"/>
          <w:sz w:val="24"/>
          <w:szCs w:val="24"/>
        </w:rPr>
        <w:t xml:space="preserve"> general objectives. The main goal of it is to establish an integrated 0-25 system where all learners with additional needs can receive timely, person-centred support provided by one statutory plan the Individual Development Plan (IDP). One of the key purposes is to promote equity </w:t>
      </w:r>
      <w:proofErr w:type="gramStart"/>
      <w:r w:rsidRPr="00ED2923">
        <w:rPr>
          <w:rFonts w:ascii="Times New Roman" w:hAnsi="Times New Roman" w:cs="Times New Roman"/>
          <w:sz w:val="24"/>
          <w:szCs w:val="24"/>
        </w:rPr>
        <w:t>based on the fact that</w:t>
      </w:r>
      <w:proofErr w:type="gramEnd"/>
      <w:r w:rsidRPr="00ED2923">
        <w:rPr>
          <w:rFonts w:ascii="Times New Roman" w:hAnsi="Times New Roman" w:cs="Times New Roman"/>
          <w:sz w:val="24"/>
          <w:szCs w:val="24"/>
        </w:rPr>
        <w:t xml:space="preserve"> eligibility to support will not be determined by the choices of </w:t>
      </w:r>
      <w:proofErr w:type="gramStart"/>
      <w:r w:rsidRPr="00ED2923">
        <w:rPr>
          <w:rFonts w:ascii="Times New Roman" w:hAnsi="Times New Roman" w:cs="Times New Roman"/>
          <w:sz w:val="24"/>
          <w:szCs w:val="24"/>
        </w:rPr>
        <w:t>particular local</w:t>
      </w:r>
      <w:proofErr w:type="gramEnd"/>
      <w:r w:rsidRPr="00ED2923">
        <w:rPr>
          <w:rFonts w:ascii="Times New Roman" w:hAnsi="Times New Roman" w:cs="Times New Roman"/>
          <w:sz w:val="24"/>
          <w:szCs w:val="24"/>
        </w:rPr>
        <w:t xml:space="preserve"> authorities as it was in </w:t>
      </w:r>
      <w:proofErr w:type="gramStart"/>
      <w:r w:rsidRPr="00ED2923">
        <w:rPr>
          <w:rFonts w:ascii="Times New Roman" w:hAnsi="Times New Roman" w:cs="Times New Roman"/>
          <w:sz w:val="24"/>
          <w:szCs w:val="24"/>
        </w:rPr>
        <w:t>the majority of</w:t>
      </w:r>
      <w:proofErr w:type="gramEnd"/>
      <w:r w:rsidRPr="00ED2923">
        <w:rPr>
          <w:rFonts w:ascii="Times New Roman" w:hAnsi="Times New Roman" w:cs="Times New Roman"/>
          <w:sz w:val="24"/>
          <w:szCs w:val="24"/>
        </w:rPr>
        <w:t xml:space="preserve"> cases under the SEN system (Welsh Government, 2019).</w:t>
      </w:r>
    </w:p>
    <w:p w14:paraId="73C02FA9"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other important objective is the early identification and intervention </w:t>
      </w:r>
      <w:proofErr w:type="gramStart"/>
      <w:r w:rsidRPr="00ED2923">
        <w:rPr>
          <w:rFonts w:ascii="Times New Roman" w:hAnsi="Times New Roman" w:cs="Times New Roman"/>
          <w:sz w:val="24"/>
          <w:szCs w:val="24"/>
        </w:rPr>
        <w:t>in order to</w:t>
      </w:r>
      <w:proofErr w:type="gramEnd"/>
      <w:r w:rsidRPr="00ED2923">
        <w:rPr>
          <w:rFonts w:ascii="Times New Roman" w:hAnsi="Times New Roman" w:cs="Times New Roman"/>
          <w:sz w:val="24"/>
          <w:szCs w:val="24"/>
        </w:rPr>
        <w:t xml:space="preserve"> provide support early enough before it becomes reactive. Enhancing the coordination of education, health and social services is another objective of the Act as it is known that learners may need the services of more than one agency (Additional Learning Needs and Education Tribunal (Wales) Act 2018).</w:t>
      </w:r>
    </w:p>
    <w:p w14:paraId="2EF15D9B"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Although the objectives of the ALN system are usually coherent, there are certain tensions. As a case in point, the desire to offer an IDP to all learners with ALN will be a challenging goal to materialize unless the company invests heavily in human resources and development. As Davies and Thomas (2021) observe, conflicting priorities and scarcity of resources can hinder the consistent implementation, which introduces the possibility of a discrepancy between the ambition and the practical implementation of a policy.</w:t>
      </w:r>
      <w:r>
        <w:rPr>
          <w:rFonts w:ascii="Times New Roman" w:hAnsi="Times New Roman" w:cs="Times New Roman"/>
          <w:sz w:val="24"/>
          <w:szCs w:val="24"/>
        </w:rPr>
        <w:t xml:space="preserve"> </w:t>
      </w:r>
      <w:r w:rsidRPr="00BB1B08">
        <w:rPr>
          <w:rFonts w:ascii="Times New Roman" w:hAnsi="Times New Roman" w:cs="Times New Roman"/>
          <w:sz w:val="24"/>
          <w:szCs w:val="24"/>
        </w:rPr>
        <w:t>These tensions not only shape how the policy is enacted in practice but are also reflected in the language, framing, and priorities embedded within the policy text itself.</w:t>
      </w:r>
    </w:p>
    <w:p w14:paraId="7CA0DCD8"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b/>
          <w:bCs/>
          <w:sz w:val="24"/>
          <w:szCs w:val="24"/>
        </w:rPr>
        <w:t>Textual Features and Discursive Patterns in the Policy Document</w:t>
      </w:r>
    </w:p>
    <w:p w14:paraId="42454CFE"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Reform of Additional Learning Needs provision in Wales is inexplicable without considering the way the policy has been changing over time. In the past, the policy of special educational needs in Wales had a medical foundation, which focused on categorisation, assessment, and formal statements. This was very bureaucratic and </w:t>
      </w:r>
      <w:proofErr w:type="gramStart"/>
      <w:r w:rsidRPr="00ED2923">
        <w:rPr>
          <w:rFonts w:ascii="Times New Roman" w:hAnsi="Times New Roman" w:cs="Times New Roman"/>
          <w:sz w:val="24"/>
          <w:szCs w:val="24"/>
        </w:rPr>
        <w:t>time-consuming</w:t>
      </w:r>
      <w:proofErr w:type="gramEnd"/>
      <w:r w:rsidRPr="00ED2923">
        <w:rPr>
          <w:rFonts w:ascii="Times New Roman" w:hAnsi="Times New Roman" w:cs="Times New Roman"/>
          <w:sz w:val="24"/>
          <w:szCs w:val="24"/>
        </w:rPr>
        <w:t xml:space="preserve"> and this led to frustration by the families whose family would have to wait a long time to get an assessment or inconsistent decisions by the local authorities. The national reviews given by Estyn regularly revealed that the country had a great deal of disparity and one </w:t>
      </w:r>
      <w:proofErr w:type="gramStart"/>
      <w:r w:rsidRPr="00ED2923">
        <w:rPr>
          <w:rFonts w:ascii="Times New Roman" w:hAnsi="Times New Roman" w:cs="Times New Roman"/>
          <w:sz w:val="24"/>
          <w:szCs w:val="24"/>
        </w:rPr>
        <w:t>particular learner</w:t>
      </w:r>
      <w:proofErr w:type="gramEnd"/>
      <w:r w:rsidRPr="00ED2923">
        <w:rPr>
          <w:rFonts w:ascii="Times New Roman" w:hAnsi="Times New Roman" w:cs="Times New Roman"/>
          <w:sz w:val="24"/>
          <w:szCs w:val="24"/>
        </w:rPr>
        <w:t xml:space="preserve"> in a local authority was not necessarily treated in the same way as comparable learners in another local authority (Estyn, 2018). This enduring discrepancy was one of the most powerful change impetuses as it made the policymakers realize that the old model was out of use.</w:t>
      </w:r>
    </w:p>
    <w:p w14:paraId="77A79625"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ALN reforms attempted to surmount this tradition by introducing a more rights based and inclusion centred system. The single statutory plan, which was called the Individual Development Plan, was supposed to eliminate the hierarchy of statements, School Action and School Action Plus, and establish a single mechanism of identification and support of needs. This simplification was done to facilitate more transparency to the families and minimize on </w:t>
      </w:r>
      <w:r w:rsidRPr="00ED2923">
        <w:rPr>
          <w:rFonts w:ascii="Times New Roman" w:hAnsi="Times New Roman" w:cs="Times New Roman"/>
          <w:sz w:val="24"/>
          <w:szCs w:val="24"/>
        </w:rPr>
        <w:lastRenderedPageBreak/>
        <w:t>administrative pressures on schools. The Welsh Government would position the reform as a modernisation that is needed in line with the international expectations of inclusive education, and it reflects the broader trends elsewhere in Europe to unify services and thereby provide more individualised service (Welsh Government, 2019).</w:t>
      </w:r>
    </w:p>
    <w:p w14:paraId="7337FC87"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 OECD (2021) offers more insight into the requirements of countries aiming to reform other support systems: the transparency of governance, as well as high public trust, are essential. This is especially applicable in Welsh example, because the change in ALN is consistent with other national changes, including new Curriculum for Wales. The reform story that was being marketed to the community was about fairness, transparency and early intervention- ideals that are generally shared by parents, teachers and advocacy groups. Yet, it is arguable to what degree these objectives have been achieved.</w:t>
      </w:r>
    </w:p>
    <w:p w14:paraId="45DFC73F"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Establishment and maintenance of the confidence of the population is a vital aspect of the reform. OECD (2021) underscores the premise that the trust in an education system should rely on transparent communication, apparent improvement, and the view that changes can be made and they can be long-lasting. In the case of the ALN system, communication has been an asset and a weakness. On the one hand, the Welsh Government spent on the creation of public awareness, training materials, and the events of the stakeholder engagement. Conversely, speculation has been raised on expectations in most schools especially on the time and expertise needed in the production of high-quality IDPs (Estyn, 2022). </w:t>
      </w:r>
    </w:p>
    <w:p w14:paraId="34EB8DA2"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perceptions of people were also influenced by media representations of the ALN reform. Local and national news media tend to focus on the issues expressed by families who believe that the system is still hard to </w:t>
      </w:r>
      <w:proofErr w:type="spellStart"/>
      <w:r w:rsidRPr="00ED2923">
        <w:rPr>
          <w:rFonts w:ascii="Times New Roman" w:hAnsi="Times New Roman" w:cs="Times New Roman"/>
          <w:sz w:val="24"/>
          <w:szCs w:val="24"/>
        </w:rPr>
        <w:t>maneuver</w:t>
      </w:r>
      <w:proofErr w:type="spellEnd"/>
      <w:r w:rsidRPr="00ED2923">
        <w:rPr>
          <w:rFonts w:ascii="Times New Roman" w:hAnsi="Times New Roman" w:cs="Times New Roman"/>
          <w:sz w:val="24"/>
          <w:szCs w:val="24"/>
        </w:rPr>
        <w:t xml:space="preserve">, particularly when dealing with complicated or </w:t>
      </w:r>
      <w:proofErr w:type="gramStart"/>
      <w:r w:rsidRPr="00ED2923">
        <w:rPr>
          <w:rFonts w:ascii="Times New Roman" w:hAnsi="Times New Roman" w:cs="Times New Roman"/>
          <w:sz w:val="24"/>
          <w:szCs w:val="24"/>
        </w:rPr>
        <w:t>medically-related</w:t>
      </w:r>
      <w:proofErr w:type="gramEnd"/>
      <w:r w:rsidRPr="00ED2923">
        <w:rPr>
          <w:rFonts w:ascii="Times New Roman" w:hAnsi="Times New Roman" w:cs="Times New Roman"/>
          <w:sz w:val="24"/>
          <w:szCs w:val="24"/>
        </w:rPr>
        <w:t xml:space="preserve"> needs (Evans and Vincent, 2019). But more visibly critical coverage is more likely to be about resource constraints, slowness of evaluations or even inability of local </w:t>
      </w:r>
      <w:r w:rsidRPr="00ED2923">
        <w:rPr>
          <w:rFonts w:ascii="Times New Roman" w:hAnsi="Times New Roman" w:cs="Times New Roman"/>
          <w:sz w:val="24"/>
          <w:szCs w:val="24"/>
        </w:rPr>
        <w:lastRenderedPageBreak/>
        <w:t xml:space="preserve">governments to provide the betterments they promised with the legislation. These opposing accounts are indicative of the transformational essence of the reform as some stakeholders get to enjoy the fruits of the reform whereas others face strains that are pegged on the issue of capacity limitations (Davies and Thomas, 2021). </w:t>
      </w:r>
    </w:p>
    <w:p w14:paraId="4BA56035"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Critical insights on the ALN system are also found in the academic literature on the system. Ainscow (2020) believes that it is not sufficient to promote inclusive education with the help of policy change; rather, the improvement should be integrated into the school culture based on collaboration and reflective practice. This point of view is useful in that one of the points that the ALN model offers is that schools will have more responsibility in terms of identifying and fulfilling the needs-a requirement that would take a lot of professional confidence and training. Research has also demonstrated time and again that teachers should be afforded continuous chances to maximize on their competencies and formulate workable interventions that would ensure inclusion is not a vain pursuit (Hick and Thomas, 2008). Unless policy intentions are adequately invested in professional learning, they are prone to be interpreted in an uneven or shallow way, thus creating uneven results.</w:t>
      </w:r>
    </w:p>
    <w:p w14:paraId="2268C1B9"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other theme that is shared by the academic commentary is that of workload. As the introduction of IDPs allows serving a broader group of learners than the previous experience of statements, the schools need to find time to review plans, meet with families during meetings and keep relevant records. Although the ALN code promotes the person-centred approach, such a method may be time-consuming when applied regularly. The studies indicate that the vision of holistic and learner-centred planning may not be easily maintained without the necessary staffing or modification of the teacher workload (Davies and Thomas, 2021). </w:t>
      </w:r>
    </w:p>
    <w:p w14:paraId="27DCA256"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 xml:space="preserve">The second point of controversy is the place of multi-agency working. The ALN system focuses on the relevance of collaboration between education, health and social services, as it reflects the understanding that the needs of the children are often not limited to any of the domains. Nevertheless, it is complicated to have actual collaboration. Health services commonly exist with varying governance models and funding models, and this results in difficulty in the alignment of priorities and schedules (Terzi, 2014). Families report that there is often disproportional communication between sectors and that some schools have the difficulty of getting timely input of health professionals (Estyn, 2022). </w:t>
      </w:r>
    </w:p>
    <w:p w14:paraId="564C85B2"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Even with these challenges, there are also strengths with the ALN reforms. The transition to a 0-25 system prolongs the support during further education, which otherwise has presented a major gap in the SEN framework since it has not been guaranteed to offer longer-term support beyond schools. Such continuity is especially significant to learners who have developmental issues or long-term health conditions that might necessitate continuous modifications (Florian, 2014). The extended range of age has been embraced by schools and </w:t>
      </w:r>
      <w:proofErr w:type="gramStart"/>
      <w:r w:rsidRPr="00ED2923">
        <w:rPr>
          <w:rFonts w:ascii="Times New Roman" w:hAnsi="Times New Roman" w:cs="Times New Roman"/>
          <w:sz w:val="24"/>
          <w:szCs w:val="24"/>
        </w:rPr>
        <w:t>colleges</w:t>
      </w:r>
      <w:proofErr w:type="gramEnd"/>
      <w:r w:rsidRPr="00ED2923">
        <w:rPr>
          <w:rFonts w:ascii="Times New Roman" w:hAnsi="Times New Roman" w:cs="Times New Roman"/>
          <w:sz w:val="24"/>
          <w:szCs w:val="24"/>
        </w:rPr>
        <w:t xml:space="preserve"> but they are aware that the post 16 environments demand extra funding and education </w:t>
      </w:r>
      <w:proofErr w:type="gramStart"/>
      <w:r w:rsidRPr="00ED2923">
        <w:rPr>
          <w:rFonts w:ascii="Times New Roman" w:hAnsi="Times New Roman" w:cs="Times New Roman"/>
          <w:sz w:val="24"/>
          <w:szCs w:val="24"/>
        </w:rPr>
        <w:t>in order to</w:t>
      </w:r>
      <w:proofErr w:type="gramEnd"/>
      <w:r w:rsidRPr="00ED2923">
        <w:rPr>
          <w:rFonts w:ascii="Times New Roman" w:hAnsi="Times New Roman" w:cs="Times New Roman"/>
          <w:sz w:val="24"/>
          <w:szCs w:val="24"/>
        </w:rPr>
        <w:t xml:space="preserve"> handle the extra burden.</w:t>
      </w:r>
    </w:p>
    <w:p w14:paraId="50B1F04E"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Another beneficial aspect about the new system is the focus on early intervention. Studies always demonstrate that needs can be proactively addressed at an early age and stage to prevent the spiral and enhance educational outcomes in the long term (Slee, 2018). The early assessment requirement in the ALN Act facilitates proactive identification, but practitioners observe that this can only be achieved when schools have an adequate specialist contribution and can deal with manageable caseloads. Effectiveness of early intervention thus relies intensely on the regional capacity and harmonized networks of support.</w:t>
      </w:r>
      <w:r>
        <w:rPr>
          <w:rFonts w:ascii="Times New Roman" w:hAnsi="Times New Roman" w:cs="Times New Roman"/>
          <w:sz w:val="24"/>
          <w:szCs w:val="24"/>
        </w:rPr>
        <w:t xml:space="preserve"> </w:t>
      </w:r>
      <w:r w:rsidRPr="00BB1B08">
        <w:rPr>
          <w:rFonts w:ascii="Times New Roman" w:hAnsi="Times New Roman" w:cs="Times New Roman"/>
          <w:sz w:val="24"/>
          <w:szCs w:val="24"/>
        </w:rPr>
        <w:t>These practical constraints surrounding early intervention point directly to the wider implementation challenges that continue to limit the system’s effectiveness.</w:t>
      </w:r>
    </w:p>
    <w:p w14:paraId="555CB6BA" w14:textId="77777777" w:rsidR="00266C9C" w:rsidRPr="00ED2923" w:rsidRDefault="00266C9C" w:rsidP="00266C9C">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lastRenderedPageBreak/>
        <w:t>Challenges in the Implementation Process of the Policy</w:t>
      </w:r>
    </w:p>
    <w:p w14:paraId="60DAE7F8"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ALN reforms have been implemented in a gradual manner </w:t>
      </w:r>
      <w:proofErr w:type="gramStart"/>
      <w:r w:rsidRPr="00ED2923">
        <w:rPr>
          <w:rFonts w:ascii="Times New Roman" w:hAnsi="Times New Roman" w:cs="Times New Roman"/>
          <w:sz w:val="24"/>
          <w:szCs w:val="24"/>
        </w:rPr>
        <w:t>based on the fact that</w:t>
      </w:r>
      <w:proofErr w:type="gramEnd"/>
      <w:r w:rsidRPr="00ED2923">
        <w:rPr>
          <w:rFonts w:ascii="Times New Roman" w:hAnsi="Times New Roman" w:cs="Times New Roman"/>
          <w:sz w:val="24"/>
          <w:szCs w:val="24"/>
        </w:rPr>
        <w:t xml:space="preserve"> change needed in the education system is of a large scale and a complicated issue. Schools, local authorities and higher education were provided with a transition period over several years to shift to the new ALN framework out of the SEN framework. This protracted schedule recognised that a move to a rights-based model needs to be accompanied with major changes in the process of staffing, training and organisational processes.</w:t>
      </w:r>
    </w:p>
    <w:p w14:paraId="4901EC3C"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As a matter of fact, this has been inconsistent in implementation in some of the local authorities in Wales with some making faster progress than others. The inspection evidence provided by Estyn shows that some of the areas have well-organized leadership and a clear strategic plan on board, and others cannot cope with staffing issues, lack </w:t>
      </w:r>
      <w:proofErr w:type="gramStart"/>
      <w:r w:rsidRPr="00ED2923">
        <w:rPr>
          <w:rFonts w:ascii="Times New Roman" w:hAnsi="Times New Roman" w:cs="Times New Roman"/>
          <w:sz w:val="24"/>
          <w:szCs w:val="24"/>
        </w:rPr>
        <w:t>specialists</w:t>
      </w:r>
      <w:proofErr w:type="gramEnd"/>
      <w:r w:rsidRPr="00ED2923">
        <w:rPr>
          <w:rFonts w:ascii="Times New Roman" w:hAnsi="Times New Roman" w:cs="Times New Roman"/>
          <w:sz w:val="24"/>
          <w:szCs w:val="24"/>
        </w:rPr>
        <w:t xml:space="preserve"> services, and have been underinvested (Estyn, 2022). These disparities have resulted in a variation in the effectiveness with which schools can generate IDPs, reach out to the family and liaise with other agencies.</w:t>
      </w:r>
    </w:p>
    <w:p w14:paraId="69D09D26"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workforce capacity is one of the major challenges. The production and evaluation of IDPs need experienced personnel with knowledge of the needs of the learners and </w:t>
      </w:r>
      <w:proofErr w:type="gramStart"/>
      <w:r w:rsidRPr="00ED2923">
        <w:rPr>
          <w:rFonts w:ascii="Times New Roman" w:hAnsi="Times New Roman" w:cs="Times New Roman"/>
          <w:sz w:val="24"/>
          <w:szCs w:val="24"/>
        </w:rPr>
        <w:t>are able to</w:t>
      </w:r>
      <w:proofErr w:type="gramEnd"/>
      <w:r w:rsidRPr="00ED2923">
        <w:rPr>
          <w:rFonts w:ascii="Times New Roman" w:hAnsi="Times New Roman" w:cs="Times New Roman"/>
          <w:sz w:val="24"/>
          <w:szCs w:val="24"/>
        </w:rPr>
        <w:t xml:space="preserve"> collaborate with families. Most of the schools complain that they do not have adequate Additional Learning Needs Coordinators (ALNCOs) or specialist teachers to cope with the system requirements. The number of cases that ALNCOs handle is usually enormous, and they have little time to be strategic leaders or develop professionally. Davies and Thomas (2021) believe that any reform based on the leadership at the school level should be made in a way that the staff is sufficiently supported, they can otherwise place the responsibility on the individual practitioners unjustly.</w:t>
      </w:r>
    </w:p>
    <w:p w14:paraId="0329B577"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 xml:space="preserve">Another important implementation issue is multi-agency work. The ALN Act imposes new responsibilities on health services, where they are obligated to look at the role that their support plays in the IDP process. Health boards have been pledging to the </w:t>
      </w:r>
      <w:proofErr w:type="gramStart"/>
      <w:r w:rsidRPr="00ED2923">
        <w:rPr>
          <w:rFonts w:ascii="Times New Roman" w:hAnsi="Times New Roman" w:cs="Times New Roman"/>
          <w:sz w:val="24"/>
          <w:szCs w:val="24"/>
        </w:rPr>
        <w:t>principle, but</w:t>
      </w:r>
      <w:proofErr w:type="gramEnd"/>
      <w:r w:rsidRPr="00ED2923">
        <w:rPr>
          <w:rFonts w:ascii="Times New Roman" w:hAnsi="Times New Roman" w:cs="Times New Roman"/>
          <w:sz w:val="24"/>
          <w:szCs w:val="24"/>
        </w:rPr>
        <w:t xml:space="preserve"> still have operational challenges. Coordination can be sluggish or unreliable because of dissimilar data systems, resource limitations and unpredictable communication mediums. In some cases, families complain of inability to obtain assessments or other health-related contributions to IDPs in a timely manner and become frustrated and confused. Even though the Welsh Government foresaw such challenges </w:t>
      </w:r>
      <w:proofErr w:type="gramStart"/>
      <w:r w:rsidRPr="00ED2923">
        <w:rPr>
          <w:rFonts w:ascii="Times New Roman" w:hAnsi="Times New Roman" w:cs="Times New Roman"/>
          <w:sz w:val="24"/>
          <w:szCs w:val="24"/>
        </w:rPr>
        <w:t>and also</w:t>
      </w:r>
      <w:proofErr w:type="gramEnd"/>
      <w:r w:rsidRPr="00ED2923">
        <w:rPr>
          <w:rFonts w:ascii="Times New Roman" w:hAnsi="Times New Roman" w:cs="Times New Roman"/>
          <w:sz w:val="24"/>
          <w:szCs w:val="24"/>
        </w:rPr>
        <w:t xml:space="preserve"> outlined expectations in its transformation programme (Welsh Government, 2021), the pace at which this has been occurring has not been uniform.</w:t>
      </w:r>
      <w:r w:rsidRPr="00ED2923">
        <w:rPr>
          <w:rFonts w:ascii="Times New Roman" w:hAnsi="Times New Roman" w:cs="Times New Roman"/>
          <w:sz w:val="24"/>
          <w:szCs w:val="24"/>
        </w:rPr>
        <w:tab/>
      </w:r>
    </w:p>
    <w:p w14:paraId="722356F7"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Another impediment is associated with finances. Any form of implementing a system that increases rights and broadens the eligibility is bound to be costly. Educational psychologists, speech and language therapists or behavioural support teams are services that schools often mention that they need access to, although their accessibility in different parts of the country varies significantly. This discrepancy between some expectations and resources may be a hindrance to the creation of strong IDPs, in addition to the inability of schools to provide comprehensive assistance. According to Estyn (2022), some local authorities have been strategic in providing specialists, but it is difficult to serve the demand.</w:t>
      </w:r>
    </w:p>
    <w:p w14:paraId="50CC3F89" w14:textId="77777777" w:rsidR="00266C9C" w:rsidRPr="00ED2923" w:rsidRDefault="00266C9C" w:rsidP="00266C9C">
      <w:pPr>
        <w:spacing w:line="480" w:lineRule="auto"/>
        <w:rPr>
          <w:rFonts w:ascii="Times New Roman" w:hAnsi="Times New Roman" w:cs="Times New Roman"/>
          <w:sz w:val="24"/>
          <w:szCs w:val="24"/>
        </w:rPr>
      </w:pPr>
      <w:proofErr w:type="gramStart"/>
      <w:r w:rsidRPr="00ED2923">
        <w:rPr>
          <w:rFonts w:ascii="Times New Roman" w:hAnsi="Times New Roman" w:cs="Times New Roman"/>
          <w:sz w:val="24"/>
          <w:szCs w:val="24"/>
        </w:rPr>
        <w:t>In spite of</w:t>
      </w:r>
      <w:proofErr w:type="gramEnd"/>
      <w:r w:rsidRPr="00ED2923">
        <w:rPr>
          <w:rFonts w:ascii="Times New Roman" w:hAnsi="Times New Roman" w:cs="Times New Roman"/>
          <w:sz w:val="24"/>
          <w:szCs w:val="24"/>
        </w:rPr>
        <w:t xml:space="preserve"> these challenges, there have been </w:t>
      </w:r>
      <w:proofErr w:type="gramStart"/>
      <w:r w:rsidRPr="00ED2923">
        <w:rPr>
          <w:rFonts w:ascii="Times New Roman" w:hAnsi="Times New Roman" w:cs="Times New Roman"/>
          <w:sz w:val="24"/>
          <w:szCs w:val="24"/>
        </w:rPr>
        <w:t>a number of</w:t>
      </w:r>
      <w:proofErr w:type="gramEnd"/>
      <w:r w:rsidRPr="00ED2923">
        <w:rPr>
          <w:rFonts w:ascii="Times New Roman" w:hAnsi="Times New Roman" w:cs="Times New Roman"/>
          <w:sz w:val="24"/>
          <w:szCs w:val="24"/>
        </w:rPr>
        <w:t xml:space="preserve"> strengths that have been experienced in the implementation process. According to many practitioners, the person-centred approach that the ALN system revolves around has enabled better conversations between families and schools. The voices of learners are more eminent in discussions of planning and schools are always embracing the idea of reflective programs that </w:t>
      </w:r>
      <w:proofErr w:type="gramStart"/>
      <w:r w:rsidRPr="00ED2923">
        <w:rPr>
          <w:rFonts w:ascii="Times New Roman" w:hAnsi="Times New Roman" w:cs="Times New Roman"/>
          <w:sz w:val="24"/>
          <w:szCs w:val="24"/>
        </w:rPr>
        <w:t>take into account</w:t>
      </w:r>
      <w:proofErr w:type="gramEnd"/>
      <w:r w:rsidRPr="00ED2923">
        <w:rPr>
          <w:rFonts w:ascii="Times New Roman" w:hAnsi="Times New Roman" w:cs="Times New Roman"/>
          <w:sz w:val="24"/>
          <w:szCs w:val="24"/>
        </w:rPr>
        <w:t xml:space="preserve"> the strengths of individuals as well as needs. This cultural change is in line with principals of inclusive education and is regarded as a positive impact of reform.</w:t>
      </w:r>
    </w:p>
    <w:p w14:paraId="46AE5AA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Also, the 0-25 age gap has been extended thus improving continuity of support of those students who are transitioning to higher education. To determine ALN and develop IDPs, colleges have devised new methods, though they observe that in practice, schools must be able to share information effectively. The convergence between the school and college models has been getting better over time, yet there has been a problem of balancing the needs of the learners to be met uniformly across all the environments (Norwich, 2014).</w:t>
      </w:r>
    </w:p>
    <w:p w14:paraId="29D8005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implementation is gradual, which complicates the assessment of the results of the ALN reforms. There has been early evidence that although things have begun to improve in certain aspects such as more transparent decision-making and more learner involvement, the system is yet to attain the level of consistency as was initially envisioned. The local disparity between authorities continues to exist especially </w:t>
      </w:r>
      <w:proofErr w:type="gramStart"/>
      <w:r w:rsidRPr="00ED2923">
        <w:rPr>
          <w:rFonts w:ascii="Times New Roman" w:hAnsi="Times New Roman" w:cs="Times New Roman"/>
          <w:sz w:val="24"/>
          <w:szCs w:val="24"/>
        </w:rPr>
        <w:t>with regard to</w:t>
      </w:r>
      <w:proofErr w:type="gramEnd"/>
      <w:r w:rsidRPr="00ED2923">
        <w:rPr>
          <w:rFonts w:ascii="Times New Roman" w:hAnsi="Times New Roman" w:cs="Times New Roman"/>
          <w:sz w:val="24"/>
          <w:szCs w:val="24"/>
        </w:rPr>
        <w:t xml:space="preserve"> access of specialist services and schedules in developing IDPs. Such imbalance replicates the already existing disparities and represents the wider strains on the public services (Hodkinson, 2022).</w:t>
      </w:r>
    </w:p>
    <w:p w14:paraId="5E913336"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There have also appeared unintended consequences. Other schools have cited that the task of generating IDPs to serve a larger number of learners has caused workload pressures which decreases time needed for teaching or other duties. In different instances, families feel that there are delays in the development of IDP because of the handling of large caseloads in schools, which may adversely affect relationships and trust. Cases of families that believe the system has not been able to deliver promised improvements are occasionally mentioned in the media, which supports the capacity concerns (</w:t>
      </w:r>
      <w:proofErr w:type="spellStart"/>
      <w:r w:rsidRPr="00ED2923">
        <w:rPr>
          <w:rFonts w:ascii="Times New Roman" w:hAnsi="Times New Roman" w:cs="Times New Roman"/>
          <w:sz w:val="24"/>
          <w:szCs w:val="24"/>
        </w:rPr>
        <w:t>Gorard</w:t>
      </w:r>
      <w:proofErr w:type="spellEnd"/>
      <w:r w:rsidRPr="00ED2923">
        <w:rPr>
          <w:rFonts w:ascii="Times New Roman" w:hAnsi="Times New Roman" w:cs="Times New Roman"/>
          <w:sz w:val="24"/>
          <w:szCs w:val="24"/>
        </w:rPr>
        <w:t>, See, and Siddiqui, 2017).</w:t>
      </w:r>
    </w:p>
    <w:p w14:paraId="03668E44"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However, the principles supporting the ALN reforms are still popular. There is general agreement among the practitioners, the researchers and the policymakers that the system can help resolve the long-standing issues and help in achieving a more equitable support. The dilemma is how to make sure that the resources, training, and inter-agency structures which </w:t>
      </w:r>
      <w:r w:rsidRPr="00ED2923">
        <w:rPr>
          <w:rFonts w:ascii="Times New Roman" w:hAnsi="Times New Roman" w:cs="Times New Roman"/>
          <w:sz w:val="24"/>
          <w:szCs w:val="24"/>
        </w:rPr>
        <w:lastRenderedPageBreak/>
        <w:t xml:space="preserve">would be needed in making the implementation successful are completely in place. The absence of these factors is a threat that the aspirations of the Act can be realised partially. </w:t>
      </w:r>
      <w:r w:rsidRPr="00BB1B08">
        <w:rPr>
          <w:rFonts w:ascii="Times New Roman" w:hAnsi="Times New Roman" w:cs="Times New Roman"/>
          <w:sz w:val="24"/>
          <w:szCs w:val="24"/>
        </w:rPr>
        <w:t>These implementation gaps therefore provide a crucial foundation for developing targeted recommendations that address both the structural and practical barriers identified.</w:t>
      </w:r>
    </w:p>
    <w:p w14:paraId="106C6C8C" w14:textId="77777777" w:rsidR="00266C9C" w:rsidRPr="00ED2923" w:rsidRDefault="00266C9C" w:rsidP="00266C9C">
      <w:pPr>
        <w:spacing w:line="480" w:lineRule="auto"/>
        <w:rPr>
          <w:rFonts w:ascii="Times New Roman" w:hAnsi="Times New Roman" w:cs="Times New Roman"/>
          <w:b/>
          <w:sz w:val="24"/>
          <w:szCs w:val="24"/>
        </w:rPr>
      </w:pPr>
      <w:r w:rsidRPr="00ED2923">
        <w:rPr>
          <w:rFonts w:ascii="Times New Roman" w:hAnsi="Times New Roman" w:cs="Times New Roman"/>
          <w:b/>
          <w:sz w:val="24"/>
          <w:szCs w:val="24"/>
        </w:rPr>
        <w:t xml:space="preserve">Recommendations </w:t>
      </w:r>
    </w:p>
    <w:p w14:paraId="2A8CDFEC"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According to the assessment, the ALN system can be fortified through </w:t>
      </w:r>
      <w:proofErr w:type="gramStart"/>
      <w:r w:rsidRPr="00ED2923">
        <w:rPr>
          <w:rFonts w:ascii="Times New Roman" w:hAnsi="Times New Roman" w:cs="Times New Roman"/>
          <w:sz w:val="24"/>
          <w:szCs w:val="24"/>
        </w:rPr>
        <w:t>a number of</w:t>
      </w:r>
      <w:proofErr w:type="gramEnd"/>
      <w:r w:rsidRPr="00ED2923">
        <w:rPr>
          <w:rFonts w:ascii="Times New Roman" w:hAnsi="Times New Roman" w:cs="Times New Roman"/>
          <w:sz w:val="24"/>
          <w:szCs w:val="24"/>
        </w:rPr>
        <w:t xml:space="preserve"> measures that can enhance its sustainability in the long-term perspective. On the one hand, it is necessary to continue to invest in the development of the workforce. This involves increasing the number of ALNCOs, more guaranteed time on their strategic duties and high-quality professional learning amongst the teachers. Qualified personnel play the key role in the provision of strong IDPs and the consistency in the settings (Farrell, 2017).</w:t>
      </w:r>
    </w:p>
    <w:p w14:paraId="797728E3"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Second, there is a need to enhance the working of multi-agencies. Defining more precise communication guidelines between education, health and social services may minimize the time loss and enhance the consistency of support planning. Electronic networks or standardised referral procedures can assist in facilitating cooperation and make sure that input to IDPs is prompt and valuable (Hick &amp; Thomas, 2008).</w:t>
      </w:r>
    </w:p>
    <w:p w14:paraId="6B688998"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Thirdly, local government and the Welsh Government ought to solve the imbalance in resources that lead to unequal provision. Funding of under-resourced areas, enhancing access to specialist services and investing in early intervention programmes strategically would contribute to developing a less unequal system (</w:t>
      </w:r>
      <w:proofErr w:type="spellStart"/>
      <w:r w:rsidRPr="00ED2923">
        <w:rPr>
          <w:rFonts w:ascii="Times New Roman" w:hAnsi="Times New Roman" w:cs="Times New Roman"/>
          <w:sz w:val="24"/>
          <w:szCs w:val="24"/>
        </w:rPr>
        <w:t>Gorard</w:t>
      </w:r>
      <w:proofErr w:type="spellEnd"/>
      <w:r w:rsidRPr="00ED2923">
        <w:rPr>
          <w:rFonts w:ascii="Times New Roman" w:hAnsi="Times New Roman" w:cs="Times New Roman"/>
          <w:sz w:val="24"/>
          <w:szCs w:val="24"/>
        </w:rPr>
        <w:t>, See, &amp; Siddiqui, 2017).</w:t>
      </w:r>
    </w:p>
    <w:p w14:paraId="24737319"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Lastly, it will be important to reinforce accountability and monitoring systems to ensure the confidence of the people. Reporting on the implementation progress regularly, including the information on regional consistency and learner outcomes, would enhance transparency and inform the decision-making process. The success of the ALN reforms is pegged on long term </w:t>
      </w:r>
      <w:r w:rsidRPr="00ED2923">
        <w:rPr>
          <w:rFonts w:ascii="Times New Roman" w:hAnsi="Times New Roman" w:cs="Times New Roman"/>
          <w:sz w:val="24"/>
          <w:szCs w:val="24"/>
        </w:rPr>
        <w:lastRenderedPageBreak/>
        <w:t xml:space="preserve">commitment, proper resource allocation and responsive leadership in all levels of education system (Armstrong, Armstrong, and </w:t>
      </w:r>
      <w:proofErr w:type="spellStart"/>
      <w:r w:rsidRPr="00ED2923">
        <w:rPr>
          <w:rFonts w:ascii="Times New Roman" w:hAnsi="Times New Roman" w:cs="Times New Roman"/>
          <w:sz w:val="24"/>
          <w:szCs w:val="24"/>
        </w:rPr>
        <w:t>Spandagou</w:t>
      </w:r>
      <w:proofErr w:type="spellEnd"/>
      <w:r w:rsidRPr="00ED2923">
        <w:rPr>
          <w:rFonts w:ascii="Times New Roman" w:hAnsi="Times New Roman" w:cs="Times New Roman"/>
          <w:sz w:val="24"/>
          <w:szCs w:val="24"/>
        </w:rPr>
        <w:t xml:space="preserve">, 2011). </w:t>
      </w:r>
    </w:p>
    <w:p w14:paraId="7C1348B1"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Policy → Resource Allocation → Institutional Capacity → Local Implementation → Community Response</w:t>
      </w:r>
    </w:p>
    <w:p w14:paraId="0AD89A80" w14:textId="77777777" w:rsidR="00266C9C" w:rsidRPr="00ED2923" w:rsidRDefault="00266C9C" w:rsidP="00266C9C">
      <w:pPr>
        <w:keepNext/>
        <w:spacing w:line="480" w:lineRule="auto"/>
        <w:rPr>
          <w:rFonts w:ascii="Times New Roman" w:hAnsi="Times New Roman" w:cs="Times New Roman"/>
          <w:sz w:val="24"/>
          <w:szCs w:val="24"/>
        </w:rPr>
      </w:pPr>
      <w:r w:rsidRPr="00ED2923">
        <w:rPr>
          <w:rFonts w:ascii="Times New Roman" w:hAnsi="Times New Roman" w:cs="Times New Roman"/>
          <w:noProof/>
          <w:sz w:val="24"/>
          <w:szCs w:val="24"/>
          <w:lang w:val="en-US"/>
        </w:rPr>
        <w:drawing>
          <wp:inline distT="0" distB="0" distL="0" distR="0" wp14:anchorId="7B75DF27" wp14:editId="73FED154">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2ABDF11" w14:textId="77777777" w:rsidR="00266C9C" w:rsidRPr="00ED2923" w:rsidRDefault="00266C9C" w:rsidP="00266C9C">
      <w:pPr>
        <w:pStyle w:val="Caption"/>
        <w:rPr>
          <w:rFonts w:ascii="Times New Roman" w:hAnsi="Times New Roman" w:cs="Times New Roman"/>
          <w:sz w:val="24"/>
          <w:szCs w:val="24"/>
        </w:rPr>
      </w:pPr>
      <w:r w:rsidRPr="00ED2923">
        <w:rPr>
          <w:rFonts w:ascii="Times New Roman" w:hAnsi="Times New Roman" w:cs="Times New Roman"/>
          <w:sz w:val="24"/>
          <w:szCs w:val="24"/>
        </w:rPr>
        <w:t xml:space="preserve">Figure </w:t>
      </w:r>
      <w:r w:rsidRPr="00ED2923">
        <w:rPr>
          <w:rFonts w:ascii="Times New Roman" w:hAnsi="Times New Roman" w:cs="Times New Roman"/>
          <w:sz w:val="24"/>
          <w:szCs w:val="24"/>
        </w:rPr>
        <w:fldChar w:fldCharType="begin"/>
      </w:r>
      <w:r w:rsidRPr="00ED2923">
        <w:rPr>
          <w:rFonts w:ascii="Times New Roman" w:hAnsi="Times New Roman" w:cs="Times New Roman"/>
          <w:sz w:val="24"/>
          <w:szCs w:val="24"/>
        </w:rPr>
        <w:instrText xml:space="preserve"> SEQ Figure \* ARABIC </w:instrText>
      </w:r>
      <w:r w:rsidRPr="00ED2923">
        <w:rPr>
          <w:rFonts w:ascii="Times New Roman" w:hAnsi="Times New Roman" w:cs="Times New Roman"/>
          <w:sz w:val="24"/>
          <w:szCs w:val="24"/>
        </w:rPr>
        <w:fldChar w:fldCharType="separate"/>
      </w:r>
      <w:r w:rsidRPr="00ED2923">
        <w:rPr>
          <w:rFonts w:ascii="Times New Roman" w:hAnsi="Times New Roman" w:cs="Times New Roman"/>
          <w:noProof/>
          <w:sz w:val="24"/>
          <w:szCs w:val="24"/>
        </w:rPr>
        <w:t>1</w:t>
      </w:r>
      <w:r w:rsidRPr="00ED2923">
        <w:rPr>
          <w:rFonts w:ascii="Times New Roman" w:hAnsi="Times New Roman" w:cs="Times New Roman"/>
          <w:sz w:val="24"/>
          <w:szCs w:val="24"/>
        </w:rPr>
        <w:fldChar w:fldCharType="end"/>
      </w:r>
      <w:r w:rsidRPr="00ED2923">
        <w:rPr>
          <w:rFonts w:ascii="Times New Roman" w:hAnsi="Times New Roman" w:cs="Times New Roman"/>
          <w:sz w:val="24"/>
          <w:szCs w:val="24"/>
        </w:rPr>
        <w:t>. Policy Implementation Breakdown</w:t>
      </w:r>
    </w:p>
    <w:p w14:paraId="06995C5B" w14:textId="77777777" w:rsidR="00266C9C" w:rsidRPr="00ED2923" w:rsidRDefault="00266C9C" w:rsidP="00266C9C">
      <w:pPr>
        <w:spacing w:line="480" w:lineRule="auto"/>
        <w:rPr>
          <w:rFonts w:ascii="Times New Roman" w:hAnsi="Times New Roman" w:cs="Times New Roman"/>
          <w:b/>
          <w:sz w:val="24"/>
          <w:szCs w:val="24"/>
        </w:rPr>
      </w:pPr>
      <w:r w:rsidRPr="00ED2923">
        <w:rPr>
          <w:rFonts w:ascii="Times New Roman" w:hAnsi="Times New Roman" w:cs="Times New Roman"/>
          <w:b/>
          <w:sz w:val="24"/>
          <w:szCs w:val="24"/>
        </w:rPr>
        <w:t xml:space="preserve">Conclusion </w:t>
      </w:r>
    </w:p>
    <w:p w14:paraId="4478C5FB"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t>The reforms of the Additional Learning Needs in Wales can be seen as one of the most recent changes in educational policies. The ALN system will provide a more inclusive, transparent and learner-centred solution to the SEN system based on the concern of inequality, inconsistency and bureaucracy in the system, to guarantee early and equitable support of the learners. Despite the broad acceptance of the principles that the reforms are based on, the analysis reveals that the implementation has been rather uneven and influenced by the difference in local authority capability and the difference in the access to specialist services and other systemic pressures in the sphere of education.</w:t>
      </w:r>
    </w:p>
    <w:p w14:paraId="68500D7E" w14:textId="77777777" w:rsidR="00266C9C" w:rsidRPr="00ED2923" w:rsidRDefault="00266C9C" w:rsidP="00266C9C">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 xml:space="preserve">Although some positive aspects have been witnessed, including better person-centred planning and provision of a longer support to learners between the age of 0-25, the system is yet to realise its potentials. The current difficulties associated with the workforce capacity, multi-agency cooperation and provision of the resources pose the threat of a loss of trust in the people. Nevertheless, the ALN system can help mitigate the existing problems and establish a fairer environment among learners throughout Wales. </w:t>
      </w:r>
    </w:p>
    <w:p w14:paraId="62227669" w14:textId="77777777" w:rsidR="00266C9C" w:rsidRPr="00ED2923" w:rsidRDefault="00266C9C" w:rsidP="00266C9C">
      <w:pPr>
        <w:spacing w:line="480" w:lineRule="auto"/>
        <w:rPr>
          <w:rFonts w:ascii="Times New Roman" w:hAnsi="Times New Roman" w:cs="Times New Roman"/>
          <w:sz w:val="24"/>
          <w:szCs w:val="24"/>
        </w:rPr>
      </w:pPr>
    </w:p>
    <w:p w14:paraId="5F25799A" w14:textId="77777777" w:rsidR="00266C9C" w:rsidRPr="00ED2923" w:rsidRDefault="00266C9C" w:rsidP="00266C9C">
      <w:pPr>
        <w:spacing w:line="480" w:lineRule="auto"/>
        <w:rPr>
          <w:rFonts w:ascii="Times New Roman" w:hAnsi="Times New Roman" w:cs="Times New Roman"/>
          <w:sz w:val="24"/>
          <w:szCs w:val="24"/>
        </w:rPr>
      </w:pPr>
    </w:p>
    <w:p w14:paraId="3BB6F285" w14:textId="77777777" w:rsidR="00266C9C" w:rsidRPr="00ED2923" w:rsidRDefault="00266C9C" w:rsidP="00266C9C">
      <w:pPr>
        <w:spacing w:line="480" w:lineRule="auto"/>
        <w:rPr>
          <w:rFonts w:ascii="Times New Roman" w:hAnsi="Times New Roman" w:cs="Times New Roman"/>
          <w:sz w:val="24"/>
          <w:szCs w:val="24"/>
        </w:rPr>
      </w:pPr>
    </w:p>
    <w:p w14:paraId="7482AF88" w14:textId="77777777" w:rsidR="00266C9C" w:rsidRPr="00ED2923" w:rsidRDefault="00266C9C" w:rsidP="00266C9C">
      <w:pPr>
        <w:spacing w:line="480" w:lineRule="auto"/>
        <w:rPr>
          <w:rFonts w:ascii="Times New Roman" w:hAnsi="Times New Roman" w:cs="Times New Roman"/>
          <w:sz w:val="24"/>
          <w:szCs w:val="24"/>
        </w:rPr>
      </w:pPr>
    </w:p>
    <w:p w14:paraId="5494DEBB" w14:textId="77777777" w:rsidR="00266C9C" w:rsidRPr="00ED2923" w:rsidRDefault="00266C9C" w:rsidP="00266C9C">
      <w:pPr>
        <w:spacing w:line="480" w:lineRule="auto"/>
        <w:rPr>
          <w:rFonts w:ascii="Times New Roman" w:hAnsi="Times New Roman" w:cs="Times New Roman"/>
          <w:sz w:val="24"/>
          <w:szCs w:val="24"/>
        </w:rPr>
      </w:pPr>
    </w:p>
    <w:p w14:paraId="6E317C2E" w14:textId="77777777" w:rsidR="00266C9C" w:rsidRPr="00ED2923" w:rsidRDefault="00266C9C" w:rsidP="00266C9C">
      <w:pPr>
        <w:spacing w:line="480" w:lineRule="auto"/>
        <w:rPr>
          <w:rFonts w:ascii="Times New Roman" w:hAnsi="Times New Roman" w:cs="Times New Roman"/>
          <w:sz w:val="24"/>
          <w:szCs w:val="24"/>
        </w:rPr>
      </w:pPr>
    </w:p>
    <w:p w14:paraId="537882EE" w14:textId="77777777" w:rsidR="008E4A26" w:rsidRPr="00ED2923" w:rsidRDefault="008E4A26" w:rsidP="00BC1FB8">
      <w:pPr>
        <w:spacing w:line="480" w:lineRule="auto"/>
        <w:rPr>
          <w:rFonts w:ascii="Times New Roman" w:hAnsi="Times New Roman" w:cs="Times New Roman"/>
          <w:sz w:val="24"/>
          <w:szCs w:val="24"/>
        </w:rPr>
      </w:pPr>
    </w:p>
    <w:p w14:paraId="5143D334" w14:textId="77777777" w:rsidR="006B5417" w:rsidRPr="00ED2923" w:rsidRDefault="006B5417" w:rsidP="006B5417">
      <w:pPr>
        <w:spacing w:line="480" w:lineRule="auto"/>
        <w:rPr>
          <w:rFonts w:ascii="Times New Roman" w:hAnsi="Times New Roman" w:cs="Times New Roman"/>
          <w:b/>
          <w:bCs/>
          <w:sz w:val="24"/>
          <w:szCs w:val="24"/>
        </w:rPr>
      </w:pPr>
    </w:p>
    <w:p w14:paraId="5E665ADA" w14:textId="77777777" w:rsidR="00BD79BC" w:rsidRPr="00ED2923" w:rsidRDefault="00BD79BC" w:rsidP="006B5417">
      <w:pPr>
        <w:spacing w:line="480" w:lineRule="auto"/>
        <w:ind w:left="720" w:hanging="720"/>
        <w:rPr>
          <w:rFonts w:ascii="Times New Roman" w:hAnsi="Times New Roman" w:cs="Times New Roman"/>
          <w:sz w:val="24"/>
          <w:szCs w:val="24"/>
        </w:rPr>
      </w:pPr>
    </w:p>
    <w:p w14:paraId="17B843A0" w14:textId="77777777" w:rsidR="006B5417" w:rsidRPr="00ED2923" w:rsidRDefault="006B5417" w:rsidP="006B5417">
      <w:pPr>
        <w:spacing w:line="480" w:lineRule="auto"/>
        <w:rPr>
          <w:rFonts w:ascii="Times New Roman" w:hAnsi="Times New Roman" w:cs="Times New Roman"/>
          <w:sz w:val="24"/>
          <w:szCs w:val="24"/>
        </w:rPr>
      </w:pPr>
    </w:p>
    <w:sectPr w:rsidR="006B5417" w:rsidRPr="00ED292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E1D5E" w14:textId="77777777" w:rsidR="005C76E9" w:rsidRDefault="005C76E9" w:rsidP="00A0238F">
      <w:pPr>
        <w:spacing w:after="0" w:line="240" w:lineRule="auto"/>
      </w:pPr>
      <w:r>
        <w:separator/>
      </w:r>
    </w:p>
  </w:endnote>
  <w:endnote w:type="continuationSeparator" w:id="0">
    <w:p w14:paraId="05A2EC16" w14:textId="77777777" w:rsidR="005C76E9" w:rsidRDefault="005C76E9" w:rsidP="00A02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617917"/>
      <w:docPartObj>
        <w:docPartGallery w:val="Page Numbers (Bottom of Page)"/>
        <w:docPartUnique/>
      </w:docPartObj>
    </w:sdtPr>
    <w:sdtEndPr>
      <w:rPr>
        <w:noProof/>
      </w:rPr>
    </w:sdtEndPr>
    <w:sdtContent>
      <w:p w14:paraId="1DC747CA" w14:textId="77777777" w:rsidR="00A0238F" w:rsidRDefault="00A0238F">
        <w:pPr>
          <w:pStyle w:val="Footer"/>
          <w:jc w:val="right"/>
        </w:pPr>
        <w:r>
          <w:fldChar w:fldCharType="begin"/>
        </w:r>
        <w:r>
          <w:instrText xml:space="preserve"> PAGE   \* MERGEFORMAT </w:instrText>
        </w:r>
        <w:r>
          <w:fldChar w:fldCharType="separate"/>
        </w:r>
        <w:r w:rsidR="00BB1B08">
          <w:rPr>
            <w:noProof/>
          </w:rPr>
          <w:t>17</w:t>
        </w:r>
        <w:r>
          <w:rPr>
            <w:noProof/>
          </w:rPr>
          <w:fldChar w:fldCharType="end"/>
        </w:r>
      </w:p>
    </w:sdtContent>
  </w:sdt>
  <w:p w14:paraId="0119C330" w14:textId="77777777" w:rsidR="00A0238F" w:rsidRDefault="00A02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E5818" w14:textId="77777777" w:rsidR="005C76E9" w:rsidRDefault="005C76E9" w:rsidP="00A0238F">
      <w:pPr>
        <w:spacing w:after="0" w:line="240" w:lineRule="auto"/>
      </w:pPr>
      <w:r>
        <w:separator/>
      </w:r>
    </w:p>
  </w:footnote>
  <w:footnote w:type="continuationSeparator" w:id="0">
    <w:p w14:paraId="41BB3179" w14:textId="77777777" w:rsidR="005C76E9" w:rsidRDefault="005C76E9" w:rsidP="00A02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417"/>
    <w:rsid w:val="00084957"/>
    <w:rsid w:val="000A0168"/>
    <w:rsid w:val="00164F92"/>
    <w:rsid w:val="00177D66"/>
    <w:rsid w:val="00186FBD"/>
    <w:rsid w:val="002022BB"/>
    <w:rsid w:val="00266C9C"/>
    <w:rsid w:val="002A1722"/>
    <w:rsid w:val="003B6BFC"/>
    <w:rsid w:val="004002EE"/>
    <w:rsid w:val="00452E4C"/>
    <w:rsid w:val="00471129"/>
    <w:rsid w:val="00491BFB"/>
    <w:rsid w:val="005C76E9"/>
    <w:rsid w:val="005E5952"/>
    <w:rsid w:val="005F72B4"/>
    <w:rsid w:val="006B5417"/>
    <w:rsid w:val="006F06F3"/>
    <w:rsid w:val="008247B4"/>
    <w:rsid w:val="00851F00"/>
    <w:rsid w:val="00861198"/>
    <w:rsid w:val="008E4A26"/>
    <w:rsid w:val="00976425"/>
    <w:rsid w:val="00A0238F"/>
    <w:rsid w:val="00A25092"/>
    <w:rsid w:val="00AF5E5D"/>
    <w:rsid w:val="00B80F38"/>
    <w:rsid w:val="00BB1B08"/>
    <w:rsid w:val="00BC1FB8"/>
    <w:rsid w:val="00BD79BC"/>
    <w:rsid w:val="00BE0C05"/>
    <w:rsid w:val="00BF79DA"/>
    <w:rsid w:val="00C31741"/>
    <w:rsid w:val="00CB0F7B"/>
    <w:rsid w:val="00CD1809"/>
    <w:rsid w:val="00D67C9B"/>
    <w:rsid w:val="00D931D0"/>
    <w:rsid w:val="00DD37A4"/>
    <w:rsid w:val="00DF613F"/>
    <w:rsid w:val="00E7526A"/>
    <w:rsid w:val="00ED2923"/>
    <w:rsid w:val="00F30134"/>
    <w:rsid w:val="00F70E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270AD"/>
  <w15:chartTrackingRefBased/>
  <w15:docId w15:val="{4917FC26-0F88-421A-BF40-98D928B9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8F"/>
    <w:rPr>
      <w:lang w:val="en-GB"/>
    </w:rPr>
  </w:style>
  <w:style w:type="paragraph" w:styleId="Footer">
    <w:name w:val="footer"/>
    <w:basedOn w:val="Normal"/>
    <w:link w:val="FooterChar"/>
    <w:uiPriority w:val="99"/>
    <w:unhideWhenUsed/>
    <w:rsid w:val="00A02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8F"/>
    <w:rPr>
      <w:lang w:val="en-GB"/>
    </w:rPr>
  </w:style>
  <w:style w:type="table" w:styleId="TableGridLight">
    <w:name w:val="Grid Table Light"/>
    <w:basedOn w:val="TableNormal"/>
    <w:uiPriority w:val="40"/>
    <w:rsid w:val="00DD37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491B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51667">
      <w:bodyDiv w:val="1"/>
      <w:marLeft w:val="0"/>
      <w:marRight w:val="0"/>
      <w:marTop w:val="0"/>
      <w:marBottom w:val="0"/>
      <w:divBdr>
        <w:top w:val="none" w:sz="0" w:space="0" w:color="auto"/>
        <w:left w:val="none" w:sz="0" w:space="0" w:color="auto"/>
        <w:bottom w:val="none" w:sz="0" w:space="0" w:color="auto"/>
        <w:right w:val="none" w:sz="0" w:space="0" w:color="auto"/>
      </w:divBdr>
    </w:div>
    <w:div w:id="325524138">
      <w:bodyDiv w:val="1"/>
      <w:marLeft w:val="0"/>
      <w:marRight w:val="0"/>
      <w:marTop w:val="0"/>
      <w:marBottom w:val="0"/>
      <w:divBdr>
        <w:top w:val="none" w:sz="0" w:space="0" w:color="auto"/>
        <w:left w:val="none" w:sz="0" w:space="0" w:color="auto"/>
        <w:bottom w:val="none" w:sz="0" w:space="0" w:color="auto"/>
        <w:right w:val="none" w:sz="0" w:space="0" w:color="auto"/>
      </w:divBdr>
    </w:div>
    <w:div w:id="755133775">
      <w:bodyDiv w:val="1"/>
      <w:marLeft w:val="0"/>
      <w:marRight w:val="0"/>
      <w:marTop w:val="0"/>
      <w:marBottom w:val="0"/>
      <w:divBdr>
        <w:top w:val="none" w:sz="0" w:space="0" w:color="auto"/>
        <w:left w:val="none" w:sz="0" w:space="0" w:color="auto"/>
        <w:bottom w:val="none" w:sz="0" w:space="0" w:color="auto"/>
        <w:right w:val="none" w:sz="0" w:space="0" w:color="auto"/>
      </w:divBdr>
    </w:div>
    <w:div w:id="93267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0C220F-A13F-44D4-BF55-803A36E803CC}"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21964D8B-DEE7-4019-B498-377E70E06A55}">
      <dgm:prSet phldrT="[Text]"/>
      <dgm:spPr/>
      <dgm:t>
        <a:bodyPr/>
        <a:lstStyle/>
        <a:p>
          <a:r>
            <a:rPr lang="en-US"/>
            <a:t>Policy</a:t>
          </a:r>
        </a:p>
      </dgm:t>
    </dgm:pt>
    <dgm:pt modelId="{819333C7-BAFC-49D9-ABEC-3FBAA81D9E01}" type="parTrans" cxnId="{39AEBC3C-FB20-4E0D-93E3-374B86024040}">
      <dgm:prSet/>
      <dgm:spPr/>
      <dgm:t>
        <a:bodyPr/>
        <a:lstStyle/>
        <a:p>
          <a:endParaRPr lang="en-US"/>
        </a:p>
      </dgm:t>
    </dgm:pt>
    <dgm:pt modelId="{52F34AD4-A621-49F2-9CA2-85F37B9E7106}" type="sibTrans" cxnId="{39AEBC3C-FB20-4E0D-93E3-374B86024040}">
      <dgm:prSet/>
      <dgm:spPr/>
      <dgm:t>
        <a:bodyPr/>
        <a:lstStyle/>
        <a:p>
          <a:endParaRPr lang="en-US"/>
        </a:p>
      </dgm:t>
    </dgm:pt>
    <dgm:pt modelId="{31153BE6-1707-4A03-BC42-CF84E93D070A}">
      <dgm:prSet phldrT="[Text]" phldr="1"/>
      <dgm:spPr/>
      <dgm:t>
        <a:bodyPr/>
        <a:lstStyle/>
        <a:p>
          <a:endParaRPr lang="en-US"/>
        </a:p>
      </dgm:t>
    </dgm:pt>
    <dgm:pt modelId="{7917C853-45A2-498F-8871-2C7C5E1B1D7E}" type="parTrans" cxnId="{9173B271-CBB2-4D3F-9988-52F2755F619B}">
      <dgm:prSet/>
      <dgm:spPr/>
      <dgm:t>
        <a:bodyPr/>
        <a:lstStyle/>
        <a:p>
          <a:endParaRPr lang="en-US"/>
        </a:p>
      </dgm:t>
    </dgm:pt>
    <dgm:pt modelId="{D70F014A-BC00-4AAA-BF9B-579FC5DFA53A}" type="sibTrans" cxnId="{9173B271-CBB2-4D3F-9988-52F2755F619B}">
      <dgm:prSet/>
      <dgm:spPr/>
      <dgm:t>
        <a:bodyPr/>
        <a:lstStyle/>
        <a:p>
          <a:endParaRPr lang="en-US"/>
        </a:p>
      </dgm:t>
    </dgm:pt>
    <dgm:pt modelId="{28F52146-2D45-4942-A040-DFCC5F814037}">
      <dgm:prSet phldrT="[Text]"/>
      <dgm:spPr/>
      <dgm:t>
        <a:bodyPr/>
        <a:lstStyle/>
        <a:p>
          <a:r>
            <a:rPr lang="en-US"/>
            <a:t>Resource Allocation </a:t>
          </a:r>
        </a:p>
      </dgm:t>
    </dgm:pt>
    <dgm:pt modelId="{B5925D7F-B1EB-44ED-BC45-0A2C1ABBA658}" type="parTrans" cxnId="{0D4CA29B-7470-4769-B6AB-40CD0C232510}">
      <dgm:prSet/>
      <dgm:spPr/>
      <dgm:t>
        <a:bodyPr/>
        <a:lstStyle/>
        <a:p>
          <a:endParaRPr lang="en-US"/>
        </a:p>
      </dgm:t>
    </dgm:pt>
    <dgm:pt modelId="{543141D2-F449-496A-A234-0E7E700F7768}" type="sibTrans" cxnId="{0D4CA29B-7470-4769-B6AB-40CD0C232510}">
      <dgm:prSet/>
      <dgm:spPr/>
      <dgm:t>
        <a:bodyPr/>
        <a:lstStyle/>
        <a:p>
          <a:endParaRPr lang="en-US"/>
        </a:p>
      </dgm:t>
    </dgm:pt>
    <dgm:pt modelId="{9975EE4C-FF62-4B9E-9A1B-20D9D2C23D6F}">
      <dgm:prSet phldrT="[Text]" phldr="1"/>
      <dgm:spPr/>
      <dgm:t>
        <a:bodyPr/>
        <a:lstStyle/>
        <a:p>
          <a:endParaRPr lang="en-US"/>
        </a:p>
      </dgm:t>
    </dgm:pt>
    <dgm:pt modelId="{8DA7B7C3-F289-4F86-B586-6D90D7D3B63A}" type="parTrans" cxnId="{AB4A2E5A-B4B8-4EAB-8CAE-46787833D8A9}">
      <dgm:prSet/>
      <dgm:spPr/>
      <dgm:t>
        <a:bodyPr/>
        <a:lstStyle/>
        <a:p>
          <a:endParaRPr lang="en-US"/>
        </a:p>
      </dgm:t>
    </dgm:pt>
    <dgm:pt modelId="{A5CFA0CC-B659-4047-AC7F-97D415CA9094}" type="sibTrans" cxnId="{AB4A2E5A-B4B8-4EAB-8CAE-46787833D8A9}">
      <dgm:prSet/>
      <dgm:spPr/>
      <dgm:t>
        <a:bodyPr/>
        <a:lstStyle/>
        <a:p>
          <a:endParaRPr lang="en-US"/>
        </a:p>
      </dgm:t>
    </dgm:pt>
    <dgm:pt modelId="{2B482378-B32F-4D0E-AF42-880E3BB940F2}">
      <dgm:prSet/>
      <dgm:spPr/>
      <dgm:t>
        <a:bodyPr/>
        <a:lstStyle/>
        <a:p>
          <a:r>
            <a:rPr lang="en-US"/>
            <a:t>Institutional Capacity </a:t>
          </a:r>
        </a:p>
      </dgm:t>
    </dgm:pt>
    <dgm:pt modelId="{B195E515-C9F5-4834-9E96-3E7E06643FEA}" type="parTrans" cxnId="{206C1506-16B7-4556-92A1-53D9560405A4}">
      <dgm:prSet/>
      <dgm:spPr/>
      <dgm:t>
        <a:bodyPr/>
        <a:lstStyle/>
        <a:p>
          <a:endParaRPr lang="en-US"/>
        </a:p>
      </dgm:t>
    </dgm:pt>
    <dgm:pt modelId="{AEB00746-4A3D-41CC-8D35-08109F298482}" type="sibTrans" cxnId="{206C1506-16B7-4556-92A1-53D9560405A4}">
      <dgm:prSet/>
      <dgm:spPr/>
      <dgm:t>
        <a:bodyPr/>
        <a:lstStyle/>
        <a:p>
          <a:endParaRPr lang="en-US"/>
        </a:p>
      </dgm:t>
    </dgm:pt>
    <dgm:pt modelId="{041F2204-7BBE-42ED-97BD-4631FF682590}">
      <dgm:prSet/>
      <dgm:spPr/>
      <dgm:t>
        <a:bodyPr/>
        <a:lstStyle/>
        <a:p>
          <a:r>
            <a:rPr lang="en-US"/>
            <a:t>Local Implementation </a:t>
          </a:r>
        </a:p>
      </dgm:t>
    </dgm:pt>
    <dgm:pt modelId="{96C3F65C-A59D-4657-9D38-9F4DA2F995D2}" type="parTrans" cxnId="{A4AFB79A-D2E4-4727-B827-FDAB1D4EE306}">
      <dgm:prSet/>
      <dgm:spPr/>
      <dgm:t>
        <a:bodyPr/>
        <a:lstStyle/>
        <a:p>
          <a:endParaRPr lang="en-US"/>
        </a:p>
      </dgm:t>
    </dgm:pt>
    <dgm:pt modelId="{BBC16178-D931-4A83-A900-64A53CDA89CF}" type="sibTrans" cxnId="{A4AFB79A-D2E4-4727-B827-FDAB1D4EE306}">
      <dgm:prSet/>
      <dgm:spPr/>
      <dgm:t>
        <a:bodyPr/>
        <a:lstStyle/>
        <a:p>
          <a:endParaRPr lang="en-US"/>
        </a:p>
      </dgm:t>
    </dgm:pt>
    <dgm:pt modelId="{32B840B0-E982-469A-ACEB-1121D62AE8B5}">
      <dgm:prSet/>
      <dgm:spPr/>
      <dgm:t>
        <a:bodyPr/>
        <a:lstStyle/>
        <a:p>
          <a:r>
            <a:rPr lang="en-US"/>
            <a:t>Community Response</a:t>
          </a:r>
        </a:p>
      </dgm:t>
    </dgm:pt>
    <dgm:pt modelId="{D8AF247D-1EE3-454B-8F65-C19F393E1B6C}" type="parTrans" cxnId="{E4E7448F-7785-483B-96DA-449C4B3B6CD4}">
      <dgm:prSet/>
      <dgm:spPr/>
      <dgm:t>
        <a:bodyPr/>
        <a:lstStyle/>
        <a:p>
          <a:endParaRPr lang="en-US"/>
        </a:p>
      </dgm:t>
    </dgm:pt>
    <dgm:pt modelId="{DB6CDC31-AA15-4CDA-A9A5-69EB370C01DC}" type="sibTrans" cxnId="{E4E7448F-7785-483B-96DA-449C4B3B6CD4}">
      <dgm:prSet/>
      <dgm:spPr/>
      <dgm:t>
        <a:bodyPr/>
        <a:lstStyle/>
        <a:p>
          <a:endParaRPr lang="en-US"/>
        </a:p>
      </dgm:t>
    </dgm:pt>
    <dgm:pt modelId="{EF4681C2-3223-4DF6-BEE8-A11899370D80}" type="pres">
      <dgm:prSet presAssocID="{D70C220F-A13F-44D4-BF55-803A36E803CC}" presName="rootnode" presStyleCnt="0">
        <dgm:presLayoutVars>
          <dgm:chMax/>
          <dgm:chPref/>
          <dgm:dir/>
          <dgm:animLvl val="lvl"/>
        </dgm:presLayoutVars>
      </dgm:prSet>
      <dgm:spPr/>
    </dgm:pt>
    <dgm:pt modelId="{01E2DD86-9500-4356-948D-60263E11A8E2}" type="pres">
      <dgm:prSet presAssocID="{21964D8B-DEE7-4019-B498-377E70E06A55}" presName="composite" presStyleCnt="0"/>
      <dgm:spPr/>
    </dgm:pt>
    <dgm:pt modelId="{BDE815AB-BC90-4A46-970C-B16C6D9B2BD9}" type="pres">
      <dgm:prSet presAssocID="{21964D8B-DEE7-4019-B498-377E70E06A55}" presName="bentUpArrow1" presStyleLbl="alignImgPlace1" presStyleIdx="0" presStyleCnt="4"/>
      <dgm:spPr/>
    </dgm:pt>
    <dgm:pt modelId="{5635065E-0838-41FF-AD7A-5CE73578391B}" type="pres">
      <dgm:prSet presAssocID="{21964D8B-DEE7-4019-B498-377E70E06A55}" presName="ParentText" presStyleLbl="node1" presStyleIdx="0" presStyleCnt="5">
        <dgm:presLayoutVars>
          <dgm:chMax val="1"/>
          <dgm:chPref val="1"/>
          <dgm:bulletEnabled val="1"/>
        </dgm:presLayoutVars>
      </dgm:prSet>
      <dgm:spPr/>
    </dgm:pt>
    <dgm:pt modelId="{9D99FB9A-6F15-4EFE-AE8A-DBB45CAD44DC}" type="pres">
      <dgm:prSet presAssocID="{21964D8B-DEE7-4019-B498-377E70E06A55}" presName="ChildText" presStyleLbl="revTx" presStyleIdx="0" presStyleCnt="4">
        <dgm:presLayoutVars>
          <dgm:chMax val="0"/>
          <dgm:chPref val="0"/>
          <dgm:bulletEnabled val="1"/>
        </dgm:presLayoutVars>
      </dgm:prSet>
      <dgm:spPr/>
    </dgm:pt>
    <dgm:pt modelId="{93F30A10-58AE-43B4-914D-5418257C1DDF}" type="pres">
      <dgm:prSet presAssocID="{52F34AD4-A621-49F2-9CA2-85F37B9E7106}" presName="sibTrans" presStyleCnt="0"/>
      <dgm:spPr/>
    </dgm:pt>
    <dgm:pt modelId="{538F5854-B3C1-4DF0-9F70-8E570D8DFE55}" type="pres">
      <dgm:prSet presAssocID="{28F52146-2D45-4942-A040-DFCC5F814037}" presName="composite" presStyleCnt="0"/>
      <dgm:spPr/>
    </dgm:pt>
    <dgm:pt modelId="{F1B81398-63F4-4C33-A317-D6C94E0D3FCF}" type="pres">
      <dgm:prSet presAssocID="{28F52146-2D45-4942-A040-DFCC5F814037}" presName="bentUpArrow1" presStyleLbl="alignImgPlace1" presStyleIdx="1" presStyleCnt="4"/>
      <dgm:spPr/>
    </dgm:pt>
    <dgm:pt modelId="{4631F3B6-B133-4E8F-8CD9-ED339394B47D}" type="pres">
      <dgm:prSet presAssocID="{28F52146-2D45-4942-A040-DFCC5F814037}" presName="ParentText" presStyleLbl="node1" presStyleIdx="1" presStyleCnt="5">
        <dgm:presLayoutVars>
          <dgm:chMax val="1"/>
          <dgm:chPref val="1"/>
          <dgm:bulletEnabled val="1"/>
        </dgm:presLayoutVars>
      </dgm:prSet>
      <dgm:spPr/>
    </dgm:pt>
    <dgm:pt modelId="{F68BDC98-6AFC-4B69-B72F-7CD08998A0EA}" type="pres">
      <dgm:prSet presAssocID="{28F52146-2D45-4942-A040-DFCC5F814037}" presName="ChildText" presStyleLbl="revTx" presStyleIdx="1" presStyleCnt="4">
        <dgm:presLayoutVars>
          <dgm:chMax val="0"/>
          <dgm:chPref val="0"/>
          <dgm:bulletEnabled val="1"/>
        </dgm:presLayoutVars>
      </dgm:prSet>
      <dgm:spPr/>
    </dgm:pt>
    <dgm:pt modelId="{54F1CEEB-3EBA-40B8-8DAF-37351D3CBD3F}" type="pres">
      <dgm:prSet presAssocID="{543141D2-F449-496A-A234-0E7E700F7768}" presName="sibTrans" presStyleCnt="0"/>
      <dgm:spPr/>
    </dgm:pt>
    <dgm:pt modelId="{54EEB873-EDBF-4EF3-895A-95EE3BC114CD}" type="pres">
      <dgm:prSet presAssocID="{2B482378-B32F-4D0E-AF42-880E3BB940F2}" presName="composite" presStyleCnt="0"/>
      <dgm:spPr/>
    </dgm:pt>
    <dgm:pt modelId="{611ED002-5034-489E-8815-86BAB0836286}" type="pres">
      <dgm:prSet presAssocID="{2B482378-B32F-4D0E-AF42-880E3BB940F2}" presName="bentUpArrow1" presStyleLbl="alignImgPlace1" presStyleIdx="2" presStyleCnt="4"/>
      <dgm:spPr/>
    </dgm:pt>
    <dgm:pt modelId="{B5435ABF-AD5D-464B-874E-905CF39DF011}" type="pres">
      <dgm:prSet presAssocID="{2B482378-B32F-4D0E-AF42-880E3BB940F2}" presName="ParentText" presStyleLbl="node1" presStyleIdx="2" presStyleCnt="5">
        <dgm:presLayoutVars>
          <dgm:chMax val="1"/>
          <dgm:chPref val="1"/>
          <dgm:bulletEnabled val="1"/>
        </dgm:presLayoutVars>
      </dgm:prSet>
      <dgm:spPr/>
    </dgm:pt>
    <dgm:pt modelId="{5B9B4CB0-A87E-46BB-9865-DB1D961B2598}" type="pres">
      <dgm:prSet presAssocID="{2B482378-B32F-4D0E-AF42-880E3BB940F2}" presName="ChildText" presStyleLbl="revTx" presStyleIdx="2" presStyleCnt="4">
        <dgm:presLayoutVars>
          <dgm:chMax val="0"/>
          <dgm:chPref val="0"/>
          <dgm:bulletEnabled val="1"/>
        </dgm:presLayoutVars>
      </dgm:prSet>
      <dgm:spPr/>
    </dgm:pt>
    <dgm:pt modelId="{C1E4398F-302E-4032-9ED2-41F13A7415D0}" type="pres">
      <dgm:prSet presAssocID="{AEB00746-4A3D-41CC-8D35-08109F298482}" presName="sibTrans" presStyleCnt="0"/>
      <dgm:spPr/>
    </dgm:pt>
    <dgm:pt modelId="{F0446C40-0091-4FA6-A264-1AC755AE97B4}" type="pres">
      <dgm:prSet presAssocID="{041F2204-7BBE-42ED-97BD-4631FF682590}" presName="composite" presStyleCnt="0"/>
      <dgm:spPr/>
    </dgm:pt>
    <dgm:pt modelId="{F796D172-0AA7-4EB3-AC75-5601013278FE}" type="pres">
      <dgm:prSet presAssocID="{041F2204-7BBE-42ED-97BD-4631FF682590}" presName="bentUpArrow1" presStyleLbl="alignImgPlace1" presStyleIdx="3" presStyleCnt="4"/>
      <dgm:spPr/>
    </dgm:pt>
    <dgm:pt modelId="{57BA6402-E29B-4FC5-9EFB-F561B9E31C69}" type="pres">
      <dgm:prSet presAssocID="{041F2204-7BBE-42ED-97BD-4631FF682590}" presName="ParentText" presStyleLbl="node1" presStyleIdx="3" presStyleCnt="5">
        <dgm:presLayoutVars>
          <dgm:chMax val="1"/>
          <dgm:chPref val="1"/>
          <dgm:bulletEnabled val="1"/>
        </dgm:presLayoutVars>
      </dgm:prSet>
      <dgm:spPr/>
    </dgm:pt>
    <dgm:pt modelId="{70DFD8B4-45E8-454D-8ED2-378069FFCDF6}" type="pres">
      <dgm:prSet presAssocID="{041F2204-7BBE-42ED-97BD-4631FF682590}" presName="ChildText" presStyleLbl="revTx" presStyleIdx="3" presStyleCnt="4">
        <dgm:presLayoutVars>
          <dgm:chMax val="0"/>
          <dgm:chPref val="0"/>
          <dgm:bulletEnabled val="1"/>
        </dgm:presLayoutVars>
      </dgm:prSet>
      <dgm:spPr/>
    </dgm:pt>
    <dgm:pt modelId="{EED63D62-0DAE-4BA0-9302-82D24A44D576}" type="pres">
      <dgm:prSet presAssocID="{BBC16178-D931-4A83-A900-64A53CDA89CF}" presName="sibTrans" presStyleCnt="0"/>
      <dgm:spPr/>
    </dgm:pt>
    <dgm:pt modelId="{72BBAF74-C419-48CF-8178-C96E25D4633E}" type="pres">
      <dgm:prSet presAssocID="{32B840B0-E982-469A-ACEB-1121D62AE8B5}" presName="composite" presStyleCnt="0"/>
      <dgm:spPr/>
    </dgm:pt>
    <dgm:pt modelId="{863E5296-155A-41C8-BC36-7405050CB472}" type="pres">
      <dgm:prSet presAssocID="{32B840B0-E982-469A-ACEB-1121D62AE8B5}" presName="ParentText" presStyleLbl="node1" presStyleIdx="4" presStyleCnt="5">
        <dgm:presLayoutVars>
          <dgm:chMax val="1"/>
          <dgm:chPref val="1"/>
          <dgm:bulletEnabled val="1"/>
        </dgm:presLayoutVars>
      </dgm:prSet>
      <dgm:spPr/>
    </dgm:pt>
  </dgm:ptLst>
  <dgm:cxnLst>
    <dgm:cxn modelId="{206C1506-16B7-4556-92A1-53D9560405A4}" srcId="{D70C220F-A13F-44D4-BF55-803A36E803CC}" destId="{2B482378-B32F-4D0E-AF42-880E3BB940F2}" srcOrd="2" destOrd="0" parTransId="{B195E515-C9F5-4834-9E96-3E7E06643FEA}" sibTransId="{AEB00746-4A3D-41CC-8D35-08109F298482}"/>
    <dgm:cxn modelId="{33E0FD22-7234-40DE-B9BC-2CCAD0225419}" type="presOf" srcId="{041F2204-7BBE-42ED-97BD-4631FF682590}" destId="{57BA6402-E29B-4FC5-9EFB-F561B9E31C69}" srcOrd="0" destOrd="0" presId="urn:microsoft.com/office/officeart/2005/8/layout/StepDownProcess"/>
    <dgm:cxn modelId="{62AACC2C-5CCE-471D-AACD-929C518ECB5E}" type="presOf" srcId="{9975EE4C-FF62-4B9E-9A1B-20D9D2C23D6F}" destId="{F68BDC98-6AFC-4B69-B72F-7CD08998A0EA}" srcOrd="0" destOrd="0" presId="urn:microsoft.com/office/officeart/2005/8/layout/StepDownProcess"/>
    <dgm:cxn modelId="{4B3B3139-CED8-490D-BF68-FF01D3CCF03E}" type="presOf" srcId="{32B840B0-E982-469A-ACEB-1121D62AE8B5}" destId="{863E5296-155A-41C8-BC36-7405050CB472}" srcOrd="0" destOrd="0" presId="urn:microsoft.com/office/officeart/2005/8/layout/StepDownProcess"/>
    <dgm:cxn modelId="{39AEBC3C-FB20-4E0D-93E3-374B86024040}" srcId="{D70C220F-A13F-44D4-BF55-803A36E803CC}" destId="{21964D8B-DEE7-4019-B498-377E70E06A55}" srcOrd="0" destOrd="0" parTransId="{819333C7-BAFC-49D9-ABEC-3FBAA81D9E01}" sibTransId="{52F34AD4-A621-49F2-9CA2-85F37B9E7106}"/>
    <dgm:cxn modelId="{27DD3340-9CB6-4CCA-B53F-46157ABB14D7}" type="presOf" srcId="{28F52146-2D45-4942-A040-DFCC5F814037}" destId="{4631F3B6-B133-4E8F-8CD9-ED339394B47D}" srcOrd="0" destOrd="0" presId="urn:microsoft.com/office/officeart/2005/8/layout/StepDownProcess"/>
    <dgm:cxn modelId="{AB4A2E5A-B4B8-4EAB-8CAE-46787833D8A9}" srcId="{28F52146-2D45-4942-A040-DFCC5F814037}" destId="{9975EE4C-FF62-4B9E-9A1B-20D9D2C23D6F}" srcOrd="0" destOrd="0" parTransId="{8DA7B7C3-F289-4F86-B586-6D90D7D3B63A}" sibTransId="{A5CFA0CC-B659-4047-AC7F-97D415CA9094}"/>
    <dgm:cxn modelId="{4C64F15C-0B07-484B-B448-C15F0A6F7A7D}" type="presOf" srcId="{2B482378-B32F-4D0E-AF42-880E3BB940F2}" destId="{B5435ABF-AD5D-464B-874E-905CF39DF011}" srcOrd="0" destOrd="0" presId="urn:microsoft.com/office/officeart/2005/8/layout/StepDownProcess"/>
    <dgm:cxn modelId="{9173B271-CBB2-4D3F-9988-52F2755F619B}" srcId="{21964D8B-DEE7-4019-B498-377E70E06A55}" destId="{31153BE6-1707-4A03-BC42-CF84E93D070A}" srcOrd="0" destOrd="0" parTransId="{7917C853-45A2-498F-8871-2C7C5E1B1D7E}" sibTransId="{D70F014A-BC00-4AAA-BF9B-579FC5DFA53A}"/>
    <dgm:cxn modelId="{D14CFB79-D3FA-4896-ADC4-96C8A44D91ED}" type="presOf" srcId="{31153BE6-1707-4A03-BC42-CF84E93D070A}" destId="{9D99FB9A-6F15-4EFE-AE8A-DBB45CAD44DC}" srcOrd="0" destOrd="0" presId="urn:microsoft.com/office/officeart/2005/8/layout/StepDownProcess"/>
    <dgm:cxn modelId="{9D7A218B-7932-4E28-948B-20527ED294E8}" type="presOf" srcId="{D70C220F-A13F-44D4-BF55-803A36E803CC}" destId="{EF4681C2-3223-4DF6-BEE8-A11899370D80}" srcOrd="0" destOrd="0" presId="urn:microsoft.com/office/officeart/2005/8/layout/StepDownProcess"/>
    <dgm:cxn modelId="{E4E7448F-7785-483B-96DA-449C4B3B6CD4}" srcId="{D70C220F-A13F-44D4-BF55-803A36E803CC}" destId="{32B840B0-E982-469A-ACEB-1121D62AE8B5}" srcOrd="4" destOrd="0" parTransId="{D8AF247D-1EE3-454B-8F65-C19F393E1B6C}" sibTransId="{DB6CDC31-AA15-4CDA-A9A5-69EB370C01DC}"/>
    <dgm:cxn modelId="{A4AFB79A-D2E4-4727-B827-FDAB1D4EE306}" srcId="{D70C220F-A13F-44D4-BF55-803A36E803CC}" destId="{041F2204-7BBE-42ED-97BD-4631FF682590}" srcOrd="3" destOrd="0" parTransId="{96C3F65C-A59D-4657-9D38-9F4DA2F995D2}" sibTransId="{BBC16178-D931-4A83-A900-64A53CDA89CF}"/>
    <dgm:cxn modelId="{0D4CA29B-7470-4769-B6AB-40CD0C232510}" srcId="{D70C220F-A13F-44D4-BF55-803A36E803CC}" destId="{28F52146-2D45-4942-A040-DFCC5F814037}" srcOrd="1" destOrd="0" parTransId="{B5925D7F-B1EB-44ED-BC45-0A2C1ABBA658}" sibTransId="{543141D2-F449-496A-A234-0E7E700F7768}"/>
    <dgm:cxn modelId="{938FE8D4-0331-4100-9355-CFF05467C294}" type="presOf" srcId="{21964D8B-DEE7-4019-B498-377E70E06A55}" destId="{5635065E-0838-41FF-AD7A-5CE73578391B}" srcOrd="0" destOrd="0" presId="urn:microsoft.com/office/officeart/2005/8/layout/StepDownProcess"/>
    <dgm:cxn modelId="{44861BE7-40C4-4269-A9FC-EB663E78451A}" type="presParOf" srcId="{EF4681C2-3223-4DF6-BEE8-A11899370D80}" destId="{01E2DD86-9500-4356-948D-60263E11A8E2}" srcOrd="0" destOrd="0" presId="urn:microsoft.com/office/officeart/2005/8/layout/StepDownProcess"/>
    <dgm:cxn modelId="{0A728794-0255-402D-819C-B5F314D03DCF}" type="presParOf" srcId="{01E2DD86-9500-4356-948D-60263E11A8E2}" destId="{BDE815AB-BC90-4A46-970C-B16C6D9B2BD9}" srcOrd="0" destOrd="0" presId="urn:microsoft.com/office/officeart/2005/8/layout/StepDownProcess"/>
    <dgm:cxn modelId="{07BF76DD-2441-4538-91A1-00659D581CA6}" type="presParOf" srcId="{01E2DD86-9500-4356-948D-60263E11A8E2}" destId="{5635065E-0838-41FF-AD7A-5CE73578391B}" srcOrd="1" destOrd="0" presId="urn:microsoft.com/office/officeart/2005/8/layout/StepDownProcess"/>
    <dgm:cxn modelId="{359C0C02-3676-4AD7-823F-429DE1815899}" type="presParOf" srcId="{01E2DD86-9500-4356-948D-60263E11A8E2}" destId="{9D99FB9A-6F15-4EFE-AE8A-DBB45CAD44DC}" srcOrd="2" destOrd="0" presId="urn:microsoft.com/office/officeart/2005/8/layout/StepDownProcess"/>
    <dgm:cxn modelId="{B0AA4E70-E3A3-42B6-908E-8575EA8F29C3}" type="presParOf" srcId="{EF4681C2-3223-4DF6-BEE8-A11899370D80}" destId="{93F30A10-58AE-43B4-914D-5418257C1DDF}" srcOrd="1" destOrd="0" presId="urn:microsoft.com/office/officeart/2005/8/layout/StepDownProcess"/>
    <dgm:cxn modelId="{C60FC5E0-3C1A-407D-AEA1-2E5C19A8CF0E}" type="presParOf" srcId="{EF4681C2-3223-4DF6-BEE8-A11899370D80}" destId="{538F5854-B3C1-4DF0-9F70-8E570D8DFE55}" srcOrd="2" destOrd="0" presId="urn:microsoft.com/office/officeart/2005/8/layout/StepDownProcess"/>
    <dgm:cxn modelId="{7A3A8180-D32D-4C3D-8046-92B22D7727A4}" type="presParOf" srcId="{538F5854-B3C1-4DF0-9F70-8E570D8DFE55}" destId="{F1B81398-63F4-4C33-A317-D6C94E0D3FCF}" srcOrd="0" destOrd="0" presId="urn:microsoft.com/office/officeart/2005/8/layout/StepDownProcess"/>
    <dgm:cxn modelId="{400502A8-F735-4FB5-A821-00FF3DF8D26F}" type="presParOf" srcId="{538F5854-B3C1-4DF0-9F70-8E570D8DFE55}" destId="{4631F3B6-B133-4E8F-8CD9-ED339394B47D}" srcOrd="1" destOrd="0" presId="urn:microsoft.com/office/officeart/2005/8/layout/StepDownProcess"/>
    <dgm:cxn modelId="{A951C24E-4F16-4ED0-9968-5AFC4E4CE0AD}" type="presParOf" srcId="{538F5854-B3C1-4DF0-9F70-8E570D8DFE55}" destId="{F68BDC98-6AFC-4B69-B72F-7CD08998A0EA}" srcOrd="2" destOrd="0" presId="urn:microsoft.com/office/officeart/2005/8/layout/StepDownProcess"/>
    <dgm:cxn modelId="{8DE3AA11-2504-488B-908B-83884CB85A88}" type="presParOf" srcId="{EF4681C2-3223-4DF6-BEE8-A11899370D80}" destId="{54F1CEEB-3EBA-40B8-8DAF-37351D3CBD3F}" srcOrd="3" destOrd="0" presId="urn:microsoft.com/office/officeart/2005/8/layout/StepDownProcess"/>
    <dgm:cxn modelId="{C87EE730-5A82-4CF6-AE45-73CF98BAE734}" type="presParOf" srcId="{EF4681C2-3223-4DF6-BEE8-A11899370D80}" destId="{54EEB873-EDBF-4EF3-895A-95EE3BC114CD}" srcOrd="4" destOrd="0" presId="urn:microsoft.com/office/officeart/2005/8/layout/StepDownProcess"/>
    <dgm:cxn modelId="{460ED919-9F08-445F-A043-6F601B23ACEF}" type="presParOf" srcId="{54EEB873-EDBF-4EF3-895A-95EE3BC114CD}" destId="{611ED002-5034-489E-8815-86BAB0836286}" srcOrd="0" destOrd="0" presId="urn:microsoft.com/office/officeart/2005/8/layout/StepDownProcess"/>
    <dgm:cxn modelId="{322A5669-F209-4887-A383-55B0C49BBFA1}" type="presParOf" srcId="{54EEB873-EDBF-4EF3-895A-95EE3BC114CD}" destId="{B5435ABF-AD5D-464B-874E-905CF39DF011}" srcOrd="1" destOrd="0" presId="urn:microsoft.com/office/officeart/2005/8/layout/StepDownProcess"/>
    <dgm:cxn modelId="{CCC937C8-B6E3-4939-9701-2C4451E61E3C}" type="presParOf" srcId="{54EEB873-EDBF-4EF3-895A-95EE3BC114CD}" destId="{5B9B4CB0-A87E-46BB-9865-DB1D961B2598}" srcOrd="2" destOrd="0" presId="urn:microsoft.com/office/officeart/2005/8/layout/StepDownProcess"/>
    <dgm:cxn modelId="{4BDAD9D9-C45D-4D55-8DDE-968B5FCBA972}" type="presParOf" srcId="{EF4681C2-3223-4DF6-BEE8-A11899370D80}" destId="{C1E4398F-302E-4032-9ED2-41F13A7415D0}" srcOrd="5" destOrd="0" presId="urn:microsoft.com/office/officeart/2005/8/layout/StepDownProcess"/>
    <dgm:cxn modelId="{7D09BA81-2BA9-475F-A9C4-BEB74432359F}" type="presParOf" srcId="{EF4681C2-3223-4DF6-BEE8-A11899370D80}" destId="{F0446C40-0091-4FA6-A264-1AC755AE97B4}" srcOrd="6" destOrd="0" presId="urn:microsoft.com/office/officeart/2005/8/layout/StepDownProcess"/>
    <dgm:cxn modelId="{83AF80FD-501B-4D46-82FA-885D6E7E6770}" type="presParOf" srcId="{F0446C40-0091-4FA6-A264-1AC755AE97B4}" destId="{F796D172-0AA7-4EB3-AC75-5601013278FE}" srcOrd="0" destOrd="0" presId="urn:microsoft.com/office/officeart/2005/8/layout/StepDownProcess"/>
    <dgm:cxn modelId="{2C22ACEE-4365-456B-B953-196CB7419484}" type="presParOf" srcId="{F0446C40-0091-4FA6-A264-1AC755AE97B4}" destId="{57BA6402-E29B-4FC5-9EFB-F561B9E31C69}" srcOrd="1" destOrd="0" presId="urn:microsoft.com/office/officeart/2005/8/layout/StepDownProcess"/>
    <dgm:cxn modelId="{D81ADFDE-DC81-4234-BE19-A3A47258F18F}" type="presParOf" srcId="{F0446C40-0091-4FA6-A264-1AC755AE97B4}" destId="{70DFD8B4-45E8-454D-8ED2-378069FFCDF6}" srcOrd="2" destOrd="0" presId="urn:microsoft.com/office/officeart/2005/8/layout/StepDownProcess"/>
    <dgm:cxn modelId="{D41DC6EB-907C-4455-82F4-03538C3C95B3}" type="presParOf" srcId="{EF4681C2-3223-4DF6-BEE8-A11899370D80}" destId="{EED63D62-0DAE-4BA0-9302-82D24A44D576}" srcOrd="7" destOrd="0" presId="urn:microsoft.com/office/officeart/2005/8/layout/StepDownProcess"/>
    <dgm:cxn modelId="{E046E7F0-2C3A-4847-AF1C-83F1A36BE768}" type="presParOf" srcId="{EF4681C2-3223-4DF6-BEE8-A11899370D80}" destId="{72BBAF74-C419-48CF-8178-C96E25D4633E}" srcOrd="8" destOrd="0" presId="urn:microsoft.com/office/officeart/2005/8/layout/StepDownProcess"/>
    <dgm:cxn modelId="{D0EF2D36-13AC-4D1E-A388-0F358844A898}" type="presParOf" srcId="{72BBAF74-C419-48CF-8178-C96E25D4633E}" destId="{863E5296-155A-41C8-BC36-7405050CB472}" srcOrd="0" destOrd="0" presId="urn:microsoft.com/office/officeart/2005/8/layout/StepDownProcess"/>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E815AB-BC90-4A46-970C-B16C6D9B2BD9}">
      <dsp:nvSpPr>
        <dsp:cNvPr id="0" name=""/>
        <dsp:cNvSpPr/>
      </dsp:nvSpPr>
      <dsp:spPr>
        <a:xfrm rot="5400000">
          <a:off x="1098460" y="561093"/>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35065E-0838-41FF-AD7A-5CE73578391B}">
      <dsp:nvSpPr>
        <dsp:cNvPr id="0" name=""/>
        <dsp:cNvSpPr/>
      </dsp:nvSpPr>
      <dsp:spPr>
        <a:xfrm>
          <a:off x="969088" y="19790"/>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Policy</a:t>
          </a:r>
        </a:p>
      </dsp:txBody>
      <dsp:txXfrm>
        <a:off x="997181" y="47883"/>
        <a:ext cx="765842" cy="519207"/>
      </dsp:txXfrm>
    </dsp:sp>
    <dsp:sp modelId="{9D99FB9A-6F15-4EFE-AE8A-DBB45CAD44DC}">
      <dsp:nvSpPr>
        <dsp:cNvPr id="0" name=""/>
        <dsp:cNvSpPr/>
      </dsp:nvSpPr>
      <dsp:spPr>
        <a:xfrm>
          <a:off x="1791116" y="74667"/>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1791116" y="74667"/>
        <a:ext cx="597865" cy="465058"/>
      </dsp:txXfrm>
    </dsp:sp>
    <dsp:sp modelId="{F1B81398-63F4-4C33-A317-D6C94E0D3FCF}">
      <dsp:nvSpPr>
        <dsp:cNvPr id="0" name=""/>
        <dsp:cNvSpPr/>
      </dsp:nvSpPr>
      <dsp:spPr>
        <a:xfrm rot="5400000">
          <a:off x="1780009" y="1207449"/>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31F3B6-B133-4E8F-8CD9-ED339394B47D}">
      <dsp:nvSpPr>
        <dsp:cNvPr id="0" name=""/>
        <dsp:cNvSpPr/>
      </dsp:nvSpPr>
      <dsp:spPr>
        <a:xfrm>
          <a:off x="1650637" y="666147"/>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Resource Allocation </a:t>
          </a:r>
        </a:p>
      </dsp:txBody>
      <dsp:txXfrm>
        <a:off x="1678730" y="694240"/>
        <a:ext cx="765842" cy="519207"/>
      </dsp:txXfrm>
    </dsp:sp>
    <dsp:sp modelId="{F68BDC98-6AFC-4B69-B72F-7CD08998A0EA}">
      <dsp:nvSpPr>
        <dsp:cNvPr id="0" name=""/>
        <dsp:cNvSpPr/>
      </dsp:nvSpPr>
      <dsp:spPr>
        <a:xfrm>
          <a:off x="2472665" y="721023"/>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2472665" y="721023"/>
        <a:ext cx="597865" cy="465058"/>
      </dsp:txXfrm>
    </dsp:sp>
    <dsp:sp modelId="{611ED002-5034-489E-8815-86BAB0836286}">
      <dsp:nvSpPr>
        <dsp:cNvPr id="0" name=""/>
        <dsp:cNvSpPr/>
      </dsp:nvSpPr>
      <dsp:spPr>
        <a:xfrm rot="5400000">
          <a:off x="2461558" y="1853805"/>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435ABF-AD5D-464B-874E-905CF39DF011}">
      <dsp:nvSpPr>
        <dsp:cNvPr id="0" name=""/>
        <dsp:cNvSpPr/>
      </dsp:nvSpPr>
      <dsp:spPr>
        <a:xfrm>
          <a:off x="2332185" y="1312503"/>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Institutional Capacity </a:t>
          </a:r>
        </a:p>
      </dsp:txBody>
      <dsp:txXfrm>
        <a:off x="2360278" y="1340596"/>
        <a:ext cx="765842" cy="519207"/>
      </dsp:txXfrm>
    </dsp:sp>
    <dsp:sp modelId="{5B9B4CB0-A87E-46BB-9865-DB1D961B2598}">
      <dsp:nvSpPr>
        <dsp:cNvPr id="0" name=""/>
        <dsp:cNvSpPr/>
      </dsp:nvSpPr>
      <dsp:spPr>
        <a:xfrm>
          <a:off x="3154214" y="1367380"/>
          <a:ext cx="597865" cy="465058"/>
        </a:xfrm>
        <a:prstGeom prst="rect">
          <a:avLst/>
        </a:prstGeom>
        <a:noFill/>
        <a:ln>
          <a:noFill/>
        </a:ln>
        <a:effectLst/>
      </dsp:spPr>
      <dsp:style>
        <a:lnRef idx="0">
          <a:scrgbClr r="0" g="0" b="0"/>
        </a:lnRef>
        <a:fillRef idx="0">
          <a:scrgbClr r="0" g="0" b="0"/>
        </a:fillRef>
        <a:effectRef idx="0">
          <a:scrgbClr r="0" g="0" b="0"/>
        </a:effectRef>
        <a:fontRef idx="minor"/>
      </dsp:style>
    </dsp:sp>
    <dsp:sp modelId="{F796D172-0AA7-4EB3-AC75-5601013278FE}">
      <dsp:nvSpPr>
        <dsp:cNvPr id="0" name=""/>
        <dsp:cNvSpPr/>
      </dsp:nvSpPr>
      <dsp:spPr>
        <a:xfrm rot="5400000">
          <a:off x="3143107" y="2500162"/>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7BA6402-E29B-4FC5-9EFB-F561B9E31C69}">
      <dsp:nvSpPr>
        <dsp:cNvPr id="0" name=""/>
        <dsp:cNvSpPr/>
      </dsp:nvSpPr>
      <dsp:spPr>
        <a:xfrm>
          <a:off x="3013734" y="1958859"/>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Local Implementation </a:t>
          </a:r>
        </a:p>
      </dsp:txBody>
      <dsp:txXfrm>
        <a:off x="3041827" y="1986952"/>
        <a:ext cx="765842" cy="519207"/>
      </dsp:txXfrm>
    </dsp:sp>
    <dsp:sp modelId="{70DFD8B4-45E8-454D-8ED2-378069FFCDF6}">
      <dsp:nvSpPr>
        <dsp:cNvPr id="0" name=""/>
        <dsp:cNvSpPr/>
      </dsp:nvSpPr>
      <dsp:spPr>
        <a:xfrm>
          <a:off x="3835762" y="2013736"/>
          <a:ext cx="597865" cy="465058"/>
        </a:xfrm>
        <a:prstGeom prst="rect">
          <a:avLst/>
        </a:prstGeom>
        <a:noFill/>
        <a:ln>
          <a:noFill/>
        </a:ln>
        <a:effectLst/>
      </dsp:spPr>
      <dsp:style>
        <a:lnRef idx="0">
          <a:scrgbClr r="0" g="0" b="0"/>
        </a:lnRef>
        <a:fillRef idx="0">
          <a:scrgbClr r="0" g="0" b="0"/>
        </a:fillRef>
        <a:effectRef idx="0">
          <a:scrgbClr r="0" g="0" b="0"/>
        </a:effectRef>
        <a:fontRef idx="minor"/>
      </dsp:style>
    </dsp:sp>
    <dsp:sp modelId="{863E5296-155A-41C8-BC36-7405050CB472}">
      <dsp:nvSpPr>
        <dsp:cNvPr id="0" name=""/>
        <dsp:cNvSpPr/>
      </dsp:nvSpPr>
      <dsp:spPr>
        <a:xfrm>
          <a:off x="3695283" y="2605216"/>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Community Response</a:t>
          </a:r>
        </a:p>
      </dsp:txBody>
      <dsp:txXfrm>
        <a:off x="3723376" y="2633309"/>
        <a:ext cx="765842" cy="519207"/>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3801</Words>
  <Characters>21668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Inam Alsalim (2502495)</cp:lastModifiedBy>
  <cp:revision>2</cp:revision>
  <dcterms:created xsi:type="dcterms:W3CDTF">2025-11-26T12:13:00Z</dcterms:created>
  <dcterms:modified xsi:type="dcterms:W3CDTF">2025-11-26T12:13:00Z</dcterms:modified>
</cp:coreProperties>
</file>