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E1ACD" w14:textId="77777777" w:rsidR="004810AE" w:rsidRPr="004810AE" w:rsidRDefault="004810AE" w:rsidP="004810AE">
      <w:pPr>
        <w:spacing w:line="276" w:lineRule="auto"/>
        <w:jc w:val="center"/>
        <w:rPr>
          <w:rFonts w:ascii="Arial" w:hAnsi="Arial" w:cs="Arial"/>
          <w:sz w:val="22"/>
        </w:rPr>
      </w:pPr>
    </w:p>
    <w:p w14:paraId="5877364A" w14:textId="77777777" w:rsidR="004810AE" w:rsidRPr="004810AE" w:rsidRDefault="004810AE" w:rsidP="004810AE">
      <w:pPr>
        <w:spacing w:line="276" w:lineRule="auto"/>
        <w:jc w:val="center"/>
        <w:rPr>
          <w:rFonts w:ascii="Arial" w:hAnsi="Arial" w:cs="Arial"/>
          <w:sz w:val="22"/>
        </w:rPr>
      </w:pPr>
    </w:p>
    <w:p w14:paraId="706A8C9F" w14:textId="77777777" w:rsidR="004810AE" w:rsidRPr="004810AE" w:rsidRDefault="004810AE" w:rsidP="004810AE">
      <w:pPr>
        <w:spacing w:line="276" w:lineRule="auto"/>
        <w:jc w:val="center"/>
        <w:rPr>
          <w:rFonts w:ascii="Arial" w:hAnsi="Arial" w:cs="Arial"/>
          <w:sz w:val="22"/>
        </w:rPr>
      </w:pPr>
    </w:p>
    <w:p w14:paraId="42A1A480" w14:textId="77777777" w:rsidR="004810AE" w:rsidRPr="004810AE" w:rsidRDefault="004810AE" w:rsidP="004810AE">
      <w:pPr>
        <w:spacing w:line="276" w:lineRule="auto"/>
        <w:jc w:val="center"/>
        <w:rPr>
          <w:rFonts w:ascii="Arial" w:hAnsi="Arial" w:cs="Arial"/>
          <w:sz w:val="22"/>
        </w:rPr>
      </w:pPr>
    </w:p>
    <w:p w14:paraId="4E309C57" w14:textId="77777777" w:rsidR="004810AE" w:rsidRPr="004810AE" w:rsidRDefault="004810AE" w:rsidP="004810AE">
      <w:pPr>
        <w:spacing w:line="276" w:lineRule="auto"/>
        <w:jc w:val="center"/>
        <w:rPr>
          <w:rFonts w:ascii="Arial" w:hAnsi="Arial" w:cs="Arial"/>
          <w:sz w:val="22"/>
        </w:rPr>
      </w:pPr>
    </w:p>
    <w:p w14:paraId="39EA8747" w14:textId="108B14EB" w:rsidR="004810AE" w:rsidRDefault="004810AE" w:rsidP="004810AE">
      <w:pPr>
        <w:spacing w:line="276" w:lineRule="auto"/>
        <w:jc w:val="center"/>
        <w:rPr>
          <w:rFonts w:ascii="Arial" w:hAnsi="Arial" w:cs="Arial"/>
          <w:color w:val="131313"/>
          <w:sz w:val="22"/>
          <w:shd w:val="clear" w:color="auto" w:fill="FFFFFF"/>
        </w:rPr>
      </w:pPr>
      <w:r w:rsidRPr="004810AE">
        <w:rPr>
          <w:rFonts w:ascii="Arial" w:hAnsi="Arial" w:cs="Arial"/>
          <w:sz w:val="22"/>
        </w:rPr>
        <w:t>BMHP6009</w:t>
      </w:r>
      <w:r w:rsidRPr="004810AE">
        <w:rPr>
          <w:rFonts w:ascii="Arial" w:hAnsi="Arial" w:cs="Arial"/>
          <w:sz w:val="22"/>
        </w:rPr>
        <w:softHyphen/>
      </w:r>
      <w:r w:rsidRPr="004810AE">
        <w:rPr>
          <w:rFonts w:ascii="Arial" w:hAnsi="Arial" w:cs="Arial"/>
          <w:sz w:val="22"/>
        </w:rPr>
        <w:softHyphen/>
      </w:r>
      <w:r w:rsidRPr="004810AE">
        <w:rPr>
          <w:rFonts w:ascii="Arial" w:hAnsi="Arial" w:cs="Arial"/>
          <w:sz w:val="22"/>
        </w:rPr>
        <w:softHyphen/>
      </w:r>
      <w:r w:rsidRPr="004810AE">
        <w:rPr>
          <w:rFonts w:ascii="Arial" w:hAnsi="Arial" w:cs="Arial"/>
          <w:color w:val="131313"/>
          <w:sz w:val="22"/>
          <w:shd w:val="clear" w:color="auto" w:fill="FFFFFF"/>
        </w:rPr>
        <w:t>_BIRM Component 2</w:t>
      </w:r>
    </w:p>
    <w:p w14:paraId="42AE2B53" w14:textId="5147C4C8" w:rsidR="004810AE" w:rsidRDefault="004810AE" w:rsidP="004810AE">
      <w:pPr>
        <w:spacing w:line="276" w:lineRule="auto"/>
        <w:jc w:val="center"/>
        <w:rPr>
          <w:rFonts w:ascii="Arial" w:hAnsi="Arial" w:cs="Arial"/>
          <w:color w:val="131313"/>
          <w:sz w:val="22"/>
          <w:shd w:val="clear" w:color="auto" w:fill="FFFFFF"/>
        </w:rPr>
      </w:pPr>
      <w:r>
        <w:rPr>
          <w:rFonts w:ascii="Arial" w:hAnsi="Arial" w:cs="Arial"/>
          <w:color w:val="131313"/>
          <w:sz w:val="22"/>
          <w:shd w:val="clear" w:color="auto" w:fill="FFFFFF"/>
        </w:rPr>
        <w:t>Written Assignment - Essay</w:t>
      </w:r>
    </w:p>
    <w:p w14:paraId="7554882E" w14:textId="714AB65F" w:rsidR="004810AE" w:rsidRDefault="004810AE" w:rsidP="004810AE">
      <w:pPr>
        <w:spacing w:line="276" w:lineRule="auto"/>
        <w:jc w:val="center"/>
        <w:rPr>
          <w:rFonts w:ascii="Arial" w:hAnsi="Arial" w:cs="Arial"/>
          <w:color w:val="131313"/>
          <w:sz w:val="22"/>
          <w:shd w:val="clear" w:color="auto" w:fill="FFFFFF"/>
        </w:rPr>
      </w:pPr>
      <w:r>
        <w:rPr>
          <w:rFonts w:ascii="Arial" w:hAnsi="Arial" w:cs="Arial"/>
          <w:color w:val="131313"/>
          <w:sz w:val="22"/>
          <w:shd w:val="clear" w:color="auto" w:fill="FFFFFF"/>
        </w:rPr>
        <w:t>Living with Care: The Older Person</w:t>
      </w:r>
    </w:p>
    <w:p w14:paraId="5A434176" w14:textId="372A4D1B" w:rsidR="004810AE" w:rsidRPr="004810AE" w:rsidRDefault="004810AE" w:rsidP="004810AE">
      <w:pPr>
        <w:spacing w:line="276" w:lineRule="auto"/>
        <w:jc w:val="center"/>
        <w:rPr>
          <w:rFonts w:ascii="Arial" w:hAnsi="Arial" w:cs="Arial"/>
          <w:color w:val="131313"/>
          <w:sz w:val="22"/>
          <w:shd w:val="clear" w:color="auto" w:fill="FFFFFF"/>
        </w:rPr>
      </w:pPr>
      <w:r>
        <w:rPr>
          <w:rFonts w:ascii="Arial" w:hAnsi="Arial" w:cs="Arial"/>
          <w:color w:val="131313"/>
          <w:sz w:val="22"/>
          <w:shd w:val="clear" w:color="auto" w:fill="FFFFFF"/>
        </w:rPr>
        <w:t>Joanne Davies</w:t>
      </w:r>
    </w:p>
    <w:p w14:paraId="46F9414D" w14:textId="77777777" w:rsidR="004810AE" w:rsidRPr="004810AE" w:rsidRDefault="004810AE" w:rsidP="004810AE">
      <w:pPr>
        <w:spacing w:line="276" w:lineRule="auto"/>
        <w:jc w:val="center"/>
        <w:rPr>
          <w:rFonts w:ascii="Arial" w:hAnsi="Arial" w:cs="Arial"/>
          <w:color w:val="131313"/>
          <w:sz w:val="22"/>
          <w:shd w:val="clear" w:color="auto" w:fill="FFFFFF"/>
        </w:rPr>
      </w:pPr>
      <w:r w:rsidRPr="004810AE">
        <w:rPr>
          <w:rFonts w:ascii="Arial" w:hAnsi="Arial" w:cs="Arial"/>
          <w:color w:val="131313"/>
          <w:sz w:val="22"/>
          <w:shd w:val="clear" w:color="auto" w:fill="FFFFFF"/>
        </w:rPr>
        <w:t xml:space="preserve">Essay- ‘ Elderly People in UK and the Problem they are experiencing along with the Changes it has brought in the Governemnt and Policies related to Elderly in UK’ </w:t>
      </w:r>
    </w:p>
    <w:p w14:paraId="634AF2B9" w14:textId="77777777" w:rsidR="004810AE" w:rsidRPr="004810AE" w:rsidRDefault="004810AE" w:rsidP="004810AE">
      <w:pPr>
        <w:spacing w:line="276" w:lineRule="auto"/>
        <w:jc w:val="center"/>
        <w:rPr>
          <w:rFonts w:ascii="Arial" w:hAnsi="Arial" w:cs="Arial"/>
          <w:color w:val="131313"/>
          <w:sz w:val="22"/>
          <w:shd w:val="clear" w:color="auto" w:fill="FFFFFF"/>
        </w:rPr>
      </w:pPr>
      <w:r w:rsidRPr="004810AE">
        <w:rPr>
          <w:rFonts w:ascii="Arial" w:hAnsi="Arial" w:cs="Arial"/>
          <w:color w:val="131313"/>
          <w:sz w:val="22"/>
          <w:shd w:val="clear" w:color="auto" w:fill="FFFFFF"/>
        </w:rPr>
        <w:t xml:space="preserve">Presented by </w:t>
      </w:r>
    </w:p>
    <w:p w14:paraId="4D4E958C" w14:textId="6A0D59E6" w:rsidR="004810AE" w:rsidRPr="004810AE" w:rsidRDefault="004810AE" w:rsidP="004810AE">
      <w:pPr>
        <w:spacing w:line="276" w:lineRule="auto"/>
        <w:jc w:val="center"/>
        <w:rPr>
          <w:rFonts w:ascii="Arial" w:hAnsi="Arial" w:cs="Arial"/>
          <w:color w:val="131313"/>
          <w:sz w:val="22"/>
          <w:shd w:val="clear" w:color="auto" w:fill="FFFFFF"/>
        </w:rPr>
      </w:pPr>
      <w:r w:rsidRPr="004810AE">
        <w:rPr>
          <w:rFonts w:ascii="Arial" w:hAnsi="Arial" w:cs="Arial"/>
          <w:color w:val="131313"/>
          <w:sz w:val="22"/>
          <w:shd w:val="clear" w:color="auto" w:fill="FFFFFF"/>
        </w:rPr>
        <w:t>Fo</w:t>
      </w:r>
      <w:r>
        <w:rPr>
          <w:rFonts w:ascii="Arial" w:hAnsi="Arial" w:cs="Arial"/>
          <w:color w:val="131313"/>
          <w:sz w:val="22"/>
          <w:shd w:val="clear" w:color="auto" w:fill="FFFFFF"/>
        </w:rPr>
        <w:t>zeea Jabeen</w:t>
      </w:r>
      <w:r w:rsidRPr="004810AE">
        <w:rPr>
          <w:rFonts w:ascii="Arial" w:hAnsi="Arial" w:cs="Arial"/>
          <w:color w:val="131313"/>
          <w:sz w:val="22"/>
          <w:shd w:val="clear" w:color="auto" w:fill="FFFFFF"/>
        </w:rPr>
        <w:t xml:space="preserve"> </w:t>
      </w:r>
    </w:p>
    <w:p w14:paraId="5ACBFCBE" w14:textId="77777777" w:rsidR="004810AE" w:rsidRPr="004810AE" w:rsidRDefault="004810AE" w:rsidP="004810AE">
      <w:pPr>
        <w:spacing w:line="276" w:lineRule="auto"/>
        <w:jc w:val="center"/>
        <w:rPr>
          <w:rFonts w:ascii="Arial" w:hAnsi="Arial" w:cs="Arial"/>
          <w:color w:val="131313"/>
          <w:sz w:val="22"/>
          <w:shd w:val="clear" w:color="auto" w:fill="FFFFFF"/>
        </w:rPr>
      </w:pPr>
      <w:r w:rsidRPr="004810AE">
        <w:rPr>
          <w:rFonts w:ascii="Arial" w:hAnsi="Arial" w:cs="Arial"/>
          <w:sz w:val="22"/>
        </w:rPr>
        <w:t>Student ID: 1914129</w:t>
      </w:r>
    </w:p>
    <w:p w14:paraId="5EABD98A" w14:textId="77777777" w:rsidR="004810AE" w:rsidRPr="004810AE" w:rsidRDefault="004810AE" w:rsidP="004810AE">
      <w:pPr>
        <w:spacing w:line="276" w:lineRule="auto"/>
        <w:jc w:val="center"/>
        <w:rPr>
          <w:rFonts w:ascii="Arial" w:hAnsi="Arial" w:cs="Arial"/>
          <w:color w:val="131313"/>
          <w:sz w:val="22"/>
          <w:shd w:val="clear" w:color="auto" w:fill="FFFFFF"/>
        </w:rPr>
      </w:pPr>
    </w:p>
    <w:p w14:paraId="01C57F25" w14:textId="77777777" w:rsidR="004810AE" w:rsidRPr="004810AE" w:rsidRDefault="004810AE" w:rsidP="004810AE">
      <w:pPr>
        <w:spacing w:line="276" w:lineRule="auto"/>
        <w:jc w:val="center"/>
        <w:rPr>
          <w:rFonts w:ascii="Arial" w:hAnsi="Arial" w:cs="Arial"/>
          <w:color w:val="131313"/>
          <w:sz w:val="22"/>
          <w:shd w:val="clear" w:color="auto" w:fill="FFFFFF"/>
        </w:rPr>
      </w:pPr>
    </w:p>
    <w:p w14:paraId="10AB5329" w14:textId="5404D16A" w:rsidR="004810AE" w:rsidRPr="004810AE" w:rsidRDefault="004810AE" w:rsidP="004810AE">
      <w:pPr>
        <w:spacing w:line="276" w:lineRule="auto"/>
        <w:jc w:val="center"/>
        <w:rPr>
          <w:rFonts w:ascii="Arial" w:hAnsi="Arial" w:cs="Arial"/>
          <w:color w:val="131313"/>
          <w:sz w:val="22"/>
          <w:shd w:val="clear" w:color="auto" w:fill="FFFFFF"/>
        </w:rPr>
      </w:pPr>
      <w:r w:rsidRPr="004810AE">
        <w:rPr>
          <w:rFonts w:ascii="Arial" w:hAnsi="Arial" w:cs="Arial"/>
          <w:color w:val="131313"/>
          <w:sz w:val="22"/>
          <w:shd w:val="clear" w:color="auto" w:fill="FFFFFF"/>
        </w:rPr>
        <w:t xml:space="preserve"> </w:t>
      </w:r>
    </w:p>
    <w:p w14:paraId="17A1FF86" w14:textId="77777777" w:rsidR="004810AE" w:rsidRPr="004810AE" w:rsidRDefault="004810AE" w:rsidP="004810AE">
      <w:pPr>
        <w:spacing w:line="276" w:lineRule="auto"/>
        <w:rPr>
          <w:rFonts w:ascii="Arial" w:hAnsi="Arial" w:cs="Arial"/>
          <w:color w:val="131313"/>
          <w:sz w:val="22"/>
          <w:shd w:val="clear" w:color="auto" w:fill="FFFFFF"/>
        </w:rPr>
      </w:pPr>
      <w:r w:rsidRPr="004810AE">
        <w:rPr>
          <w:rFonts w:ascii="Arial" w:hAnsi="Arial" w:cs="Arial"/>
          <w:color w:val="131313"/>
          <w:sz w:val="22"/>
          <w:shd w:val="clear" w:color="auto" w:fill="FFFFFF"/>
        </w:rPr>
        <w:br w:type="page"/>
      </w:r>
    </w:p>
    <w:sdt>
      <w:sdtPr>
        <w:rPr>
          <w:rFonts w:ascii="Arial" w:eastAsiaTheme="minorHAnsi" w:hAnsi="Arial" w:cs="Arial"/>
          <w:noProof/>
          <w:color w:val="auto"/>
          <w:sz w:val="22"/>
          <w:szCs w:val="22"/>
          <w:lang w:val="en-GB"/>
        </w:rPr>
        <w:id w:val="1103147689"/>
        <w:docPartObj>
          <w:docPartGallery w:val="Table of Contents"/>
          <w:docPartUnique/>
        </w:docPartObj>
      </w:sdtPr>
      <w:sdtEndPr>
        <w:rPr>
          <w:b/>
          <w:bCs/>
        </w:rPr>
      </w:sdtEndPr>
      <w:sdtContent>
        <w:p w14:paraId="3CD487EE" w14:textId="77777777" w:rsidR="004810AE" w:rsidRPr="004810AE" w:rsidRDefault="004810AE" w:rsidP="004810AE">
          <w:pPr>
            <w:pStyle w:val="TOCHeading"/>
            <w:spacing w:line="276" w:lineRule="auto"/>
            <w:rPr>
              <w:rFonts w:ascii="Arial" w:hAnsi="Arial" w:cs="Arial"/>
              <w:sz w:val="22"/>
              <w:szCs w:val="22"/>
            </w:rPr>
          </w:pPr>
        </w:p>
        <w:p w14:paraId="406F7D8B" w14:textId="77777777" w:rsidR="004810AE" w:rsidRPr="004810AE" w:rsidRDefault="004810AE" w:rsidP="004810AE">
          <w:pPr>
            <w:spacing w:line="276" w:lineRule="auto"/>
            <w:rPr>
              <w:rFonts w:ascii="Arial" w:hAnsi="Arial" w:cs="Arial"/>
              <w:sz w:val="22"/>
            </w:rPr>
          </w:pPr>
        </w:p>
      </w:sdtContent>
    </w:sdt>
    <w:p w14:paraId="10300D4C" w14:textId="77777777" w:rsidR="004810AE" w:rsidRPr="004810AE" w:rsidRDefault="004810AE" w:rsidP="004810AE">
      <w:pPr>
        <w:pStyle w:val="Heading1"/>
        <w:spacing w:line="276" w:lineRule="auto"/>
        <w:jc w:val="left"/>
        <w:rPr>
          <w:rFonts w:ascii="Arial" w:hAnsi="Arial" w:cs="Arial"/>
          <w:sz w:val="22"/>
          <w:szCs w:val="22"/>
          <w:shd w:val="clear" w:color="auto" w:fill="FFFFFF"/>
        </w:rPr>
      </w:pPr>
    </w:p>
    <w:p w14:paraId="1E7AE13F" w14:textId="77777777" w:rsidR="004810AE" w:rsidRPr="004810AE" w:rsidRDefault="004810AE" w:rsidP="004810AE">
      <w:pPr>
        <w:spacing w:line="276" w:lineRule="auto"/>
        <w:rPr>
          <w:rFonts w:ascii="Arial" w:eastAsiaTheme="majorEastAsia" w:hAnsi="Arial" w:cs="Arial"/>
          <w:b/>
          <w:sz w:val="22"/>
          <w:shd w:val="clear" w:color="auto" w:fill="FFFFFF"/>
        </w:rPr>
      </w:pPr>
      <w:r w:rsidRPr="004810AE">
        <w:rPr>
          <w:rFonts w:ascii="Arial" w:hAnsi="Arial" w:cs="Arial"/>
          <w:sz w:val="22"/>
          <w:shd w:val="clear" w:color="auto" w:fill="FFFFFF"/>
        </w:rPr>
        <w:br w:type="page"/>
      </w:r>
    </w:p>
    <w:p w14:paraId="6B1FF00C" w14:textId="77777777" w:rsidR="004810AE" w:rsidRPr="004810AE" w:rsidRDefault="004810AE" w:rsidP="004810AE">
      <w:pPr>
        <w:pStyle w:val="Heading1"/>
        <w:spacing w:line="276" w:lineRule="auto"/>
        <w:jc w:val="left"/>
        <w:rPr>
          <w:rFonts w:ascii="Arial" w:hAnsi="Arial" w:cs="Arial"/>
          <w:sz w:val="22"/>
          <w:szCs w:val="22"/>
          <w:shd w:val="clear" w:color="auto" w:fill="FFFFFF"/>
        </w:rPr>
      </w:pPr>
      <w:bookmarkStart w:id="0" w:name="_Toc110091886"/>
      <w:r w:rsidRPr="004810AE">
        <w:rPr>
          <w:rFonts w:ascii="Arial" w:hAnsi="Arial" w:cs="Arial"/>
          <w:sz w:val="22"/>
          <w:szCs w:val="22"/>
          <w:shd w:val="clear" w:color="auto" w:fill="FFFFFF"/>
        </w:rPr>
        <w:lastRenderedPageBreak/>
        <w:t>Introduction</w:t>
      </w:r>
      <w:bookmarkEnd w:id="0"/>
    </w:p>
    <w:p w14:paraId="4348E51C" w14:textId="77777777" w:rsidR="004810AE" w:rsidRPr="004810AE" w:rsidRDefault="004810AE" w:rsidP="004810AE">
      <w:pPr>
        <w:spacing w:line="276" w:lineRule="auto"/>
        <w:rPr>
          <w:rFonts w:ascii="Arial" w:hAnsi="Arial" w:cs="Arial"/>
          <w:color w:val="131313"/>
          <w:sz w:val="22"/>
          <w:shd w:val="clear" w:color="auto" w:fill="FFFFFF"/>
        </w:rPr>
      </w:pPr>
      <w:r w:rsidRPr="004810AE">
        <w:rPr>
          <w:rFonts w:ascii="Arial" w:hAnsi="Arial" w:cs="Arial"/>
          <w:color w:val="131313"/>
          <w:sz w:val="22"/>
          <w:shd w:val="clear" w:color="auto" w:fill="FFFFFF"/>
        </w:rPr>
        <w:t xml:space="preserve">There are millions of people turning old each day. Old age is also known as senescence in the human being, which is the final stage of a person’s average life span. There is a dual definition of old age. For instance, it is considered the last stage in the life processes of a person, and an age group comprises a segment of the most senior members of a population (Britannica, 2022). According to MHA (2022), people in the United Kingdom are aging, and the majority of the UK population live longer lives than previously. There are more than 15 million individuals aged 60 or older, making up about 23% of the population in the United Kingdom. More than 3 million people aged 80 and almost 600,000 individuals aged over 90 in the United Kingdom (MHA, 2022). </w:t>
      </w:r>
    </w:p>
    <w:p w14:paraId="5E8A3A9D" w14:textId="77777777" w:rsidR="004810AE" w:rsidRPr="004810AE" w:rsidRDefault="004810AE" w:rsidP="004810AE">
      <w:pPr>
        <w:spacing w:line="276" w:lineRule="auto"/>
        <w:rPr>
          <w:rFonts w:ascii="Arial" w:hAnsi="Arial" w:cs="Arial"/>
          <w:color w:val="131313"/>
          <w:sz w:val="22"/>
          <w:shd w:val="clear" w:color="auto" w:fill="FFFFFF"/>
        </w:rPr>
      </w:pPr>
      <w:r w:rsidRPr="004810AE">
        <w:rPr>
          <w:rFonts w:ascii="Arial" w:hAnsi="Arial" w:cs="Arial"/>
          <w:color w:val="131313"/>
          <w:sz w:val="22"/>
          <w:shd w:val="clear" w:color="auto" w:fill="FFFFFF"/>
        </w:rPr>
        <w:t xml:space="preserve">The essay is based on older adults in the United Kingdom. The essay aims to focus on and determine the issues that older people in the UK experience. It will further highlight why the problems are of particular concern and explore the outcomes and response of the government, HSC sector, and societal answers to old age and their problems in the United Kingdom. </w:t>
      </w:r>
    </w:p>
    <w:p w14:paraId="77F771E6" w14:textId="77777777" w:rsidR="004810AE" w:rsidRPr="004810AE" w:rsidRDefault="004810AE" w:rsidP="004810AE">
      <w:pPr>
        <w:pStyle w:val="Heading1"/>
        <w:spacing w:line="276" w:lineRule="auto"/>
        <w:jc w:val="left"/>
        <w:rPr>
          <w:rFonts w:ascii="Arial" w:hAnsi="Arial" w:cs="Arial"/>
          <w:sz w:val="22"/>
          <w:szCs w:val="22"/>
          <w:shd w:val="clear" w:color="auto" w:fill="FFFFFF"/>
        </w:rPr>
      </w:pPr>
      <w:bookmarkStart w:id="1" w:name="_Toc110091887"/>
      <w:r w:rsidRPr="004810AE">
        <w:rPr>
          <w:rFonts w:ascii="Arial" w:hAnsi="Arial" w:cs="Arial"/>
          <w:sz w:val="22"/>
          <w:szCs w:val="22"/>
          <w:shd w:val="clear" w:color="auto" w:fill="FFFFFF"/>
        </w:rPr>
        <w:t>Aging Population in the United Kingdom</w:t>
      </w:r>
      <w:bookmarkEnd w:id="1"/>
      <w:r w:rsidRPr="004810AE">
        <w:rPr>
          <w:rFonts w:ascii="Arial" w:hAnsi="Arial" w:cs="Arial"/>
          <w:sz w:val="22"/>
          <w:szCs w:val="22"/>
          <w:shd w:val="clear" w:color="auto" w:fill="FFFFFF"/>
        </w:rPr>
        <w:t xml:space="preserve"> </w:t>
      </w:r>
    </w:p>
    <w:p w14:paraId="6AD96EBA" w14:textId="77777777" w:rsidR="004810AE" w:rsidRPr="004810AE" w:rsidRDefault="004810AE" w:rsidP="004810AE">
      <w:pPr>
        <w:spacing w:line="276" w:lineRule="auto"/>
        <w:rPr>
          <w:rFonts w:ascii="Arial" w:hAnsi="Arial" w:cs="Arial"/>
          <w:sz w:val="22"/>
        </w:rPr>
      </w:pPr>
      <w:r w:rsidRPr="004810AE">
        <w:rPr>
          <w:rFonts w:ascii="Arial" w:hAnsi="Arial" w:cs="Arial"/>
          <w:sz w:val="22"/>
        </w:rPr>
        <w:t xml:space="preserve">According to NHS (2022), more than 1 in every 5 people aged 60 or over 60 has increased from 14.9 million in 2014 and is likely to increase to 18.5 million in 2025. Studies indicate that 75% of people aged 75 are likely to have more than one long-term health condition, rising to 82% for those aged 85 (National Health Service (NHS), 2022). About 11 million in the United Kingdom are over 65, which is set to increase to 14 million in 2032 (Moore &amp; Davies, 2015). According to NHS (2022), a person over 65 is considered the oldest. However, there is no local definition of old age because there are individuals who can biologically age at different rates. For example, one can be healthy at the age of 75 and the other at the age of 60. </w:t>
      </w:r>
    </w:p>
    <w:p w14:paraId="3279BE3F" w14:textId="77777777" w:rsidR="004810AE" w:rsidRPr="004810AE" w:rsidRDefault="004810AE" w:rsidP="004810AE">
      <w:pPr>
        <w:spacing w:line="276" w:lineRule="auto"/>
        <w:rPr>
          <w:rFonts w:ascii="Arial" w:hAnsi="Arial" w:cs="Arial"/>
          <w:sz w:val="22"/>
        </w:rPr>
      </w:pPr>
      <w:r w:rsidRPr="004810AE">
        <w:rPr>
          <w:rFonts w:ascii="Arial" w:hAnsi="Arial" w:cs="Arial"/>
          <w:sz w:val="22"/>
        </w:rPr>
        <w:t>People aged 75 in the United Kingdom with long-term health conditions have increased, and requirements for these elderly people have become more crucial resulting into increased demand of services from the NHS. The UK has to face instant change at times due to the needs of the older people that change with age, resulting in changes over time with long-term conditions and social care needs interact (Raymond et al., 2021). The ageing in the United Kingdom has majorly affected the health and care needs in different areas across the UK.</w:t>
      </w:r>
    </w:p>
    <w:p w14:paraId="0384474A" w14:textId="77777777" w:rsidR="004810AE" w:rsidRPr="004810AE" w:rsidRDefault="004810AE" w:rsidP="004810AE">
      <w:pPr>
        <w:pStyle w:val="Heading1"/>
        <w:spacing w:line="276" w:lineRule="auto"/>
        <w:jc w:val="left"/>
        <w:rPr>
          <w:rFonts w:ascii="Arial" w:hAnsi="Arial" w:cs="Arial"/>
          <w:sz w:val="22"/>
          <w:szCs w:val="22"/>
        </w:rPr>
      </w:pPr>
      <w:bookmarkStart w:id="2" w:name="_Toc110091888"/>
      <w:r w:rsidRPr="004810AE">
        <w:rPr>
          <w:rFonts w:ascii="Arial" w:hAnsi="Arial" w:cs="Arial"/>
          <w:sz w:val="22"/>
          <w:szCs w:val="22"/>
        </w:rPr>
        <w:t>Challenges of Ageing Population in UK</w:t>
      </w:r>
      <w:bookmarkEnd w:id="2"/>
      <w:r w:rsidRPr="004810AE">
        <w:rPr>
          <w:rFonts w:ascii="Arial" w:hAnsi="Arial" w:cs="Arial"/>
          <w:sz w:val="22"/>
          <w:szCs w:val="22"/>
        </w:rPr>
        <w:t xml:space="preserve"> </w:t>
      </w:r>
    </w:p>
    <w:p w14:paraId="04AF918B" w14:textId="77777777" w:rsidR="004810AE" w:rsidRPr="004810AE" w:rsidRDefault="004810AE" w:rsidP="004810AE">
      <w:pPr>
        <w:spacing w:line="276" w:lineRule="auto"/>
        <w:rPr>
          <w:rFonts w:ascii="Arial" w:hAnsi="Arial" w:cs="Arial"/>
          <w:sz w:val="22"/>
        </w:rPr>
      </w:pPr>
      <w:r w:rsidRPr="004810AE">
        <w:rPr>
          <w:rFonts w:ascii="Arial" w:hAnsi="Arial" w:cs="Arial"/>
          <w:sz w:val="22"/>
        </w:rPr>
        <w:t xml:space="preserve">According to the UK Parliament (2022), older people in the UK are changing the shape of the UK population. Moreover, these individuals are likely to experience different life challenges as they grow old and aim to live a better quality of life. According to The Live-in Care Hub (2022), health and mobility problems are the first things that highlight when thinking about issues affecting the elderly. In addition, some older people in the UK experience social isolation because their children are busy in their own lives and families and fail to give time to their elderly adults, due to which elderly are likely to experience significant health conditions. </w:t>
      </w:r>
    </w:p>
    <w:p w14:paraId="5E6F22B0" w14:textId="77777777" w:rsidR="004810AE" w:rsidRPr="004810AE" w:rsidRDefault="004810AE" w:rsidP="004810AE">
      <w:pPr>
        <w:spacing w:line="276" w:lineRule="auto"/>
        <w:rPr>
          <w:rFonts w:ascii="Arial" w:hAnsi="Arial" w:cs="Arial"/>
          <w:sz w:val="22"/>
        </w:rPr>
      </w:pPr>
      <w:r w:rsidRPr="004810AE">
        <w:rPr>
          <w:rFonts w:ascii="Arial" w:hAnsi="Arial" w:cs="Arial"/>
          <w:sz w:val="22"/>
        </w:rPr>
        <w:t xml:space="preserve">Moreover, the elderly often retire from their workplace, losing the sense of self-worth and reason to get up each morning. Most of the elderly in the UK have to stay alone and develop increased health conditions because of losing their spouse or a life partner (The Live-in Care Hub, 2022). </w:t>
      </w:r>
      <w:r w:rsidRPr="004810AE">
        <w:rPr>
          <w:rFonts w:ascii="Arial" w:hAnsi="Arial" w:cs="Arial"/>
          <w:sz w:val="22"/>
        </w:rPr>
        <w:lastRenderedPageBreak/>
        <w:t>Losing contact with family members, separation from the partner, unable to manage everyday activities, and many other challenges are experienced by the elderly in the UK. Most of the elderly experience financial issues due to no source of income. They feel less worthy and are likely to develop disabilities. Most of the older people in the UK live with long-term conditions such as dementia, Alzheimer’s, and low mental well-being problems (MHA, 2022).</w:t>
      </w:r>
    </w:p>
    <w:p w14:paraId="6892A5AF" w14:textId="77777777" w:rsidR="004810AE" w:rsidRPr="004810AE" w:rsidRDefault="004810AE" w:rsidP="004810AE">
      <w:pPr>
        <w:spacing w:line="276" w:lineRule="auto"/>
        <w:rPr>
          <w:rFonts w:ascii="Arial" w:hAnsi="Arial" w:cs="Arial"/>
          <w:sz w:val="22"/>
        </w:rPr>
      </w:pPr>
      <w:r w:rsidRPr="004810AE">
        <w:rPr>
          <w:rFonts w:ascii="Arial" w:hAnsi="Arial" w:cs="Arial"/>
          <w:sz w:val="22"/>
        </w:rPr>
        <w:t>One of the most common and significant issues faced by elderly adults in the UK is abuse. According to Kmietowicz (2004), there is an estimated more than 500,000 elderly people in England being abused by their families, caretaker, and strangers. Moreover, the abuse of elderly people is not reported because older people are unable, frightened, and embarrassed to inform about being abused. According to Age UK (2020), More than 80,000 elderly people in the United Kingdom suffer from domestic abuse during the government legislation delay. The elderly aged 60 to 74 have suffered from domestic abuse since 2019. According to Shepperd (2021), hundreds and thousands of older people in the UK each year are reported with increased abuse domestically across areas in the UK. These people are at higher risk of developing major mental disorders and impact on their well-being due to abuse.</w:t>
      </w:r>
    </w:p>
    <w:p w14:paraId="5CEB0C0E" w14:textId="77777777" w:rsidR="004810AE" w:rsidRPr="004810AE" w:rsidRDefault="004810AE" w:rsidP="004810AE">
      <w:pPr>
        <w:pStyle w:val="Heading1"/>
        <w:spacing w:line="276" w:lineRule="auto"/>
        <w:jc w:val="left"/>
        <w:rPr>
          <w:rFonts w:ascii="Arial" w:hAnsi="Arial" w:cs="Arial"/>
          <w:sz w:val="22"/>
          <w:szCs w:val="22"/>
        </w:rPr>
      </w:pPr>
      <w:bookmarkStart w:id="3" w:name="_Toc110091889"/>
      <w:r w:rsidRPr="004810AE">
        <w:rPr>
          <w:rFonts w:ascii="Arial" w:hAnsi="Arial" w:cs="Arial"/>
          <w:sz w:val="22"/>
          <w:szCs w:val="22"/>
        </w:rPr>
        <w:t>Effects of the Pandemic on Older People in the UK</w:t>
      </w:r>
      <w:bookmarkEnd w:id="3"/>
      <w:r w:rsidRPr="004810AE">
        <w:rPr>
          <w:rFonts w:ascii="Arial" w:hAnsi="Arial" w:cs="Arial"/>
          <w:sz w:val="22"/>
          <w:szCs w:val="22"/>
        </w:rPr>
        <w:t xml:space="preserve"> </w:t>
      </w:r>
    </w:p>
    <w:p w14:paraId="403A5AFD" w14:textId="77777777" w:rsidR="004810AE" w:rsidRPr="004810AE" w:rsidRDefault="004810AE" w:rsidP="004810AE">
      <w:pPr>
        <w:spacing w:line="276" w:lineRule="auto"/>
        <w:rPr>
          <w:rFonts w:ascii="Arial" w:hAnsi="Arial" w:cs="Arial"/>
          <w:sz w:val="22"/>
        </w:rPr>
      </w:pPr>
      <w:r w:rsidRPr="004810AE">
        <w:rPr>
          <w:rFonts w:ascii="Arial" w:hAnsi="Arial" w:cs="Arial"/>
          <w:sz w:val="22"/>
        </w:rPr>
        <w:t xml:space="preserve">Older adults inlcuding those are living in unstable areas and places where people are left untreated in the UK, faced significant challenges during the pandemic aged 50 and over. According to Manchester (2021), physical decline was reported due to restrictions on mobility and lack of exercise. Mental deterioration was written during the pandemic among older people because of losing relatives. There are other reasons, such as lack of communication or interacting with the family members or closed ones. The impact of shielding and no access to engage with friends or people in their neighborhood or such as walking in the garden with friends or an area where the elderly meet their neighborhood friends and family members. Research indicates that elderly adults have participated and contributed in community services to provide support to others and their families by volunteering during the challenges situtations (Manchester, 2021). </w:t>
      </w:r>
    </w:p>
    <w:p w14:paraId="19C176F3" w14:textId="77777777" w:rsidR="004810AE" w:rsidRPr="004810AE" w:rsidRDefault="004810AE" w:rsidP="004810AE">
      <w:pPr>
        <w:spacing w:line="276" w:lineRule="auto"/>
        <w:rPr>
          <w:rFonts w:ascii="Arial" w:hAnsi="Arial" w:cs="Arial"/>
          <w:sz w:val="22"/>
        </w:rPr>
      </w:pPr>
      <w:r w:rsidRPr="004810AE">
        <w:rPr>
          <w:rFonts w:ascii="Arial" w:hAnsi="Arial" w:cs="Arial"/>
          <w:sz w:val="22"/>
        </w:rPr>
        <w:t>According to Lebrasseur et al. (2021), isolation and protective measures are crucial for the aging population in the United Kingdom. The Elderly in the UK were reported experiencing loneliness, age discrimination, and excessive worrying during the pandemic. Moreover, these individuals reported experiencing cognitive decline and were experiencing mental health issues because of being alone on themselves during the pandemic. According to Buffel et al. (2021), older people have been out of proportion affected by the pandemic regardless of being in the healthcare centre, community,  or care homes. The care homes were not sufficiently protected for the elderly people. Adults aged 60 and over were reported with over 95% of death in Europe. Older people who had to shield themselves at home were likely to face challenges. These challenges include declining healthcare conditions unrelated to the pandemic, higher risks of violence, neglect, abuse, and increased poverty that adversely impact their well-being, mental health, and social life. Moreover, these individuals had to experience ageism, digital exclusion, social isolation, and pressure on their mental health (Buffel et al., 2021).</w:t>
      </w:r>
    </w:p>
    <w:p w14:paraId="2DFD165B" w14:textId="77777777" w:rsidR="004810AE" w:rsidRPr="004810AE" w:rsidRDefault="004810AE" w:rsidP="004810AE">
      <w:pPr>
        <w:spacing w:line="276" w:lineRule="auto"/>
        <w:rPr>
          <w:rFonts w:ascii="Arial" w:hAnsi="Arial" w:cs="Arial"/>
          <w:sz w:val="22"/>
        </w:rPr>
      </w:pPr>
      <w:r w:rsidRPr="004810AE">
        <w:rPr>
          <w:rFonts w:ascii="Arial" w:hAnsi="Arial" w:cs="Arial"/>
          <w:sz w:val="22"/>
        </w:rPr>
        <w:lastRenderedPageBreak/>
        <w:t xml:space="preserve"> According to Wu (2020), social isolation and loneliness is mostly affecting health outcomes. Both are at the major risk factors connected with poor mental and physical health among older people. About 43% of the older people reported feeling lonely and were at a higher risk of developing health conditions such as depression, anxiety, and dementia. Moreover, older people had other health conditions such as increased hypertension, heart-related issues, obesity, diminished immune system, and poorer cognitive functioning. This indicates that the elderly have been worst affected by the pandemic and lockdown measures (Jaarsveld, 2020).</w:t>
      </w:r>
    </w:p>
    <w:p w14:paraId="614F5EDF" w14:textId="77777777" w:rsidR="004810AE" w:rsidRPr="004810AE" w:rsidRDefault="004810AE" w:rsidP="004810AE">
      <w:pPr>
        <w:pStyle w:val="Heading1"/>
        <w:spacing w:line="276" w:lineRule="auto"/>
        <w:jc w:val="left"/>
        <w:rPr>
          <w:rFonts w:ascii="Arial" w:hAnsi="Arial" w:cs="Arial"/>
          <w:sz w:val="22"/>
          <w:szCs w:val="22"/>
        </w:rPr>
      </w:pPr>
      <w:bookmarkStart w:id="4" w:name="_Toc110091890"/>
      <w:r w:rsidRPr="004810AE">
        <w:rPr>
          <w:rFonts w:ascii="Arial" w:hAnsi="Arial" w:cs="Arial"/>
          <w:sz w:val="22"/>
          <w:szCs w:val="22"/>
        </w:rPr>
        <w:t>Theory Related to Elderly People</w:t>
      </w:r>
      <w:bookmarkEnd w:id="4"/>
    </w:p>
    <w:p w14:paraId="3CF78B98" w14:textId="77777777" w:rsidR="004810AE" w:rsidRPr="004810AE" w:rsidRDefault="004810AE" w:rsidP="004810AE">
      <w:pPr>
        <w:pStyle w:val="Heading2"/>
        <w:spacing w:line="276" w:lineRule="auto"/>
        <w:rPr>
          <w:rFonts w:ascii="Arial" w:hAnsi="Arial" w:cs="Arial"/>
          <w:sz w:val="22"/>
          <w:szCs w:val="22"/>
        </w:rPr>
      </w:pPr>
      <w:bookmarkStart w:id="5" w:name="_Toc110091891"/>
      <w:r w:rsidRPr="004810AE">
        <w:rPr>
          <w:rFonts w:ascii="Arial" w:hAnsi="Arial" w:cs="Arial"/>
          <w:sz w:val="22"/>
          <w:szCs w:val="22"/>
        </w:rPr>
        <w:t>Activity Theory</w:t>
      </w:r>
      <w:bookmarkEnd w:id="5"/>
      <w:r w:rsidRPr="004810AE">
        <w:rPr>
          <w:rFonts w:ascii="Arial" w:hAnsi="Arial" w:cs="Arial"/>
          <w:sz w:val="22"/>
          <w:szCs w:val="22"/>
        </w:rPr>
        <w:t xml:space="preserve"> </w:t>
      </w:r>
    </w:p>
    <w:p w14:paraId="7FB32659" w14:textId="3257CC8B" w:rsidR="004810AE" w:rsidRPr="004810AE" w:rsidRDefault="004810AE" w:rsidP="004810AE">
      <w:pPr>
        <w:spacing w:line="276" w:lineRule="auto"/>
        <w:rPr>
          <w:rFonts w:ascii="Arial" w:hAnsi="Arial" w:cs="Arial"/>
          <w:sz w:val="22"/>
        </w:rPr>
      </w:pPr>
      <w:r w:rsidRPr="004810AE">
        <w:rPr>
          <w:rFonts w:ascii="Arial" w:hAnsi="Arial" w:cs="Arial"/>
          <w:sz w:val="22"/>
        </w:rPr>
        <w:t xml:space="preserve">Activity theory is a compelling theory defining the psychosocial aging process. The theory focuses on the importance of ongoing social activity (Physiopedia, 2022). The theory proposes that elderly individuals are more happy and cheerful when they spend more time and actively stay and maintain social interactions. These activities of socially interacting are meaningful and helpful for elderly people to replace the lost life role after retiring from their workplaces. Therefore, it is essential to resist social pressure and help the elderly stay more active and interact more with people and family members that keep them motivated and happy (UCDAVIS, 2020). Furthermore, the theory suggests that an individual’s self-concept is related to the roles held by the person. For example, elderly retirement cannot be harmful if they actively maintain other functions such as family and recreational roles within their community </w:t>
      </w:r>
      <w:sdt>
        <w:sdtPr>
          <w:rPr>
            <w:rFonts w:ascii="Arial" w:hAnsi="Arial" w:cs="Arial"/>
            <w:sz w:val="22"/>
          </w:rPr>
          <w:id w:val="2128193189"/>
          <w:citation/>
        </w:sdtPr>
        <w:sdtContent>
          <w:r w:rsidRPr="004810AE">
            <w:rPr>
              <w:rFonts w:ascii="Arial" w:hAnsi="Arial" w:cs="Arial"/>
              <w:sz w:val="22"/>
            </w:rPr>
            <w:fldChar w:fldCharType="begin"/>
          </w:r>
          <w:r w:rsidRPr="004810AE">
            <w:rPr>
              <w:rFonts w:ascii="Arial" w:hAnsi="Arial" w:cs="Arial"/>
              <w:sz w:val="22"/>
            </w:rPr>
            <w:instrText xml:space="preserve"> CITATION Lan16 \l 2057 </w:instrText>
          </w:r>
          <w:r w:rsidRPr="004810AE">
            <w:rPr>
              <w:rFonts w:ascii="Arial" w:hAnsi="Arial" w:cs="Arial"/>
              <w:sz w:val="22"/>
            </w:rPr>
            <w:fldChar w:fldCharType="separate"/>
          </w:r>
          <w:r w:rsidRPr="004810AE">
            <w:rPr>
              <w:rFonts w:ascii="Arial" w:hAnsi="Arial" w:cs="Arial"/>
              <w:sz w:val="22"/>
            </w:rPr>
            <w:t>(Lange &amp; Grossman, 2016)</w:t>
          </w:r>
          <w:r w:rsidRPr="004810AE">
            <w:rPr>
              <w:rFonts w:ascii="Arial" w:hAnsi="Arial" w:cs="Arial"/>
              <w:sz w:val="22"/>
            </w:rPr>
            <w:fldChar w:fldCharType="end"/>
          </w:r>
        </w:sdtContent>
      </w:sdt>
      <w:r w:rsidRPr="004810AE">
        <w:rPr>
          <w:rFonts w:ascii="Arial" w:hAnsi="Arial" w:cs="Arial"/>
          <w:sz w:val="22"/>
        </w:rPr>
        <w:t>.</w:t>
      </w:r>
    </w:p>
    <w:p w14:paraId="16D32643" w14:textId="77777777" w:rsidR="004810AE" w:rsidRPr="004810AE" w:rsidRDefault="004810AE" w:rsidP="004810AE">
      <w:pPr>
        <w:pStyle w:val="Heading1"/>
        <w:spacing w:line="276" w:lineRule="auto"/>
        <w:jc w:val="left"/>
        <w:rPr>
          <w:rFonts w:ascii="Arial" w:hAnsi="Arial" w:cs="Arial"/>
          <w:sz w:val="22"/>
          <w:szCs w:val="22"/>
        </w:rPr>
      </w:pPr>
      <w:bookmarkStart w:id="6" w:name="_Toc110091892"/>
      <w:r w:rsidRPr="004810AE">
        <w:rPr>
          <w:rFonts w:ascii="Arial" w:hAnsi="Arial" w:cs="Arial"/>
          <w:sz w:val="22"/>
          <w:szCs w:val="22"/>
        </w:rPr>
        <w:t>Theory that Inform Understanding Abuse among Elder Adults</w:t>
      </w:r>
      <w:bookmarkEnd w:id="6"/>
      <w:r w:rsidRPr="004810AE">
        <w:rPr>
          <w:rFonts w:ascii="Arial" w:hAnsi="Arial" w:cs="Arial"/>
          <w:sz w:val="22"/>
          <w:szCs w:val="22"/>
        </w:rPr>
        <w:t xml:space="preserve"> </w:t>
      </w:r>
    </w:p>
    <w:p w14:paraId="3D6F8A9E" w14:textId="77777777" w:rsidR="004810AE" w:rsidRPr="004810AE" w:rsidRDefault="004810AE" w:rsidP="004810AE">
      <w:pPr>
        <w:pStyle w:val="Heading2"/>
        <w:spacing w:line="276" w:lineRule="auto"/>
        <w:rPr>
          <w:rFonts w:ascii="Arial" w:hAnsi="Arial" w:cs="Arial"/>
          <w:sz w:val="22"/>
          <w:szCs w:val="22"/>
        </w:rPr>
      </w:pPr>
      <w:bookmarkStart w:id="7" w:name="_Toc110091893"/>
      <w:r w:rsidRPr="004810AE">
        <w:rPr>
          <w:rFonts w:ascii="Arial" w:hAnsi="Arial" w:cs="Arial"/>
          <w:sz w:val="22"/>
          <w:szCs w:val="22"/>
        </w:rPr>
        <w:t>Caregiver Stress Theory</w:t>
      </w:r>
      <w:bookmarkEnd w:id="7"/>
      <w:r w:rsidRPr="004810AE">
        <w:rPr>
          <w:rFonts w:ascii="Arial" w:hAnsi="Arial" w:cs="Arial"/>
          <w:sz w:val="22"/>
          <w:szCs w:val="22"/>
        </w:rPr>
        <w:t xml:space="preserve"> </w:t>
      </w:r>
    </w:p>
    <w:p w14:paraId="7B25A4AA" w14:textId="77777777" w:rsidR="004810AE" w:rsidRPr="004810AE" w:rsidRDefault="004810AE" w:rsidP="004810AE">
      <w:pPr>
        <w:spacing w:line="276" w:lineRule="auto"/>
        <w:rPr>
          <w:rFonts w:ascii="Arial" w:hAnsi="Arial" w:cs="Arial"/>
          <w:sz w:val="22"/>
        </w:rPr>
      </w:pPr>
      <w:r w:rsidRPr="004810AE">
        <w:rPr>
          <w:rFonts w:ascii="Arial" w:hAnsi="Arial" w:cs="Arial"/>
          <w:sz w:val="22"/>
        </w:rPr>
        <w:t>The theory focuses that the stress of the abuser is one of the primary factors that result in mistreatment among elderly individuals (Holstege &amp; Holstege, 2007). The theory centers on the family members caring for elderly adults with practical care needs. The carer can't provide care to elderly adults without the support of the family. Moreover, the carer is unable to effectively manage their responsibilities which is likely to get overwhelmed and frustrated, leading to abuse (O'Brien et al., 2016). Most people providing care to the elderly are likely not to have the understanding and knowledge about how to manage particular situations and are unaware of their behavior which at times results in abuse of the elderly that are provided care by the carer. The theory explains how elderly individuals experience and suffer abuse. The family needs to participate while giving care to the elder and should also interact and know the person who will provide care to their elderly family member.</w:t>
      </w:r>
    </w:p>
    <w:p w14:paraId="6E2B02B8" w14:textId="77777777" w:rsidR="004810AE" w:rsidRPr="004810AE" w:rsidRDefault="004810AE" w:rsidP="004810AE">
      <w:pPr>
        <w:pStyle w:val="Heading1"/>
        <w:spacing w:line="276" w:lineRule="auto"/>
        <w:jc w:val="left"/>
        <w:rPr>
          <w:rFonts w:ascii="Arial" w:hAnsi="Arial" w:cs="Arial"/>
          <w:sz w:val="22"/>
          <w:szCs w:val="22"/>
        </w:rPr>
      </w:pPr>
      <w:bookmarkStart w:id="8" w:name="_Toc110091894"/>
      <w:r w:rsidRPr="004810AE">
        <w:rPr>
          <w:rFonts w:ascii="Arial" w:hAnsi="Arial" w:cs="Arial"/>
          <w:sz w:val="22"/>
          <w:szCs w:val="22"/>
        </w:rPr>
        <w:t>Policies Related to Elderly Protection, Care and Abuse</w:t>
      </w:r>
      <w:bookmarkEnd w:id="8"/>
    </w:p>
    <w:p w14:paraId="03143B84" w14:textId="77777777" w:rsidR="004810AE" w:rsidRPr="004810AE" w:rsidRDefault="004810AE" w:rsidP="004810AE">
      <w:pPr>
        <w:pStyle w:val="Heading2"/>
        <w:spacing w:line="276" w:lineRule="auto"/>
        <w:rPr>
          <w:rFonts w:ascii="Arial" w:hAnsi="Arial" w:cs="Arial"/>
          <w:sz w:val="22"/>
          <w:szCs w:val="22"/>
        </w:rPr>
      </w:pPr>
      <w:bookmarkStart w:id="9" w:name="_Toc110091895"/>
      <w:r w:rsidRPr="004810AE">
        <w:rPr>
          <w:rFonts w:ascii="Arial" w:hAnsi="Arial" w:cs="Arial"/>
          <w:sz w:val="22"/>
          <w:szCs w:val="22"/>
        </w:rPr>
        <w:t>Care Act 2014- Protecting the elderly</w:t>
      </w:r>
      <w:bookmarkEnd w:id="9"/>
    </w:p>
    <w:p w14:paraId="3A3BF55E" w14:textId="7B1328F2" w:rsidR="004810AE" w:rsidRPr="004810AE" w:rsidRDefault="004810AE" w:rsidP="004810AE">
      <w:pPr>
        <w:spacing w:line="276" w:lineRule="auto"/>
        <w:rPr>
          <w:rFonts w:ascii="Arial" w:hAnsi="Arial" w:cs="Arial"/>
          <w:sz w:val="22"/>
        </w:rPr>
      </w:pPr>
      <w:r w:rsidRPr="004810AE">
        <w:rPr>
          <w:rFonts w:ascii="Arial" w:hAnsi="Arial" w:cs="Arial"/>
          <w:sz w:val="22"/>
        </w:rPr>
        <w:t xml:space="preserve">The Act requires the local authorities across the UK to ensure that they can arrange services, facilities, or resources to help to prevent delay and reduce the development of needs for the care and support of individuals regardless of their age and group </w:t>
      </w:r>
      <w:sdt>
        <w:sdtPr>
          <w:rPr>
            <w:rFonts w:ascii="Arial" w:hAnsi="Arial" w:cs="Arial"/>
            <w:sz w:val="22"/>
          </w:rPr>
          <w:id w:val="-1487625143"/>
          <w:citation/>
        </w:sdtPr>
        <w:sdtContent>
          <w:r w:rsidRPr="004810AE">
            <w:rPr>
              <w:rFonts w:ascii="Arial" w:hAnsi="Arial" w:cs="Arial"/>
              <w:sz w:val="22"/>
            </w:rPr>
            <w:fldChar w:fldCharType="begin"/>
          </w:r>
          <w:r w:rsidRPr="004810AE">
            <w:rPr>
              <w:rFonts w:ascii="Arial" w:hAnsi="Arial" w:cs="Arial"/>
              <w:sz w:val="22"/>
            </w:rPr>
            <w:instrText xml:space="preserve"> CITATION Han15 \l 2057 </w:instrText>
          </w:r>
          <w:r w:rsidRPr="004810AE">
            <w:rPr>
              <w:rFonts w:ascii="Arial" w:hAnsi="Arial" w:cs="Arial"/>
              <w:sz w:val="22"/>
            </w:rPr>
            <w:fldChar w:fldCharType="separate"/>
          </w:r>
          <w:r w:rsidRPr="004810AE">
            <w:rPr>
              <w:rFonts w:ascii="Arial" w:hAnsi="Arial" w:cs="Arial"/>
              <w:sz w:val="22"/>
            </w:rPr>
            <w:t>(Handley Law, 2015)</w:t>
          </w:r>
          <w:r w:rsidRPr="004810AE">
            <w:rPr>
              <w:rFonts w:ascii="Arial" w:hAnsi="Arial" w:cs="Arial"/>
              <w:sz w:val="22"/>
            </w:rPr>
            <w:fldChar w:fldCharType="end"/>
          </w:r>
        </w:sdtContent>
      </w:sdt>
      <w:r w:rsidRPr="004810AE">
        <w:rPr>
          <w:rFonts w:ascii="Arial" w:hAnsi="Arial" w:cs="Arial"/>
          <w:sz w:val="22"/>
        </w:rPr>
        <w:t xml:space="preserve">. The policymaker of the UK government introduced the Act to provide protection, prevention, and </w:t>
      </w:r>
      <w:r w:rsidRPr="004810AE">
        <w:rPr>
          <w:rFonts w:ascii="Arial" w:hAnsi="Arial" w:cs="Arial"/>
          <w:sz w:val="22"/>
        </w:rPr>
        <w:lastRenderedPageBreak/>
        <w:t xml:space="preserve">empowerment to elderly adults to overcome the challenges they face while receiving care for their mental and physical health conditions. The elderly, including others, are given support and encouraged to make their own decisions and informed consent. Because the elderly were unable to receive adequate care and provide. So, this Act ensures the well-being of individuals in need of care and support services </w:t>
      </w:r>
      <w:sdt>
        <w:sdtPr>
          <w:rPr>
            <w:rFonts w:ascii="Arial" w:hAnsi="Arial" w:cs="Arial"/>
            <w:sz w:val="22"/>
          </w:rPr>
          <w:id w:val="1947501580"/>
          <w:citation/>
        </w:sdtPr>
        <w:sdtContent>
          <w:r w:rsidRPr="004810AE">
            <w:rPr>
              <w:rFonts w:ascii="Arial" w:hAnsi="Arial" w:cs="Arial"/>
              <w:sz w:val="22"/>
            </w:rPr>
            <w:fldChar w:fldCharType="begin"/>
          </w:r>
          <w:r w:rsidRPr="004810AE">
            <w:rPr>
              <w:rFonts w:ascii="Arial" w:hAnsi="Arial" w:cs="Arial"/>
              <w:sz w:val="22"/>
            </w:rPr>
            <w:instrText xml:space="preserve"> CITATION Age21 \l 2057 </w:instrText>
          </w:r>
          <w:r w:rsidRPr="004810AE">
            <w:rPr>
              <w:rFonts w:ascii="Arial" w:hAnsi="Arial" w:cs="Arial"/>
              <w:sz w:val="22"/>
            </w:rPr>
            <w:fldChar w:fldCharType="separate"/>
          </w:r>
          <w:r w:rsidRPr="004810AE">
            <w:rPr>
              <w:rFonts w:ascii="Arial" w:hAnsi="Arial" w:cs="Arial"/>
              <w:sz w:val="22"/>
            </w:rPr>
            <w:t>(Age UK, 2021)</w:t>
          </w:r>
          <w:r w:rsidRPr="004810AE">
            <w:rPr>
              <w:rFonts w:ascii="Arial" w:hAnsi="Arial" w:cs="Arial"/>
              <w:sz w:val="22"/>
            </w:rPr>
            <w:fldChar w:fldCharType="end"/>
          </w:r>
        </w:sdtContent>
      </w:sdt>
      <w:r w:rsidRPr="004810AE">
        <w:rPr>
          <w:rFonts w:ascii="Arial" w:hAnsi="Arial" w:cs="Arial"/>
          <w:sz w:val="22"/>
        </w:rPr>
        <w:t xml:space="preserve">.  </w:t>
      </w:r>
    </w:p>
    <w:p w14:paraId="2940FCC1" w14:textId="77777777" w:rsidR="004810AE" w:rsidRPr="004810AE" w:rsidRDefault="004810AE" w:rsidP="004810AE">
      <w:pPr>
        <w:pStyle w:val="Heading2"/>
        <w:spacing w:line="276" w:lineRule="auto"/>
        <w:rPr>
          <w:rFonts w:ascii="Arial" w:hAnsi="Arial" w:cs="Arial"/>
          <w:sz w:val="22"/>
          <w:szCs w:val="22"/>
        </w:rPr>
      </w:pPr>
      <w:bookmarkStart w:id="10" w:name="_Toc110091896"/>
      <w:r w:rsidRPr="004810AE">
        <w:rPr>
          <w:rFonts w:ascii="Arial" w:hAnsi="Arial" w:cs="Arial"/>
          <w:sz w:val="22"/>
          <w:szCs w:val="22"/>
        </w:rPr>
        <w:t>Domestic Abuse Act 2021</w:t>
      </w:r>
      <w:bookmarkEnd w:id="10"/>
      <w:r w:rsidRPr="004810AE">
        <w:rPr>
          <w:rFonts w:ascii="Arial" w:hAnsi="Arial" w:cs="Arial"/>
          <w:sz w:val="22"/>
          <w:szCs w:val="22"/>
        </w:rPr>
        <w:t xml:space="preserve"> </w:t>
      </w:r>
    </w:p>
    <w:p w14:paraId="3D2D4E48" w14:textId="77777777" w:rsidR="004810AE" w:rsidRPr="004810AE" w:rsidRDefault="004810AE" w:rsidP="004810AE">
      <w:pPr>
        <w:spacing w:line="276" w:lineRule="auto"/>
        <w:rPr>
          <w:rFonts w:ascii="Arial" w:hAnsi="Arial" w:cs="Arial"/>
          <w:sz w:val="22"/>
        </w:rPr>
      </w:pPr>
      <w:r w:rsidRPr="004810AE">
        <w:rPr>
          <w:rFonts w:ascii="Arial" w:hAnsi="Arial" w:cs="Arial"/>
          <w:sz w:val="22"/>
        </w:rPr>
        <w:t>The Act was introduced in April 2021 to recognize domestic abuse that could be either emotional, coercive, or economic related. The Act introduces two important civil protections against those likely to experience domestic abuse at home, in the workplace, and care centers. The first civil protection is the domestic abuse protection notice that could provide abuser immediate help as the ancident take place and a domestic abuse protection order that is flexible and for longer-term protection for victims (The Law Society, 2022). Second, the Act ensures and provides encourage the victim to have enough confidence and report the abuse they or anyone from the family have experienced. The Act ensures that the state of the United Kingdom and all of the necessary authorities will take all possible measures and support both the abuser and their family to pursue the abuser. Third, it protects the elderly who are afraid to report the abuse they suffer. It ensures that every elderly adult who has or is experiencing abuse from their family members, carers, or stranger are given proper protection and support to the sentence or punish the abuser (GOV.UK, 2022).</w:t>
      </w:r>
    </w:p>
    <w:p w14:paraId="0E20F5A7" w14:textId="77777777" w:rsidR="004810AE" w:rsidRPr="004810AE" w:rsidRDefault="004810AE" w:rsidP="004810AE">
      <w:pPr>
        <w:pStyle w:val="Heading2"/>
        <w:spacing w:line="276" w:lineRule="auto"/>
        <w:rPr>
          <w:rFonts w:ascii="Arial" w:hAnsi="Arial" w:cs="Arial"/>
          <w:sz w:val="22"/>
          <w:szCs w:val="22"/>
        </w:rPr>
      </w:pPr>
      <w:bookmarkStart w:id="11" w:name="_Toc110091897"/>
      <w:r w:rsidRPr="004810AE">
        <w:rPr>
          <w:rFonts w:ascii="Arial" w:hAnsi="Arial" w:cs="Arial"/>
          <w:sz w:val="22"/>
          <w:szCs w:val="22"/>
        </w:rPr>
        <w:t>Safeguarding Elderly People from Abuse and Neglect</w:t>
      </w:r>
      <w:bookmarkEnd w:id="11"/>
      <w:r w:rsidRPr="004810AE">
        <w:rPr>
          <w:rFonts w:ascii="Arial" w:hAnsi="Arial" w:cs="Arial"/>
          <w:sz w:val="22"/>
          <w:szCs w:val="22"/>
        </w:rPr>
        <w:t xml:space="preserve"> </w:t>
      </w:r>
    </w:p>
    <w:p w14:paraId="217CC4D0" w14:textId="77777777" w:rsidR="004810AE" w:rsidRPr="004810AE" w:rsidRDefault="004810AE" w:rsidP="004810AE">
      <w:pPr>
        <w:spacing w:line="276" w:lineRule="auto"/>
        <w:rPr>
          <w:rFonts w:ascii="Arial" w:hAnsi="Arial" w:cs="Arial"/>
          <w:sz w:val="22"/>
        </w:rPr>
      </w:pPr>
      <w:r w:rsidRPr="004810AE">
        <w:rPr>
          <w:rFonts w:ascii="Arial" w:hAnsi="Arial" w:cs="Arial"/>
          <w:sz w:val="22"/>
        </w:rPr>
        <w:t>Safeguarding is another effective implementation that the government of the United Kingdom introduced to protect elderly people from abuse and neglect. The law on safeguarding adults help in protecting and providing support to the elder being abused or neglected in the care home or home. Safeguarding prevents harm and reduces the risk of abuse and neglect. Moreover, it ensures that all individuals, regardless of their age, are given support so that they can make choices and control how they want to live their life. It effectively concentrates on improving the lives of elderly adults and children (Age UK, 2021). According to Age UK (2018), elderly adults in the United Kingdom are likely to experience large amounts of abuse and neglect, leaving thousands of elderly at risk of avoidable harm. Therefore, safeguarding ensures the safety of the elderly and is entitled to help and support people aged 65. Safeguard describes how individuals and organisations should work together to prevent abuse and neglect. Safeguarding ensures that each elder adult knows that support is available for them and that the authorities will take the necessary steps to protect them.</w:t>
      </w:r>
    </w:p>
    <w:p w14:paraId="4A971B6E" w14:textId="77777777" w:rsidR="004810AE" w:rsidRPr="004810AE" w:rsidRDefault="004810AE" w:rsidP="004810AE">
      <w:pPr>
        <w:pStyle w:val="Heading1"/>
        <w:spacing w:line="276" w:lineRule="auto"/>
        <w:jc w:val="left"/>
        <w:rPr>
          <w:rFonts w:ascii="Arial" w:hAnsi="Arial" w:cs="Arial"/>
          <w:sz w:val="22"/>
          <w:szCs w:val="22"/>
        </w:rPr>
      </w:pPr>
      <w:bookmarkStart w:id="12" w:name="_Toc110091898"/>
      <w:r w:rsidRPr="004810AE">
        <w:rPr>
          <w:rFonts w:ascii="Arial" w:hAnsi="Arial" w:cs="Arial"/>
          <w:sz w:val="22"/>
          <w:szCs w:val="22"/>
        </w:rPr>
        <w:t>Steps Taken by the Government of UK to Protect Elderly Adults</w:t>
      </w:r>
      <w:bookmarkEnd w:id="12"/>
      <w:r w:rsidRPr="004810AE">
        <w:rPr>
          <w:rFonts w:ascii="Arial" w:hAnsi="Arial" w:cs="Arial"/>
          <w:sz w:val="22"/>
          <w:szCs w:val="22"/>
        </w:rPr>
        <w:t xml:space="preserve"> </w:t>
      </w:r>
    </w:p>
    <w:p w14:paraId="220429D3" w14:textId="77777777" w:rsidR="004810AE" w:rsidRPr="004810AE" w:rsidRDefault="004810AE" w:rsidP="004810AE">
      <w:pPr>
        <w:spacing w:line="276" w:lineRule="auto"/>
        <w:rPr>
          <w:rFonts w:ascii="Arial" w:hAnsi="Arial" w:cs="Arial"/>
          <w:sz w:val="22"/>
        </w:rPr>
      </w:pPr>
      <w:r w:rsidRPr="004810AE">
        <w:rPr>
          <w:rFonts w:ascii="Arial" w:hAnsi="Arial" w:cs="Arial"/>
          <w:sz w:val="22"/>
        </w:rPr>
        <w:t xml:space="preserve">The NHS, with other partners, works to support people in the United Kingdom to age well. NHS is taking necessary steps to ensure that elderly adults stay healthy and independent for longer with the highest quality care (National Health Service (NHS), 2022). Some of the steps that NHS is working on for elderly people include decreasing the time a person spends in long-term illness health by identifying and offering support and self-management through guides such as healthy aging and healthy caring. NHS supports the public service to ensure they work together to help individuals. It includes safe and well visits by the benefits to rescue and save people from fire or </w:t>
      </w:r>
      <w:r w:rsidRPr="004810AE">
        <w:rPr>
          <w:rFonts w:ascii="Arial" w:hAnsi="Arial" w:cs="Arial"/>
          <w:sz w:val="22"/>
        </w:rPr>
        <w:lastRenderedPageBreak/>
        <w:t>health risks. They are reframing frailty as one of the long-term conditions to be prevented. According to Letwin et al. (2016), the local authorities in the UK are now addressing falling participation in lifelong education and training.</w:t>
      </w:r>
    </w:p>
    <w:p w14:paraId="14C5357C" w14:textId="77777777" w:rsidR="004810AE" w:rsidRPr="004810AE" w:rsidRDefault="004810AE" w:rsidP="004810AE">
      <w:pPr>
        <w:spacing w:line="276" w:lineRule="auto"/>
        <w:rPr>
          <w:rFonts w:ascii="Arial" w:hAnsi="Arial" w:cs="Arial"/>
          <w:sz w:val="22"/>
        </w:rPr>
      </w:pPr>
      <w:r w:rsidRPr="004810AE">
        <w:rPr>
          <w:rFonts w:ascii="Arial" w:hAnsi="Arial" w:cs="Arial"/>
          <w:sz w:val="22"/>
        </w:rPr>
        <w:t>Moreover, the government is now introducing guides and different policies to address barriers to life learning. The government is taking initiatives such as submitting a plan to provide the elderly aged 85 or over with an appropriate shelter. The government of the UK has initiated housing policies for elderly adults to prevent homelessness in the UK (Letwin et al., 2016). The government of the United Kingdom has introduced Age Positive guidance to help elderly adults work in their 50s, and 60’s to avoid retirement impact on their mental health. Now elderly adults working in different organisations can choose if they would like to continue work after their 50s and 60s.</w:t>
      </w:r>
    </w:p>
    <w:p w14:paraId="6CA18181" w14:textId="77777777" w:rsidR="004810AE" w:rsidRPr="004810AE" w:rsidRDefault="004810AE" w:rsidP="004810AE">
      <w:pPr>
        <w:spacing w:line="276" w:lineRule="auto"/>
        <w:rPr>
          <w:rFonts w:ascii="Arial" w:hAnsi="Arial" w:cs="Arial"/>
          <w:sz w:val="22"/>
        </w:rPr>
      </w:pPr>
      <w:r w:rsidRPr="004810AE">
        <w:rPr>
          <w:rFonts w:ascii="Arial" w:hAnsi="Arial" w:cs="Arial"/>
          <w:sz w:val="22"/>
        </w:rPr>
        <w:t>Moreover, they have also changed the state pension age to 66 in 2020 and 67 by 2028. This will help them maintain sustainability and balance among the proportions of workers and retired individuals (GOV.UK, 2015). In addition, different areas within the United Kingdom provide other care and service to elderly people. For example, in Scotland, people over 65 are eligible for free care if these individuals are assessed as needing help. Whereas in Northern Ireland, five trusts provide health and social care for elderly people who require assistance and support. In Wales, people with assets less than £24,000 excluded from their own house are eligible to pay less. Moreover, people in nursing homes get contributions from the NHS for their costs, and some can have their fees under a system known as continuing care (BBC News, 2016).</w:t>
      </w:r>
    </w:p>
    <w:p w14:paraId="0AF21931" w14:textId="77777777" w:rsidR="004810AE" w:rsidRPr="004810AE" w:rsidRDefault="004810AE" w:rsidP="004810AE">
      <w:pPr>
        <w:pStyle w:val="Heading1"/>
        <w:spacing w:line="276" w:lineRule="auto"/>
        <w:jc w:val="left"/>
        <w:rPr>
          <w:rFonts w:ascii="Arial" w:hAnsi="Arial" w:cs="Arial"/>
          <w:sz w:val="22"/>
          <w:szCs w:val="22"/>
          <w:shd w:val="clear" w:color="auto" w:fill="FFFFFF"/>
        </w:rPr>
      </w:pPr>
      <w:bookmarkStart w:id="13" w:name="_Toc110091899"/>
      <w:r w:rsidRPr="004810AE">
        <w:rPr>
          <w:rFonts w:ascii="Arial" w:hAnsi="Arial" w:cs="Arial"/>
          <w:sz w:val="22"/>
          <w:szCs w:val="22"/>
          <w:shd w:val="clear" w:color="auto" w:fill="FFFFFF"/>
        </w:rPr>
        <w:t>Conclusion</w:t>
      </w:r>
      <w:bookmarkEnd w:id="13"/>
    </w:p>
    <w:p w14:paraId="04BD32DD" w14:textId="77777777" w:rsidR="004810AE" w:rsidRPr="004810AE" w:rsidRDefault="004810AE" w:rsidP="004810AE">
      <w:pPr>
        <w:spacing w:line="276" w:lineRule="auto"/>
        <w:rPr>
          <w:rFonts w:ascii="Arial" w:hAnsi="Arial" w:cs="Arial"/>
          <w:sz w:val="22"/>
        </w:rPr>
      </w:pPr>
      <w:r w:rsidRPr="004810AE">
        <w:rPr>
          <w:rFonts w:ascii="Arial" w:hAnsi="Arial" w:cs="Arial"/>
          <w:sz w:val="22"/>
        </w:rPr>
        <w:t>Elderly Adults across the UK are experiencing many challenges and barriers to a better quality of life. It shows that older people are likely to be abused and neglected and live under challenges impacting their mental and physical health. The government of the UK has taken effective implementation to help and support older people to overcome the challenges as they turn old and provide them better care and services under guides introduced for the older adults across the United Kingdom.</w:t>
      </w:r>
    </w:p>
    <w:p w14:paraId="6954F564" w14:textId="77777777" w:rsidR="004810AE" w:rsidRPr="004810AE" w:rsidRDefault="004810AE" w:rsidP="004810AE">
      <w:pPr>
        <w:spacing w:line="276" w:lineRule="auto"/>
        <w:rPr>
          <w:rFonts w:ascii="Arial" w:hAnsi="Arial" w:cs="Arial"/>
          <w:sz w:val="22"/>
        </w:rPr>
      </w:pPr>
      <w:r w:rsidRPr="004810AE">
        <w:rPr>
          <w:rFonts w:ascii="Arial" w:hAnsi="Arial" w:cs="Arial"/>
          <w:sz w:val="22"/>
        </w:rPr>
        <w:br w:type="page"/>
      </w:r>
    </w:p>
    <w:sdt>
      <w:sdtPr>
        <w:rPr>
          <w:rFonts w:ascii="Arial" w:eastAsiaTheme="minorHAnsi" w:hAnsi="Arial" w:cs="Arial"/>
          <w:b w:val="0"/>
          <w:sz w:val="22"/>
          <w:szCs w:val="22"/>
        </w:rPr>
        <w:id w:val="-1840380215"/>
        <w:docPartObj>
          <w:docPartGallery w:val="Bibliographies"/>
          <w:docPartUnique/>
        </w:docPartObj>
      </w:sdtPr>
      <w:sdtEndPr>
        <w:rPr>
          <w:bCs/>
        </w:rPr>
      </w:sdtEndPr>
      <w:sdtContent>
        <w:p w14:paraId="7B56E480" w14:textId="77777777" w:rsidR="004810AE" w:rsidRPr="003E4B7D" w:rsidRDefault="004810AE" w:rsidP="004810AE">
          <w:pPr>
            <w:pStyle w:val="Heading1"/>
            <w:spacing w:line="276" w:lineRule="auto"/>
            <w:rPr>
              <w:rFonts w:ascii="Arial" w:hAnsi="Arial" w:cs="Arial"/>
              <w:b w:val="0"/>
              <w:bCs/>
              <w:sz w:val="22"/>
              <w:szCs w:val="22"/>
            </w:rPr>
          </w:pPr>
          <w:r w:rsidRPr="004810AE">
            <w:rPr>
              <w:rFonts w:ascii="Arial" w:hAnsi="Arial" w:cs="Arial"/>
              <w:b w:val="0"/>
              <w:bCs/>
              <w:sz w:val="22"/>
              <w:szCs w:val="22"/>
            </w:rPr>
            <w:t>References</w:t>
          </w:r>
        </w:p>
        <w:sdt>
          <w:sdtPr>
            <w:rPr>
              <w:rFonts w:ascii="Arial" w:hAnsi="Arial" w:cs="Arial"/>
              <w:bCs/>
              <w:sz w:val="22"/>
            </w:rPr>
            <w:id w:val="-573587230"/>
            <w:bibliography/>
          </w:sdtPr>
          <w:sdtContent>
            <w:p w14:paraId="6702477C" w14:textId="77777777" w:rsidR="004810AE" w:rsidRPr="003E4B7D" w:rsidRDefault="004810AE" w:rsidP="004810AE">
              <w:pPr>
                <w:pStyle w:val="Bibliography"/>
                <w:rPr>
                  <w:szCs w:val="24"/>
                </w:rPr>
              </w:pPr>
              <w:r w:rsidRPr="003E4B7D">
                <w:rPr>
                  <w:rFonts w:ascii="Arial" w:hAnsi="Arial" w:cs="Arial"/>
                  <w:bCs/>
                  <w:noProof w:val="0"/>
                  <w:sz w:val="22"/>
                </w:rPr>
                <w:fldChar w:fldCharType="begin"/>
              </w:r>
              <w:r w:rsidRPr="003E4B7D">
                <w:rPr>
                  <w:rFonts w:ascii="Arial" w:hAnsi="Arial" w:cs="Arial"/>
                  <w:bCs/>
                  <w:sz w:val="22"/>
                </w:rPr>
                <w:instrText xml:space="preserve"> BIBLIOGRAPHY </w:instrText>
              </w:r>
              <w:r w:rsidRPr="003E4B7D">
                <w:rPr>
                  <w:rFonts w:ascii="Arial" w:hAnsi="Arial" w:cs="Arial"/>
                  <w:bCs/>
                  <w:noProof w:val="0"/>
                  <w:sz w:val="22"/>
                </w:rPr>
                <w:fldChar w:fldCharType="separate"/>
              </w:r>
              <w:r w:rsidRPr="003E4B7D">
                <w:t xml:space="preserve">Age UK , 2018. </w:t>
              </w:r>
              <w:r w:rsidRPr="003E4B7D">
                <w:rPr>
                  <w:i/>
                  <w:iCs/>
                </w:rPr>
                <w:t xml:space="preserve">Adult Safeguarding. </w:t>
              </w:r>
              <w:r w:rsidRPr="003E4B7D">
                <w:t xml:space="preserve">[Online] </w:t>
              </w:r>
              <w:r w:rsidRPr="003E4B7D">
                <w:br/>
                <w:t>Available at: https://www.ageuk.org.uk/globalassets/age-uk/documents/policy-positions/health-and-wellbeing/adult-safeguarding-policy-position-nov-2018-final.pdf</w:t>
              </w:r>
              <w:r w:rsidRPr="003E4B7D">
                <w:br/>
                <w:t>[Accessed 30 July 2022].</w:t>
              </w:r>
            </w:p>
            <w:p w14:paraId="5D7D50F6" w14:textId="77777777" w:rsidR="004810AE" w:rsidRPr="003E4B7D" w:rsidRDefault="004810AE" w:rsidP="004810AE">
              <w:pPr>
                <w:pStyle w:val="Bibliography"/>
              </w:pPr>
              <w:r w:rsidRPr="003E4B7D">
                <w:t xml:space="preserve">Age UK , 2020. </w:t>
              </w:r>
              <w:r w:rsidRPr="003E4B7D">
                <w:rPr>
                  <w:i/>
                  <w:iCs/>
                </w:rPr>
                <w:t xml:space="preserve">280,000 people aged 60 to 74 experienced domestic abuse last year. </w:t>
              </w:r>
              <w:r w:rsidRPr="003E4B7D">
                <w:t xml:space="preserve">[Online] </w:t>
              </w:r>
              <w:r w:rsidRPr="003E4B7D">
                <w:br/>
                <w:t>Available at: https://www.ageuk.org.uk/latest-press/articles/2020/04/280000-people-aged-60-to-74-experienced-domestic-abuse/</w:t>
              </w:r>
              <w:r w:rsidRPr="003E4B7D">
                <w:br/>
                <w:t>[Accessed 30 July 2022].</w:t>
              </w:r>
            </w:p>
            <w:p w14:paraId="2B97E34E" w14:textId="77777777" w:rsidR="004810AE" w:rsidRPr="003E4B7D" w:rsidRDefault="004810AE" w:rsidP="004810AE">
              <w:pPr>
                <w:pStyle w:val="Bibliography"/>
              </w:pPr>
              <w:r w:rsidRPr="003E4B7D">
                <w:t xml:space="preserve">Age UK, 2021. </w:t>
              </w:r>
              <w:r w:rsidRPr="003E4B7D">
                <w:rPr>
                  <w:i/>
                  <w:iCs/>
                </w:rPr>
                <w:t xml:space="preserve">Safeguarding older people from abuse and neglect, </w:t>
              </w:r>
              <w:r w:rsidRPr="003E4B7D">
                <w:t>London: Age UK.</w:t>
              </w:r>
            </w:p>
            <w:p w14:paraId="7CF7FD6D" w14:textId="77777777" w:rsidR="004810AE" w:rsidRPr="003E4B7D" w:rsidRDefault="004810AE" w:rsidP="004810AE">
              <w:pPr>
                <w:pStyle w:val="Bibliography"/>
              </w:pPr>
              <w:r w:rsidRPr="003E4B7D">
                <w:t xml:space="preserve">Age UK, 2021. </w:t>
              </w:r>
              <w:r w:rsidRPr="003E4B7D">
                <w:rPr>
                  <w:i/>
                  <w:iCs/>
                </w:rPr>
                <w:t xml:space="preserve">The Care Act 2014. </w:t>
              </w:r>
              <w:r w:rsidRPr="003E4B7D">
                <w:t xml:space="preserve">[Online] </w:t>
              </w:r>
              <w:r w:rsidRPr="003E4B7D">
                <w:br/>
                <w:t>Available at: https://www.ageuk.org.uk/information-advice/care/the-care-act/</w:t>
              </w:r>
              <w:r w:rsidRPr="003E4B7D">
                <w:br/>
                <w:t>[Accessed 30 July 2022].</w:t>
              </w:r>
            </w:p>
            <w:p w14:paraId="50C2337C" w14:textId="77777777" w:rsidR="004810AE" w:rsidRPr="003E4B7D" w:rsidRDefault="004810AE" w:rsidP="004810AE">
              <w:pPr>
                <w:pStyle w:val="Bibliography"/>
              </w:pPr>
              <w:r w:rsidRPr="003E4B7D">
                <w:t xml:space="preserve">BBC News, 2016. </w:t>
              </w:r>
              <w:r w:rsidRPr="003E4B7D">
                <w:rPr>
                  <w:i/>
                  <w:iCs/>
                </w:rPr>
                <w:t xml:space="preserve">How the care system works across the UK. </w:t>
              </w:r>
              <w:r w:rsidRPr="003E4B7D">
                <w:t xml:space="preserve">[Online] </w:t>
              </w:r>
              <w:r w:rsidRPr="003E4B7D">
                <w:br/>
                <w:t>Available at: https://www.bbc.com/news/health-30902552</w:t>
              </w:r>
              <w:r w:rsidRPr="003E4B7D">
                <w:br/>
                <w:t>[Accessed 30 July 2022].</w:t>
              </w:r>
            </w:p>
            <w:p w14:paraId="453E03AC" w14:textId="77777777" w:rsidR="004810AE" w:rsidRPr="003E4B7D" w:rsidRDefault="004810AE" w:rsidP="004810AE">
              <w:pPr>
                <w:pStyle w:val="Bibliography"/>
              </w:pPr>
              <w:r w:rsidRPr="003E4B7D">
                <w:t xml:space="preserve">Britannica, 2022. </w:t>
              </w:r>
              <w:r w:rsidRPr="003E4B7D">
                <w:rPr>
                  <w:i/>
                  <w:iCs/>
                </w:rPr>
                <w:t xml:space="preserve">Old Age. </w:t>
              </w:r>
              <w:r w:rsidRPr="003E4B7D">
                <w:t xml:space="preserve">[Online] </w:t>
              </w:r>
              <w:r w:rsidRPr="003E4B7D">
                <w:br/>
                <w:t>Available at: https://www.britannica.com/science/old-age</w:t>
              </w:r>
              <w:r w:rsidRPr="003E4B7D">
                <w:br/>
                <w:t>[Accessed 30 July 2022].</w:t>
              </w:r>
            </w:p>
            <w:p w14:paraId="771FBF56" w14:textId="77777777" w:rsidR="004810AE" w:rsidRPr="003E4B7D" w:rsidRDefault="004810AE" w:rsidP="004810AE">
              <w:pPr>
                <w:pStyle w:val="Bibliography"/>
              </w:pPr>
              <w:r w:rsidRPr="003E4B7D">
                <w:t xml:space="preserve">Buffel, T. et al., 2021. Locked down by inequality: Older people and the COVID-19 pandemic. </w:t>
              </w:r>
              <w:r w:rsidRPr="003E4B7D">
                <w:rPr>
                  <w:i/>
                  <w:iCs/>
                </w:rPr>
                <w:t xml:space="preserve">Urban Studies, </w:t>
              </w:r>
              <w:r w:rsidRPr="003E4B7D">
                <w:t>6(2), pp. 2-12.</w:t>
              </w:r>
            </w:p>
            <w:p w14:paraId="17FC4EFD" w14:textId="77777777" w:rsidR="004810AE" w:rsidRPr="003E4B7D" w:rsidRDefault="004810AE" w:rsidP="004810AE">
              <w:pPr>
                <w:pStyle w:val="Bibliography"/>
              </w:pPr>
              <w:r w:rsidRPr="003E4B7D">
                <w:t xml:space="preserve">GOV.UK, 2015. </w:t>
              </w:r>
              <w:r w:rsidRPr="003E4B7D">
                <w:rPr>
                  <w:i/>
                  <w:iCs/>
                </w:rPr>
                <w:t xml:space="preserve">2010 to 2015 government policy: older people. </w:t>
              </w:r>
              <w:r w:rsidRPr="003E4B7D">
                <w:t xml:space="preserve">[Online] </w:t>
              </w:r>
              <w:r w:rsidRPr="003E4B7D">
                <w:br/>
                <w:t>Available at: https://www.gov.uk/government/publications/2010-to-2015-government-policy-older-people/2010-to-2015-government-policy-older-people</w:t>
              </w:r>
              <w:r w:rsidRPr="003E4B7D">
                <w:br/>
                <w:t>[Accessed 30 July 2022].</w:t>
              </w:r>
            </w:p>
            <w:p w14:paraId="456F066B" w14:textId="77777777" w:rsidR="004810AE" w:rsidRPr="003E4B7D" w:rsidRDefault="004810AE" w:rsidP="004810AE">
              <w:pPr>
                <w:pStyle w:val="Bibliography"/>
              </w:pPr>
              <w:r w:rsidRPr="003E4B7D">
                <w:t xml:space="preserve">GOV.UK, 2022. </w:t>
              </w:r>
              <w:r w:rsidRPr="003E4B7D">
                <w:rPr>
                  <w:i/>
                  <w:iCs/>
                </w:rPr>
                <w:t xml:space="preserve">Domestic Abuse Act 2021: overarching factsheet. </w:t>
              </w:r>
              <w:r w:rsidRPr="003E4B7D">
                <w:t xml:space="preserve">[Online] </w:t>
              </w:r>
              <w:r w:rsidRPr="003E4B7D">
                <w:br/>
                <w:t>Available at: https://www.gov.uk/government/publications/domestic-abuse-bill-2020-</w:t>
              </w:r>
              <w:r w:rsidRPr="003E4B7D">
                <w:lastRenderedPageBreak/>
                <w:t>factsheets/domestic-abuse-bill-2020-overarching-factsheet</w:t>
              </w:r>
              <w:r w:rsidRPr="003E4B7D">
                <w:br/>
                <w:t>[Accessed 30 July 2022].</w:t>
              </w:r>
            </w:p>
            <w:p w14:paraId="4F560DCA" w14:textId="77777777" w:rsidR="004810AE" w:rsidRPr="003E4B7D" w:rsidRDefault="004810AE" w:rsidP="004810AE">
              <w:pPr>
                <w:pStyle w:val="Bibliography"/>
              </w:pPr>
              <w:r w:rsidRPr="003E4B7D">
                <w:t xml:space="preserve">Handley Law, 2015. </w:t>
              </w:r>
              <w:r w:rsidRPr="003E4B7D">
                <w:rPr>
                  <w:i/>
                  <w:iCs/>
                </w:rPr>
                <w:t xml:space="preserve">The Care Act 2014. </w:t>
              </w:r>
              <w:r w:rsidRPr="003E4B7D">
                <w:t xml:space="preserve">[Online] </w:t>
              </w:r>
              <w:r w:rsidRPr="003E4B7D">
                <w:br/>
                <w:t>Available at: https://handleylaw.co.uk/care-act-2014/</w:t>
              </w:r>
              <w:r w:rsidRPr="003E4B7D">
                <w:br/>
                <w:t>[Accessed 30 July 2022].</w:t>
              </w:r>
            </w:p>
            <w:p w14:paraId="335BCCD5" w14:textId="77777777" w:rsidR="004810AE" w:rsidRPr="003E4B7D" w:rsidRDefault="004810AE" w:rsidP="004810AE">
              <w:pPr>
                <w:pStyle w:val="Bibliography"/>
              </w:pPr>
              <w:r w:rsidRPr="003E4B7D">
                <w:t xml:space="preserve">Holstege, P. C. &amp; Holstege, H., 2007. Caregiver Stress. In: </w:t>
              </w:r>
              <w:r w:rsidRPr="003E4B7D">
                <w:rPr>
                  <w:i/>
                  <w:iCs/>
                </w:rPr>
                <w:t xml:space="preserve">Encyclopedia of Stress (Second Edition). </w:t>
              </w:r>
              <w:r w:rsidRPr="003E4B7D">
                <w:t>Amsterdam: Elsevier , pp. 896-899.</w:t>
              </w:r>
            </w:p>
            <w:p w14:paraId="63CDE809" w14:textId="77777777" w:rsidR="004810AE" w:rsidRPr="003E4B7D" w:rsidRDefault="004810AE" w:rsidP="004810AE">
              <w:pPr>
                <w:pStyle w:val="Bibliography"/>
              </w:pPr>
              <w:r w:rsidRPr="003E4B7D">
                <w:t xml:space="preserve">Jaarsveld, V. M. G., 2020. The Effects of COVID-19 Among the Elderly Population: A Case for Closing the Digital Divide. </w:t>
              </w:r>
              <w:r w:rsidRPr="003E4B7D">
                <w:rPr>
                  <w:i/>
                  <w:iCs/>
                </w:rPr>
                <w:t xml:space="preserve">Frontiers in Psychiatry, </w:t>
              </w:r>
              <w:r w:rsidRPr="003E4B7D">
                <w:t>15(1), pp. 2-8.</w:t>
              </w:r>
            </w:p>
            <w:p w14:paraId="6D4B873F" w14:textId="77777777" w:rsidR="004810AE" w:rsidRPr="003E4B7D" w:rsidRDefault="004810AE" w:rsidP="004810AE">
              <w:pPr>
                <w:pStyle w:val="Bibliography"/>
              </w:pPr>
              <w:r w:rsidRPr="003E4B7D">
                <w:t xml:space="preserve">Kmietowicz, Z., 2004. Thousands of elderly people face abuse, says Commons report. </w:t>
              </w:r>
              <w:r w:rsidRPr="003E4B7D">
                <w:rPr>
                  <w:i/>
                  <w:iCs/>
                </w:rPr>
                <w:t xml:space="preserve">British Medical Journal, </w:t>
              </w:r>
              <w:r w:rsidRPr="003E4B7D">
                <w:t>328(8), pp. 2-10.</w:t>
              </w:r>
            </w:p>
            <w:p w14:paraId="05905DE6" w14:textId="77777777" w:rsidR="004810AE" w:rsidRPr="003E4B7D" w:rsidRDefault="004810AE" w:rsidP="004810AE">
              <w:pPr>
                <w:pStyle w:val="Bibliography"/>
              </w:pPr>
              <w:r w:rsidRPr="003E4B7D">
                <w:t xml:space="preserve">Lange, J. &amp; Grossman, S., 2016. Chapter 3. In: </w:t>
              </w:r>
              <w:r w:rsidRPr="003E4B7D">
                <w:rPr>
                  <w:i/>
                  <w:iCs/>
                </w:rPr>
                <w:t xml:space="preserve">Theories of Aging . </w:t>
              </w:r>
              <w:r w:rsidRPr="003E4B7D">
                <w:t>New York : Springer Publishing, pp. 41-65.</w:t>
              </w:r>
            </w:p>
            <w:p w14:paraId="0E6EE426" w14:textId="77777777" w:rsidR="004810AE" w:rsidRPr="003E4B7D" w:rsidRDefault="004810AE" w:rsidP="004810AE">
              <w:pPr>
                <w:pStyle w:val="Bibliography"/>
              </w:pPr>
              <w:r w:rsidRPr="003E4B7D">
                <w:t xml:space="preserve">Lebrasseur, A. et al., 2021. Impact of the COVID-19 Pandemic on Older Adults: Rapid Review. </w:t>
              </w:r>
              <w:r w:rsidRPr="003E4B7D">
                <w:rPr>
                  <w:i/>
                  <w:iCs/>
                </w:rPr>
                <w:t xml:space="preserve">JMIR Aging, </w:t>
              </w:r>
              <w:r w:rsidRPr="003E4B7D">
                <w:t>4(2), p. e26474.</w:t>
              </w:r>
            </w:p>
            <w:p w14:paraId="4F3343FF" w14:textId="77777777" w:rsidR="004810AE" w:rsidRPr="003E4B7D" w:rsidRDefault="004810AE" w:rsidP="004810AE">
              <w:pPr>
                <w:pStyle w:val="Bibliography"/>
              </w:pPr>
              <w:r w:rsidRPr="003E4B7D">
                <w:t xml:space="preserve">Letwin, O. H., Harper, S. &amp; Walport, M., 2016. </w:t>
              </w:r>
              <w:r w:rsidRPr="003E4B7D">
                <w:rPr>
                  <w:i/>
                  <w:iCs/>
                </w:rPr>
                <w:t xml:space="preserve">Future of an Ageing Population, </w:t>
              </w:r>
              <w:r w:rsidRPr="003E4B7D">
                <w:t>London: Government Office for Science.</w:t>
              </w:r>
            </w:p>
            <w:p w14:paraId="7CC45E55" w14:textId="77777777" w:rsidR="004810AE" w:rsidRPr="003E4B7D" w:rsidRDefault="004810AE" w:rsidP="004810AE">
              <w:pPr>
                <w:pStyle w:val="Bibliography"/>
              </w:pPr>
              <w:r w:rsidRPr="003E4B7D">
                <w:t xml:space="preserve">Manchester, 2021. </w:t>
              </w:r>
              <w:r w:rsidRPr="003E4B7D">
                <w:rPr>
                  <w:i/>
                  <w:iCs/>
                </w:rPr>
                <w:t xml:space="preserve">New research reveals challenges faced by older people during pandemic. </w:t>
              </w:r>
              <w:r w:rsidRPr="003E4B7D">
                <w:t xml:space="preserve">[Online] </w:t>
              </w:r>
              <w:r w:rsidRPr="003E4B7D">
                <w:br/>
                <w:t>Available at: https://www.manchester.ac.uk/discover/news/older-people-during-pandemic/</w:t>
              </w:r>
              <w:r w:rsidRPr="003E4B7D">
                <w:br/>
                <w:t>[Accessed 30 July 2022].</w:t>
              </w:r>
            </w:p>
            <w:p w14:paraId="1463D4C6" w14:textId="77777777" w:rsidR="004810AE" w:rsidRPr="003E4B7D" w:rsidRDefault="004810AE" w:rsidP="004810AE">
              <w:pPr>
                <w:pStyle w:val="Bibliography"/>
              </w:pPr>
              <w:r w:rsidRPr="003E4B7D">
                <w:t xml:space="preserve">MHA, 2022. </w:t>
              </w:r>
              <w:r w:rsidRPr="003E4B7D">
                <w:rPr>
                  <w:i/>
                  <w:iCs/>
                </w:rPr>
                <w:t xml:space="preserve">Facts &amp; Stats. </w:t>
              </w:r>
              <w:r w:rsidRPr="003E4B7D">
                <w:t xml:space="preserve">[Online] </w:t>
              </w:r>
              <w:r w:rsidRPr="003E4B7D">
                <w:br/>
                <w:t>Available at: https://www.mha.org.uk/get-involved/policy-influencing/facts-stats/</w:t>
              </w:r>
              <w:r w:rsidRPr="003E4B7D">
                <w:br/>
                <w:t>[Accessed 30 July 2022].</w:t>
              </w:r>
            </w:p>
            <w:p w14:paraId="54E66700" w14:textId="77777777" w:rsidR="004810AE" w:rsidRPr="003E4B7D" w:rsidRDefault="004810AE" w:rsidP="004810AE">
              <w:pPr>
                <w:pStyle w:val="Bibliography"/>
              </w:pPr>
              <w:r w:rsidRPr="003E4B7D">
                <w:t xml:space="preserve">Moore, D. &amp; Davies, G., 2015. </w:t>
              </w:r>
              <w:r w:rsidRPr="003E4B7D">
                <w:rPr>
                  <w:i/>
                  <w:iCs/>
                </w:rPr>
                <w:t xml:space="preserve">What is Known About the Oral Health of Older People in England and Wales, </w:t>
              </w:r>
              <w:r w:rsidRPr="003E4B7D">
                <w:t>England: Public Health England.</w:t>
              </w:r>
            </w:p>
            <w:p w14:paraId="260A583F" w14:textId="77777777" w:rsidR="004810AE" w:rsidRPr="003E4B7D" w:rsidRDefault="004810AE" w:rsidP="004810AE">
              <w:pPr>
                <w:pStyle w:val="Bibliography"/>
              </w:pPr>
              <w:r w:rsidRPr="003E4B7D">
                <w:lastRenderedPageBreak/>
                <w:t xml:space="preserve">National Health Service (NHS), 2022. </w:t>
              </w:r>
              <w:r w:rsidRPr="003E4B7D">
                <w:rPr>
                  <w:i/>
                  <w:iCs/>
                </w:rPr>
                <w:t xml:space="preserve">Improving care for older people. </w:t>
              </w:r>
              <w:r w:rsidRPr="003E4B7D">
                <w:t xml:space="preserve">[Online] </w:t>
              </w:r>
              <w:r w:rsidRPr="003E4B7D">
                <w:br/>
                <w:t>Available at: https://www.england.nhs.uk/ourwork/clinical-policy/older-people/improving-care-for-older-people/</w:t>
              </w:r>
              <w:r w:rsidRPr="003E4B7D">
                <w:br/>
                <w:t>[Accessed 30 July 2022].</w:t>
              </w:r>
            </w:p>
            <w:p w14:paraId="75E83C47" w14:textId="77777777" w:rsidR="004810AE" w:rsidRPr="003E4B7D" w:rsidRDefault="004810AE" w:rsidP="004810AE">
              <w:pPr>
                <w:pStyle w:val="Bibliography"/>
              </w:pPr>
              <w:r w:rsidRPr="003E4B7D">
                <w:t xml:space="preserve">O'Brien, M. et al., 2016. Chapter 1. In: </w:t>
              </w:r>
              <w:r w:rsidRPr="003E4B7D">
                <w:rPr>
                  <w:i/>
                  <w:iCs/>
                </w:rPr>
                <w:t xml:space="preserve">Elder Abuse, Context and Theory: Finland, Ireland, Italy and Romania. </w:t>
              </w:r>
              <w:r w:rsidRPr="003E4B7D">
                <w:t>s.l.:Erasmus, p. 19.</w:t>
              </w:r>
            </w:p>
            <w:p w14:paraId="695D765D" w14:textId="77777777" w:rsidR="004810AE" w:rsidRPr="003E4B7D" w:rsidRDefault="004810AE" w:rsidP="004810AE">
              <w:pPr>
                <w:pStyle w:val="Bibliography"/>
              </w:pPr>
              <w:r w:rsidRPr="003E4B7D">
                <w:t xml:space="preserve">Physiopedia, 2022. </w:t>
              </w:r>
              <w:r w:rsidRPr="003E4B7D">
                <w:rPr>
                  <w:i/>
                  <w:iCs/>
                </w:rPr>
                <w:t xml:space="preserve">Theories of Ageing. </w:t>
              </w:r>
              <w:r w:rsidRPr="003E4B7D">
                <w:t xml:space="preserve">[Online] </w:t>
              </w:r>
              <w:r w:rsidRPr="003E4B7D">
                <w:br/>
                <w:t>Available at: https://www.physio-pedia.com/Theories_of_Ageing#:~:text=Activity%20Theory,-Is%20another%20theory&amp;text=This%20theory%20suggests%20that%20a,roles%2C%20volunteer%20%26%20community%20roles.</w:t>
              </w:r>
              <w:r w:rsidRPr="003E4B7D">
                <w:br/>
                <w:t>[Accessed 30 July 2022].</w:t>
              </w:r>
            </w:p>
            <w:p w14:paraId="4192B051" w14:textId="77777777" w:rsidR="004810AE" w:rsidRPr="003E4B7D" w:rsidRDefault="004810AE" w:rsidP="004810AE">
              <w:pPr>
                <w:pStyle w:val="Bibliography"/>
              </w:pPr>
              <w:r w:rsidRPr="003E4B7D">
                <w:t xml:space="preserve">Raymond, A. et al., 2021. </w:t>
              </w:r>
              <w:r w:rsidRPr="003E4B7D">
                <w:rPr>
                  <w:i/>
                  <w:iCs/>
                </w:rPr>
                <w:t xml:space="preserve">Our ageing population. </w:t>
              </w:r>
              <w:r w:rsidRPr="003E4B7D">
                <w:t xml:space="preserve">[Online] </w:t>
              </w:r>
              <w:r w:rsidRPr="003E4B7D">
                <w:br/>
                <w:t>Available at: https://www.health.org.uk/publications/our-ageing-population</w:t>
              </w:r>
              <w:r w:rsidRPr="003E4B7D">
                <w:br/>
                <w:t>[Accessed 30 July 2022].</w:t>
              </w:r>
            </w:p>
            <w:p w14:paraId="3382E7CC" w14:textId="77777777" w:rsidR="004810AE" w:rsidRPr="003E4B7D" w:rsidRDefault="004810AE" w:rsidP="004810AE">
              <w:pPr>
                <w:pStyle w:val="Bibliography"/>
              </w:pPr>
              <w:r w:rsidRPr="003E4B7D">
                <w:t xml:space="preserve">Shepperd, L., 2021. </w:t>
              </w:r>
              <w:r w:rsidRPr="003E4B7D">
                <w:rPr>
                  <w:i/>
                  <w:iCs/>
                </w:rPr>
                <w:t xml:space="preserve">Domestic abuse of older people. </w:t>
              </w:r>
              <w:r w:rsidRPr="003E4B7D">
                <w:t xml:space="preserve">[Online] </w:t>
              </w:r>
              <w:r w:rsidRPr="003E4B7D">
                <w:br/>
                <w:t>Available at: https://lordslibrary.parliament.uk/domestic-abuse-of-older-people/</w:t>
              </w:r>
              <w:r w:rsidRPr="003E4B7D">
                <w:br/>
                <w:t>[Accessed 30 July 2022].</w:t>
              </w:r>
            </w:p>
            <w:p w14:paraId="400344D1" w14:textId="77777777" w:rsidR="004810AE" w:rsidRPr="003E4B7D" w:rsidRDefault="004810AE" w:rsidP="004810AE">
              <w:pPr>
                <w:pStyle w:val="Bibliography"/>
              </w:pPr>
              <w:r w:rsidRPr="003E4B7D">
                <w:t xml:space="preserve">The Law Society, 2022. </w:t>
              </w:r>
              <w:r w:rsidRPr="003E4B7D">
                <w:rPr>
                  <w:i/>
                  <w:iCs/>
                </w:rPr>
                <w:t xml:space="preserve">Domestic Abuse Act 2021. </w:t>
              </w:r>
              <w:r w:rsidRPr="003E4B7D">
                <w:t xml:space="preserve">[Online] </w:t>
              </w:r>
              <w:r w:rsidRPr="003E4B7D">
                <w:br/>
                <w:t>Available at: https://www.lawsociety.org.uk/topics/family-and-children/domestic-abuse-act-2021</w:t>
              </w:r>
              <w:r w:rsidRPr="003E4B7D">
                <w:br/>
                <w:t>[Accessed 30 July 2022].</w:t>
              </w:r>
            </w:p>
            <w:p w14:paraId="5873D93F" w14:textId="77777777" w:rsidR="004810AE" w:rsidRPr="003E4B7D" w:rsidRDefault="004810AE" w:rsidP="004810AE">
              <w:pPr>
                <w:pStyle w:val="Bibliography"/>
              </w:pPr>
              <w:r w:rsidRPr="003E4B7D">
                <w:t xml:space="preserve">The Live-in Care Hub, 2022. </w:t>
              </w:r>
              <w:r w:rsidRPr="003E4B7D">
                <w:rPr>
                  <w:i/>
                  <w:iCs/>
                </w:rPr>
                <w:t xml:space="preserve">A Guide to Issues Affecting The Elderly. </w:t>
              </w:r>
              <w:r w:rsidRPr="003E4B7D">
                <w:t xml:space="preserve">[Online] </w:t>
              </w:r>
              <w:r w:rsidRPr="003E4B7D">
                <w:br/>
                <w:t>Available at: https://www.liveincarehub.co.uk/guide-to-issues-affecting-the-elderly/#:~:text=Social%20isolation%20because%20adult%20children,Losing%20contact%20with%20family%20members</w:t>
              </w:r>
              <w:r w:rsidRPr="003E4B7D">
                <w:br/>
                <w:t>[Accessed 30 July 2022].</w:t>
              </w:r>
            </w:p>
            <w:p w14:paraId="6F621F20" w14:textId="77777777" w:rsidR="004810AE" w:rsidRPr="003E4B7D" w:rsidRDefault="004810AE" w:rsidP="004810AE">
              <w:pPr>
                <w:pStyle w:val="Bibliography"/>
              </w:pPr>
              <w:r w:rsidRPr="003E4B7D">
                <w:t xml:space="preserve">UCDAVIS, 2020. </w:t>
              </w:r>
              <w:r w:rsidRPr="003E4B7D">
                <w:rPr>
                  <w:i/>
                  <w:iCs/>
                </w:rPr>
                <w:t xml:space="preserve">Activity Theory. </w:t>
              </w:r>
              <w:r w:rsidRPr="003E4B7D">
                <w:t xml:space="preserve">[Online] </w:t>
              </w:r>
              <w:r w:rsidRPr="003E4B7D">
                <w:br/>
                <w:t>Available at: https://socialsci.libretexts.org/Bookshelves/Sociology/Introduction_to_Sociology/Book%3A_So</w:t>
              </w:r>
              <w:r w:rsidRPr="003E4B7D">
                <w:lastRenderedPageBreak/>
                <w:t>ciology_(Boundless)/18%3A_Aging/18.03%3A_The_Functionalist_Perspective_on_Aging/18.3B%3A_Activity_Theory</w:t>
              </w:r>
              <w:r w:rsidRPr="003E4B7D">
                <w:br/>
                <w:t>[Accessed 30 July 2022].</w:t>
              </w:r>
            </w:p>
            <w:p w14:paraId="2250F547" w14:textId="77777777" w:rsidR="004810AE" w:rsidRPr="003E4B7D" w:rsidRDefault="004810AE" w:rsidP="004810AE">
              <w:pPr>
                <w:pStyle w:val="Bibliography"/>
              </w:pPr>
              <w:r w:rsidRPr="003E4B7D">
                <w:t xml:space="preserve">UK Parliament, 2022. </w:t>
              </w:r>
              <w:r w:rsidRPr="003E4B7D">
                <w:rPr>
                  <w:i/>
                  <w:iCs/>
                </w:rPr>
                <w:t xml:space="preserve">Challenges of an ageing population. </w:t>
              </w:r>
              <w:r w:rsidRPr="003E4B7D">
                <w:t xml:space="preserve">[Online] </w:t>
              </w:r>
              <w:r w:rsidRPr="003E4B7D">
                <w:br/>
                <w:t>Available at: https://www.parliament.uk/business/publications/research/key-issues-parliament-2015/social-change/ageing-population/</w:t>
              </w:r>
              <w:r w:rsidRPr="003E4B7D">
                <w:br/>
                <w:t>[Accessed 30 July 2022].</w:t>
              </w:r>
            </w:p>
            <w:p w14:paraId="16DE78F1" w14:textId="77777777" w:rsidR="004810AE" w:rsidRPr="003E4B7D" w:rsidRDefault="004810AE" w:rsidP="004810AE">
              <w:pPr>
                <w:pStyle w:val="Bibliography"/>
              </w:pPr>
              <w:r w:rsidRPr="003E4B7D">
                <w:t xml:space="preserve">Wu, B., 2020. Social isolation and loneliness among older adults in the context of COVID-19: a global challenge. </w:t>
              </w:r>
              <w:r w:rsidRPr="003E4B7D">
                <w:rPr>
                  <w:i/>
                  <w:iCs/>
                </w:rPr>
                <w:t xml:space="preserve">Global Health Research and Policy volume , </w:t>
              </w:r>
              <w:r w:rsidRPr="003E4B7D">
                <w:t>5(27), pp. 2-9.</w:t>
              </w:r>
            </w:p>
            <w:p w14:paraId="786B0C97" w14:textId="77777777" w:rsidR="004810AE" w:rsidRPr="003E4B7D" w:rsidRDefault="004810AE" w:rsidP="004810AE">
              <w:pPr>
                <w:spacing w:line="276" w:lineRule="auto"/>
                <w:rPr>
                  <w:rFonts w:ascii="Arial" w:hAnsi="Arial" w:cs="Arial"/>
                  <w:bCs/>
                  <w:sz w:val="22"/>
                </w:rPr>
              </w:pPr>
              <w:r w:rsidRPr="003E4B7D">
                <w:rPr>
                  <w:rFonts w:ascii="Arial" w:hAnsi="Arial" w:cs="Arial"/>
                  <w:bCs/>
                  <w:sz w:val="22"/>
                </w:rPr>
                <w:fldChar w:fldCharType="end"/>
              </w:r>
            </w:p>
          </w:sdtContent>
        </w:sdt>
      </w:sdtContent>
    </w:sdt>
    <w:p w14:paraId="3DCF0141" w14:textId="77777777" w:rsidR="004810AE" w:rsidRPr="003E4B7D" w:rsidRDefault="004810AE" w:rsidP="004810AE">
      <w:pPr>
        <w:spacing w:line="276" w:lineRule="auto"/>
        <w:rPr>
          <w:rFonts w:ascii="Arial" w:hAnsi="Arial" w:cs="Arial"/>
          <w:bCs/>
          <w:sz w:val="22"/>
        </w:rPr>
      </w:pPr>
    </w:p>
    <w:p w14:paraId="173B8C97" w14:textId="77777777" w:rsidR="00B910F9" w:rsidRPr="003E4B7D" w:rsidRDefault="00000000" w:rsidP="004810AE">
      <w:pPr>
        <w:spacing w:line="276" w:lineRule="auto"/>
        <w:rPr>
          <w:rFonts w:ascii="Arial" w:hAnsi="Arial" w:cs="Arial"/>
          <w:bCs/>
          <w:sz w:val="22"/>
        </w:rPr>
      </w:pPr>
    </w:p>
    <w:sectPr w:rsidR="00B910F9" w:rsidRPr="003E4B7D">
      <w:headerReference w:type="default" r:id="rId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296618055"/>
      <w:docPartObj>
        <w:docPartGallery w:val="Page Numbers (Top of Page)"/>
        <w:docPartUnique/>
      </w:docPartObj>
    </w:sdtPr>
    <w:sdtEndPr>
      <w:rPr>
        <w:noProof/>
      </w:rPr>
    </w:sdtEndPr>
    <w:sdtContent>
      <w:p w14:paraId="496FF2F4" w14:textId="77777777" w:rsidR="001A573C" w:rsidRDefault="00000000">
        <w:pPr>
          <w:pStyle w:val="Header"/>
          <w:jc w:val="right"/>
        </w:pPr>
        <w:r>
          <w:rPr>
            <w:noProof w:val="0"/>
          </w:rPr>
          <w:fldChar w:fldCharType="begin"/>
        </w:r>
        <w:r>
          <w:instrText xml:space="preserve"> PAGE   \* MERGEFORMAT </w:instrText>
        </w:r>
        <w:r>
          <w:rPr>
            <w:noProof w:val="0"/>
          </w:rPr>
          <w:fldChar w:fldCharType="separate"/>
        </w:r>
        <w:r>
          <w:t>2</w:t>
        </w:r>
        <w:r>
          <w:fldChar w:fldCharType="end"/>
        </w:r>
      </w:p>
    </w:sdtContent>
  </w:sdt>
  <w:p w14:paraId="66C85A66" w14:textId="77777777" w:rsidR="001A573C"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0AE"/>
    <w:rsid w:val="003E4B7D"/>
    <w:rsid w:val="004810AE"/>
    <w:rsid w:val="006B7C29"/>
    <w:rsid w:val="00CD2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52D38"/>
  <w15:chartTrackingRefBased/>
  <w15:docId w15:val="{6E9D37FC-BB64-439B-BF8F-08371515E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0AE"/>
    <w:pPr>
      <w:spacing w:line="360" w:lineRule="auto"/>
    </w:pPr>
    <w:rPr>
      <w:rFonts w:ascii="Times New Roman" w:hAnsi="Times New Roman"/>
      <w:noProof/>
      <w:kern w:val="0"/>
      <w:sz w:val="24"/>
      <w14:ligatures w14:val="none"/>
    </w:rPr>
  </w:style>
  <w:style w:type="paragraph" w:styleId="Heading1">
    <w:name w:val="heading 1"/>
    <w:basedOn w:val="Normal"/>
    <w:next w:val="Normal"/>
    <w:link w:val="Heading1Char"/>
    <w:uiPriority w:val="9"/>
    <w:qFormat/>
    <w:rsid w:val="004810AE"/>
    <w:pPr>
      <w:keepNext/>
      <w:keepLines/>
      <w:spacing w:line="240" w:lineRule="auto"/>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810AE"/>
    <w:pPr>
      <w:keepNext/>
      <w:keepLines/>
      <w:spacing w:before="4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10AE"/>
    <w:rPr>
      <w:rFonts w:ascii="Times New Roman" w:eastAsiaTheme="majorEastAsia" w:hAnsi="Times New Roman" w:cstheme="majorBidi"/>
      <w:b/>
      <w:noProof/>
      <w:kern w:val="0"/>
      <w:sz w:val="32"/>
      <w:szCs w:val="32"/>
      <w14:ligatures w14:val="none"/>
    </w:rPr>
  </w:style>
  <w:style w:type="character" w:customStyle="1" w:styleId="Heading2Char">
    <w:name w:val="Heading 2 Char"/>
    <w:basedOn w:val="DefaultParagraphFont"/>
    <w:link w:val="Heading2"/>
    <w:uiPriority w:val="9"/>
    <w:rsid w:val="004810AE"/>
    <w:rPr>
      <w:rFonts w:ascii="Times New Roman" w:eastAsiaTheme="majorEastAsia" w:hAnsi="Times New Roman" w:cstheme="majorBidi"/>
      <w:b/>
      <w:noProof/>
      <w:kern w:val="0"/>
      <w:sz w:val="26"/>
      <w:szCs w:val="26"/>
      <w14:ligatures w14:val="none"/>
    </w:rPr>
  </w:style>
  <w:style w:type="paragraph" w:styleId="Header">
    <w:name w:val="header"/>
    <w:basedOn w:val="Normal"/>
    <w:link w:val="HeaderChar"/>
    <w:uiPriority w:val="99"/>
    <w:unhideWhenUsed/>
    <w:rsid w:val="004810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10AE"/>
    <w:rPr>
      <w:rFonts w:ascii="Times New Roman" w:hAnsi="Times New Roman"/>
      <w:noProof/>
      <w:kern w:val="0"/>
      <w:sz w:val="24"/>
      <w14:ligatures w14:val="none"/>
    </w:rPr>
  </w:style>
  <w:style w:type="paragraph" w:styleId="TOCHeading">
    <w:name w:val="TOC Heading"/>
    <w:basedOn w:val="Heading1"/>
    <w:next w:val="Normal"/>
    <w:uiPriority w:val="39"/>
    <w:unhideWhenUsed/>
    <w:qFormat/>
    <w:rsid w:val="004810AE"/>
    <w:pPr>
      <w:spacing w:before="240" w:after="0" w:line="259" w:lineRule="auto"/>
      <w:jc w:val="left"/>
      <w:outlineLvl w:val="9"/>
    </w:pPr>
    <w:rPr>
      <w:rFonts w:asciiTheme="majorHAnsi" w:hAnsiTheme="majorHAnsi"/>
      <w:b w:val="0"/>
      <w:noProof w:val="0"/>
      <w:color w:val="2F5496" w:themeColor="accent1" w:themeShade="BF"/>
      <w:lang w:val="en-US"/>
    </w:rPr>
  </w:style>
  <w:style w:type="paragraph" w:styleId="Bibliography">
    <w:name w:val="Bibliography"/>
    <w:basedOn w:val="Normal"/>
    <w:next w:val="Normal"/>
    <w:uiPriority w:val="37"/>
    <w:unhideWhenUsed/>
    <w:rsid w:val="00481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37993">
      <w:bodyDiv w:val="1"/>
      <w:marLeft w:val="0"/>
      <w:marRight w:val="0"/>
      <w:marTop w:val="0"/>
      <w:marBottom w:val="0"/>
      <w:divBdr>
        <w:top w:val="none" w:sz="0" w:space="0" w:color="auto"/>
        <w:left w:val="none" w:sz="0" w:space="0" w:color="auto"/>
        <w:bottom w:val="none" w:sz="0" w:space="0" w:color="auto"/>
        <w:right w:val="none" w:sz="0" w:space="0" w:color="auto"/>
      </w:divBdr>
    </w:div>
    <w:div w:id="210579735">
      <w:bodyDiv w:val="1"/>
      <w:marLeft w:val="0"/>
      <w:marRight w:val="0"/>
      <w:marTop w:val="0"/>
      <w:marBottom w:val="0"/>
      <w:divBdr>
        <w:top w:val="none" w:sz="0" w:space="0" w:color="auto"/>
        <w:left w:val="none" w:sz="0" w:space="0" w:color="auto"/>
        <w:bottom w:val="none" w:sz="0" w:space="0" w:color="auto"/>
        <w:right w:val="none" w:sz="0" w:space="0" w:color="auto"/>
      </w:divBdr>
    </w:div>
    <w:div w:id="373434151">
      <w:bodyDiv w:val="1"/>
      <w:marLeft w:val="0"/>
      <w:marRight w:val="0"/>
      <w:marTop w:val="0"/>
      <w:marBottom w:val="0"/>
      <w:divBdr>
        <w:top w:val="none" w:sz="0" w:space="0" w:color="auto"/>
        <w:left w:val="none" w:sz="0" w:space="0" w:color="auto"/>
        <w:bottom w:val="none" w:sz="0" w:space="0" w:color="auto"/>
        <w:right w:val="none" w:sz="0" w:space="0" w:color="auto"/>
      </w:divBdr>
    </w:div>
    <w:div w:id="399138330">
      <w:bodyDiv w:val="1"/>
      <w:marLeft w:val="0"/>
      <w:marRight w:val="0"/>
      <w:marTop w:val="0"/>
      <w:marBottom w:val="0"/>
      <w:divBdr>
        <w:top w:val="none" w:sz="0" w:space="0" w:color="auto"/>
        <w:left w:val="none" w:sz="0" w:space="0" w:color="auto"/>
        <w:bottom w:val="none" w:sz="0" w:space="0" w:color="auto"/>
        <w:right w:val="none" w:sz="0" w:space="0" w:color="auto"/>
      </w:divBdr>
    </w:div>
    <w:div w:id="437527945">
      <w:bodyDiv w:val="1"/>
      <w:marLeft w:val="0"/>
      <w:marRight w:val="0"/>
      <w:marTop w:val="0"/>
      <w:marBottom w:val="0"/>
      <w:divBdr>
        <w:top w:val="none" w:sz="0" w:space="0" w:color="auto"/>
        <w:left w:val="none" w:sz="0" w:space="0" w:color="auto"/>
        <w:bottom w:val="none" w:sz="0" w:space="0" w:color="auto"/>
        <w:right w:val="none" w:sz="0" w:space="0" w:color="auto"/>
      </w:divBdr>
    </w:div>
    <w:div w:id="445199840">
      <w:bodyDiv w:val="1"/>
      <w:marLeft w:val="0"/>
      <w:marRight w:val="0"/>
      <w:marTop w:val="0"/>
      <w:marBottom w:val="0"/>
      <w:divBdr>
        <w:top w:val="none" w:sz="0" w:space="0" w:color="auto"/>
        <w:left w:val="none" w:sz="0" w:space="0" w:color="auto"/>
        <w:bottom w:val="none" w:sz="0" w:space="0" w:color="auto"/>
        <w:right w:val="none" w:sz="0" w:space="0" w:color="auto"/>
      </w:divBdr>
    </w:div>
    <w:div w:id="786119408">
      <w:bodyDiv w:val="1"/>
      <w:marLeft w:val="0"/>
      <w:marRight w:val="0"/>
      <w:marTop w:val="0"/>
      <w:marBottom w:val="0"/>
      <w:divBdr>
        <w:top w:val="none" w:sz="0" w:space="0" w:color="auto"/>
        <w:left w:val="none" w:sz="0" w:space="0" w:color="auto"/>
        <w:bottom w:val="none" w:sz="0" w:space="0" w:color="auto"/>
        <w:right w:val="none" w:sz="0" w:space="0" w:color="auto"/>
      </w:divBdr>
    </w:div>
    <w:div w:id="1161232620">
      <w:bodyDiv w:val="1"/>
      <w:marLeft w:val="0"/>
      <w:marRight w:val="0"/>
      <w:marTop w:val="0"/>
      <w:marBottom w:val="0"/>
      <w:divBdr>
        <w:top w:val="none" w:sz="0" w:space="0" w:color="auto"/>
        <w:left w:val="none" w:sz="0" w:space="0" w:color="auto"/>
        <w:bottom w:val="none" w:sz="0" w:space="0" w:color="auto"/>
        <w:right w:val="none" w:sz="0" w:space="0" w:color="auto"/>
      </w:divBdr>
    </w:div>
    <w:div w:id="1622686740">
      <w:bodyDiv w:val="1"/>
      <w:marLeft w:val="0"/>
      <w:marRight w:val="0"/>
      <w:marTop w:val="0"/>
      <w:marBottom w:val="0"/>
      <w:divBdr>
        <w:top w:val="none" w:sz="0" w:space="0" w:color="auto"/>
        <w:left w:val="none" w:sz="0" w:space="0" w:color="auto"/>
        <w:bottom w:val="none" w:sz="0" w:space="0" w:color="auto"/>
        <w:right w:val="none" w:sz="0" w:space="0" w:color="auto"/>
      </w:divBdr>
    </w:div>
    <w:div w:id="1671908794">
      <w:bodyDiv w:val="1"/>
      <w:marLeft w:val="0"/>
      <w:marRight w:val="0"/>
      <w:marTop w:val="0"/>
      <w:marBottom w:val="0"/>
      <w:divBdr>
        <w:top w:val="none" w:sz="0" w:space="0" w:color="auto"/>
        <w:left w:val="none" w:sz="0" w:space="0" w:color="auto"/>
        <w:bottom w:val="none" w:sz="0" w:space="0" w:color="auto"/>
        <w:right w:val="none" w:sz="0" w:space="0" w:color="auto"/>
      </w:divBdr>
    </w:div>
    <w:div w:id="1801192869">
      <w:bodyDiv w:val="1"/>
      <w:marLeft w:val="0"/>
      <w:marRight w:val="0"/>
      <w:marTop w:val="0"/>
      <w:marBottom w:val="0"/>
      <w:divBdr>
        <w:top w:val="none" w:sz="0" w:space="0" w:color="auto"/>
        <w:left w:val="none" w:sz="0" w:space="0" w:color="auto"/>
        <w:bottom w:val="none" w:sz="0" w:space="0" w:color="auto"/>
        <w:right w:val="none" w:sz="0" w:space="0" w:color="auto"/>
      </w:divBdr>
    </w:div>
    <w:div w:id="1826386308">
      <w:bodyDiv w:val="1"/>
      <w:marLeft w:val="0"/>
      <w:marRight w:val="0"/>
      <w:marTop w:val="0"/>
      <w:marBottom w:val="0"/>
      <w:divBdr>
        <w:top w:val="none" w:sz="0" w:space="0" w:color="auto"/>
        <w:left w:val="none" w:sz="0" w:space="0" w:color="auto"/>
        <w:bottom w:val="none" w:sz="0" w:space="0" w:color="auto"/>
        <w:right w:val="none" w:sz="0" w:space="0" w:color="auto"/>
      </w:divBdr>
    </w:div>
    <w:div w:id="1940486688">
      <w:bodyDiv w:val="1"/>
      <w:marLeft w:val="0"/>
      <w:marRight w:val="0"/>
      <w:marTop w:val="0"/>
      <w:marBottom w:val="0"/>
      <w:divBdr>
        <w:top w:val="none" w:sz="0" w:space="0" w:color="auto"/>
        <w:left w:val="none" w:sz="0" w:space="0" w:color="auto"/>
        <w:bottom w:val="none" w:sz="0" w:space="0" w:color="auto"/>
        <w:right w:val="none" w:sz="0" w:space="0" w:color="auto"/>
      </w:divBdr>
    </w:div>
    <w:div w:id="1998924658">
      <w:bodyDiv w:val="1"/>
      <w:marLeft w:val="0"/>
      <w:marRight w:val="0"/>
      <w:marTop w:val="0"/>
      <w:marBottom w:val="0"/>
      <w:divBdr>
        <w:top w:val="none" w:sz="0" w:space="0" w:color="auto"/>
        <w:left w:val="none" w:sz="0" w:space="0" w:color="auto"/>
        <w:bottom w:val="none" w:sz="0" w:space="0" w:color="auto"/>
        <w:right w:val="none" w:sz="0" w:space="0" w:color="auto"/>
      </w:divBdr>
    </w:div>
    <w:div w:id="2016110611">
      <w:bodyDiv w:val="1"/>
      <w:marLeft w:val="0"/>
      <w:marRight w:val="0"/>
      <w:marTop w:val="0"/>
      <w:marBottom w:val="0"/>
      <w:divBdr>
        <w:top w:val="none" w:sz="0" w:space="0" w:color="auto"/>
        <w:left w:val="none" w:sz="0" w:space="0" w:color="auto"/>
        <w:bottom w:val="none" w:sz="0" w:space="0" w:color="auto"/>
        <w:right w:val="none" w:sz="0" w:space="0" w:color="auto"/>
      </w:divBdr>
    </w:div>
    <w:div w:id="211670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Lan16</b:Tag>
    <b:SourceType>BookSection</b:SourceType>
    <b:Guid>{BBA1F0A1-53B4-489E-8817-7C85912E7923}</b:Guid>
    <b:Title>Chapter 3</b:Title>
    <b:Year>2016</b:Year>
    <b:Author>
      <b:Author>
        <b:NameList>
          <b:Person>
            <b:Last>Lange</b:Last>
            <b:First>J</b:First>
          </b:Person>
          <b:Person>
            <b:Last>Grossman</b:Last>
            <b:First>S.</b:First>
          </b:Person>
        </b:NameList>
      </b:Author>
    </b:Author>
    <b:BookTitle>Theories of Aging </b:BookTitle>
    <b:Pages>41-65</b:Pages>
    <b:City>New York </b:City>
    <b:Publisher>Springer Publishing</b:Publisher>
    <b:RefOrder>1</b:RefOrder>
  </b:Source>
  <b:Source>
    <b:Tag>Han15</b:Tag>
    <b:SourceType>DocumentFromInternetSite</b:SourceType>
    <b:Guid>{2BF5302C-031A-4FAD-8C06-D7D2CDB7F82E}</b:Guid>
    <b:Title>The Care Act 2014</b:Title>
    <b:Year>2015</b:Year>
    <b:Author>
      <b:Author>
        <b:Corporate>Handley Law</b:Corporate>
      </b:Author>
    </b:Author>
    <b:YearAccessed>2022</b:YearAccessed>
    <b:MonthAccessed>July</b:MonthAccessed>
    <b:DayAccessed>30</b:DayAccessed>
    <b:URL>https://handleylaw.co.uk/care-act-2014/</b:URL>
    <b:Month>October</b:Month>
    <b:Day>08</b:Day>
    <b:RefOrder>2</b:RefOrder>
  </b:Source>
  <b:Source>
    <b:Tag>Age21</b:Tag>
    <b:SourceType>DocumentFromInternetSite</b:SourceType>
    <b:Guid>{AE3F2666-2F3E-44F1-9070-F718D567DAE3}</b:Guid>
    <b:Author>
      <b:Author>
        <b:Corporate>Age UK</b:Corporate>
      </b:Author>
    </b:Author>
    <b:Title>The Care Act 2014</b:Title>
    <b:Year>2021</b:Year>
    <b:Month>April </b:Month>
    <b:Day>20</b:Day>
    <b:YearAccessed>2022</b:YearAccessed>
    <b:MonthAccessed>July</b:MonthAccessed>
    <b:DayAccessed>30</b:DayAccessed>
    <b:URL>https://www.ageuk.org.uk/information-advice/care/the-care-act/</b:URL>
    <b:RefOrder>3</b:RefOrder>
  </b:Source>
  <b:Source>
    <b:Tag>Bri221</b:Tag>
    <b:SourceType>InternetSite</b:SourceType>
    <b:Guid>{BED7C5C7-FD35-48B4-B076-5FB969452989}</b:Guid>
    <b:Title>Old Age</b:Title>
    <b:Year>2022</b:Year>
    <b:YearAccessed>2022</b:YearAccessed>
    <b:MonthAccessed>July</b:MonthAccessed>
    <b:DayAccessed>30</b:DayAccessed>
    <b:URL>https://www.britannica.com/science/old-age</b:URL>
    <b:Author>
      <b:Author>
        <b:Corporate>Britannica</b:Corporate>
      </b:Author>
    </b:Author>
    <b:RefOrder>4</b:RefOrder>
  </b:Source>
  <b:Source>
    <b:Tag>MHA22</b:Tag>
    <b:SourceType>InternetSite</b:SourceType>
    <b:Guid>{41AD95D8-769D-4D69-8ABC-FB964AE6E9CE}</b:Guid>
    <b:Author>
      <b:Author>
        <b:Corporate>MHA</b:Corporate>
      </b:Author>
    </b:Author>
    <b:Title>Facts &amp; Stats</b:Title>
    <b:Year>2022</b:Year>
    <b:YearAccessed>2022</b:YearAccessed>
    <b:MonthAccessed>July</b:MonthAccessed>
    <b:DayAccessed>30</b:DayAccessed>
    <b:URL>https://www.mha.org.uk/get-involved/policy-influencing/facts-stats/</b:URL>
    <b:RefOrder>5</b:RefOrder>
  </b:Source>
  <b:Source>
    <b:Tag>NHS225</b:Tag>
    <b:SourceType>InternetSite</b:SourceType>
    <b:Guid>{0B632F82-32D2-4FB2-8B8F-1973FD27B1BD}</b:Guid>
    <b:Author>
      <b:Author>
        <b:Corporate>National Health Service (NHS)</b:Corporate>
      </b:Author>
    </b:Author>
    <b:Title>Improving care for older people</b:Title>
    <b:Year>2022</b:Year>
    <b:YearAccessed>2022</b:YearAccessed>
    <b:MonthAccessed>July</b:MonthAccessed>
    <b:DayAccessed>30</b:DayAccessed>
    <b:URL>https://www.england.nhs.uk/ourwork/clinical-policy/older-people/improving-care-for-older-people/</b:URL>
    <b:RefOrder>6</b:RefOrder>
  </b:Source>
  <b:Source>
    <b:Tag>Moo15</b:Tag>
    <b:SourceType>Report</b:SourceType>
    <b:Guid>{E0598E5D-C62F-4AC8-A00F-3F82CF08AE78}</b:Guid>
    <b:Title>What is Known About the Oral Health of Older People in England and Wales</b:Title>
    <b:Year>2015</b:Year>
    <b:Author>
      <b:Author>
        <b:NameList>
          <b:Person>
            <b:Last>Moore</b:Last>
            <b:First>D</b:First>
          </b:Person>
          <b:Person>
            <b:Last>Davies</b:Last>
            <b:First>G.</b:First>
          </b:Person>
        </b:NameList>
      </b:Author>
    </b:Author>
    <b:Publisher>Public Health England</b:Publisher>
    <b:City>England</b:City>
    <b:RefOrder>7</b:RefOrder>
  </b:Source>
  <b:Source>
    <b:Tag>Ray21</b:Tag>
    <b:SourceType>DocumentFromInternetSite</b:SourceType>
    <b:Guid>{7D9C1A56-764B-4481-86B7-6EC8BA754C9E}</b:Guid>
    <b:Title>Our ageing population</b:Title>
    <b:Year>2021</b:Year>
    <b:Author>
      <b:Author>
        <b:NameList>
          <b:Person>
            <b:Last>Raymond</b:Last>
            <b:First>A</b:First>
          </b:Person>
          <b:Person>
            <b:Last>Bazeer</b:Last>
            <b:First>N</b:First>
          </b:Person>
          <b:Person>
            <b:Last>Barclay</b:Last>
            <b:First>C</b:First>
          </b:Person>
          <b:Person>
            <b:Last>Krelle</b:Last>
            <b:First>H</b:First>
          </b:Person>
          <b:Person>
            <b:Last>Idriss</b:Last>
            <b:First>O</b:First>
          </b:Person>
          <b:Person>
            <b:Last>Tallack</b:Last>
            <b:First>C</b:First>
          </b:Person>
          <b:Person>
            <b:Last>Kelly</b:Last>
            <b:First>E.</b:First>
          </b:Person>
        </b:NameList>
      </b:Author>
    </b:Author>
    <b:Month>December</b:Month>
    <b:YearAccessed>2022</b:YearAccessed>
    <b:MonthAccessed>July</b:MonthAccessed>
    <b:DayAccessed>30</b:DayAccessed>
    <b:URL>https://www.health.org.uk/publications/our-ageing-population</b:URL>
    <b:RefOrder>8</b:RefOrder>
  </b:Source>
  <b:Source>
    <b:Tag>UKP22</b:Tag>
    <b:SourceType>InternetSite</b:SourceType>
    <b:Guid>{A6CAB162-C83B-4119-85B6-398531E88031}</b:Guid>
    <b:Title>Challenges of an ageing population</b:Title>
    <b:Year>2022</b:Year>
    <b:YearAccessed>2022</b:YearAccessed>
    <b:MonthAccessed>July</b:MonthAccessed>
    <b:DayAccessed>30</b:DayAccessed>
    <b:URL>https://www.parliament.uk/business/publications/research/key-issues-parliament-2015/social-change/ageing-population/</b:URL>
    <b:Author>
      <b:Author>
        <b:Corporate>UK Parliament</b:Corporate>
      </b:Author>
    </b:Author>
    <b:RefOrder>9</b:RefOrder>
  </b:Source>
  <b:Source>
    <b:Tag>The221</b:Tag>
    <b:SourceType>InternetSite</b:SourceType>
    <b:Guid>{2AB1685E-172A-46D9-A095-2CEA2D40F6FD}</b:Guid>
    <b:Author>
      <b:Author>
        <b:Corporate>The Live-in Care Hub</b:Corporate>
      </b:Author>
    </b:Author>
    <b:Title>A Guide to Issues Affecting The Elderly</b:Title>
    <b:Year>2022</b:Year>
    <b:YearAccessed>2022</b:YearAccessed>
    <b:MonthAccessed>July</b:MonthAccessed>
    <b:DayAccessed>30</b:DayAccessed>
    <b:URL>https://www.liveincarehub.co.uk/guide-to-issues-affecting-the-elderly/#:~:text=Social%20isolation%20because%20adult%20children,Losing%20contact%20with%20family%20members</b:URL>
    <b:RefOrder>10</b:RefOrder>
  </b:Source>
  <b:Source>
    <b:Tag>Man21</b:Tag>
    <b:SourceType>DocumentFromInternetSite</b:SourceType>
    <b:Guid>{29D4DF85-4D7E-4A78-9DA3-66D60057D9F2}</b:Guid>
    <b:Title>New research reveals challenges faced by older people during pandemic</b:Title>
    <b:Year>2021</b:Year>
    <b:YearAccessed>2022</b:YearAccessed>
    <b:MonthAccessed>July</b:MonthAccessed>
    <b:DayAccessed>30</b:DayAccessed>
    <b:URL>https://www.manchester.ac.uk/discover/news/older-people-during-pandemic/</b:URL>
    <b:Author>
      <b:Author>
        <b:Corporate>Manchester</b:Corporate>
      </b:Author>
    </b:Author>
    <b:Month>July</b:Month>
    <b:Day>12</b:Day>
    <b:RefOrder>11</b:RefOrder>
  </b:Source>
  <b:Source>
    <b:Tag>Wan21</b:Tag>
    <b:SourceType>JournalArticle</b:SourceType>
    <b:Guid>{A8A77A4F-336E-4674-95A1-060E0A296274}</b:Guid>
    <b:Title>Impact of the COVID-19 Pandemic on Older Adults: Rapid Review</b:Title>
    <b:Year>2021</b:Year>
    <b:Author>
      <b:Author>
        <b:NameList>
          <b:Person>
            <b:Last>Lebrasseur</b:Last>
            <b:First>A</b:First>
          </b:Person>
          <b:Person>
            <b:Last>Fortin-Bedard</b:Last>
            <b:First>N</b:First>
          </b:Person>
          <b:Person>
            <b:Last>Lettre</b:Last>
            <b:First>J</b:First>
          </b:Person>
          <b:Person>
            <b:Last>Raymond</b:Last>
            <b:First>E</b:First>
          </b:Person>
          <b:Person>
            <b:Last>Bussieres</b:Last>
            <b:First>L.</b:First>
            <b:Middle>E</b:Middle>
          </b:Person>
          <b:Person>
            <b:Last>Lapierre</b:Last>
            <b:First>N</b:First>
          </b:Person>
          <b:Person>
            <b:Last>Faieta</b:Last>
            <b:First>J</b:First>
          </b:Person>
          <b:Person>
            <b:Last>Vincent</b:Last>
            <b:First>C</b:First>
          </b:Person>
          <b:Person>
            <b:Last>Duchesne</b:Last>
            <b:First>L</b:First>
          </b:Person>
          <b:Person>
            <b:Last>Quellet</b:Last>
            <b:First>C.</b:First>
            <b:Middle>M</b:Middle>
          </b:Person>
          <b:Person>
            <b:Last>Gagnon</b:Last>
            <b:First>E</b:First>
          </b:Person>
          <b:Person>
            <b:Last>Tourigny</b:Last>
            <b:First>A</b:First>
          </b:Person>
          <b:Person>
            <b:Last>Lamontagne</b:Last>
            <b:First>E.</b:First>
            <b:Middle>M</b:Middle>
          </b:Person>
          <b:Person>
            <b:Last>Routhier</b:Last>
            <b:First>F.</b:First>
          </b:Person>
        </b:NameList>
      </b:Author>
    </b:Author>
    <b:JournalName>JMIR Aging</b:JournalName>
    <b:Pages>e26474</b:Pages>
    <b:Volume>4</b:Volume>
    <b:Issue>2</b:Issue>
    <b:RefOrder>12</b:RefOrder>
  </b:Source>
  <b:Source>
    <b:Tag>Buf21</b:Tag>
    <b:SourceType>JournalArticle</b:SourceType>
    <b:Guid>{15DD2DF4-2211-48BD-9C18-BEE1E4466594}</b:Guid>
    <b:Author>
      <b:Author>
        <b:NameList>
          <b:Person>
            <b:Last>Buffel</b:Last>
            <b:First>T</b:First>
          </b:Person>
          <b:Person>
            <b:Last>Yarker</b:Last>
            <b:First>S</b:First>
          </b:Person>
          <b:Person>
            <b:Last>Phillipson</b:Last>
            <b:First>C</b:First>
          </b:Person>
          <b:Person>
            <b:Last>Lang</b:Last>
            <b:First>L</b:First>
          </b:Person>
          <b:Person>
            <b:Last>Lewis</b:Last>
            <b:First>C</b:First>
          </b:Person>
          <b:Person>
            <b:Last>Doran</b:Last>
            <b:First>P</b:First>
          </b:Person>
          <b:Person>
            <b:Last>Goff</b:Last>
            <b:First>M.</b:First>
          </b:Person>
        </b:NameList>
      </b:Author>
    </b:Author>
    <b:Title>Locked down by inequality: Older people and the COVID-19 pandemic</b:Title>
    <b:JournalName>Urban Studies</b:JournalName>
    <b:Year>2021</b:Year>
    <b:Pages>2-12</b:Pages>
    <b:Volume>6</b:Volume>
    <b:Issue>2</b:Issue>
    <b:RefOrder>13</b:RefOrder>
  </b:Source>
  <b:Source>
    <b:Tag>WuB20</b:Tag>
    <b:SourceType>JournalArticle</b:SourceType>
    <b:Guid>{B2F788DE-83F0-4393-8BC2-84E0453E6F00}</b:Guid>
    <b:Author>
      <b:Author>
        <b:NameList>
          <b:Person>
            <b:Last>Wu</b:Last>
            <b:First>B.</b:First>
          </b:Person>
        </b:NameList>
      </b:Author>
    </b:Author>
    <b:Title>Social isolation and loneliness among older adults in the context of COVID-19: a global challenge</b:Title>
    <b:JournalName>Global Health Research and Policy volume </b:JournalName>
    <b:Year>2020</b:Year>
    <b:Pages>2-9</b:Pages>
    <b:Volume>5</b:Volume>
    <b:Issue>27</b:Issue>
    <b:RefOrder>14</b:RefOrder>
  </b:Source>
  <b:Source>
    <b:Tag>Jaa20</b:Tag>
    <b:SourceType>JournalArticle</b:SourceType>
    <b:Guid>{C0668FF8-4F75-4120-B470-5271C8CC6FE5}</b:Guid>
    <b:Author>
      <b:Author>
        <b:NameList>
          <b:Person>
            <b:Last>Jaarsveld</b:Last>
            <b:First>V.</b:First>
            <b:Middle>M. G.</b:Middle>
          </b:Person>
        </b:NameList>
      </b:Author>
    </b:Author>
    <b:Title>The Effects of COVID-19 Among the Elderly Population: A Case for Closing the Digital Divide</b:Title>
    <b:JournalName>Frontiers in Psychiatry</b:JournalName>
    <b:Year>2020</b:Year>
    <b:Pages>2-8</b:Pages>
    <b:Volume>15</b:Volume>
    <b:Issue>1</b:Issue>
    <b:RefOrder>15</b:RefOrder>
  </b:Source>
  <b:Source>
    <b:Tag>Kmi04</b:Tag>
    <b:SourceType>JournalArticle</b:SourceType>
    <b:Guid>{8CA8C0D1-2E16-4F34-9197-1B6D376571B3}</b:Guid>
    <b:Author>
      <b:Author>
        <b:NameList>
          <b:Person>
            <b:Last>Kmietowicz</b:Last>
            <b:First>Z.</b:First>
          </b:Person>
        </b:NameList>
      </b:Author>
    </b:Author>
    <b:Title>Thousands of elderly people face abuse, says Commons report</b:Title>
    <b:JournalName>British Medical Journal</b:JournalName>
    <b:Year>2004</b:Year>
    <b:Pages>2-10</b:Pages>
    <b:Volume>328</b:Volume>
    <b:Issue>8</b:Issue>
    <b:RefOrder>16</b:RefOrder>
  </b:Source>
  <b:Source>
    <b:Tag>Age20</b:Tag>
    <b:SourceType>DocumentFromInternetSite</b:SourceType>
    <b:Guid>{1176806E-0CEA-40A3-B845-22BE7A83D4C2}</b:Guid>
    <b:Title>280,000 people aged 60 to 74 experienced domestic abuse last year</b:Title>
    <b:Year>2020</b:Year>
    <b:Author>
      <b:Author>
        <b:Corporate>Age UK </b:Corporate>
      </b:Author>
    </b:Author>
    <b:Month>April</b:Month>
    <b:Day>27</b:Day>
    <b:YearAccessed>2022</b:YearAccessed>
    <b:MonthAccessed>July</b:MonthAccessed>
    <b:DayAccessed>30</b:DayAccessed>
    <b:URL>https://www.ageuk.org.uk/latest-press/articles/2020/04/280000-people-aged-60-to-74-experienced-domestic-abuse/</b:URL>
    <b:RefOrder>17</b:RefOrder>
  </b:Source>
  <b:Source>
    <b:Tag>UKP21</b:Tag>
    <b:SourceType>DocumentFromInternetSite</b:SourceType>
    <b:Guid>{82E409D8-8EEA-482B-B107-924D268CBE17}</b:Guid>
    <b:Author>
      <b:Author>
        <b:NameList>
          <b:Person>
            <b:Last>Shepperd</b:Last>
            <b:First>L.</b:First>
          </b:Person>
        </b:NameList>
      </b:Author>
    </b:Author>
    <b:Title>Domestic abuse of older people</b:Title>
    <b:Year>2021</b:Year>
    <b:Month>July</b:Month>
    <b:Day>09</b:Day>
    <b:YearAccessed>2022</b:YearAccessed>
    <b:MonthAccessed>July</b:MonthAccessed>
    <b:DayAccessed>30</b:DayAccessed>
    <b:URL>https://lordslibrary.parliament.uk/domestic-abuse-of-older-people/</b:URL>
    <b:RefOrder>18</b:RefOrder>
  </b:Source>
  <b:Source>
    <b:Tag>UCD20</b:Tag>
    <b:SourceType>DocumentFromInternetSite</b:SourceType>
    <b:Guid>{377EECBE-EDA4-4712-B35A-B044ECFAE63A}</b:Guid>
    <b:Author>
      <b:Author>
        <b:Corporate>UCDAVIS</b:Corporate>
      </b:Author>
    </b:Author>
    <b:Title>Activity Theory</b:Title>
    <b:Year>2020</b:Year>
    <b:Month>December</b:Month>
    <b:Day>16</b:Day>
    <b:YearAccessed>2022</b:YearAccessed>
    <b:MonthAccessed>July</b:MonthAccessed>
    <b:DayAccessed>30</b:DayAccessed>
    <b:URL>https://socialsci.libretexts.org/Bookshelves/Sociology/Introduction_to_Sociology/Book%3A_Sociology_(Boundless)/18%3A_Aging/18.03%3A_The_Functionalist_Perspective_on_Aging/18.3B%3A_Activity_Theory</b:URL>
    <b:RefOrder>19</b:RefOrder>
  </b:Source>
  <b:Source>
    <b:Tag>Phy22</b:Tag>
    <b:SourceType>InternetSite</b:SourceType>
    <b:Guid>{0CE4E2EA-4E4A-4458-9AF4-AAECC8DCD71D}</b:Guid>
    <b:Title>Theories of Ageing</b:Title>
    <b:Year>2022</b:Year>
    <b:YearAccessed>2022</b:YearAccessed>
    <b:MonthAccessed>July</b:MonthAccessed>
    <b:DayAccessed>30</b:DayAccessed>
    <b:URL>https://www.physio-pedia.com/Theories_of_Ageing#:~:text=Activity%20Theory,-Is%20another%20theory&amp;text=This%20theory%20suggests%20that%20a,roles%2C%20volunteer%20%26%20community%20roles.</b:URL>
    <b:Author>
      <b:Author>
        <b:Corporate>Physiopedia</b:Corporate>
      </b:Author>
    </b:Author>
    <b:RefOrder>20</b:RefOrder>
  </b:Source>
  <b:Source>
    <b:Tag>Hol07</b:Tag>
    <b:SourceType>BookSection</b:SourceType>
    <b:Guid>{33EA92E3-8AE2-4595-AEB7-679FA3229E53}</b:Guid>
    <b:Author>
      <b:Author>
        <b:NameList>
          <b:Person>
            <b:Last>Holstege</b:Last>
            <b:First>P.</b:First>
            <b:Middle>C</b:Middle>
          </b:Person>
          <b:Person>
            <b:Last>Holstege</b:Last>
            <b:First>H.</b:First>
          </b:Person>
        </b:NameList>
      </b:Author>
    </b:Author>
    <b:Title>Caregiver Stress</b:Title>
    <b:BookTitle>Encyclopedia of Stress (Second Edition)</b:BookTitle>
    <b:Year>2007</b:Year>
    <b:Pages>896-899</b:Pages>
    <b:City>Amsterdam</b:City>
    <b:Publisher>Elsevier </b:Publisher>
    <b:RefOrder>21</b:RefOrder>
  </b:Source>
  <b:Source>
    <b:Tag>OBr16</b:Tag>
    <b:SourceType>BookSection</b:SourceType>
    <b:Guid>{54971A8A-0E1D-4BED-965A-4904BBAA4B93}</b:Guid>
    <b:Author>
      <b:Author>
        <b:NameList>
          <b:Person>
            <b:Last>O'Brien</b:Last>
            <b:First>M</b:First>
          </b:Person>
          <b:Person>
            <b:Last>O'Brien-Olinger</b:Last>
            <b:First>S</b:First>
          </b:Person>
          <b:Person>
            <b:Last>Boccaletti</b:Last>
            <b:First>L</b:First>
          </b:Person>
          <b:Person>
            <b:Last>Milianta</b:Last>
            <b:First>S</b:First>
          </b:Person>
          <b:Person>
            <b:Last>Caciula</b:Last>
            <b:First>L</b:First>
          </b:Person>
          <b:Person>
            <b:Last>Laurola</b:Last>
            <b:First>H</b:First>
          </b:Person>
          <b:Person>
            <b:Last>Perttu</b:Last>
            <b:First>S</b:First>
          </b:Person>
          <b:Person>
            <b:Last>Kadzik-Bartoszewska</b:Last>
            <b:First>A</b:First>
          </b:Person>
          <b:Person>
            <b:Last>Canning</b:Last>
            <b:First>K</b:First>
          </b:Person>
          <b:Person>
            <b:Last>Quinn</b:Last>
            <b:First>S.</b:First>
          </b:Person>
        </b:NameList>
      </b:Author>
    </b:Author>
    <b:Title>Chapter 1</b:Title>
    <b:BookTitle>Elder Abuse, Context and Theory: Finland, Ireland, Italy and Romania</b:BookTitle>
    <b:Year>2016</b:Year>
    <b:Pages>19</b:Pages>
    <b:Publisher>Erasmus</b:Publisher>
    <b:RefOrder>22</b:RefOrder>
  </b:Source>
  <b:Source>
    <b:Tag>The222</b:Tag>
    <b:SourceType>DocumentFromInternetSite</b:SourceType>
    <b:Guid>{697F7D59-94B1-41D7-A2A0-899A32BB7E5D}</b:Guid>
    <b:Author>
      <b:Author>
        <b:Corporate>The Law Society</b:Corporate>
      </b:Author>
    </b:Author>
    <b:Title>Domestic Abuse Act 2021</b:Title>
    <b:Year>2022</b:Year>
    <b:Month>July</b:Month>
    <b:Day>20</b:Day>
    <b:YearAccessed>2022</b:YearAccessed>
    <b:MonthAccessed>July</b:MonthAccessed>
    <b:DayAccessed>30</b:DayAccessed>
    <b:URL>https://www.lawsociety.org.uk/topics/family-and-children/domestic-abuse-act-2021</b:URL>
    <b:RefOrder>23</b:RefOrder>
  </b:Source>
  <b:Source>
    <b:Tag>GOV221</b:Tag>
    <b:SourceType>DocumentFromInternetSite</b:SourceType>
    <b:Guid>{A3C22B2C-DD3F-4B73-925E-7F17F3A59E01}</b:Guid>
    <b:Author>
      <b:Author>
        <b:Corporate>GOV.UK</b:Corporate>
      </b:Author>
    </b:Author>
    <b:Title>Domestic Abuse Act 2021: overarching factsheet</b:Title>
    <b:Year>2022</b:Year>
    <b:Month>July</b:Month>
    <b:Day>11</b:Day>
    <b:YearAccessed>2022</b:YearAccessed>
    <b:MonthAccessed>July</b:MonthAccessed>
    <b:DayAccessed>30</b:DayAccessed>
    <b:URL>https://www.gov.uk/government/publications/domestic-abuse-bill-2020-factsheets/domestic-abuse-bill-2020-overarching-factsheet</b:URL>
    <b:RefOrder>24</b:RefOrder>
  </b:Source>
  <b:Source>
    <b:Tag>Age18</b:Tag>
    <b:SourceType>DocumentFromInternetSite</b:SourceType>
    <b:Guid>{4944FC81-7B0D-41E0-9432-3CF90A9C38D5}</b:Guid>
    <b:Author>
      <b:Author>
        <b:Corporate>Age UK </b:Corporate>
      </b:Author>
    </b:Author>
    <b:Title>Adult Safeguarding</b:Title>
    <b:Year>2018</b:Year>
    <b:Month>November</b:Month>
    <b:YearAccessed>2022</b:YearAccessed>
    <b:MonthAccessed>July</b:MonthAccessed>
    <b:DayAccessed>30</b:DayAccessed>
    <b:URL>https://www.ageuk.org.uk/globalassets/age-uk/documents/policy-positions/health-and-wellbeing/adult-safeguarding-policy-position-nov-2018-final.pdf</b:URL>
    <b:RefOrder>25</b:RefOrder>
  </b:Source>
  <b:Source>
    <b:Tag>Age211</b:Tag>
    <b:SourceType>Report</b:SourceType>
    <b:Guid>{B509AAAF-94E3-441C-B68C-642E1D76650A}</b:Guid>
    <b:Title>Safeguarding older people from abuse and neglect</b:Title>
    <b:Year>2021</b:Year>
    <b:Author>
      <b:Author>
        <b:Corporate>Age UK</b:Corporate>
      </b:Author>
    </b:Author>
    <b:Publisher>Age UK</b:Publisher>
    <b:City>London</b:City>
    <b:RefOrder>26</b:RefOrder>
  </b:Source>
  <b:Source>
    <b:Tag>Let16</b:Tag>
    <b:SourceType>Report</b:SourceType>
    <b:Guid>{20DAD9BE-92F5-4684-82C1-1A013065CC7E}</b:Guid>
    <b:Author>
      <b:Author>
        <b:NameList>
          <b:Person>
            <b:Last>Letwin</b:Last>
            <b:First>O.</b:First>
            <b:Middle>H</b:Middle>
          </b:Person>
          <b:Person>
            <b:Last>Harper</b:Last>
            <b:First>S</b:First>
          </b:Person>
          <b:Person>
            <b:Last>Walport</b:Last>
            <b:First>M.</b:First>
          </b:Person>
        </b:NameList>
      </b:Author>
    </b:Author>
    <b:Title>Future of an Ageing Population</b:Title>
    <b:Year>2016</b:Year>
    <b:Publisher>Government Office for Science</b:Publisher>
    <b:City>London</b:City>
    <b:RefOrder>27</b:RefOrder>
  </b:Source>
  <b:Source>
    <b:Tag>GOV151</b:Tag>
    <b:SourceType>DocumentFromInternetSite</b:SourceType>
    <b:Guid>{EDDD2645-77C6-4F42-9AA4-2D7122DE86B6}</b:Guid>
    <b:Author>
      <b:Author>
        <b:Corporate>GOV.UK</b:Corporate>
      </b:Author>
    </b:Author>
    <b:Title>2010 to 2015 government policy: older people</b:Title>
    <b:Year>2015</b:Year>
    <b:Month>May</b:Month>
    <b:Day>08</b:Day>
    <b:YearAccessed>2022</b:YearAccessed>
    <b:MonthAccessed>July</b:MonthAccessed>
    <b:DayAccessed>30</b:DayAccessed>
    <b:URL>https://www.gov.uk/government/publications/2010-to-2015-government-policy-older-people/2010-to-2015-government-policy-older-people</b:URL>
    <b:RefOrder>28</b:RefOrder>
  </b:Source>
  <b:Source>
    <b:Tag>BBC16</b:Tag>
    <b:SourceType>DocumentFromInternetSite</b:SourceType>
    <b:Guid>{E3D40878-FBA6-4CC3-993D-76223E028808}</b:Guid>
    <b:Author>
      <b:Author>
        <b:Corporate>BBC News</b:Corporate>
      </b:Author>
    </b:Author>
    <b:Title>How the care system works across the UK</b:Title>
    <b:Year>2016</b:Year>
    <b:Month>September</b:Month>
    <b:Day>14</b:Day>
    <b:YearAccessed>2022</b:YearAccessed>
    <b:MonthAccessed>July</b:MonthAccessed>
    <b:DayAccessed>30</b:DayAccessed>
    <b:URL>https://www.bbc.com/news/health-30902552</b:URL>
    <b:RefOrder>29</b:RefOrder>
  </b:Source>
</b:Sources>
</file>

<file path=customXml/itemProps1.xml><?xml version="1.0" encoding="utf-8"?>
<ds:datastoreItem xmlns:ds="http://schemas.openxmlformats.org/officeDocument/2006/customXml" ds:itemID="{C5E960AF-F80F-4E9C-9F6B-BB9C1A2D0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3206</Words>
  <Characters>18279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Fozeea Jabeen</dc:creator>
  <cp:keywords/>
  <dc:description/>
  <cp:lastModifiedBy>Fozeea Jabeen</cp:lastModifiedBy>
  <cp:revision>1</cp:revision>
  <dcterms:created xsi:type="dcterms:W3CDTF">2022-08-12T06:17:00Z</dcterms:created>
  <dcterms:modified xsi:type="dcterms:W3CDTF">2022-08-12T06:23:00Z</dcterms:modified>
</cp:coreProperties>
</file>