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676F1F" w14:textId="77777777" w:rsidR="001903A6" w:rsidRPr="008F6526" w:rsidRDefault="001903A6" w:rsidP="001903A6">
      <w:pPr>
        <w:pStyle w:val="Title"/>
        <w:rPr>
          <w:rFonts w:ascii="Arial" w:hAnsi="Arial" w:cs="Arial"/>
          <w:b/>
          <w:bCs/>
          <w:sz w:val="22"/>
          <w:szCs w:val="22"/>
        </w:rPr>
      </w:pPr>
      <w:r w:rsidRPr="008F6526">
        <w:rPr>
          <w:rFonts w:ascii="Arial" w:hAnsi="Arial" w:cs="Arial"/>
          <w:b/>
          <w:bCs/>
          <w:sz w:val="22"/>
          <w:szCs w:val="22"/>
        </w:rPr>
        <w:t xml:space="preserve">                </w:t>
      </w:r>
    </w:p>
    <w:p w14:paraId="5DE8D7BD" w14:textId="77777777" w:rsidR="001903A6" w:rsidRPr="008F6526" w:rsidRDefault="001903A6" w:rsidP="001903A6">
      <w:pPr>
        <w:pStyle w:val="Title"/>
        <w:rPr>
          <w:rFonts w:ascii="Arial" w:hAnsi="Arial" w:cs="Arial"/>
          <w:b/>
          <w:bCs/>
          <w:sz w:val="22"/>
          <w:szCs w:val="22"/>
        </w:rPr>
      </w:pPr>
    </w:p>
    <w:p w14:paraId="22580D91" w14:textId="77777777" w:rsidR="001903A6" w:rsidRPr="008F6526" w:rsidRDefault="001903A6" w:rsidP="001903A6">
      <w:pPr>
        <w:pStyle w:val="Title"/>
        <w:rPr>
          <w:rFonts w:ascii="Arial" w:hAnsi="Arial" w:cs="Arial"/>
          <w:b/>
          <w:bCs/>
          <w:sz w:val="22"/>
          <w:szCs w:val="22"/>
        </w:rPr>
      </w:pPr>
    </w:p>
    <w:p w14:paraId="42EDE370" w14:textId="77777777" w:rsidR="001903A6" w:rsidRPr="008F6526" w:rsidRDefault="001903A6" w:rsidP="001903A6">
      <w:pPr>
        <w:pStyle w:val="Title"/>
        <w:rPr>
          <w:rFonts w:ascii="Arial" w:hAnsi="Arial" w:cs="Arial"/>
          <w:b/>
          <w:bCs/>
          <w:sz w:val="22"/>
          <w:szCs w:val="22"/>
        </w:rPr>
      </w:pPr>
    </w:p>
    <w:p w14:paraId="650A24D1" w14:textId="77777777" w:rsidR="001903A6" w:rsidRPr="008F6526" w:rsidRDefault="001903A6" w:rsidP="001903A6">
      <w:pPr>
        <w:pStyle w:val="Title"/>
        <w:rPr>
          <w:rFonts w:ascii="Arial" w:hAnsi="Arial" w:cs="Arial"/>
          <w:b/>
          <w:bCs/>
          <w:sz w:val="22"/>
          <w:szCs w:val="22"/>
        </w:rPr>
      </w:pPr>
    </w:p>
    <w:p w14:paraId="3963AE5F" w14:textId="77777777" w:rsidR="001903A6" w:rsidRPr="008F6526" w:rsidRDefault="001903A6" w:rsidP="001903A6">
      <w:pPr>
        <w:pStyle w:val="Title"/>
        <w:rPr>
          <w:rFonts w:ascii="Arial" w:hAnsi="Arial" w:cs="Arial"/>
          <w:b/>
          <w:bCs/>
          <w:sz w:val="22"/>
          <w:szCs w:val="22"/>
        </w:rPr>
      </w:pPr>
    </w:p>
    <w:p w14:paraId="5025C39F" w14:textId="77777777" w:rsidR="001903A6" w:rsidRPr="008F6526" w:rsidRDefault="001903A6" w:rsidP="001903A6">
      <w:pPr>
        <w:pStyle w:val="Title"/>
        <w:rPr>
          <w:rFonts w:ascii="Arial" w:hAnsi="Arial" w:cs="Arial"/>
          <w:b/>
          <w:bCs/>
          <w:sz w:val="22"/>
          <w:szCs w:val="22"/>
        </w:rPr>
      </w:pPr>
      <w:r w:rsidRPr="008F6526">
        <w:rPr>
          <w:rFonts w:ascii="Arial" w:hAnsi="Arial" w:cs="Arial"/>
          <w:b/>
          <w:bCs/>
          <w:sz w:val="22"/>
          <w:szCs w:val="22"/>
        </w:rPr>
        <w:t xml:space="preserve">               </w:t>
      </w:r>
    </w:p>
    <w:p w14:paraId="32E4AF16" w14:textId="77777777" w:rsidR="001903A6" w:rsidRPr="008F6526" w:rsidRDefault="001903A6" w:rsidP="001903A6">
      <w:pPr>
        <w:pStyle w:val="Title"/>
        <w:rPr>
          <w:rFonts w:ascii="Arial" w:hAnsi="Arial" w:cs="Arial"/>
          <w:b/>
          <w:bCs/>
          <w:sz w:val="22"/>
          <w:szCs w:val="22"/>
        </w:rPr>
      </w:pPr>
    </w:p>
    <w:p w14:paraId="4189632E" w14:textId="22E682C4" w:rsidR="00141F7B" w:rsidRPr="008F6526" w:rsidRDefault="001903A6" w:rsidP="001903A6">
      <w:pPr>
        <w:pStyle w:val="Title"/>
        <w:jc w:val="center"/>
        <w:rPr>
          <w:rFonts w:ascii="Arial" w:hAnsi="Arial" w:cs="Arial"/>
          <w:b/>
          <w:bCs/>
          <w:sz w:val="32"/>
          <w:szCs w:val="32"/>
        </w:rPr>
      </w:pPr>
      <w:r w:rsidRPr="008F6526">
        <w:rPr>
          <w:rFonts w:ascii="Arial" w:hAnsi="Arial" w:cs="Arial"/>
          <w:b/>
          <w:bCs/>
          <w:sz w:val="32"/>
          <w:szCs w:val="32"/>
        </w:rPr>
        <w:t>Component 2- Individual Report</w:t>
      </w:r>
    </w:p>
    <w:p w14:paraId="2F87F432" w14:textId="77777777" w:rsidR="001903A6" w:rsidRPr="008F6526" w:rsidRDefault="001903A6" w:rsidP="001903A6">
      <w:pPr>
        <w:rPr>
          <w:rFonts w:ascii="Arial" w:hAnsi="Arial" w:cs="Arial"/>
          <w:sz w:val="22"/>
          <w:szCs w:val="22"/>
        </w:rPr>
      </w:pPr>
    </w:p>
    <w:p w14:paraId="4E1C7DD6" w14:textId="77777777" w:rsidR="001903A6" w:rsidRPr="008F6526" w:rsidRDefault="001903A6" w:rsidP="001903A6">
      <w:pPr>
        <w:rPr>
          <w:rFonts w:ascii="Arial" w:hAnsi="Arial" w:cs="Arial"/>
          <w:sz w:val="22"/>
          <w:szCs w:val="22"/>
        </w:rPr>
      </w:pPr>
    </w:p>
    <w:p w14:paraId="4448A056" w14:textId="77777777" w:rsidR="001903A6" w:rsidRPr="008F6526" w:rsidRDefault="001903A6" w:rsidP="001903A6">
      <w:pPr>
        <w:rPr>
          <w:rFonts w:ascii="Arial" w:hAnsi="Arial" w:cs="Arial"/>
          <w:sz w:val="22"/>
          <w:szCs w:val="22"/>
        </w:rPr>
      </w:pPr>
    </w:p>
    <w:p w14:paraId="5E7DF8BE" w14:textId="77777777" w:rsidR="001903A6" w:rsidRPr="008F6526" w:rsidRDefault="001903A6" w:rsidP="001903A6">
      <w:pPr>
        <w:rPr>
          <w:rFonts w:ascii="Arial" w:hAnsi="Arial" w:cs="Arial"/>
          <w:sz w:val="22"/>
          <w:szCs w:val="22"/>
        </w:rPr>
      </w:pPr>
    </w:p>
    <w:p w14:paraId="5608BEB0" w14:textId="77777777" w:rsidR="001903A6" w:rsidRPr="008F6526" w:rsidRDefault="001903A6" w:rsidP="001903A6">
      <w:pPr>
        <w:rPr>
          <w:rFonts w:ascii="Arial" w:hAnsi="Arial" w:cs="Arial"/>
          <w:sz w:val="22"/>
          <w:szCs w:val="22"/>
        </w:rPr>
      </w:pPr>
    </w:p>
    <w:tbl>
      <w:tblPr>
        <w:tblStyle w:val="TableGrid"/>
        <w:tblpPr w:leftFromText="180" w:rightFromText="180" w:vertAnchor="text" w:horzAnchor="page" w:tblpX="1049" w:tblpY="5225"/>
        <w:tblW w:w="0" w:type="auto"/>
        <w:tblLook w:val="04A0" w:firstRow="1" w:lastRow="0" w:firstColumn="1" w:lastColumn="0" w:noHBand="0" w:noVBand="1"/>
      </w:tblPr>
      <w:tblGrid>
        <w:gridCol w:w="4151"/>
        <w:gridCol w:w="4152"/>
      </w:tblGrid>
      <w:tr w:rsidR="001903A6" w:rsidRPr="008F6526" w14:paraId="0ACB7EE4" w14:textId="77777777" w:rsidTr="000D3A33">
        <w:tc>
          <w:tcPr>
            <w:tcW w:w="4151" w:type="dxa"/>
          </w:tcPr>
          <w:p w14:paraId="0CAF78A4" w14:textId="77777777" w:rsidR="001903A6" w:rsidRPr="008F6526" w:rsidRDefault="001903A6" w:rsidP="000D3A33">
            <w:pPr>
              <w:spacing w:line="360" w:lineRule="auto"/>
              <w:rPr>
                <w:rFonts w:ascii="Arial" w:hAnsi="Arial" w:cs="Arial"/>
                <w:sz w:val="22"/>
              </w:rPr>
            </w:pPr>
            <w:r w:rsidRPr="008F6526">
              <w:rPr>
                <w:rFonts w:ascii="Arial" w:hAnsi="Arial" w:cs="Arial"/>
                <w:sz w:val="22"/>
              </w:rPr>
              <w:t>Student Name</w:t>
            </w:r>
          </w:p>
        </w:tc>
        <w:tc>
          <w:tcPr>
            <w:tcW w:w="4152" w:type="dxa"/>
          </w:tcPr>
          <w:p w14:paraId="42B3E7AC" w14:textId="77777777" w:rsidR="001903A6" w:rsidRPr="008F6526" w:rsidRDefault="001903A6" w:rsidP="000D3A33">
            <w:pPr>
              <w:spacing w:line="360" w:lineRule="auto"/>
              <w:rPr>
                <w:rFonts w:ascii="Arial" w:hAnsi="Arial" w:cs="Arial"/>
                <w:sz w:val="22"/>
              </w:rPr>
            </w:pPr>
            <w:r w:rsidRPr="008F6526">
              <w:rPr>
                <w:rFonts w:ascii="Arial" w:hAnsi="Arial" w:cs="Arial"/>
                <w:sz w:val="22"/>
              </w:rPr>
              <w:t>Alina Mihoc</w:t>
            </w:r>
          </w:p>
        </w:tc>
      </w:tr>
      <w:tr w:rsidR="001903A6" w:rsidRPr="008F6526" w14:paraId="26ECCA90" w14:textId="77777777" w:rsidTr="000D3A33">
        <w:tc>
          <w:tcPr>
            <w:tcW w:w="4151" w:type="dxa"/>
          </w:tcPr>
          <w:p w14:paraId="3BCF964B" w14:textId="77777777" w:rsidR="001903A6" w:rsidRPr="008F6526" w:rsidRDefault="001903A6" w:rsidP="000D3A33">
            <w:pPr>
              <w:spacing w:line="360" w:lineRule="auto"/>
              <w:rPr>
                <w:rFonts w:ascii="Arial" w:hAnsi="Arial" w:cs="Arial"/>
                <w:sz w:val="22"/>
              </w:rPr>
            </w:pPr>
            <w:r w:rsidRPr="008F6526">
              <w:rPr>
                <w:rFonts w:ascii="Arial" w:hAnsi="Arial" w:cs="Arial"/>
                <w:sz w:val="22"/>
              </w:rPr>
              <w:t>Student Number</w:t>
            </w:r>
          </w:p>
        </w:tc>
        <w:tc>
          <w:tcPr>
            <w:tcW w:w="4152" w:type="dxa"/>
          </w:tcPr>
          <w:p w14:paraId="25C58E32" w14:textId="77777777" w:rsidR="001903A6" w:rsidRPr="008F6526" w:rsidRDefault="001903A6" w:rsidP="000D3A33">
            <w:pPr>
              <w:spacing w:line="360" w:lineRule="auto"/>
              <w:rPr>
                <w:rFonts w:ascii="Arial" w:hAnsi="Arial" w:cs="Arial"/>
                <w:sz w:val="22"/>
              </w:rPr>
            </w:pPr>
            <w:r w:rsidRPr="008F6526">
              <w:rPr>
                <w:rFonts w:ascii="Arial" w:hAnsi="Arial" w:cs="Arial"/>
                <w:sz w:val="22"/>
              </w:rPr>
              <w:t>2009438</w:t>
            </w:r>
          </w:p>
        </w:tc>
      </w:tr>
      <w:tr w:rsidR="001903A6" w:rsidRPr="008F6526" w14:paraId="519179B6" w14:textId="77777777" w:rsidTr="000D3A33">
        <w:tc>
          <w:tcPr>
            <w:tcW w:w="4151" w:type="dxa"/>
          </w:tcPr>
          <w:p w14:paraId="6523CB34" w14:textId="77777777" w:rsidR="001903A6" w:rsidRPr="008F6526" w:rsidRDefault="001903A6" w:rsidP="000D3A33">
            <w:pPr>
              <w:spacing w:line="360" w:lineRule="auto"/>
              <w:rPr>
                <w:rFonts w:ascii="Arial" w:hAnsi="Arial" w:cs="Arial"/>
                <w:sz w:val="22"/>
              </w:rPr>
            </w:pPr>
            <w:r w:rsidRPr="008F6526">
              <w:rPr>
                <w:rFonts w:ascii="Arial" w:hAnsi="Arial" w:cs="Arial"/>
                <w:sz w:val="22"/>
              </w:rPr>
              <w:t>Module Code</w:t>
            </w:r>
          </w:p>
        </w:tc>
        <w:tc>
          <w:tcPr>
            <w:tcW w:w="4152" w:type="dxa"/>
          </w:tcPr>
          <w:p w14:paraId="29378261" w14:textId="01644D97" w:rsidR="001903A6" w:rsidRPr="008F6526" w:rsidRDefault="001903A6" w:rsidP="000D3A33">
            <w:pPr>
              <w:spacing w:before="120" w:after="120" w:line="240" w:lineRule="auto"/>
              <w:rPr>
                <w:rFonts w:ascii="Arial" w:hAnsi="Arial" w:cs="Arial"/>
                <w:sz w:val="22"/>
                <w:lang w:eastAsia="en-US"/>
              </w:rPr>
            </w:pPr>
            <w:r w:rsidRPr="008F6526">
              <w:rPr>
                <w:rFonts w:ascii="Arial" w:hAnsi="Arial" w:cs="Arial"/>
                <w:sz w:val="22"/>
                <w:lang w:eastAsia="en-US"/>
              </w:rPr>
              <w:t>LCLM5002</w:t>
            </w:r>
          </w:p>
        </w:tc>
      </w:tr>
      <w:tr w:rsidR="001903A6" w:rsidRPr="008F6526" w14:paraId="03850D4A" w14:textId="77777777" w:rsidTr="000D3A33">
        <w:tc>
          <w:tcPr>
            <w:tcW w:w="4151" w:type="dxa"/>
          </w:tcPr>
          <w:p w14:paraId="54F716FA" w14:textId="77777777" w:rsidR="001903A6" w:rsidRPr="008F6526" w:rsidRDefault="001903A6" w:rsidP="000D3A33">
            <w:pPr>
              <w:spacing w:line="360" w:lineRule="auto"/>
              <w:rPr>
                <w:rFonts w:ascii="Arial" w:hAnsi="Arial" w:cs="Arial"/>
                <w:sz w:val="22"/>
              </w:rPr>
            </w:pPr>
            <w:r w:rsidRPr="008F6526">
              <w:rPr>
                <w:rFonts w:ascii="Arial" w:hAnsi="Arial" w:cs="Arial"/>
                <w:sz w:val="22"/>
              </w:rPr>
              <w:t>Module Name</w:t>
            </w:r>
          </w:p>
        </w:tc>
        <w:tc>
          <w:tcPr>
            <w:tcW w:w="4152" w:type="dxa"/>
          </w:tcPr>
          <w:p w14:paraId="26396930" w14:textId="1C0CAC6E" w:rsidR="001903A6" w:rsidRPr="008F6526" w:rsidRDefault="001903A6" w:rsidP="000D3A33">
            <w:pPr>
              <w:spacing w:line="360" w:lineRule="auto"/>
              <w:rPr>
                <w:rFonts w:ascii="Arial" w:hAnsi="Arial" w:cs="Arial"/>
                <w:sz w:val="22"/>
              </w:rPr>
            </w:pPr>
            <w:r w:rsidRPr="008F6526">
              <w:rPr>
                <w:rFonts w:ascii="Arial" w:hAnsi="Arial" w:cs="Arial"/>
                <w:sz w:val="22"/>
              </w:rPr>
              <w:t>Developing and Managing Individuals and Teams</w:t>
            </w:r>
          </w:p>
        </w:tc>
      </w:tr>
      <w:tr w:rsidR="001903A6" w:rsidRPr="008F6526" w14:paraId="0FCD564C" w14:textId="77777777" w:rsidTr="000D3A33">
        <w:tc>
          <w:tcPr>
            <w:tcW w:w="4151" w:type="dxa"/>
          </w:tcPr>
          <w:p w14:paraId="225B81DD" w14:textId="77777777" w:rsidR="001903A6" w:rsidRPr="008F6526" w:rsidRDefault="001903A6" w:rsidP="000D3A33">
            <w:pPr>
              <w:spacing w:line="360" w:lineRule="auto"/>
              <w:rPr>
                <w:rFonts w:ascii="Arial" w:hAnsi="Arial" w:cs="Arial"/>
                <w:sz w:val="22"/>
              </w:rPr>
            </w:pPr>
            <w:r w:rsidRPr="008F6526">
              <w:rPr>
                <w:rFonts w:ascii="Arial" w:hAnsi="Arial" w:cs="Arial"/>
                <w:sz w:val="22"/>
              </w:rPr>
              <w:t>Lecturer’s Name</w:t>
            </w:r>
          </w:p>
        </w:tc>
        <w:tc>
          <w:tcPr>
            <w:tcW w:w="4152" w:type="dxa"/>
          </w:tcPr>
          <w:p w14:paraId="2B91B4AF" w14:textId="648EC427" w:rsidR="001903A6" w:rsidRPr="008F6526" w:rsidRDefault="001903A6" w:rsidP="000D3A33">
            <w:pPr>
              <w:spacing w:line="360" w:lineRule="auto"/>
              <w:rPr>
                <w:rFonts w:ascii="Arial" w:hAnsi="Arial" w:cs="Arial"/>
                <w:sz w:val="22"/>
              </w:rPr>
            </w:pPr>
            <w:r w:rsidRPr="008F6526">
              <w:rPr>
                <w:rFonts w:ascii="Arial" w:hAnsi="Arial" w:cs="Arial"/>
                <w:sz w:val="22"/>
              </w:rPr>
              <w:t>Mudassar Hasan</w:t>
            </w:r>
          </w:p>
        </w:tc>
      </w:tr>
    </w:tbl>
    <w:p w14:paraId="1DB6E658" w14:textId="62E8B474" w:rsidR="00F15932" w:rsidRPr="008F6526" w:rsidRDefault="00F15932" w:rsidP="001903A6">
      <w:pPr>
        <w:rPr>
          <w:rFonts w:ascii="Arial" w:hAnsi="Arial" w:cs="Arial"/>
          <w:sz w:val="22"/>
          <w:szCs w:val="22"/>
        </w:rPr>
      </w:pPr>
    </w:p>
    <w:p w14:paraId="145FA83A" w14:textId="77777777" w:rsidR="00F15932" w:rsidRPr="008F6526" w:rsidRDefault="00F15932">
      <w:pPr>
        <w:rPr>
          <w:rFonts w:ascii="Arial" w:hAnsi="Arial" w:cs="Arial"/>
          <w:sz w:val="22"/>
          <w:szCs w:val="22"/>
        </w:rPr>
      </w:pPr>
      <w:r w:rsidRPr="008F6526">
        <w:rPr>
          <w:rFonts w:ascii="Arial" w:hAnsi="Arial" w:cs="Arial"/>
          <w:sz w:val="22"/>
          <w:szCs w:val="22"/>
        </w:rPr>
        <w:br w:type="page"/>
      </w:r>
    </w:p>
    <w:sdt>
      <w:sdtPr>
        <w:rPr>
          <w:rFonts w:ascii="Arial" w:hAnsi="Arial" w:cs="Arial"/>
          <w:sz w:val="22"/>
          <w:szCs w:val="22"/>
        </w:rPr>
        <w:id w:val="-2021306723"/>
        <w:docPartObj>
          <w:docPartGallery w:val="Table of Contents"/>
          <w:docPartUnique/>
        </w:docPartObj>
      </w:sdtPr>
      <w:sdtEndPr>
        <w:rPr>
          <w:rFonts w:eastAsia="Times New Roman"/>
          <w:b/>
          <w:bCs/>
          <w:noProof/>
          <w:color w:val="auto"/>
          <w:kern w:val="2"/>
          <w:lang w:val="en-GB" w:eastAsia="en-GB"/>
          <w14:ligatures w14:val="standardContextual"/>
        </w:rPr>
      </w:sdtEndPr>
      <w:sdtContent>
        <w:p w14:paraId="742A73D3" w14:textId="655A2D87" w:rsidR="003C3E37" w:rsidRPr="008F6526" w:rsidRDefault="003C3E37">
          <w:pPr>
            <w:pStyle w:val="TOCHeading"/>
            <w:rPr>
              <w:rFonts w:ascii="Arial" w:hAnsi="Arial" w:cs="Arial"/>
              <w:sz w:val="22"/>
              <w:szCs w:val="22"/>
            </w:rPr>
          </w:pPr>
          <w:r w:rsidRPr="008F6526">
            <w:rPr>
              <w:rFonts w:ascii="Arial" w:hAnsi="Arial" w:cs="Arial"/>
              <w:sz w:val="22"/>
              <w:szCs w:val="22"/>
            </w:rPr>
            <w:t>Contents</w:t>
          </w:r>
        </w:p>
        <w:p w14:paraId="5781ED10" w14:textId="230EE1F6" w:rsidR="0070389C" w:rsidRPr="008F6526" w:rsidRDefault="003C3E37">
          <w:pPr>
            <w:pStyle w:val="TOC1"/>
            <w:tabs>
              <w:tab w:val="right" w:leader="dot" w:pos="8303"/>
            </w:tabs>
            <w:rPr>
              <w:rFonts w:ascii="Arial" w:eastAsiaTheme="minorEastAsia" w:hAnsi="Arial" w:cs="Arial"/>
              <w:noProof/>
              <w:sz w:val="22"/>
              <w:szCs w:val="22"/>
            </w:rPr>
          </w:pPr>
          <w:r w:rsidRPr="008F6526">
            <w:rPr>
              <w:rFonts w:ascii="Arial" w:hAnsi="Arial" w:cs="Arial"/>
              <w:sz w:val="22"/>
              <w:szCs w:val="22"/>
            </w:rPr>
            <w:fldChar w:fldCharType="begin"/>
          </w:r>
          <w:r w:rsidRPr="008F6526">
            <w:rPr>
              <w:rFonts w:ascii="Arial" w:hAnsi="Arial" w:cs="Arial"/>
              <w:sz w:val="22"/>
              <w:szCs w:val="22"/>
            </w:rPr>
            <w:instrText xml:space="preserve"> TOC \o "1-3" \h \z \u </w:instrText>
          </w:r>
          <w:r w:rsidRPr="008F6526">
            <w:rPr>
              <w:rFonts w:ascii="Arial" w:hAnsi="Arial" w:cs="Arial"/>
              <w:sz w:val="22"/>
              <w:szCs w:val="22"/>
            </w:rPr>
            <w:fldChar w:fldCharType="separate"/>
          </w:r>
          <w:hyperlink w:anchor="_Toc225764300" w:history="1">
            <w:r w:rsidR="0070389C" w:rsidRPr="008F6526">
              <w:rPr>
                <w:rStyle w:val="Hyperlink"/>
                <w:rFonts w:ascii="Arial" w:hAnsi="Arial" w:cs="Arial"/>
                <w:noProof/>
                <w:sz w:val="22"/>
                <w:szCs w:val="22"/>
              </w:rPr>
              <w:t>Introduction</w:t>
            </w:r>
            <w:r w:rsidR="0070389C" w:rsidRPr="008F6526">
              <w:rPr>
                <w:rFonts w:ascii="Arial" w:hAnsi="Arial" w:cs="Arial"/>
                <w:noProof/>
                <w:webHidden/>
                <w:sz w:val="22"/>
                <w:szCs w:val="22"/>
              </w:rPr>
              <w:tab/>
            </w:r>
            <w:r w:rsidR="0070389C" w:rsidRPr="008F6526">
              <w:rPr>
                <w:rFonts w:ascii="Arial" w:hAnsi="Arial" w:cs="Arial"/>
                <w:noProof/>
                <w:webHidden/>
                <w:sz w:val="22"/>
                <w:szCs w:val="22"/>
              </w:rPr>
              <w:fldChar w:fldCharType="begin"/>
            </w:r>
            <w:r w:rsidR="0070389C" w:rsidRPr="008F6526">
              <w:rPr>
                <w:rFonts w:ascii="Arial" w:hAnsi="Arial" w:cs="Arial"/>
                <w:noProof/>
                <w:webHidden/>
                <w:sz w:val="22"/>
                <w:szCs w:val="22"/>
              </w:rPr>
              <w:instrText xml:space="preserve"> PAGEREF _Toc225764300 \h </w:instrText>
            </w:r>
            <w:r w:rsidR="0070389C" w:rsidRPr="008F6526">
              <w:rPr>
                <w:rFonts w:ascii="Arial" w:hAnsi="Arial" w:cs="Arial"/>
                <w:noProof/>
                <w:webHidden/>
                <w:sz w:val="22"/>
                <w:szCs w:val="22"/>
              </w:rPr>
            </w:r>
            <w:r w:rsidR="0070389C" w:rsidRPr="008F6526">
              <w:rPr>
                <w:rFonts w:ascii="Arial" w:hAnsi="Arial" w:cs="Arial"/>
                <w:noProof/>
                <w:webHidden/>
                <w:sz w:val="22"/>
                <w:szCs w:val="22"/>
              </w:rPr>
              <w:fldChar w:fldCharType="separate"/>
            </w:r>
            <w:r w:rsidR="0070389C" w:rsidRPr="008F6526">
              <w:rPr>
                <w:rFonts w:ascii="Arial" w:hAnsi="Arial" w:cs="Arial"/>
                <w:noProof/>
                <w:webHidden/>
                <w:sz w:val="22"/>
                <w:szCs w:val="22"/>
              </w:rPr>
              <w:t>3</w:t>
            </w:r>
            <w:r w:rsidR="0070389C" w:rsidRPr="008F6526">
              <w:rPr>
                <w:rFonts w:ascii="Arial" w:hAnsi="Arial" w:cs="Arial"/>
                <w:noProof/>
                <w:webHidden/>
                <w:sz w:val="22"/>
                <w:szCs w:val="22"/>
              </w:rPr>
              <w:fldChar w:fldCharType="end"/>
            </w:r>
          </w:hyperlink>
        </w:p>
        <w:p w14:paraId="2E705249" w14:textId="3BDB2C4D" w:rsidR="0070389C" w:rsidRPr="008F6526" w:rsidRDefault="0070389C">
          <w:pPr>
            <w:pStyle w:val="TOC1"/>
            <w:tabs>
              <w:tab w:val="right" w:leader="dot" w:pos="8303"/>
            </w:tabs>
            <w:rPr>
              <w:rFonts w:ascii="Arial" w:eastAsiaTheme="minorEastAsia" w:hAnsi="Arial" w:cs="Arial"/>
              <w:noProof/>
              <w:sz w:val="22"/>
              <w:szCs w:val="22"/>
            </w:rPr>
          </w:pPr>
          <w:hyperlink w:anchor="_Toc225764301" w:history="1">
            <w:r w:rsidRPr="008F6526">
              <w:rPr>
                <w:rStyle w:val="Hyperlink"/>
                <w:rFonts w:ascii="Arial" w:hAnsi="Arial" w:cs="Arial"/>
                <w:noProof/>
                <w:sz w:val="22"/>
                <w:szCs w:val="22"/>
              </w:rPr>
              <w:t>Technological advancement</w:t>
            </w:r>
            <w:r w:rsidRPr="008F6526">
              <w:rPr>
                <w:rFonts w:ascii="Arial" w:hAnsi="Arial" w:cs="Arial"/>
                <w:noProof/>
                <w:webHidden/>
                <w:sz w:val="22"/>
                <w:szCs w:val="22"/>
              </w:rPr>
              <w:tab/>
            </w:r>
            <w:r w:rsidRPr="008F6526">
              <w:rPr>
                <w:rFonts w:ascii="Arial" w:hAnsi="Arial" w:cs="Arial"/>
                <w:noProof/>
                <w:webHidden/>
                <w:sz w:val="22"/>
                <w:szCs w:val="22"/>
              </w:rPr>
              <w:fldChar w:fldCharType="begin"/>
            </w:r>
            <w:r w:rsidRPr="008F6526">
              <w:rPr>
                <w:rFonts w:ascii="Arial" w:hAnsi="Arial" w:cs="Arial"/>
                <w:noProof/>
                <w:webHidden/>
                <w:sz w:val="22"/>
                <w:szCs w:val="22"/>
              </w:rPr>
              <w:instrText xml:space="preserve"> PAGEREF _Toc225764301 \h </w:instrText>
            </w:r>
            <w:r w:rsidRPr="008F6526">
              <w:rPr>
                <w:rFonts w:ascii="Arial" w:hAnsi="Arial" w:cs="Arial"/>
                <w:noProof/>
                <w:webHidden/>
                <w:sz w:val="22"/>
                <w:szCs w:val="22"/>
              </w:rPr>
            </w:r>
            <w:r w:rsidRPr="008F6526">
              <w:rPr>
                <w:rFonts w:ascii="Arial" w:hAnsi="Arial" w:cs="Arial"/>
                <w:noProof/>
                <w:webHidden/>
                <w:sz w:val="22"/>
                <w:szCs w:val="22"/>
              </w:rPr>
              <w:fldChar w:fldCharType="separate"/>
            </w:r>
            <w:r w:rsidRPr="008F6526">
              <w:rPr>
                <w:rFonts w:ascii="Arial" w:hAnsi="Arial" w:cs="Arial"/>
                <w:noProof/>
                <w:webHidden/>
                <w:sz w:val="22"/>
                <w:szCs w:val="22"/>
              </w:rPr>
              <w:t>4</w:t>
            </w:r>
            <w:r w:rsidRPr="008F6526">
              <w:rPr>
                <w:rFonts w:ascii="Arial" w:hAnsi="Arial" w:cs="Arial"/>
                <w:noProof/>
                <w:webHidden/>
                <w:sz w:val="22"/>
                <w:szCs w:val="22"/>
              </w:rPr>
              <w:fldChar w:fldCharType="end"/>
            </w:r>
          </w:hyperlink>
        </w:p>
        <w:p w14:paraId="26117B56" w14:textId="347C5E09" w:rsidR="0070389C" w:rsidRPr="008F6526" w:rsidRDefault="0070389C">
          <w:pPr>
            <w:pStyle w:val="TOC1"/>
            <w:tabs>
              <w:tab w:val="right" w:leader="dot" w:pos="8303"/>
            </w:tabs>
            <w:rPr>
              <w:rFonts w:ascii="Arial" w:eastAsiaTheme="minorEastAsia" w:hAnsi="Arial" w:cs="Arial"/>
              <w:noProof/>
              <w:sz w:val="22"/>
              <w:szCs w:val="22"/>
            </w:rPr>
          </w:pPr>
          <w:hyperlink w:anchor="_Toc225764302" w:history="1">
            <w:r w:rsidRPr="008F6526">
              <w:rPr>
                <w:rStyle w:val="Hyperlink"/>
                <w:rFonts w:ascii="Arial" w:hAnsi="Arial" w:cs="Arial"/>
                <w:noProof/>
                <w:sz w:val="22"/>
                <w:szCs w:val="22"/>
              </w:rPr>
              <w:t>Talent Acquisition and Retention</w:t>
            </w:r>
            <w:r w:rsidRPr="008F6526">
              <w:rPr>
                <w:rFonts w:ascii="Arial" w:hAnsi="Arial" w:cs="Arial"/>
                <w:noProof/>
                <w:webHidden/>
                <w:sz w:val="22"/>
                <w:szCs w:val="22"/>
              </w:rPr>
              <w:tab/>
            </w:r>
            <w:r w:rsidRPr="008F6526">
              <w:rPr>
                <w:rFonts w:ascii="Arial" w:hAnsi="Arial" w:cs="Arial"/>
                <w:noProof/>
                <w:webHidden/>
                <w:sz w:val="22"/>
                <w:szCs w:val="22"/>
              </w:rPr>
              <w:fldChar w:fldCharType="begin"/>
            </w:r>
            <w:r w:rsidRPr="008F6526">
              <w:rPr>
                <w:rFonts w:ascii="Arial" w:hAnsi="Arial" w:cs="Arial"/>
                <w:noProof/>
                <w:webHidden/>
                <w:sz w:val="22"/>
                <w:szCs w:val="22"/>
              </w:rPr>
              <w:instrText xml:space="preserve"> PAGEREF _Toc225764302 \h </w:instrText>
            </w:r>
            <w:r w:rsidRPr="008F6526">
              <w:rPr>
                <w:rFonts w:ascii="Arial" w:hAnsi="Arial" w:cs="Arial"/>
                <w:noProof/>
                <w:webHidden/>
                <w:sz w:val="22"/>
                <w:szCs w:val="22"/>
              </w:rPr>
            </w:r>
            <w:r w:rsidRPr="008F6526">
              <w:rPr>
                <w:rFonts w:ascii="Arial" w:hAnsi="Arial" w:cs="Arial"/>
                <w:noProof/>
                <w:webHidden/>
                <w:sz w:val="22"/>
                <w:szCs w:val="22"/>
              </w:rPr>
              <w:fldChar w:fldCharType="separate"/>
            </w:r>
            <w:r w:rsidRPr="008F6526">
              <w:rPr>
                <w:rFonts w:ascii="Arial" w:hAnsi="Arial" w:cs="Arial"/>
                <w:noProof/>
                <w:webHidden/>
                <w:sz w:val="22"/>
                <w:szCs w:val="22"/>
              </w:rPr>
              <w:t>5</w:t>
            </w:r>
            <w:r w:rsidRPr="008F6526">
              <w:rPr>
                <w:rFonts w:ascii="Arial" w:hAnsi="Arial" w:cs="Arial"/>
                <w:noProof/>
                <w:webHidden/>
                <w:sz w:val="22"/>
                <w:szCs w:val="22"/>
              </w:rPr>
              <w:fldChar w:fldCharType="end"/>
            </w:r>
          </w:hyperlink>
        </w:p>
        <w:p w14:paraId="07B54A4B" w14:textId="34C5EE1C" w:rsidR="0070389C" w:rsidRPr="008F6526" w:rsidRDefault="0070389C">
          <w:pPr>
            <w:pStyle w:val="TOC1"/>
            <w:tabs>
              <w:tab w:val="right" w:leader="dot" w:pos="8303"/>
            </w:tabs>
            <w:rPr>
              <w:rFonts w:ascii="Arial" w:eastAsiaTheme="minorEastAsia" w:hAnsi="Arial" w:cs="Arial"/>
              <w:noProof/>
              <w:sz w:val="22"/>
              <w:szCs w:val="22"/>
            </w:rPr>
          </w:pPr>
          <w:hyperlink w:anchor="_Toc225764303" w:history="1">
            <w:r w:rsidRPr="008F6526">
              <w:rPr>
                <w:rStyle w:val="Hyperlink"/>
                <w:rFonts w:ascii="Arial" w:hAnsi="Arial" w:cs="Arial"/>
                <w:noProof/>
                <w:sz w:val="22"/>
                <w:szCs w:val="22"/>
              </w:rPr>
              <w:t>Diversity, Equity and Inclusion (DEI)</w:t>
            </w:r>
            <w:r w:rsidRPr="008F6526">
              <w:rPr>
                <w:rFonts w:ascii="Arial" w:hAnsi="Arial" w:cs="Arial"/>
                <w:noProof/>
                <w:webHidden/>
                <w:sz w:val="22"/>
                <w:szCs w:val="22"/>
              </w:rPr>
              <w:tab/>
            </w:r>
            <w:r w:rsidRPr="008F6526">
              <w:rPr>
                <w:rFonts w:ascii="Arial" w:hAnsi="Arial" w:cs="Arial"/>
                <w:noProof/>
                <w:webHidden/>
                <w:sz w:val="22"/>
                <w:szCs w:val="22"/>
              </w:rPr>
              <w:fldChar w:fldCharType="begin"/>
            </w:r>
            <w:r w:rsidRPr="008F6526">
              <w:rPr>
                <w:rFonts w:ascii="Arial" w:hAnsi="Arial" w:cs="Arial"/>
                <w:noProof/>
                <w:webHidden/>
                <w:sz w:val="22"/>
                <w:szCs w:val="22"/>
              </w:rPr>
              <w:instrText xml:space="preserve"> PAGEREF _Toc225764303 \h </w:instrText>
            </w:r>
            <w:r w:rsidRPr="008F6526">
              <w:rPr>
                <w:rFonts w:ascii="Arial" w:hAnsi="Arial" w:cs="Arial"/>
                <w:noProof/>
                <w:webHidden/>
                <w:sz w:val="22"/>
                <w:szCs w:val="22"/>
              </w:rPr>
            </w:r>
            <w:r w:rsidRPr="008F6526">
              <w:rPr>
                <w:rFonts w:ascii="Arial" w:hAnsi="Arial" w:cs="Arial"/>
                <w:noProof/>
                <w:webHidden/>
                <w:sz w:val="22"/>
                <w:szCs w:val="22"/>
              </w:rPr>
              <w:fldChar w:fldCharType="separate"/>
            </w:r>
            <w:r w:rsidRPr="008F6526">
              <w:rPr>
                <w:rFonts w:ascii="Arial" w:hAnsi="Arial" w:cs="Arial"/>
                <w:noProof/>
                <w:webHidden/>
                <w:sz w:val="22"/>
                <w:szCs w:val="22"/>
              </w:rPr>
              <w:t>6</w:t>
            </w:r>
            <w:r w:rsidRPr="008F6526">
              <w:rPr>
                <w:rFonts w:ascii="Arial" w:hAnsi="Arial" w:cs="Arial"/>
                <w:noProof/>
                <w:webHidden/>
                <w:sz w:val="22"/>
                <w:szCs w:val="22"/>
              </w:rPr>
              <w:fldChar w:fldCharType="end"/>
            </w:r>
          </w:hyperlink>
        </w:p>
        <w:p w14:paraId="50EFCDA0" w14:textId="1A8ED9FB" w:rsidR="0070389C" w:rsidRPr="008F6526" w:rsidRDefault="0070389C">
          <w:pPr>
            <w:pStyle w:val="TOC1"/>
            <w:tabs>
              <w:tab w:val="right" w:leader="dot" w:pos="8303"/>
            </w:tabs>
            <w:rPr>
              <w:rFonts w:ascii="Arial" w:eastAsiaTheme="minorEastAsia" w:hAnsi="Arial" w:cs="Arial"/>
              <w:noProof/>
              <w:sz w:val="22"/>
              <w:szCs w:val="22"/>
            </w:rPr>
          </w:pPr>
          <w:hyperlink w:anchor="_Toc225764304" w:history="1">
            <w:r w:rsidRPr="008F6526">
              <w:rPr>
                <w:rStyle w:val="Hyperlink"/>
                <w:rFonts w:ascii="Arial" w:hAnsi="Arial" w:cs="Arial"/>
                <w:noProof/>
                <w:sz w:val="22"/>
                <w:szCs w:val="22"/>
              </w:rPr>
              <w:t>Evaluation of different contemporary HR practices</w:t>
            </w:r>
            <w:r w:rsidRPr="008F6526">
              <w:rPr>
                <w:rFonts w:ascii="Arial" w:hAnsi="Arial" w:cs="Arial"/>
                <w:noProof/>
                <w:webHidden/>
                <w:sz w:val="22"/>
                <w:szCs w:val="22"/>
              </w:rPr>
              <w:tab/>
            </w:r>
            <w:r w:rsidRPr="008F6526">
              <w:rPr>
                <w:rFonts w:ascii="Arial" w:hAnsi="Arial" w:cs="Arial"/>
                <w:noProof/>
                <w:webHidden/>
                <w:sz w:val="22"/>
                <w:szCs w:val="22"/>
              </w:rPr>
              <w:fldChar w:fldCharType="begin"/>
            </w:r>
            <w:r w:rsidRPr="008F6526">
              <w:rPr>
                <w:rFonts w:ascii="Arial" w:hAnsi="Arial" w:cs="Arial"/>
                <w:noProof/>
                <w:webHidden/>
                <w:sz w:val="22"/>
                <w:szCs w:val="22"/>
              </w:rPr>
              <w:instrText xml:space="preserve"> PAGEREF _Toc225764304 \h </w:instrText>
            </w:r>
            <w:r w:rsidRPr="008F6526">
              <w:rPr>
                <w:rFonts w:ascii="Arial" w:hAnsi="Arial" w:cs="Arial"/>
                <w:noProof/>
                <w:webHidden/>
                <w:sz w:val="22"/>
                <w:szCs w:val="22"/>
              </w:rPr>
            </w:r>
            <w:r w:rsidRPr="008F6526">
              <w:rPr>
                <w:rFonts w:ascii="Arial" w:hAnsi="Arial" w:cs="Arial"/>
                <w:noProof/>
                <w:webHidden/>
                <w:sz w:val="22"/>
                <w:szCs w:val="22"/>
              </w:rPr>
              <w:fldChar w:fldCharType="separate"/>
            </w:r>
            <w:r w:rsidRPr="008F6526">
              <w:rPr>
                <w:rFonts w:ascii="Arial" w:hAnsi="Arial" w:cs="Arial"/>
                <w:noProof/>
                <w:webHidden/>
                <w:sz w:val="22"/>
                <w:szCs w:val="22"/>
              </w:rPr>
              <w:t>7</w:t>
            </w:r>
            <w:r w:rsidRPr="008F6526">
              <w:rPr>
                <w:rFonts w:ascii="Arial" w:hAnsi="Arial" w:cs="Arial"/>
                <w:noProof/>
                <w:webHidden/>
                <w:sz w:val="22"/>
                <w:szCs w:val="22"/>
              </w:rPr>
              <w:fldChar w:fldCharType="end"/>
            </w:r>
          </w:hyperlink>
        </w:p>
        <w:p w14:paraId="1AB05DAD" w14:textId="2BBEB52A" w:rsidR="0070389C" w:rsidRPr="008F6526" w:rsidRDefault="0070389C">
          <w:pPr>
            <w:pStyle w:val="TOC1"/>
            <w:tabs>
              <w:tab w:val="right" w:leader="dot" w:pos="8303"/>
            </w:tabs>
            <w:rPr>
              <w:rFonts w:ascii="Arial" w:eastAsiaTheme="minorEastAsia" w:hAnsi="Arial" w:cs="Arial"/>
              <w:noProof/>
              <w:sz w:val="22"/>
              <w:szCs w:val="22"/>
            </w:rPr>
          </w:pPr>
          <w:hyperlink w:anchor="_Toc225764305" w:history="1">
            <w:r w:rsidRPr="008F6526">
              <w:rPr>
                <w:rStyle w:val="Hyperlink"/>
                <w:rFonts w:ascii="Arial" w:hAnsi="Arial" w:cs="Arial"/>
                <w:noProof/>
                <w:sz w:val="22"/>
                <w:szCs w:val="22"/>
              </w:rPr>
              <w:t>Critical Evaluation of the Role of Managers in Implementing HR Practices</w:t>
            </w:r>
            <w:r w:rsidRPr="008F6526">
              <w:rPr>
                <w:rFonts w:ascii="Arial" w:hAnsi="Arial" w:cs="Arial"/>
                <w:noProof/>
                <w:webHidden/>
                <w:sz w:val="22"/>
                <w:szCs w:val="22"/>
              </w:rPr>
              <w:tab/>
            </w:r>
            <w:r w:rsidRPr="008F6526">
              <w:rPr>
                <w:rFonts w:ascii="Arial" w:hAnsi="Arial" w:cs="Arial"/>
                <w:noProof/>
                <w:webHidden/>
                <w:sz w:val="22"/>
                <w:szCs w:val="22"/>
              </w:rPr>
              <w:fldChar w:fldCharType="begin"/>
            </w:r>
            <w:r w:rsidRPr="008F6526">
              <w:rPr>
                <w:rFonts w:ascii="Arial" w:hAnsi="Arial" w:cs="Arial"/>
                <w:noProof/>
                <w:webHidden/>
                <w:sz w:val="22"/>
                <w:szCs w:val="22"/>
              </w:rPr>
              <w:instrText xml:space="preserve"> PAGEREF _Toc225764305 \h </w:instrText>
            </w:r>
            <w:r w:rsidRPr="008F6526">
              <w:rPr>
                <w:rFonts w:ascii="Arial" w:hAnsi="Arial" w:cs="Arial"/>
                <w:noProof/>
                <w:webHidden/>
                <w:sz w:val="22"/>
                <w:szCs w:val="22"/>
              </w:rPr>
            </w:r>
            <w:r w:rsidRPr="008F6526">
              <w:rPr>
                <w:rFonts w:ascii="Arial" w:hAnsi="Arial" w:cs="Arial"/>
                <w:noProof/>
                <w:webHidden/>
                <w:sz w:val="22"/>
                <w:szCs w:val="22"/>
              </w:rPr>
              <w:fldChar w:fldCharType="separate"/>
            </w:r>
            <w:r w:rsidRPr="008F6526">
              <w:rPr>
                <w:rFonts w:ascii="Arial" w:hAnsi="Arial" w:cs="Arial"/>
                <w:noProof/>
                <w:webHidden/>
                <w:sz w:val="22"/>
                <w:szCs w:val="22"/>
              </w:rPr>
              <w:t>9</w:t>
            </w:r>
            <w:r w:rsidRPr="008F6526">
              <w:rPr>
                <w:rFonts w:ascii="Arial" w:hAnsi="Arial" w:cs="Arial"/>
                <w:noProof/>
                <w:webHidden/>
                <w:sz w:val="22"/>
                <w:szCs w:val="22"/>
              </w:rPr>
              <w:fldChar w:fldCharType="end"/>
            </w:r>
          </w:hyperlink>
        </w:p>
        <w:p w14:paraId="7B06748F" w14:textId="737F1130" w:rsidR="0070389C" w:rsidRPr="008F6526" w:rsidRDefault="0070389C">
          <w:pPr>
            <w:pStyle w:val="TOC1"/>
            <w:tabs>
              <w:tab w:val="right" w:leader="dot" w:pos="8303"/>
            </w:tabs>
            <w:rPr>
              <w:rFonts w:ascii="Arial" w:eastAsiaTheme="minorEastAsia" w:hAnsi="Arial" w:cs="Arial"/>
              <w:noProof/>
              <w:sz w:val="22"/>
              <w:szCs w:val="22"/>
            </w:rPr>
          </w:pPr>
          <w:hyperlink w:anchor="_Toc225764306" w:history="1">
            <w:r w:rsidRPr="008F6526">
              <w:rPr>
                <w:rStyle w:val="Hyperlink"/>
                <w:rFonts w:ascii="Arial" w:hAnsi="Arial" w:cs="Arial"/>
                <w:noProof/>
                <w:sz w:val="22"/>
                <w:szCs w:val="22"/>
              </w:rPr>
              <w:t>Conclusion</w:t>
            </w:r>
            <w:r w:rsidRPr="008F6526">
              <w:rPr>
                <w:rFonts w:ascii="Arial" w:hAnsi="Arial" w:cs="Arial"/>
                <w:noProof/>
                <w:webHidden/>
                <w:sz w:val="22"/>
                <w:szCs w:val="22"/>
              </w:rPr>
              <w:tab/>
            </w:r>
            <w:r w:rsidRPr="008F6526">
              <w:rPr>
                <w:rFonts w:ascii="Arial" w:hAnsi="Arial" w:cs="Arial"/>
                <w:noProof/>
                <w:webHidden/>
                <w:sz w:val="22"/>
                <w:szCs w:val="22"/>
              </w:rPr>
              <w:fldChar w:fldCharType="begin"/>
            </w:r>
            <w:r w:rsidRPr="008F6526">
              <w:rPr>
                <w:rFonts w:ascii="Arial" w:hAnsi="Arial" w:cs="Arial"/>
                <w:noProof/>
                <w:webHidden/>
                <w:sz w:val="22"/>
                <w:szCs w:val="22"/>
              </w:rPr>
              <w:instrText xml:space="preserve"> PAGEREF _Toc225764306 \h </w:instrText>
            </w:r>
            <w:r w:rsidRPr="008F6526">
              <w:rPr>
                <w:rFonts w:ascii="Arial" w:hAnsi="Arial" w:cs="Arial"/>
                <w:noProof/>
                <w:webHidden/>
                <w:sz w:val="22"/>
                <w:szCs w:val="22"/>
              </w:rPr>
            </w:r>
            <w:r w:rsidRPr="008F6526">
              <w:rPr>
                <w:rFonts w:ascii="Arial" w:hAnsi="Arial" w:cs="Arial"/>
                <w:noProof/>
                <w:webHidden/>
                <w:sz w:val="22"/>
                <w:szCs w:val="22"/>
              </w:rPr>
              <w:fldChar w:fldCharType="separate"/>
            </w:r>
            <w:r w:rsidRPr="008F6526">
              <w:rPr>
                <w:rFonts w:ascii="Arial" w:hAnsi="Arial" w:cs="Arial"/>
                <w:noProof/>
                <w:webHidden/>
                <w:sz w:val="22"/>
                <w:szCs w:val="22"/>
              </w:rPr>
              <w:t>10</w:t>
            </w:r>
            <w:r w:rsidRPr="008F6526">
              <w:rPr>
                <w:rFonts w:ascii="Arial" w:hAnsi="Arial" w:cs="Arial"/>
                <w:noProof/>
                <w:webHidden/>
                <w:sz w:val="22"/>
                <w:szCs w:val="22"/>
              </w:rPr>
              <w:fldChar w:fldCharType="end"/>
            </w:r>
          </w:hyperlink>
        </w:p>
        <w:p w14:paraId="41B2936D" w14:textId="1D661316" w:rsidR="0070389C" w:rsidRPr="008F6526" w:rsidRDefault="0070389C">
          <w:pPr>
            <w:pStyle w:val="TOC1"/>
            <w:tabs>
              <w:tab w:val="right" w:leader="dot" w:pos="8303"/>
            </w:tabs>
            <w:rPr>
              <w:rFonts w:ascii="Arial" w:eastAsiaTheme="minorEastAsia" w:hAnsi="Arial" w:cs="Arial"/>
              <w:noProof/>
              <w:sz w:val="22"/>
              <w:szCs w:val="22"/>
            </w:rPr>
          </w:pPr>
          <w:hyperlink w:anchor="_Toc225764307" w:history="1">
            <w:r w:rsidRPr="008F6526">
              <w:rPr>
                <w:rStyle w:val="Hyperlink"/>
                <w:rFonts w:ascii="Arial" w:hAnsi="Arial" w:cs="Arial"/>
                <w:noProof/>
                <w:sz w:val="22"/>
                <w:szCs w:val="22"/>
              </w:rPr>
              <w:t>References</w:t>
            </w:r>
            <w:r w:rsidRPr="008F6526">
              <w:rPr>
                <w:rFonts w:ascii="Arial" w:hAnsi="Arial" w:cs="Arial"/>
                <w:noProof/>
                <w:webHidden/>
                <w:sz w:val="22"/>
                <w:szCs w:val="22"/>
              </w:rPr>
              <w:tab/>
            </w:r>
            <w:r w:rsidRPr="008F6526">
              <w:rPr>
                <w:rFonts w:ascii="Arial" w:hAnsi="Arial" w:cs="Arial"/>
                <w:noProof/>
                <w:webHidden/>
                <w:sz w:val="22"/>
                <w:szCs w:val="22"/>
              </w:rPr>
              <w:fldChar w:fldCharType="begin"/>
            </w:r>
            <w:r w:rsidRPr="008F6526">
              <w:rPr>
                <w:rFonts w:ascii="Arial" w:hAnsi="Arial" w:cs="Arial"/>
                <w:noProof/>
                <w:webHidden/>
                <w:sz w:val="22"/>
                <w:szCs w:val="22"/>
              </w:rPr>
              <w:instrText xml:space="preserve"> PAGEREF _Toc225764307 \h </w:instrText>
            </w:r>
            <w:r w:rsidRPr="008F6526">
              <w:rPr>
                <w:rFonts w:ascii="Arial" w:hAnsi="Arial" w:cs="Arial"/>
                <w:noProof/>
                <w:webHidden/>
                <w:sz w:val="22"/>
                <w:szCs w:val="22"/>
              </w:rPr>
            </w:r>
            <w:r w:rsidRPr="008F6526">
              <w:rPr>
                <w:rFonts w:ascii="Arial" w:hAnsi="Arial" w:cs="Arial"/>
                <w:noProof/>
                <w:webHidden/>
                <w:sz w:val="22"/>
                <w:szCs w:val="22"/>
              </w:rPr>
              <w:fldChar w:fldCharType="separate"/>
            </w:r>
            <w:r w:rsidRPr="008F6526">
              <w:rPr>
                <w:rFonts w:ascii="Arial" w:hAnsi="Arial" w:cs="Arial"/>
                <w:noProof/>
                <w:webHidden/>
                <w:sz w:val="22"/>
                <w:szCs w:val="22"/>
              </w:rPr>
              <w:t>11</w:t>
            </w:r>
            <w:r w:rsidRPr="008F6526">
              <w:rPr>
                <w:rFonts w:ascii="Arial" w:hAnsi="Arial" w:cs="Arial"/>
                <w:noProof/>
                <w:webHidden/>
                <w:sz w:val="22"/>
                <w:szCs w:val="22"/>
              </w:rPr>
              <w:fldChar w:fldCharType="end"/>
            </w:r>
          </w:hyperlink>
        </w:p>
        <w:p w14:paraId="1BAA5287" w14:textId="7ACE91A3" w:rsidR="003C3E37" w:rsidRPr="008F6526" w:rsidRDefault="003C3E37">
          <w:pPr>
            <w:rPr>
              <w:rFonts w:ascii="Arial" w:hAnsi="Arial" w:cs="Arial"/>
              <w:sz w:val="22"/>
              <w:szCs w:val="22"/>
            </w:rPr>
          </w:pPr>
          <w:r w:rsidRPr="008F6526">
            <w:rPr>
              <w:rFonts w:ascii="Arial" w:hAnsi="Arial" w:cs="Arial"/>
              <w:b/>
              <w:bCs/>
              <w:noProof/>
              <w:sz w:val="22"/>
              <w:szCs w:val="22"/>
            </w:rPr>
            <w:fldChar w:fldCharType="end"/>
          </w:r>
        </w:p>
      </w:sdtContent>
    </w:sdt>
    <w:p w14:paraId="30FFDDB2" w14:textId="09A33738" w:rsidR="003C3E37" w:rsidRPr="008F6526" w:rsidRDefault="003C3E37" w:rsidP="001903A6">
      <w:pPr>
        <w:rPr>
          <w:rFonts w:ascii="Arial" w:hAnsi="Arial" w:cs="Arial"/>
          <w:sz w:val="22"/>
          <w:szCs w:val="22"/>
        </w:rPr>
      </w:pPr>
    </w:p>
    <w:p w14:paraId="558A0688" w14:textId="77777777" w:rsidR="003C3E37" w:rsidRPr="008F6526" w:rsidRDefault="003C3E37">
      <w:pPr>
        <w:rPr>
          <w:rFonts w:ascii="Arial" w:hAnsi="Arial" w:cs="Arial"/>
          <w:sz w:val="22"/>
          <w:szCs w:val="22"/>
        </w:rPr>
      </w:pPr>
      <w:r w:rsidRPr="008F6526">
        <w:rPr>
          <w:rFonts w:ascii="Arial" w:hAnsi="Arial" w:cs="Arial"/>
          <w:sz w:val="22"/>
          <w:szCs w:val="22"/>
        </w:rPr>
        <w:br w:type="page"/>
      </w:r>
    </w:p>
    <w:p w14:paraId="47E07988" w14:textId="470AC008" w:rsidR="001903A6" w:rsidRPr="008F6526" w:rsidRDefault="000E73BB" w:rsidP="000E73BB">
      <w:pPr>
        <w:pStyle w:val="Heading1"/>
        <w:rPr>
          <w:rFonts w:ascii="Arial" w:hAnsi="Arial" w:cs="Arial"/>
          <w:sz w:val="22"/>
          <w:szCs w:val="22"/>
        </w:rPr>
      </w:pPr>
      <w:bookmarkStart w:id="0" w:name="_Toc225764300"/>
      <w:r w:rsidRPr="008F6526">
        <w:rPr>
          <w:rFonts w:ascii="Arial" w:hAnsi="Arial" w:cs="Arial"/>
          <w:sz w:val="22"/>
          <w:szCs w:val="22"/>
        </w:rPr>
        <w:lastRenderedPageBreak/>
        <w:t>Introduction</w:t>
      </w:r>
      <w:bookmarkEnd w:id="0"/>
    </w:p>
    <w:p w14:paraId="7E3F15E8" w14:textId="77777777" w:rsidR="000E73BB" w:rsidRPr="008F6526" w:rsidRDefault="000E73BB" w:rsidP="000E73BB">
      <w:pPr>
        <w:rPr>
          <w:rFonts w:ascii="Arial" w:hAnsi="Arial" w:cs="Arial"/>
          <w:sz w:val="22"/>
          <w:szCs w:val="22"/>
        </w:rPr>
      </w:pPr>
    </w:p>
    <w:p w14:paraId="6E389EB4" w14:textId="756F380B" w:rsidR="000E73BB" w:rsidRPr="008F6526" w:rsidRDefault="008B7DEC" w:rsidP="000E73BB">
      <w:pPr>
        <w:rPr>
          <w:rFonts w:ascii="Arial" w:hAnsi="Arial" w:cs="Arial"/>
          <w:sz w:val="22"/>
          <w:szCs w:val="22"/>
        </w:rPr>
      </w:pPr>
      <w:r w:rsidRPr="008F6526">
        <w:rPr>
          <w:rFonts w:ascii="Arial" w:hAnsi="Arial" w:cs="Arial"/>
          <w:sz w:val="22"/>
          <w:szCs w:val="22"/>
        </w:rPr>
        <w:t xml:space="preserve">Human Resource Management (HRM) </w:t>
      </w:r>
      <w:r w:rsidR="009B77E1" w:rsidRPr="008F6526">
        <w:rPr>
          <w:rFonts w:ascii="Arial" w:hAnsi="Arial" w:cs="Arial"/>
          <w:sz w:val="22"/>
          <w:szCs w:val="22"/>
        </w:rPr>
        <w:t>plays a critical role in enabling organisations to achieve strategic objectives through the effective management of people</w:t>
      </w:r>
      <w:r w:rsidR="00DE03BC" w:rsidRPr="008F6526">
        <w:rPr>
          <w:rFonts w:ascii="Arial" w:hAnsi="Arial" w:cs="Arial"/>
          <w:sz w:val="22"/>
          <w:szCs w:val="22"/>
        </w:rPr>
        <w:t xml:space="preserve"> </w:t>
      </w:r>
      <w:r w:rsidR="00DE03BC" w:rsidRPr="008F6526">
        <w:rPr>
          <w:rFonts w:ascii="Arial" w:hAnsi="Arial" w:cs="Arial"/>
          <w:sz w:val="22"/>
          <w:szCs w:val="22"/>
        </w:rPr>
        <w:t>(Moltke, 2025)</w:t>
      </w:r>
      <w:r w:rsidR="00DE03BC" w:rsidRPr="008F6526">
        <w:rPr>
          <w:rFonts w:ascii="Arial" w:hAnsi="Arial" w:cs="Arial"/>
          <w:sz w:val="22"/>
          <w:szCs w:val="22"/>
        </w:rPr>
        <w:t xml:space="preserve">. </w:t>
      </w:r>
      <w:r w:rsidR="006B7FF6" w:rsidRPr="008F6526">
        <w:rPr>
          <w:rFonts w:ascii="Arial" w:hAnsi="Arial" w:cs="Arial"/>
          <w:sz w:val="22"/>
          <w:szCs w:val="22"/>
        </w:rPr>
        <w:t xml:space="preserve">In highly competitive and customer focused industries such as the UK leisure and gaming sector, organisations like Grosvenor </w:t>
      </w:r>
      <w:r w:rsidR="00CD7BA5" w:rsidRPr="008F6526">
        <w:rPr>
          <w:rFonts w:ascii="Arial" w:hAnsi="Arial" w:cs="Arial"/>
          <w:sz w:val="22"/>
          <w:szCs w:val="22"/>
        </w:rPr>
        <w:t>C</w:t>
      </w:r>
      <w:r w:rsidR="006B7FF6" w:rsidRPr="008F6526">
        <w:rPr>
          <w:rFonts w:ascii="Arial" w:hAnsi="Arial" w:cs="Arial"/>
          <w:sz w:val="22"/>
          <w:szCs w:val="22"/>
        </w:rPr>
        <w:t>asinos face increasing pressure</w:t>
      </w:r>
      <w:r w:rsidR="00411D79" w:rsidRPr="008F6526">
        <w:rPr>
          <w:rFonts w:ascii="Arial" w:hAnsi="Arial" w:cs="Arial"/>
          <w:sz w:val="22"/>
          <w:szCs w:val="22"/>
        </w:rPr>
        <w:t xml:space="preserve"> to adapt to rapid technological change, attract and retain</w:t>
      </w:r>
      <w:r w:rsidR="00CD7BA5" w:rsidRPr="008F6526">
        <w:rPr>
          <w:rFonts w:ascii="Arial" w:hAnsi="Arial" w:cs="Arial"/>
          <w:sz w:val="22"/>
          <w:szCs w:val="22"/>
        </w:rPr>
        <w:t xml:space="preserve"> </w:t>
      </w:r>
      <w:r w:rsidR="00411D79" w:rsidRPr="008F6526">
        <w:rPr>
          <w:rFonts w:ascii="Arial" w:hAnsi="Arial" w:cs="Arial"/>
          <w:sz w:val="22"/>
          <w:szCs w:val="22"/>
        </w:rPr>
        <w:t>skilled employees and f</w:t>
      </w:r>
      <w:r w:rsidR="00CD7BA5" w:rsidRPr="008F6526">
        <w:rPr>
          <w:rFonts w:ascii="Arial" w:hAnsi="Arial" w:cs="Arial"/>
          <w:sz w:val="22"/>
          <w:szCs w:val="22"/>
        </w:rPr>
        <w:t>o</w:t>
      </w:r>
      <w:r w:rsidR="00411D79" w:rsidRPr="008F6526">
        <w:rPr>
          <w:rFonts w:ascii="Arial" w:hAnsi="Arial" w:cs="Arial"/>
          <w:sz w:val="22"/>
          <w:szCs w:val="22"/>
        </w:rPr>
        <w:t>ster inclusive workplaces. These challenges</w:t>
      </w:r>
      <w:r w:rsidR="00CD7BA5" w:rsidRPr="008F6526">
        <w:rPr>
          <w:rFonts w:ascii="Arial" w:hAnsi="Arial" w:cs="Arial"/>
          <w:sz w:val="22"/>
          <w:szCs w:val="22"/>
        </w:rPr>
        <w:t xml:space="preserve"> require HR departments to adopt a strategic and proactive approach to managing human capital.</w:t>
      </w:r>
    </w:p>
    <w:p w14:paraId="2E2459B2" w14:textId="77777777" w:rsidR="00CD5856" w:rsidRPr="008F6526" w:rsidRDefault="00CD5856" w:rsidP="000E73BB">
      <w:pPr>
        <w:rPr>
          <w:rFonts w:ascii="Arial" w:hAnsi="Arial" w:cs="Arial"/>
          <w:sz w:val="22"/>
          <w:szCs w:val="22"/>
        </w:rPr>
      </w:pPr>
    </w:p>
    <w:p w14:paraId="50E5FCC1" w14:textId="7A52955A" w:rsidR="00EC6A25" w:rsidRPr="008F6526" w:rsidRDefault="00F6696E" w:rsidP="00EC6A25">
      <w:pPr>
        <w:rPr>
          <w:rFonts w:ascii="Arial" w:hAnsi="Arial" w:cs="Arial"/>
          <w:sz w:val="22"/>
          <w:szCs w:val="22"/>
        </w:rPr>
      </w:pPr>
      <w:r w:rsidRPr="008F6526">
        <w:rPr>
          <w:rFonts w:ascii="Arial" w:hAnsi="Arial" w:cs="Arial"/>
          <w:sz w:val="22"/>
          <w:szCs w:val="22"/>
        </w:rPr>
        <w:t xml:space="preserve">According to John Storey </w:t>
      </w:r>
      <w:r w:rsidR="0040797B" w:rsidRPr="008F6526">
        <w:rPr>
          <w:rFonts w:ascii="Arial" w:hAnsi="Arial" w:cs="Arial"/>
          <w:sz w:val="22"/>
          <w:szCs w:val="22"/>
        </w:rPr>
        <w:t>(</w:t>
      </w:r>
      <w:r w:rsidRPr="008F6526">
        <w:rPr>
          <w:rFonts w:ascii="Arial" w:hAnsi="Arial" w:cs="Arial"/>
          <w:sz w:val="22"/>
          <w:szCs w:val="22"/>
        </w:rPr>
        <w:t>1995</w:t>
      </w:r>
      <w:r w:rsidR="0040797B" w:rsidRPr="008F6526">
        <w:rPr>
          <w:rFonts w:ascii="Arial" w:hAnsi="Arial" w:cs="Arial"/>
          <w:sz w:val="22"/>
          <w:szCs w:val="22"/>
        </w:rPr>
        <w:t>)</w:t>
      </w:r>
      <w:r w:rsidRPr="008F6526">
        <w:rPr>
          <w:rFonts w:ascii="Arial" w:hAnsi="Arial" w:cs="Arial"/>
          <w:sz w:val="22"/>
          <w:szCs w:val="22"/>
        </w:rPr>
        <w:t xml:space="preserve">, </w:t>
      </w:r>
      <w:r w:rsidR="00834685" w:rsidRPr="008F6526">
        <w:rPr>
          <w:rFonts w:ascii="Arial" w:hAnsi="Arial" w:cs="Arial"/>
          <w:sz w:val="22"/>
          <w:szCs w:val="22"/>
        </w:rPr>
        <w:t>S</w:t>
      </w:r>
      <w:r w:rsidRPr="008F6526">
        <w:rPr>
          <w:rFonts w:ascii="Arial" w:hAnsi="Arial" w:cs="Arial"/>
          <w:sz w:val="22"/>
          <w:szCs w:val="22"/>
        </w:rPr>
        <w:t xml:space="preserve">trategic </w:t>
      </w:r>
      <w:r w:rsidR="00834685" w:rsidRPr="008F6526">
        <w:rPr>
          <w:rFonts w:ascii="Arial" w:hAnsi="Arial" w:cs="Arial"/>
          <w:sz w:val="22"/>
          <w:szCs w:val="22"/>
        </w:rPr>
        <w:t>H</w:t>
      </w:r>
      <w:r w:rsidRPr="008F6526">
        <w:rPr>
          <w:rFonts w:ascii="Arial" w:hAnsi="Arial" w:cs="Arial"/>
          <w:sz w:val="22"/>
          <w:szCs w:val="22"/>
        </w:rPr>
        <w:t xml:space="preserve">uman </w:t>
      </w:r>
      <w:r w:rsidR="00834685" w:rsidRPr="008F6526">
        <w:rPr>
          <w:rFonts w:ascii="Arial" w:hAnsi="Arial" w:cs="Arial"/>
          <w:sz w:val="22"/>
          <w:szCs w:val="22"/>
        </w:rPr>
        <w:t>R</w:t>
      </w:r>
      <w:r w:rsidRPr="008F6526">
        <w:rPr>
          <w:rFonts w:ascii="Arial" w:hAnsi="Arial" w:cs="Arial"/>
          <w:sz w:val="22"/>
          <w:szCs w:val="22"/>
        </w:rPr>
        <w:t xml:space="preserve">esource </w:t>
      </w:r>
      <w:r w:rsidR="00834685" w:rsidRPr="008F6526">
        <w:rPr>
          <w:rFonts w:ascii="Arial" w:hAnsi="Arial" w:cs="Arial"/>
          <w:sz w:val="22"/>
          <w:szCs w:val="22"/>
        </w:rPr>
        <w:t>M</w:t>
      </w:r>
      <w:r w:rsidRPr="008F6526">
        <w:rPr>
          <w:rFonts w:ascii="Arial" w:hAnsi="Arial" w:cs="Arial"/>
          <w:sz w:val="22"/>
          <w:szCs w:val="22"/>
        </w:rPr>
        <w:t>anagement</w:t>
      </w:r>
      <w:r w:rsidR="00834685" w:rsidRPr="008F6526">
        <w:rPr>
          <w:rFonts w:ascii="Arial" w:hAnsi="Arial" w:cs="Arial"/>
          <w:sz w:val="22"/>
          <w:szCs w:val="22"/>
        </w:rPr>
        <w:t xml:space="preserve"> involves developing a committed and capable workforce to achieve sustained competitive advantage</w:t>
      </w:r>
      <w:r w:rsidR="002634C2" w:rsidRPr="008F6526">
        <w:rPr>
          <w:rFonts w:ascii="Arial" w:hAnsi="Arial" w:cs="Arial"/>
          <w:sz w:val="22"/>
          <w:szCs w:val="22"/>
        </w:rPr>
        <w:t>, emphasising the importance of aligning HR practises with organisational goals. In this context, HR is no longer limited to</w:t>
      </w:r>
      <w:r w:rsidR="00587B59" w:rsidRPr="008F6526">
        <w:rPr>
          <w:rFonts w:ascii="Arial" w:hAnsi="Arial" w:cs="Arial"/>
          <w:sz w:val="22"/>
          <w:szCs w:val="22"/>
        </w:rPr>
        <w:t xml:space="preserve"> administrative functions but is central to organisational performance, employee development and </w:t>
      </w:r>
      <w:r w:rsidR="00CD5856" w:rsidRPr="008F6526">
        <w:rPr>
          <w:rFonts w:ascii="Arial" w:hAnsi="Arial" w:cs="Arial"/>
          <w:sz w:val="22"/>
          <w:szCs w:val="22"/>
        </w:rPr>
        <w:t>long-term</w:t>
      </w:r>
      <w:r w:rsidR="00587B59" w:rsidRPr="008F6526">
        <w:rPr>
          <w:rFonts w:ascii="Arial" w:hAnsi="Arial" w:cs="Arial"/>
          <w:sz w:val="22"/>
          <w:szCs w:val="22"/>
        </w:rPr>
        <w:t xml:space="preserve"> sustainability</w:t>
      </w:r>
      <w:r w:rsidR="00EC6A25" w:rsidRPr="008F6526">
        <w:rPr>
          <w:rFonts w:ascii="Arial" w:hAnsi="Arial" w:cs="Arial"/>
          <w:sz w:val="22"/>
          <w:szCs w:val="22"/>
        </w:rPr>
        <w:t xml:space="preserve"> </w:t>
      </w:r>
      <w:r w:rsidR="00EC6A25" w:rsidRPr="008F6526">
        <w:rPr>
          <w:rFonts w:ascii="Arial" w:hAnsi="Arial" w:cs="Arial"/>
          <w:sz w:val="22"/>
          <w:szCs w:val="22"/>
        </w:rPr>
        <w:t>(Vulpen, 2020)</w:t>
      </w:r>
      <w:r w:rsidR="00EC6A25" w:rsidRPr="008F6526">
        <w:rPr>
          <w:rFonts w:ascii="Arial" w:hAnsi="Arial" w:cs="Arial"/>
          <w:sz w:val="22"/>
          <w:szCs w:val="22"/>
        </w:rPr>
        <w:t>.</w:t>
      </w:r>
    </w:p>
    <w:p w14:paraId="540B774A" w14:textId="221E539A" w:rsidR="00CD7BA5" w:rsidRPr="008F6526" w:rsidRDefault="00CD7BA5" w:rsidP="000E73BB">
      <w:pPr>
        <w:rPr>
          <w:rFonts w:ascii="Arial" w:hAnsi="Arial" w:cs="Arial"/>
          <w:sz w:val="22"/>
          <w:szCs w:val="22"/>
        </w:rPr>
      </w:pPr>
    </w:p>
    <w:p w14:paraId="5A4B2956" w14:textId="17366CF1" w:rsidR="00EC09EA" w:rsidRPr="008F6526" w:rsidRDefault="00437633" w:rsidP="000E73BB">
      <w:pPr>
        <w:rPr>
          <w:rFonts w:ascii="Arial" w:hAnsi="Arial" w:cs="Arial"/>
          <w:sz w:val="22"/>
          <w:szCs w:val="22"/>
        </w:rPr>
      </w:pPr>
      <w:r w:rsidRPr="008F6526">
        <w:rPr>
          <w:rFonts w:ascii="Arial" w:hAnsi="Arial" w:cs="Arial"/>
          <w:sz w:val="22"/>
          <w:szCs w:val="22"/>
        </w:rPr>
        <w:t>This report will examine three key challenges faced by HR within Grosvenor Casinos:</w:t>
      </w:r>
      <w:r w:rsidR="00C44B59" w:rsidRPr="008F6526">
        <w:rPr>
          <w:rFonts w:ascii="Arial" w:hAnsi="Arial" w:cs="Arial"/>
          <w:sz w:val="22"/>
          <w:szCs w:val="22"/>
        </w:rPr>
        <w:t xml:space="preserve"> adapting to technological advancements, managing talent acquisition and retention</w:t>
      </w:r>
      <w:r w:rsidR="00CD5856" w:rsidRPr="008F6526">
        <w:rPr>
          <w:rFonts w:ascii="Arial" w:hAnsi="Arial" w:cs="Arial"/>
          <w:sz w:val="22"/>
          <w:szCs w:val="22"/>
        </w:rPr>
        <w:t>,</w:t>
      </w:r>
      <w:r w:rsidR="00C44B59" w:rsidRPr="008F6526">
        <w:rPr>
          <w:rFonts w:ascii="Arial" w:hAnsi="Arial" w:cs="Arial"/>
          <w:sz w:val="22"/>
          <w:szCs w:val="22"/>
        </w:rPr>
        <w:t xml:space="preserve"> promoting diversity, equity and inclusion (DEI).</w:t>
      </w:r>
      <w:r w:rsidR="004E343A" w:rsidRPr="008F6526">
        <w:rPr>
          <w:rFonts w:ascii="Arial" w:hAnsi="Arial" w:cs="Arial"/>
          <w:sz w:val="22"/>
          <w:szCs w:val="22"/>
        </w:rPr>
        <w:t xml:space="preserve"> It will first explain the factors influencing each of these areas, before evaluating contemporary HR practises used to address them</w:t>
      </w:r>
      <w:r w:rsidR="00CD5856" w:rsidRPr="008F6526">
        <w:rPr>
          <w:rFonts w:ascii="Arial" w:hAnsi="Arial" w:cs="Arial"/>
          <w:sz w:val="22"/>
          <w:szCs w:val="22"/>
        </w:rPr>
        <w:t>. Lastly,</w:t>
      </w:r>
      <w:r w:rsidR="004E343A" w:rsidRPr="008F6526">
        <w:rPr>
          <w:rFonts w:ascii="Arial" w:hAnsi="Arial" w:cs="Arial"/>
          <w:sz w:val="22"/>
          <w:szCs w:val="22"/>
        </w:rPr>
        <w:t xml:space="preserve"> </w:t>
      </w:r>
      <w:r w:rsidR="00CD5856" w:rsidRPr="008F6526">
        <w:rPr>
          <w:rFonts w:ascii="Arial" w:hAnsi="Arial" w:cs="Arial"/>
          <w:sz w:val="22"/>
          <w:szCs w:val="22"/>
        </w:rPr>
        <w:t>it will</w:t>
      </w:r>
      <w:r w:rsidR="004E343A" w:rsidRPr="008F6526">
        <w:rPr>
          <w:rFonts w:ascii="Arial" w:hAnsi="Arial" w:cs="Arial"/>
          <w:sz w:val="22"/>
          <w:szCs w:val="22"/>
        </w:rPr>
        <w:t xml:space="preserve"> critically assess</w:t>
      </w:r>
      <w:r w:rsidR="00CD5856" w:rsidRPr="008F6526">
        <w:rPr>
          <w:rFonts w:ascii="Arial" w:hAnsi="Arial" w:cs="Arial"/>
          <w:sz w:val="22"/>
          <w:szCs w:val="22"/>
        </w:rPr>
        <w:t xml:space="preserve"> how departmental managers can ensure the effective and timely implementation of these practises.</w:t>
      </w:r>
    </w:p>
    <w:p w14:paraId="1DFE0D07" w14:textId="77777777" w:rsidR="00EC09EA" w:rsidRPr="008F6526" w:rsidRDefault="00EC09EA">
      <w:pPr>
        <w:rPr>
          <w:rFonts w:ascii="Arial" w:hAnsi="Arial" w:cs="Arial"/>
          <w:sz w:val="22"/>
          <w:szCs w:val="22"/>
        </w:rPr>
      </w:pPr>
      <w:r w:rsidRPr="008F6526">
        <w:rPr>
          <w:rFonts w:ascii="Arial" w:hAnsi="Arial" w:cs="Arial"/>
          <w:sz w:val="22"/>
          <w:szCs w:val="22"/>
        </w:rPr>
        <w:br w:type="page"/>
      </w:r>
    </w:p>
    <w:p w14:paraId="717100BE" w14:textId="05D0259A" w:rsidR="00C77EFD" w:rsidRPr="008F6526" w:rsidRDefault="00441492" w:rsidP="00EC09EA">
      <w:pPr>
        <w:pStyle w:val="Heading1"/>
        <w:rPr>
          <w:rFonts w:ascii="Arial" w:hAnsi="Arial" w:cs="Arial"/>
          <w:sz w:val="22"/>
          <w:szCs w:val="22"/>
        </w:rPr>
      </w:pPr>
      <w:bookmarkStart w:id="1" w:name="_Toc225764301"/>
      <w:r w:rsidRPr="008F6526">
        <w:rPr>
          <w:rFonts w:ascii="Arial" w:hAnsi="Arial" w:cs="Arial"/>
          <w:sz w:val="22"/>
          <w:szCs w:val="22"/>
        </w:rPr>
        <w:lastRenderedPageBreak/>
        <w:t>Technological advancement</w:t>
      </w:r>
      <w:bookmarkEnd w:id="1"/>
      <w:r w:rsidRPr="008F6526">
        <w:rPr>
          <w:rFonts w:ascii="Arial" w:hAnsi="Arial" w:cs="Arial"/>
          <w:sz w:val="22"/>
          <w:szCs w:val="22"/>
        </w:rPr>
        <w:t xml:space="preserve"> </w:t>
      </w:r>
    </w:p>
    <w:p w14:paraId="1BFFE8F2" w14:textId="77777777" w:rsidR="00441492" w:rsidRPr="008F6526" w:rsidRDefault="00441492" w:rsidP="00441492">
      <w:pPr>
        <w:rPr>
          <w:rFonts w:ascii="Arial" w:hAnsi="Arial" w:cs="Arial"/>
          <w:sz w:val="22"/>
          <w:szCs w:val="22"/>
        </w:rPr>
      </w:pPr>
    </w:p>
    <w:p w14:paraId="28277ED6" w14:textId="45AC1016" w:rsidR="00191617" w:rsidRPr="00191617" w:rsidRDefault="00191617" w:rsidP="00191617">
      <w:pPr>
        <w:rPr>
          <w:rFonts w:ascii="Arial" w:hAnsi="Arial" w:cs="Arial"/>
          <w:sz w:val="22"/>
          <w:szCs w:val="22"/>
        </w:rPr>
      </w:pPr>
      <w:r w:rsidRPr="00191617">
        <w:rPr>
          <w:rFonts w:ascii="Arial" w:hAnsi="Arial" w:cs="Arial"/>
          <w:sz w:val="22"/>
          <w:szCs w:val="22"/>
        </w:rPr>
        <w:t>Technological advancement refers to the rapid evolution and integration of digital systems, automated processes and data</w:t>
      </w:r>
      <w:r w:rsidRPr="00191617">
        <w:rPr>
          <w:rFonts w:ascii="Arial" w:hAnsi="Arial" w:cs="Arial"/>
          <w:sz w:val="22"/>
          <w:szCs w:val="22"/>
        </w:rPr>
        <w:noBreakHyphen/>
        <w:t xml:space="preserve">driven technologies that fundamentally reshape how organisations function and manage their workforce. Within the field of HRM, these developments create a continuous requirement for organisations to update employee skills, revise work practices and ensure that training remains closely aligned with wider organisational strategy. As highlighted by Michael Armstrong (2009), training plays a central role in building the competencies employees need </w:t>
      </w:r>
      <w:r w:rsidRPr="008F6526">
        <w:rPr>
          <w:rFonts w:ascii="Arial" w:hAnsi="Arial" w:cs="Arial"/>
          <w:sz w:val="22"/>
          <w:szCs w:val="22"/>
        </w:rPr>
        <w:t>to</w:t>
      </w:r>
      <w:r w:rsidRPr="00191617">
        <w:rPr>
          <w:rFonts w:ascii="Arial" w:hAnsi="Arial" w:cs="Arial"/>
          <w:sz w:val="22"/>
          <w:szCs w:val="22"/>
        </w:rPr>
        <w:t xml:space="preserve"> perform effectively in technology</w:t>
      </w:r>
      <w:r w:rsidRPr="00191617">
        <w:rPr>
          <w:rFonts w:ascii="Arial" w:hAnsi="Arial" w:cs="Arial"/>
          <w:sz w:val="22"/>
          <w:szCs w:val="22"/>
        </w:rPr>
        <w:noBreakHyphen/>
        <w:t>driven environments (Armstrong, 2009). Alongside this, organisational learning</w:t>
      </w:r>
      <w:r w:rsidRPr="008F6526">
        <w:rPr>
          <w:rFonts w:ascii="Arial" w:hAnsi="Arial" w:cs="Arial"/>
          <w:sz w:val="22"/>
          <w:szCs w:val="22"/>
        </w:rPr>
        <w:t xml:space="preserve">, </w:t>
      </w:r>
      <w:r w:rsidRPr="00191617">
        <w:rPr>
          <w:rFonts w:ascii="Arial" w:hAnsi="Arial" w:cs="Arial"/>
          <w:sz w:val="22"/>
          <w:szCs w:val="22"/>
        </w:rPr>
        <w:t>defined as the process through which organisations improve their actions by enhancing knowledge and understanding</w:t>
      </w:r>
      <w:r w:rsidR="00C1433C" w:rsidRPr="008F6526">
        <w:rPr>
          <w:rFonts w:ascii="Arial" w:hAnsi="Arial" w:cs="Arial"/>
          <w:sz w:val="22"/>
          <w:szCs w:val="22"/>
        </w:rPr>
        <w:t xml:space="preserve">, </w:t>
      </w:r>
      <w:r w:rsidRPr="00191617">
        <w:rPr>
          <w:rFonts w:ascii="Arial" w:hAnsi="Arial" w:cs="Arial"/>
          <w:sz w:val="22"/>
          <w:szCs w:val="22"/>
        </w:rPr>
        <w:t xml:space="preserve">supports the ability to adapt to external change. This </w:t>
      </w:r>
      <w:r w:rsidR="00C1433C" w:rsidRPr="008F6526">
        <w:rPr>
          <w:rFonts w:ascii="Arial" w:hAnsi="Arial" w:cs="Arial"/>
          <w:sz w:val="22"/>
          <w:szCs w:val="22"/>
        </w:rPr>
        <w:t>shows</w:t>
      </w:r>
      <w:r w:rsidRPr="00191617">
        <w:rPr>
          <w:rFonts w:ascii="Arial" w:hAnsi="Arial" w:cs="Arial"/>
          <w:sz w:val="22"/>
          <w:szCs w:val="22"/>
        </w:rPr>
        <w:t xml:space="preserve"> that technological progress is not solely about acquiring new tools</w:t>
      </w:r>
      <w:r w:rsidR="00C1433C" w:rsidRPr="008F6526">
        <w:rPr>
          <w:rFonts w:ascii="Arial" w:hAnsi="Arial" w:cs="Arial"/>
          <w:sz w:val="22"/>
          <w:szCs w:val="22"/>
        </w:rPr>
        <w:t>,</w:t>
      </w:r>
      <w:r w:rsidRPr="00191617">
        <w:rPr>
          <w:rFonts w:ascii="Arial" w:hAnsi="Arial" w:cs="Arial"/>
          <w:sz w:val="22"/>
          <w:szCs w:val="22"/>
        </w:rPr>
        <w:t xml:space="preserve"> it also requires </w:t>
      </w:r>
      <w:r w:rsidR="00C1433C" w:rsidRPr="008F6526">
        <w:rPr>
          <w:rFonts w:ascii="Arial" w:hAnsi="Arial" w:cs="Arial"/>
          <w:sz w:val="22"/>
          <w:szCs w:val="22"/>
        </w:rPr>
        <w:t>improving</w:t>
      </w:r>
      <w:r w:rsidRPr="00191617">
        <w:rPr>
          <w:rFonts w:ascii="Arial" w:hAnsi="Arial" w:cs="Arial"/>
          <w:sz w:val="22"/>
          <w:szCs w:val="22"/>
        </w:rPr>
        <w:t xml:space="preserve"> a culture in which learning, development and adaptation are ongoing expectations.</w:t>
      </w:r>
    </w:p>
    <w:p w14:paraId="7CF81B4F" w14:textId="77777777" w:rsidR="000242B5" w:rsidRPr="008F6526" w:rsidRDefault="000242B5" w:rsidP="00191617">
      <w:pPr>
        <w:rPr>
          <w:rFonts w:ascii="Arial" w:hAnsi="Arial" w:cs="Arial"/>
          <w:sz w:val="22"/>
          <w:szCs w:val="22"/>
        </w:rPr>
      </w:pPr>
    </w:p>
    <w:p w14:paraId="51342E4A" w14:textId="36103B0F" w:rsidR="00191617" w:rsidRPr="00191617" w:rsidRDefault="00191617" w:rsidP="00191617">
      <w:pPr>
        <w:rPr>
          <w:rFonts w:ascii="Arial" w:hAnsi="Arial" w:cs="Arial"/>
          <w:sz w:val="22"/>
          <w:szCs w:val="22"/>
        </w:rPr>
      </w:pPr>
      <w:r w:rsidRPr="00191617">
        <w:rPr>
          <w:rFonts w:ascii="Arial" w:hAnsi="Arial" w:cs="Arial"/>
          <w:sz w:val="22"/>
          <w:szCs w:val="22"/>
        </w:rPr>
        <w:t>For Grosvenor Casinos, technological advancement holds particular importance due to the increasing digitisation of both the gaming and hospitality sectors. The organisation must respond to the growth of online gaming platforms and the expansion of digital customer experience systems, alongside automated processes used for transactions, bookings and customer data management. The use of data analytics to track customer behaviour and performance has also become central. To keep pace with these developments, HR must ensure that employees possess strong digital literacy and the technical capabilities needed to work confidently with new systems. This reflects core workforce planning principles, which highlight the necessity of anticipating future skill demands based on technological trends and organisational objectives.</w:t>
      </w:r>
      <w:r w:rsidR="000242B5" w:rsidRPr="008F6526">
        <w:rPr>
          <w:rFonts w:ascii="Arial" w:hAnsi="Arial" w:cs="Arial"/>
          <w:sz w:val="22"/>
          <w:szCs w:val="22"/>
        </w:rPr>
        <w:t xml:space="preserve"> </w:t>
      </w:r>
      <w:r w:rsidRPr="00191617">
        <w:rPr>
          <w:rFonts w:ascii="Arial" w:hAnsi="Arial" w:cs="Arial"/>
          <w:sz w:val="22"/>
          <w:szCs w:val="22"/>
        </w:rPr>
        <w:t>Training initiatives therefore need to be strategically aligned. Kaplan and Norton (2004) suggest that frameworks such as the Balanced Scorecard enable organisations to connect learning and development activities directly to performance outcomes, ensuring that technology</w:t>
      </w:r>
      <w:r w:rsidRPr="00191617">
        <w:rPr>
          <w:rFonts w:ascii="Arial" w:hAnsi="Arial" w:cs="Arial"/>
          <w:sz w:val="22"/>
          <w:szCs w:val="22"/>
        </w:rPr>
        <w:noBreakHyphen/>
        <w:t xml:space="preserve">related change actively supports business success (Kaplan and Norton, 2004). Ultimately, technological advancement has both operational and strategic implications for Grosvenor Casinos. It improves efficiency and customer </w:t>
      </w:r>
      <w:r w:rsidR="000242B5" w:rsidRPr="008F6526">
        <w:rPr>
          <w:rFonts w:ascii="Arial" w:hAnsi="Arial" w:cs="Arial"/>
          <w:sz w:val="22"/>
          <w:szCs w:val="22"/>
        </w:rPr>
        <w:t>service yet</w:t>
      </w:r>
      <w:r w:rsidRPr="00191617">
        <w:rPr>
          <w:rFonts w:ascii="Arial" w:hAnsi="Arial" w:cs="Arial"/>
          <w:sz w:val="22"/>
          <w:szCs w:val="22"/>
        </w:rPr>
        <w:t xml:space="preserve"> simultaneously increases the need for continuous development to avoid skill gaps, declining performance or resistance to change.</w:t>
      </w:r>
    </w:p>
    <w:p w14:paraId="5EFB1491" w14:textId="77777777" w:rsidR="00B0009C" w:rsidRPr="008F6526" w:rsidRDefault="00B0009C">
      <w:pPr>
        <w:rPr>
          <w:rFonts w:ascii="Arial" w:hAnsi="Arial" w:cs="Arial"/>
          <w:sz w:val="22"/>
          <w:szCs w:val="22"/>
        </w:rPr>
      </w:pPr>
    </w:p>
    <w:p w14:paraId="212B088F" w14:textId="516387B7" w:rsidR="00F2471A" w:rsidRPr="008F6526" w:rsidRDefault="00A1173A" w:rsidP="00F2471A">
      <w:pPr>
        <w:rPr>
          <w:rFonts w:ascii="Arial" w:hAnsi="Arial" w:cs="Arial"/>
          <w:sz w:val="22"/>
          <w:szCs w:val="22"/>
        </w:rPr>
      </w:pPr>
      <w:r w:rsidRPr="008F6526">
        <w:rPr>
          <w:rFonts w:ascii="Arial" w:hAnsi="Arial" w:cs="Arial"/>
          <w:sz w:val="22"/>
          <w:szCs w:val="22"/>
        </w:rPr>
        <w:br w:type="page"/>
      </w:r>
    </w:p>
    <w:p w14:paraId="0CD4D523" w14:textId="5528BBBE" w:rsidR="004C4915" w:rsidRPr="008F6526" w:rsidRDefault="000928A7" w:rsidP="004C4915">
      <w:pPr>
        <w:pStyle w:val="Heading1"/>
        <w:rPr>
          <w:rFonts w:ascii="Arial" w:hAnsi="Arial" w:cs="Arial"/>
          <w:sz w:val="22"/>
          <w:szCs w:val="22"/>
        </w:rPr>
      </w:pPr>
      <w:bookmarkStart w:id="2" w:name="_Toc225764302"/>
      <w:r w:rsidRPr="008F6526">
        <w:rPr>
          <w:rFonts w:ascii="Arial" w:hAnsi="Arial" w:cs="Arial"/>
          <w:sz w:val="22"/>
          <w:szCs w:val="22"/>
        </w:rPr>
        <w:lastRenderedPageBreak/>
        <w:t>Talent Acquisition and Retention</w:t>
      </w:r>
      <w:bookmarkEnd w:id="2"/>
    </w:p>
    <w:p w14:paraId="4394D0D3" w14:textId="77777777" w:rsidR="00727169" w:rsidRPr="008F6526" w:rsidRDefault="00727169" w:rsidP="00B9043A">
      <w:pPr>
        <w:rPr>
          <w:rFonts w:ascii="Arial" w:hAnsi="Arial" w:cs="Arial"/>
          <w:sz w:val="22"/>
          <w:szCs w:val="22"/>
        </w:rPr>
      </w:pPr>
    </w:p>
    <w:p w14:paraId="24F54E80" w14:textId="218D44CA" w:rsidR="00B9043A" w:rsidRPr="008F6526" w:rsidRDefault="000928A7" w:rsidP="00B9043A">
      <w:pPr>
        <w:rPr>
          <w:rFonts w:ascii="Arial" w:hAnsi="Arial" w:cs="Arial"/>
          <w:sz w:val="22"/>
          <w:szCs w:val="22"/>
        </w:rPr>
      </w:pPr>
      <w:r w:rsidRPr="008F6526">
        <w:rPr>
          <w:rFonts w:ascii="Arial" w:hAnsi="Arial" w:cs="Arial"/>
          <w:sz w:val="22"/>
          <w:szCs w:val="22"/>
        </w:rPr>
        <w:t xml:space="preserve">Talent </w:t>
      </w:r>
      <w:r w:rsidR="009942D6" w:rsidRPr="008F6526">
        <w:rPr>
          <w:rFonts w:ascii="Arial" w:hAnsi="Arial" w:cs="Arial"/>
          <w:sz w:val="22"/>
          <w:szCs w:val="22"/>
        </w:rPr>
        <w:t>A</w:t>
      </w:r>
      <w:r w:rsidRPr="008F6526">
        <w:rPr>
          <w:rFonts w:ascii="Arial" w:hAnsi="Arial" w:cs="Arial"/>
          <w:sz w:val="22"/>
          <w:szCs w:val="22"/>
        </w:rPr>
        <w:t xml:space="preserve">cquisition and </w:t>
      </w:r>
      <w:r w:rsidR="009942D6" w:rsidRPr="008F6526">
        <w:rPr>
          <w:rFonts w:ascii="Arial" w:hAnsi="Arial" w:cs="Arial"/>
          <w:sz w:val="22"/>
          <w:szCs w:val="22"/>
        </w:rPr>
        <w:t>R</w:t>
      </w:r>
      <w:r w:rsidRPr="008F6526">
        <w:rPr>
          <w:rFonts w:ascii="Arial" w:hAnsi="Arial" w:cs="Arial"/>
          <w:sz w:val="22"/>
          <w:szCs w:val="22"/>
        </w:rPr>
        <w:t>etention</w:t>
      </w:r>
      <w:r w:rsidR="00A9142E" w:rsidRPr="008F6526">
        <w:rPr>
          <w:rFonts w:ascii="Arial" w:hAnsi="Arial" w:cs="Arial"/>
          <w:sz w:val="22"/>
          <w:szCs w:val="22"/>
        </w:rPr>
        <w:t xml:space="preserve"> refer to the processes by which organisations attract, recruit, develop and retain employees with the necessary skills and capabilities to achieve organisational objectives</w:t>
      </w:r>
      <w:r w:rsidR="00635B0E" w:rsidRPr="008F6526">
        <w:rPr>
          <w:rFonts w:ascii="Arial" w:hAnsi="Arial" w:cs="Arial"/>
          <w:sz w:val="22"/>
          <w:szCs w:val="22"/>
        </w:rPr>
        <w:t xml:space="preserve"> </w:t>
      </w:r>
      <w:r w:rsidR="00635B0E" w:rsidRPr="008F6526">
        <w:rPr>
          <w:rFonts w:ascii="Arial" w:hAnsi="Arial" w:cs="Arial"/>
          <w:sz w:val="22"/>
          <w:szCs w:val="22"/>
        </w:rPr>
        <w:t>(Westover, 2025)</w:t>
      </w:r>
      <w:r w:rsidR="00A9142E" w:rsidRPr="008F6526">
        <w:rPr>
          <w:rFonts w:ascii="Arial" w:hAnsi="Arial" w:cs="Arial"/>
          <w:sz w:val="22"/>
          <w:szCs w:val="22"/>
        </w:rPr>
        <w:t>. From a strategic perspective</w:t>
      </w:r>
      <w:r w:rsidR="00700624" w:rsidRPr="008F6526">
        <w:rPr>
          <w:rFonts w:ascii="Arial" w:hAnsi="Arial" w:cs="Arial"/>
          <w:sz w:val="22"/>
          <w:szCs w:val="22"/>
        </w:rPr>
        <w:t xml:space="preserve">, employees are viewed as a key source of competitive advantage. This aligns with the </w:t>
      </w:r>
      <w:r w:rsidR="00993650" w:rsidRPr="008F6526">
        <w:rPr>
          <w:rFonts w:ascii="Arial" w:hAnsi="Arial" w:cs="Arial"/>
          <w:sz w:val="22"/>
          <w:szCs w:val="22"/>
        </w:rPr>
        <w:t>resource-based</w:t>
      </w:r>
      <w:r w:rsidR="00700624" w:rsidRPr="008F6526">
        <w:rPr>
          <w:rFonts w:ascii="Arial" w:hAnsi="Arial" w:cs="Arial"/>
          <w:sz w:val="22"/>
          <w:szCs w:val="22"/>
        </w:rPr>
        <w:t xml:space="preserve"> view proposed by J Barney </w:t>
      </w:r>
      <w:r w:rsidR="00E15C55" w:rsidRPr="008F6526">
        <w:rPr>
          <w:rFonts w:ascii="Arial" w:hAnsi="Arial" w:cs="Arial"/>
          <w:sz w:val="22"/>
          <w:szCs w:val="22"/>
        </w:rPr>
        <w:t>(</w:t>
      </w:r>
      <w:r w:rsidR="00700624" w:rsidRPr="008F6526">
        <w:rPr>
          <w:rFonts w:ascii="Arial" w:hAnsi="Arial" w:cs="Arial"/>
          <w:sz w:val="22"/>
          <w:szCs w:val="22"/>
        </w:rPr>
        <w:t>1991</w:t>
      </w:r>
      <w:r w:rsidR="00E15C55" w:rsidRPr="008F6526">
        <w:rPr>
          <w:rFonts w:ascii="Arial" w:hAnsi="Arial" w:cs="Arial"/>
          <w:sz w:val="22"/>
          <w:szCs w:val="22"/>
        </w:rPr>
        <w:t>)</w:t>
      </w:r>
      <w:r w:rsidR="00700624" w:rsidRPr="008F6526">
        <w:rPr>
          <w:rFonts w:ascii="Arial" w:hAnsi="Arial" w:cs="Arial"/>
          <w:sz w:val="22"/>
          <w:szCs w:val="22"/>
        </w:rPr>
        <w:t xml:space="preserve">, which argues that organisations gain sustained advantage through resources that are valuable </w:t>
      </w:r>
      <w:r w:rsidR="00510EDB" w:rsidRPr="008F6526">
        <w:rPr>
          <w:rFonts w:ascii="Arial" w:hAnsi="Arial" w:cs="Arial"/>
          <w:sz w:val="22"/>
          <w:szCs w:val="22"/>
        </w:rPr>
        <w:t xml:space="preserve">and </w:t>
      </w:r>
      <w:r w:rsidR="00700624" w:rsidRPr="008F6526">
        <w:rPr>
          <w:rFonts w:ascii="Arial" w:hAnsi="Arial" w:cs="Arial"/>
          <w:sz w:val="22"/>
          <w:szCs w:val="22"/>
        </w:rPr>
        <w:t>rare</w:t>
      </w:r>
      <w:r w:rsidR="00E15C55" w:rsidRPr="008F6526">
        <w:rPr>
          <w:rFonts w:ascii="Arial" w:hAnsi="Arial" w:cs="Arial"/>
          <w:sz w:val="22"/>
          <w:szCs w:val="22"/>
        </w:rPr>
        <w:t xml:space="preserve"> </w:t>
      </w:r>
      <w:r w:rsidR="00E15C55" w:rsidRPr="008F6526">
        <w:rPr>
          <w:rFonts w:ascii="Arial" w:hAnsi="Arial" w:cs="Arial"/>
          <w:sz w:val="22"/>
          <w:szCs w:val="22"/>
        </w:rPr>
        <w:t>(Barney, 1991)</w:t>
      </w:r>
      <w:r w:rsidR="00E15C55" w:rsidRPr="008F6526">
        <w:rPr>
          <w:rFonts w:ascii="Arial" w:hAnsi="Arial" w:cs="Arial"/>
          <w:sz w:val="22"/>
          <w:szCs w:val="22"/>
        </w:rPr>
        <w:t>.</w:t>
      </w:r>
      <w:r w:rsidR="00790DF7" w:rsidRPr="008F6526">
        <w:rPr>
          <w:rFonts w:ascii="Arial" w:hAnsi="Arial" w:cs="Arial"/>
          <w:sz w:val="22"/>
          <w:szCs w:val="22"/>
        </w:rPr>
        <w:t xml:space="preserve"> </w:t>
      </w:r>
      <w:r w:rsidR="00F96579" w:rsidRPr="008F6526">
        <w:rPr>
          <w:rFonts w:ascii="Arial" w:hAnsi="Arial" w:cs="Arial"/>
          <w:sz w:val="22"/>
          <w:szCs w:val="22"/>
        </w:rPr>
        <w:t>In addition,</w:t>
      </w:r>
      <w:r w:rsidR="00D37AF3" w:rsidRPr="008F6526">
        <w:rPr>
          <w:rFonts w:ascii="Arial" w:hAnsi="Arial" w:cs="Arial"/>
          <w:sz w:val="22"/>
          <w:szCs w:val="22"/>
        </w:rPr>
        <w:t xml:space="preserve"> the concept of the psychological contract, described by the CIPD </w:t>
      </w:r>
      <w:r w:rsidR="00191BF9" w:rsidRPr="008F6526">
        <w:rPr>
          <w:rFonts w:ascii="Arial" w:hAnsi="Arial" w:cs="Arial"/>
          <w:sz w:val="22"/>
          <w:szCs w:val="22"/>
        </w:rPr>
        <w:t>(</w:t>
      </w:r>
      <w:r w:rsidR="00D37AF3" w:rsidRPr="008F6526">
        <w:rPr>
          <w:rFonts w:ascii="Arial" w:hAnsi="Arial" w:cs="Arial"/>
          <w:sz w:val="22"/>
          <w:szCs w:val="22"/>
        </w:rPr>
        <w:t>20</w:t>
      </w:r>
      <w:r w:rsidR="00FB450A" w:rsidRPr="008F6526">
        <w:rPr>
          <w:rFonts w:ascii="Arial" w:hAnsi="Arial" w:cs="Arial"/>
          <w:sz w:val="22"/>
          <w:szCs w:val="22"/>
        </w:rPr>
        <w:t>25</w:t>
      </w:r>
      <w:r w:rsidR="00191BF9" w:rsidRPr="008F6526">
        <w:rPr>
          <w:rFonts w:ascii="Arial" w:hAnsi="Arial" w:cs="Arial"/>
          <w:sz w:val="22"/>
          <w:szCs w:val="22"/>
        </w:rPr>
        <w:t>)</w:t>
      </w:r>
      <w:r w:rsidR="00D37AF3" w:rsidRPr="008F6526">
        <w:rPr>
          <w:rFonts w:ascii="Arial" w:hAnsi="Arial" w:cs="Arial"/>
          <w:sz w:val="22"/>
          <w:szCs w:val="22"/>
        </w:rPr>
        <w:t xml:space="preserve"> as the unwritten expectations between employers and employees emphasises that retention is influenced by more than just financial rewards.</w:t>
      </w:r>
      <w:r w:rsidR="007341C3" w:rsidRPr="008F6526">
        <w:rPr>
          <w:rFonts w:ascii="Arial" w:hAnsi="Arial" w:cs="Arial"/>
          <w:sz w:val="22"/>
          <w:szCs w:val="22"/>
        </w:rPr>
        <w:t xml:space="preserve"> Factors such as opportunities for development, perceptions of fairness and the level of organisational support also play a significant role in determining whether employees remain with an organisation</w:t>
      </w:r>
      <w:r w:rsidR="00B9043A" w:rsidRPr="008F6526">
        <w:rPr>
          <w:rFonts w:ascii="Arial" w:hAnsi="Arial" w:cs="Arial"/>
          <w:sz w:val="22"/>
          <w:szCs w:val="22"/>
        </w:rPr>
        <w:t xml:space="preserve"> </w:t>
      </w:r>
      <w:r w:rsidR="00B9043A" w:rsidRPr="008F6526">
        <w:rPr>
          <w:rFonts w:ascii="Arial" w:hAnsi="Arial" w:cs="Arial"/>
          <w:sz w:val="22"/>
          <w:szCs w:val="22"/>
        </w:rPr>
        <w:t>(CIPD, 2025)</w:t>
      </w:r>
      <w:r w:rsidR="00B9043A" w:rsidRPr="008F6526">
        <w:rPr>
          <w:rFonts w:ascii="Arial" w:hAnsi="Arial" w:cs="Arial"/>
          <w:sz w:val="22"/>
          <w:szCs w:val="22"/>
        </w:rPr>
        <w:t>.</w:t>
      </w:r>
    </w:p>
    <w:p w14:paraId="0B6064EA" w14:textId="77777777" w:rsidR="00655254" w:rsidRPr="008F6526" w:rsidRDefault="00655254" w:rsidP="00B9043A">
      <w:pPr>
        <w:rPr>
          <w:rFonts w:ascii="Arial" w:hAnsi="Arial" w:cs="Arial"/>
          <w:sz w:val="22"/>
          <w:szCs w:val="22"/>
        </w:rPr>
      </w:pPr>
    </w:p>
    <w:p w14:paraId="3ECEFF30" w14:textId="6A51C4D4" w:rsidR="00A7295C" w:rsidRPr="00A7295C" w:rsidRDefault="00A7295C" w:rsidP="00A7295C">
      <w:pPr>
        <w:rPr>
          <w:rFonts w:ascii="Arial" w:hAnsi="Arial" w:cs="Arial"/>
          <w:sz w:val="22"/>
          <w:szCs w:val="22"/>
        </w:rPr>
      </w:pPr>
      <w:r w:rsidRPr="00A7295C">
        <w:rPr>
          <w:rFonts w:ascii="Arial" w:hAnsi="Arial" w:cs="Arial"/>
          <w:sz w:val="22"/>
          <w:szCs w:val="22"/>
        </w:rPr>
        <w:t>Effective talent acquisition and retention play a crucial role in shaping outcomes at Grosvenor Casinos. Attracting capable, customer</w:t>
      </w:r>
      <w:r w:rsidRPr="00A7295C">
        <w:rPr>
          <w:rFonts w:ascii="Arial" w:hAnsi="Arial" w:cs="Arial"/>
          <w:sz w:val="22"/>
          <w:szCs w:val="22"/>
        </w:rPr>
        <w:noBreakHyphen/>
        <w:t xml:space="preserve">focused employees strengthens service quality, which is vital in a highly competitive leisure sector. </w:t>
      </w:r>
      <w:r w:rsidRPr="008F6526">
        <w:rPr>
          <w:rFonts w:ascii="Arial" w:hAnsi="Arial" w:cs="Arial"/>
          <w:sz w:val="22"/>
          <w:szCs w:val="22"/>
        </w:rPr>
        <w:t>Equally</w:t>
      </w:r>
      <w:r w:rsidRPr="00A7295C">
        <w:rPr>
          <w:rFonts w:ascii="Arial" w:hAnsi="Arial" w:cs="Arial"/>
          <w:sz w:val="22"/>
          <w:szCs w:val="22"/>
        </w:rPr>
        <w:t>, poor retention leads to increased recruitment expenses, loss of valuable organisational knowledge and interruptions to the customer experience. To reduce turnover and hiring costs, Grosvenor Casinos clearly outlines its benefits package within job advertisements, ensuring candidates understand what is available from the outset. The organisation also adopts strategic recruitment approaches, including group interviews, which allow hiring managers to efficiently identify applicants who possess the necessary skills and behavioural competencies.</w:t>
      </w:r>
    </w:p>
    <w:p w14:paraId="26209C72" w14:textId="77777777" w:rsidR="00A7295C" w:rsidRPr="00A7295C" w:rsidRDefault="00A7295C" w:rsidP="00A7295C">
      <w:pPr>
        <w:rPr>
          <w:rFonts w:ascii="Arial" w:hAnsi="Arial" w:cs="Arial"/>
          <w:sz w:val="22"/>
          <w:szCs w:val="22"/>
        </w:rPr>
      </w:pPr>
      <w:r w:rsidRPr="00A7295C">
        <w:rPr>
          <w:rFonts w:ascii="Arial" w:hAnsi="Arial" w:cs="Arial"/>
          <w:sz w:val="22"/>
          <w:szCs w:val="22"/>
        </w:rPr>
        <w:t>Retention is also strongly influenced by the extent to which the psychological contract is upheld. When employees feel that expectations around career development, managerial support and fairness are not being met, they are more likely to leave. From a strategic standpoint, investing in talent management helps the organisation build a stable and capable workforce, reducing dependence on external hiring and supporting long</w:t>
      </w:r>
      <w:r w:rsidRPr="00A7295C">
        <w:rPr>
          <w:rFonts w:ascii="Arial" w:hAnsi="Arial" w:cs="Arial"/>
          <w:sz w:val="22"/>
          <w:szCs w:val="22"/>
        </w:rPr>
        <w:noBreakHyphen/>
        <w:t>term organisational performance.</w:t>
      </w:r>
    </w:p>
    <w:p w14:paraId="4C1E8A3E" w14:textId="09D44EE3" w:rsidR="00A7295C" w:rsidRPr="00A7295C" w:rsidRDefault="00A7295C" w:rsidP="00A7295C">
      <w:pPr>
        <w:rPr>
          <w:rFonts w:ascii="Arial" w:hAnsi="Arial" w:cs="Arial"/>
          <w:sz w:val="22"/>
          <w:szCs w:val="22"/>
        </w:rPr>
      </w:pPr>
      <w:r w:rsidRPr="00A7295C">
        <w:rPr>
          <w:rFonts w:ascii="Arial" w:hAnsi="Arial" w:cs="Arial"/>
          <w:sz w:val="22"/>
          <w:szCs w:val="22"/>
        </w:rPr>
        <w:t>A key example is Grosvenor Casinos’ dealer academy, delivered by experienced casino managers. This initiative demonstrates that employees are not simply resources but essential assets who must be continually developed and retained to sustain competitive advantage.</w:t>
      </w:r>
    </w:p>
    <w:p w14:paraId="0812BAAC" w14:textId="77777777" w:rsidR="008F2A1B" w:rsidRPr="008F6526" w:rsidRDefault="008F2A1B">
      <w:pPr>
        <w:rPr>
          <w:rFonts w:ascii="Arial" w:hAnsi="Arial" w:cs="Arial"/>
          <w:sz w:val="22"/>
          <w:szCs w:val="22"/>
        </w:rPr>
      </w:pPr>
      <w:r w:rsidRPr="008F6526">
        <w:rPr>
          <w:rFonts w:ascii="Arial" w:hAnsi="Arial" w:cs="Arial"/>
          <w:sz w:val="22"/>
          <w:szCs w:val="22"/>
        </w:rPr>
        <w:br w:type="page"/>
      </w:r>
    </w:p>
    <w:p w14:paraId="1D9C566A" w14:textId="48CEA6B8" w:rsidR="00C66A16" w:rsidRPr="008F6526" w:rsidRDefault="00612C2B" w:rsidP="00612C2B">
      <w:pPr>
        <w:pStyle w:val="Heading1"/>
        <w:rPr>
          <w:rFonts w:ascii="Arial" w:hAnsi="Arial" w:cs="Arial"/>
          <w:sz w:val="22"/>
          <w:szCs w:val="22"/>
        </w:rPr>
      </w:pPr>
      <w:bookmarkStart w:id="3" w:name="_Toc225764303"/>
      <w:r w:rsidRPr="008F6526">
        <w:rPr>
          <w:rFonts w:ascii="Arial" w:hAnsi="Arial" w:cs="Arial"/>
          <w:sz w:val="22"/>
          <w:szCs w:val="22"/>
        </w:rPr>
        <w:lastRenderedPageBreak/>
        <w:t xml:space="preserve">Diversity, Equity and </w:t>
      </w:r>
      <w:r w:rsidR="006B0EE7" w:rsidRPr="008F6526">
        <w:rPr>
          <w:rFonts w:ascii="Arial" w:hAnsi="Arial" w:cs="Arial"/>
          <w:sz w:val="22"/>
          <w:szCs w:val="22"/>
        </w:rPr>
        <w:t>Inclusion (DEI)</w:t>
      </w:r>
      <w:bookmarkEnd w:id="3"/>
    </w:p>
    <w:p w14:paraId="0E05B93E" w14:textId="77777777" w:rsidR="006B0EE7" w:rsidRPr="008F6526" w:rsidRDefault="006B0EE7" w:rsidP="006B0EE7">
      <w:pPr>
        <w:rPr>
          <w:rFonts w:ascii="Arial" w:hAnsi="Arial" w:cs="Arial"/>
          <w:sz w:val="22"/>
          <w:szCs w:val="22"/>
        </w:rPr>
      </w:pPr>
    </w:p>
    <w:p w14:paraId="69EB2769" w14:textId="42BDD509" w:rsidR="001C1264" w:rsidRPr="001C1264" w:rsidRDefault="001C1264" w:rsidP="001C1264">
      <w:pPr>
        <w:rPr>
          <w:rFonts w:ascii="Arial" w:hAnsi="Arial" w:cs="Arial"/>
          <w:sz w:val="22"/>
          <w:szCs w:val="22"/>
        </w:rPr>
      </w:pPr>
      <w:r w:rsidRPr="001C1264">
        <w:rPr>
          <w:rFonts w:ascii="Arial" w:hAnsi="Arial" w:cs="Arial"/>
          <w:sz w:val="22"/>
          <w:szCs w:val="22"/>
        </w:rPr>
        <w:t>Diversity, equity and inclusion (DEI) encompass organisational practices aimed at ensuring fair representation, equitable treatment and full participation for individuals from diverse backgrounds (Boyles, 2023). However, research by Farquharson, McNally and Tahir (2024) highlights that genuine equality of opportunity is still limited, as structural factors</w:t>
      </w:r>
      <w:r w:rsidRPr="008F6526">
        <w:rPr>
          <w:rFonts w:ascii="Arial" w:hAnsi="Arial" w:cs="Arial"/>
          <w:sz w:val="22"/>
          <w:szCs w:val="22"/>
        </w:rPr>
        <w:t xml:space="preserve"> in</w:t>
      </w:r>
      <w:r w:rsidRPr="001C1264">
        <w:rPr>
          <w:rFonts w:ascii="Arial" w:hAnsi="Arial" w:cs="Arial"/>
          <w:sz w:val="22"/>
          <w:szCs w:val="22"/>
        </w:rPr>
        <w:t>cluding social class, education, gender and ethnicity</w:t>
      </w:r>
      <w:r w:rsidRPr="008F6526">
        <w:rPr>
          <w:rFonts w:ascii="Arial" w:hAnsi="Arial" w:cs="Arial"/>
          <w:sz w:val="22"/>
          <w:szCs w:val="22"/>
        </w:rPr>
        <w:t xml:space="preserve">, </w:t>
      </w:r>
      <w:r w:rsidRPr="001C1264">
        <w:rPr>
          <w:rFonts w:ascii="Arial" w:hAnsi="Arial" w:cs="Arial"/>
          <w:sz w:val="22"/>
          <w:szCs w:val="22"/>
        </w:rPr>
        <w:t>continue to influence career outcomes. Those from more privileged backgrounds often retain advantages such as greater access to high</w:t>
      </w:r>
      <w:r w:rsidRPr="001C1264">
        <w:rPr>
          <w:rFonts w:ascii="Arial" w:hAnsi="Arial" w:cs="Arial"/>
          <w:sz w:val="22"/>
          <w:szCs w:val="22"/>
        </w:rPr>
        <w:noBreakHyphen/>
        <w:t>quality education and influential networks, whereas individuals from disadvantaged environments face additional barriers. This demonstrates why DEI initiatives are essential for reducing workplace inequalities and promoting fairer outcomes.</w:t>
      </w:r>
    </w:p>
    <w:p w14:paraId="7D53DBA8" w14:textId="77777777" w:rsidR="001C1264" w:rsidRPr="001C1264" w:rsidRDefault="001C1264" w:rsidP="001C1264">
      <w:pPr>
        <w:rPr>
          <w:rFonts w:ascii="Arial" w:hAnsi="Arial" w:cs="Arial"/>
          <w:sz w:val="22"/>
          <w:szCs w:val="22"/>
        </w:rPr>
      </w:pPr>
      <w:r w:rsidRPr="001C1264">
        <w:rPr>
          <w:rFonts w:ascii="Arial" w:hAnsi="Arial" w:cs="Arial"/>
          <w:sz w:val="22"/>
          <w:szCs w:val="22"/>
        </w:rPr>
        <w:t>For Grosvenor Casinos, DEI is particularly significant given the diversity of both its workforce and its customer base. The organisation has implemented a range of inclusive HR practices to promote fairness in recruitment, progression and day</w:t>
      </w:r>
      <w:r w:rsidRPr="001C1264">
        <w:rPr>
          <w:rFonts w:ascii="Arial" w:hAnsi="Arial" w:cs="Arial"/>
          <w:sz w:val="22"/>
          <w:szCs w:val="22"/>
        </w:rPr>
        <w:noBreakHyphen/>
        <w:t>to</w:t>
      </w:r>
      <w:r w:rsidRPr="001C1264">
        <w:rPr>
          <w:rFonts w:ascii="Arial" w:hAnsi="Arial" w:cs="Arial"/>
          <w:sz w:val="22"/>
          <w:szCs w:val="22"/>
        </w:rPr>
        <w:noBreakHyphen/>
        <w:t>day working life. Structured and group interviews help reduce bias by ensuring all candidates are assessed consistently on relevant skills. Regular equality and inclusion training further raises awareness of unconscious bias, while transparent promotion criteria and internal development programmes support equitable career progression. Grosvenor Casinos also encourages employee feedback to strengthen communication and foster an inclusive culture.</w:t>
      </w:r>
    </w:p>
    <w:p w14:paraId="151EA72F" w14:textId="5F9DC67A" w:rsidR="001C1264" w:rsidRPr="001C1264" w:rsidRDefault="001C1264" w:rsidP="001C1264">
      <w:pPr>
        <w:rPr>
          <w:rFonts w:ascii="Arial" w:hAnsi="Arial" w:cs="Arial"/>
          <w:sz w:val="22"/>
          <w:szCs w:val="22"/>
        </w:rPr>
      </w:pPr>
      <w:r w:rsidRPr="001C1264">
        <w:rPr>
          <w:rFonts w:ascii="Arial" w:hAnsi="Arial" w:cs="Arial"/>
          <w:sz w:val="22"/>
          <w:szCs w:val="22"/>
        </w:rPr>
        <w:t xml:space="preserve">Failing to prioritise DEI risks reinforcing existing inequalities, undermining morale and damaging organisational reputation. </w:t>
      </w:r>
      <w:r w:rsidR="004B0D2F" w:rsidRPr="008F6526">
        <w:rPr>
          <w:rFonts w:ascii="Arial" w:hAnsi="Arial" w:cs="Arial"/>
          <w:sz w:val="22"/>
          <w:szCs w:val="22"/>
        </w:rPr>
        <w:t>Alternatively</w:t>
      </w:r>
      <w:r w:rsidRPr="001C1264">
        <w:rPr>
          <w:rFonts w:ascii="Arial" w:hAnsi="Arial" w:cs="Arial"/>
          <w:sz w:val="22"/>
          <w:szCs w:val="22"/>
        </w:rPr>
        <w:t>, strong DEI practices enhance long</w:t>
      </w:r>
      <w:r w:rsidRPr="001C1264">
        <w:rPr>
          <w:rFonts w:ascii="Arial" w:hAnsi="Arial" w:cs="Arial"/>
          <w:sz w:val="22"/>
          <w:szCs w:val="22"/>
        </w:rPr>
        <w:noBreakHyphen/>
        <w:t>term sustainability by improving engagement, promoting fairness and supporting ethical organisational behaviour.</w:t>
      </w:r>
    </w:p>
    <w:p w14:paraId="5F58961D" w14:textId="4637E8CF" w:rsidR="00D813D6" w:rsidRPr="00D813D6" w:rsidRDefault="00D813D6" w:rsidP="00D813D6">
      <w:pPr>
        <w:rPr>
          <w:rFonts w:ascii="Arial" w:hAnsi="Arial" w:cs="Arial"/>
          <w:sz w:val="22"/>
          <w:szCs w:val="22"/>
        </w:rPr>
      </w:pPr>
    </w:p>
    <w:p w14:paraId="6D0F12AB" w14:textId="77777777" w:rsidR="00FD1145" w:rsidRPr="008F6526" w:rsidRDefault="00FD1145">
      <w:pPr>
        <w:rPr>
          <w:rFonts w:ascii="Arial" w:hAnsi="Arial" w:cs="Arial"/>
          <w:sz w:val="22"/>
          <w:szCs w:val="22"/>
        </w:rPr>
      </w:pPr>
      <w:r w:rsidRPr="008F6526">
        <w:rPr>
          <w:rFonts w:ascii="Arial" w:hAnsi="Arial" w:cs="Arial"/>
          <w:sz w:val="22"/>
          <w:szCs w:val="22"/>
        </w:rPr>
        <w:br w:type="page"/>
      </w:r>
    </w:p>
    <w:p w14:paraId="628E609A" w14:textId="0216AB5A" w:rsidR="007303A4" w:rsidRPr="008F6526" w:rsidRDefault="00E72692" w:rsidP="00E72692">
      <w:pPr>
        <w:pStyle w:val="Heading1"/>
        <w:rPr>
          <w:rFonts w:ascii="Arial" w:hAnsi="Arial" w:cs="Arial"/>
          <w:sz w:val="22"/>
          <w:szCs w:val="22"/>
        </w:rPr>
      </w:pPr>
      <w:bookmarkStart w:id="4" w:name="_Toc225764304"/>
      <w:r w:rsidRPr="008F6526">
        <w:rPr>
          <w:rFonts w:ascii="Arial" w:hAnsi="Arial" w:cs="Arial"/>
          <w:sz w:val="22"/>
          <w:szCs w:val="22"/>
        </w:rPr>
        <w:lastRenderedPageBreak/>
        <w:t>E</w:t>
      </w:r>
      <w:r w:rsidRPr="008F6526">
        <w:rPr>
          <w:rFonts w:ascii="Arial" w:hAnsi="Arial" w:cs="Arial"/>
          <w:sz w:val="22"/>
          <w:szCs w:val="22"/>
        </w:rPr>
        <w:t>valuation of different contemporary HR practices</w:t>
      </w:r>
      <w:bookmarkEnd w:id="4"/>
    </w:p>
    <w:p w14:paraId="79BAB660" w14:textId="77777777" w:rsidR="00275EE9" w:rsidRPr="008F6526" w:rsidRDefault="00275EE9" w:rsidP="00B9043A">
      <w:pPr>
        <w:rPr>
          <w:rFonts w:ascii="Arial" w:hAnsi="Arial" w:cs="Arial"/>
          <w:sz w:val="22"/>
          <w:szCs w:val="22"/>
        </w:rPr>
      </w:pPr>
    </w:p>
    <w:p w14:paraId="666612FF" w14:textId="2141F28D" w:rsidR="00AD27E2" w:rsidRPr="00AD27E2" w:rsidRDefault="00AD27E2" w:rsidP="00AD27E2">
      <w:pPr>
        <w:rPr>
          <w:rFonts w:ascii="Arial" w:hAnsi="Arial" w:cs="Arial"/>
          <w:sz w:val="22"/>
          <w:szCs w:val="22"/>
        </w:rPr>
      </w:pPr>
      <w:r w:rsidRPr="00AD27E2">
        <w:rPr>
          <w:rFonts w:ascii="Arial" w:hAnsi="Arial" w:cs="Arial"/>
          <w:sz w:val="22"/>
          <w:szCs w:val="22"/>
        </w:rPr>
        <w:t>To address the challenges of technological advancement, talent acquisition and retention, diversity, equity and inclusion (DEI), organisations such as Grosvenor Casinos must adopt a range of contemporary Human Resource (HR) practices. However, while these practices offer significant benefits, they also present limitations that must be critically evaluated.</w:t>
      </w:r>
    </w:p>
    <w:p w14:paraId="74F3AE67" w14:textId="7C93352F" w:rsidR="00AD27E2" w:rsidRPr="00AD27E2" w:rsidRDefault="00AD27E2" w:rsidP="00AD27E2">
      <w:pPr>
        <w:rPr>
          <w:rFonts w:ascii="Arial" w:hAnsi="Arial" w:cs="Arial"/>
          <w:sz w:val="22"/>
          <w:szCs w:val="22"/>
        </w:rPr>
      </w:pPr>
    </w:p>
    <w:p w14:paraId="5532E195" w14:textId="77777777" w:rsidR="0080556C" w:rsidRPr="008F6526" w:rsidRDefault="0080556C" w:rsidP="00AD27E2">
      <w:pPr>
        <w:rPr>
          <w:rFonts w:ascii="Arial" w:hAnsi="Arial" w:cs="Arial"/>
          <w:b/>
          <w:bCs/>
          <w:sz w:val="22"/>
          <w:szCs w:val="22"/>
        </w:rPr>
      </w:pPr>
    </w:p>
    <w:p w14:paraId="060A0300" w14:textId="77777777" w:rsidR="0080556C" w:rsidRPr="008F6526" w:rsidRDefault="0080556C" w:rsidP="00AD27E2">
      <w:pPr>
        <w:rPr>
          <w:rFonts w:ascii="Arial" w:hAnsi="Arial" w:cs="Arial"/>
          <w:b/>
          <w:bCs/>
          <w:sz w:val="22"/>
          <w:szCs w:val="22"/>
        </w:rPr>
      </w:pPr>
    </w:p>
    <w:p w14:paraId="4376A997" w14:textId="1C04FA7B" w:rsidR="00AD27E2" w:rsidRPr="00AD27E2" w:rsidRDefault="00AD27E2" w:rsidP="00AD27E2">
      <w:pPr>
        <w:rPr>
          <w:rFonts w:ascii="Arial" w:hAnsi="Arial" w:cs="Arial"/>
          <w:b/>
          <w:bCs/>
          <w:sz w:val="22"/>
          <w:szCs w:val="22"/>
        </w:rPr>
      </w:pPr>
      <w:r w:rsidRPr="00AD27E2">
        <w:rPr>
          <w:rFonts w:ascii="Arial" w:hAnsi="Arial" w:cs="Arial"/>
          <w:b/>
          <w:bCs/>
          <w:sz w:val="22"/>
          <w:szCs w:val="22"/>
        </w:rPr>
        <w:t>Technological Advancement</w:t>
      </w:r>
    </w:p>
    <w:p w14:paraId="3A54EF94" w14:textId="77777777" w:rsidR="00AD27E2" w:rsidRPr="00AD27E2" w:rsidRDefault="00AD27E2" w:rsidP="00AD27E2">
      <w:pPr>
        <w:rPr>
          <w:rFonts w:ascii="Arial" w:hAnsi="Arial" w:cs="Arial"/>
          <w:sz w:val="22"/>
          <w:szCs w:val="22"/>
        </w:rPr>
      </w:pPr>
    </w:p>
    <w:p w14:paraId="02064463" w14:textId="45DD313A" w:rsidR="00A52E4B" w:rsidRPr="00A52E4B" w:rsidRDefault="00A52E4B" w:rsidP="00A52E4B">
      <w:pPr>
        <w:rPr>
          <w:rFonts w:ascii="Arial" w:hAnsi="Arial" w:cs="Arial"/>
          <w:sz w:val="22"/>
          <w:szCs w:val="22"/>
        </w:rPr>
      </w:pPr>
      <w:r w:rsidRPr="00A52E4B">
        <w:rPr>
          <w:rFonts w:ascii="Arial" w:hAnsi="Arial" w:cs="Arial"/>
          <w:sz w:val="22"/>
          <w:szCs w:val="22"/>
        </w:rPr>
        <w:t>A key HR practice for managing technological change is continuous training and development. Michael Armstrong (2009) emphasises that training is fundamental for building the competencies employees need to operate effectively in evolving environments (Hassan, 2006). At Grosvenor Casinos, initiatives such as internal training programmes help staff adjust to new technologies and systems. This approach strengthens organisational learning and reduces skill gaps, supporting the company’s competitiveness. However, training requires significant time and resources and there is no certainty that employees will consistently apply new skills in practice. This reinforces the need to align training with organisational objectives. The Balanced Scorecard developed by Kaplan and Norton (2004) helps achieve this by linking employee development with overall performance (Tawse and Tabesh, 2023). Performance management systems also support technological adaptation, as Armstrong and Baron (2004) note that they clarify expectations and guide development (Hassan, 2006). While continuous feedback encourages desired behaviours in line with Skinner’s reinforcement theory (Skinner, 1938), poorly executed systems risk being seen as overly controlling.</w:t>
      </w:r>
    </w:p>
    <w:p w14:paraId="39F9F083" w14:textId="5181FDCD" w:rsidR="00AD27E2" w:rsidRPr="00AD27E2" w:rsidRDefault="00AD27E2" w:rsidP="00AD27E2">
      <w:pPr>
        <w:rPr>
          <w:rFonts w:ascii="Arial" w:hAnsi="Arial" w:cs="Arial"/>
          <w:sz w:val="22"/>
          <w:szCs w:val="22"/>
        </w:rPr>
      </w:pPr>
    </w:p>
    <w:p w14:paraId="1E7765E5" w14:textId="77777777" w:rsidR="00E81F22" w:rsidRPr="008F6526" w:rsidRDefault="00E81F22" w:rsidP="00AD27E2">
      <w:pPr>
        <w:rPr>
          <w:rFonts w:ascii="Arial" w:hAnsi="Arial" w:cs="Arial"/>
          <w:b/>
          <w:bCs/>
          <w:sz w:val="22"/>
          <w:szCs w:val="22"/>
        </w:rPr>
      </w:pPr>
    </w:p>
    <w:p w14:paraId="61B217D6" w14:textId="77777777" w:rsidR="00E81F22" w:rsidRPr="008F6526" w:rsidRDefault="00E81F22" w:rsidP="00AD27E2">
      <w:pPr>
        <w:rPr>
          <w:rFonts w:ascii="Arial" w:hAnsi="Arial" w:cs="Arial"/>
          <w:b/>
          <w:bCs/>
          <w:sz w:val="22"/>
          <w:szCs w:val="22"/>
        </w:rPr>
      </w:pPr>
    </w:p>
    <w:p w14:paraId="2EF46C6B" w14:textId="77777777" w:rsidR="0080556C" w:rsidRPr="008F6526" w:rsidRDefault="0080556C" w:rsidP="00AD27E2">
      <w:pPr>
        <w:rPr>
          <w:rFonts w:ascii="Arial" w:hAnsi="Arial" w:cs="Arial"/>
          <w:b/>
          <w:bCs/>
          <w:sz w:val="22"/>
          <w:szCs w:val="22"/>
        </w:rPr>
      </w:pPr>
    </w:p>
    <w:p w14:paraId="21B7B63C" w14:textId="77777777" w:rsidR="0080556C" w:rsidRPr="008F6526" w:rsidRDefault="0080556C" w:rsidP="00AD27E2">
      <w:pPr>
        <w:rPr>
          <w:rFonts w:ascii="Arial" w:hAnsi="Arial" w:cs="Arial"/>
          <w:b/>
          <w:bCs/>
          <w:sz w:val="22"/>
          <w:szCs w:val="22"/>
        </w:rPr>
      </w:pPr>
    </w:p>
    <w:p w14:paraId="448C9360" w14:textId="71F0108C" w:rsidR="00AD27E2" w:rsidRPr="00AD27E2" w:rsidRDefault="00AD27E2" w:rsidP="00AD27E2">
      <w:pPr>
        <w:rPr>
          <w:rFonts w:ascii="Arial" w:hAnsi="Arial" w:cs="Arial"/>
          <w:b/>
          <w:bCs/>
          <w:sz w:val="22"/>
          <w:szCs w:val="22"/>
        </w:rPr>
      </w:pPr>
      <w:r w:rsidRPr="00AD27E2">
        <w:rPr>
          <w:rFonts w:ascii="Arial" w:hAnsi="Arial" w:cs="Arial"/>
          <w:b/>
          <w:bCs/>
          <w:sz w:val="22"/>
          <w:szCs w:val="22"/>
        </w:rPr>
        <w:t>Talent Acquisition and Retention</w:t>
      </w:r>
    </w:p>
    <w:p w14:paraId="5FFEB625" w14:textId="77777777" w:rsidR="00AD27E2" w:rsidRPr="00AD27E2" w:rsidRDefault="00AD27E2" w:rsidP="00AD27E2">
      <w:pPr>
        <w:rPr>
          <w:rFonts w:ascii="Arial" w:hAnsi="Arial" w:cs="Arial"/>
          <w:sz w:val="22"/>
          <w:szCs w:val="22"/>
        </w:rPr>
      </w:pPr>
    </w:p>
    <w:p w14:paraId="53B4F367" w14:textId="4A80296B" w:rsidR="002C6ABE" w:rsidRPr="002C6ABE" w:rsidRDefault="002C6ABE" w:rsidP="002C6ABE">
      <w:pPr>
        <w:rPr>
          <w:rFonts w:ascii="Arial" w:hAnsi="Arial" w:cs="Arial"/>
          <w:sz w:val="22"/>
          <w:szCs w:val="22"/>
        </w:rPr>
      </w:pPr>
      <w:r w:rsidRPr="002C6ABE">
        <w:rPr>
          <w:rFonts w:ascii="Arial" w:hAnsi="Arial" w:cs="Arial"/>
          <w:sz w:val="22"/>
          <w:szCs w:val="22"/>
        </w:rPr>
        <w:t>To address talent</w:t>
      </w:r>
      <w:r w:rsidR="00EA4170" w:rsidRPr="008F6526">
        <w:rPr>
          <w:rFonts w:ascii="Arial" w:hAnsi="Arial" w:cs="Arial"/>
          <w:sz w:val="22"/>
          <w:szCs w:val="22"/>
        </w:rPr>
        <w:t xml:space="preserve"> </w:t>
      </w:r>
      <w:r w:rsidRPr="002C6ABE">
        <w:rPr>
          <w:rFonts w:ascii="Arial" w:hAnsi="Arial" w:cs="Arial"/>
          <w:sz w:val="22"/>
          <w:szCs w:val="22"/>
        </w:rPr>
        <w:t>related challenges, organisations increasingly rely on practices such as Employer Value Proposition (EVP) and talent management strategies. EVP outlines what employees receive in exchange for their contribution, including salary, development opportunities and organisational culture (Snowdon, 2025). For Grosvenor Casinos, communicating benefits and career progression clearly helps attract candidates who align with organisational needs. EVP enhances employer branding and supports retention</w:t>
      </w:r>
      <w:r w:rsidR="00EA4170" w:rsidRPr="008F6526">
        <w:rPr>
          <w:rFonts w:ascii="Arial" w:hAnsi="Arial" w:cs="Arial"/>
          <w:sz w:val="22"/>
          <w:szCs w:val="22"/>
        </w:rPr>
        <w:t>,</w:t>
      </w:r>
      <w:r w:rsidRPr="002C6ABE">
        <w:rPr>
          <w:rFonts w:ascii="Arial" w:hAnsi="Arial" w:cs="Arial"/>
          <w:sz w:val="22"/>
          <w:szCs w:val="22"/>
        </w:rPr>
        <w:t xml:space="preserve"> however, if expectations are not met, employees may perceive a breach of the psychological contract, as highlighted by the CIPD (2025), which can lead to dissatisfaction and increased turnover. Talent management and succession planning also play a crucial role in ensuring that the organisation places the right individuals in key roles at the right time. This aligns with the Resource</w:t>
      </w:r>
      <w:r w:rsidRPr="002C6ABE">
        <w:rPr>
          <w:rFonts w:ascii="Arial" w:hAnsi="Arial" w:cs="Arial"/>
          <w:sz w:val="22"/>
          <w:szCs w:val="22"/>
        </w:rPr>
        <w:noBreakHyphen/>
        <w:t>Based View proposed by Jay Barney (1991), which stresses the importance of valuable and rare human resources (Mazzei, 2024). Despite its benefits, talent management may create perceptions of unfairness if only select</w:t>
      </w:r>
      <w:r w:rsidR="0080556C" w:rsidRPr="008F6526">
        <w:rPr>
          <w:rFonts w:ascii="Arial" w:hAnsi="Arial" w:cs="Arial"/>
          <w:sz w:val="22"/>
          <w:szCs w:val="22"/>
        </w:rPr>
        <w:t xml:space="preserve">ed </w:t>
      </w:r>
      <w:r w:rsidRPr="002C6ABE">
        <w:rPr>
          <w:rFonts w:ascii="Arial" w:hAnsi="Arial" w:cs="Arial"/>
          <w:sz w:val="22"/>
          <w:szCs w:val="22"/>
        </w:rPr>
        <w:t>employees are identified as “high potential.”</w:t>
      </w:r>
    </w:p>
    <w:p w14:paraId="2435F4C8" w14:textId="384D29B7" w:rsidR="00AD27E2" w:rsidRPr="00AD27E2" w:rsidRDefault="00AD27E2" w:rsidP="00AD27E2">
      <w:pPr>
        <w:rPr>
          <w:rFonts w:ascii="Arial" w:hAnsi="Arial" w:cs="Arial"/>
          <w:sz w:val="22"/>
          <w:szCs w:val="22"/>
        </w:rPr>
      </w:pPr>
    </w:p>
    <w:p w14:paraId="3291C1A6" w14:textId="77777777" w:rsidR="00507D77" w:rsidRPr="008F6526" w:rsidRDefault="00507D77" w:rsidP="00AD27E2">
      <w:pPr>
        <w:rPr>
          <w:rFonts w:ascii="Arial" w:hAnsi="Arial" w:cs="Arial"/>
          <w:b/>
          <w:bCs/>
          <w:sz w:val="22"/>
          <w:szCs w:val="22"/>
        </w:rPr>
      </w:pPr>
    </w:p>
    <w:p w14:paraId="5DA74DC4" w14:textId="77777777" w:rsidR="00507D77" w:rsidRPr="008F6526" w:rsidRDefault="00507D77" w:rsidP="00AD27E2">
      <w:pPr>
        <w:rPr>
          <w:rFonts w:ascii="Arial" w:hAnsi="Arial" w:cs="Arial"/>
          <w:b/>
          <w:bCs/>
          <w:sz w:val="22"/>
          <w:szCs w:val="22"/>
        </w:rPr>
      </w:pPr>
    </w:p>
    <w:p w14:paraId="1089AEB5" w14:textId="77777777" w:rsidR="0080556C" w:rsidRPr="008F6526" w:rsidRDefault="0080556C" w:rsidP="00AD27E2">
      <w:pPr>
        <w:rPr>
          <w:rFonts w:ascii="Arial" w:hAnsi="Arial" w:cs="Arial"/>
          <w:b/>
          <w:bCs/>
          <w:sz w:val="22"/>
          <w:szCs w:val="22"/>
        </w:rPr>
      </w:pPr>
    </w:p>
    <w:p w14:paraId="44FC69FB" w14:textId="1FD6DA84" w:rsidR="00AD27E2" w:rsidRPr="00AD27E2" w:rsidRDefault="00AD27E2" w:rsidP="00AD27E2">
      <w:pPr>
        <w:rPr>
          <w:rFonts w:ascii="Arial" w:hAnsi="Arial" w:cs="Arial"/>
          <w:b/>
          <w:bCs/>
          <w:sz w:val="22"/>
          <w:szCs w:val="22"/>
        </w:rPr>
      </w:pPr>
      <w:r w:rsidRPr="00AD27E2">
        <w:rPr>
          <w:rFonts w:ascii="Arial" w:hAnsi="Arial" w:cs="Arial"/>
          <w:b/>
          <w:bCs/>
          <w:sz w:val="22"/>
          <w:szCs w:val="22"/>
        </w:rPr>
        <w:lastRenderedPageBreak/>
        <w:t>Diversity, Equity and Inclusion (DEI)</w:t>
      </w:r>
    </w:p>
    <w:p w14:paraId="227AAD68" w14:textId="77777777" w:rsidR="00AD27E2" w:rsidRPr="00AD27E2" w:rsidRDefault="00AD27E2" w:rsidP="00AD27E2">
      <w:pPr>
        <w:rPr>
          <w:rFonts w:ascii="Arial" w:hAnsi="Arial" w:cs="Arial"/>
          <w:sz w:val="22"/>
          <w:szCs w:val="22"/>
        </w:rPr>
      </w:pPr>
    </w:p>
    <w:p w14:paraId="023370DC" w14:textId="4248607D" w:rsidR="006703D8" w:rsidRPr="008F6526" w:rsidRDefault="00AD27E2" w:rsidP="006703D8">
      <w:pPr>
        <w:rPr>
          <w:rFonts w:ascii="Arial" w:hAnsi="Arial" w:cs="Arial"/>
          <w:sz w:val="22"/>
          <w:szCs w:val="22"/>
        </w:rPr>
      </w:pPr>
      <w:r w:rsidRPr="00AD27E2">
        <w:rPr>
          <w:rFonts w:ascii="Arial" w:hAnsi="Arial" w:cs="Arial"/>
          <w:sz w:val="22"/>
          <w:szCs w:val="22"/>
        </w:rPr>
        <w:t>To address DEI challenges, organisations implement inclusive recruitment practices and diversity training. Inclusive recruitment involves structured selection methods to reduce bias, aligning with the need to address structural inequalities highlighted by Andy Furlong (2013)</w:t>
      </w:r>
      <w:r w:rsidR="00C758E1" w:rsidRPr="008F6526">
        <w:rPr>
          <w:rFonts w:ascii="Arial" w:hAnsi="Arial" w:cs="Arial"/>
          <w:sz w:val="22"/>
          <w:szCs w:val="22"/>
        </w:rPr>
        <w:t xml:space="preserve"> </w:t>
      </w:r>
      <w:r w:rsidR="00C758E1" w:rsidRPr="008F6526">
        <w:rPr>
          <w:rFonts w:ascii="Arial" w:hAnsi="Arial" w:cs="Arial"/>
          <w:sz w:val="22"/>
          <w:szCs w:val="22"/>
        </w:rPr>
        <w:t>(CIPD, 2024)</w:t>
      </w:r>
      <w:r w:rsidR="00C758E1" w:rsidRPr="008F6526">
        <w:rPr>
          <w:rFonts w:ascii="Arial" w:hAnsi="Arial" w:cs="Arial"/>
          <w:sz w:val="22"/>
          <w:szCs w:val="22"/>
        </w:rPr>
        <w:t xml:space="preserve">. </w:t>
      </w:r>
      <w:r w:rsidRPr="00AD27E2">
        <w:rPr>
          <w:rFonts w:ascii="Arial" w:hAnsi="Arial" w:cs="Arial"/>
          <w:sz w:val="22"/>
          <w:szCs w:val="22"/>
        </w:rPr>
        <w:t xml:space="preserve">The strength of this approach is that it promotes fairness and widens the talent pool. Diversity training is another commonly used practice, aimed at increasing awareness of inclusion and equality. While this can improve understanding and workplace culture, its effectiveness is often limited if not supported by long-term behavioural change. </w:t>
      </w:r>
    </w:p>
    <w:p w14:paraId="03598A10" w14:textId="62ED2104" w:rsidR="00AD27E2" w:rsidRPr="00AD27E2" w:rsidRDefault="00AD27E2" w:rsidP="00AD27E2">
      <w:pPr>
        <w:rPr>
          <w:rFonts w:ascii="Arial" w:hAnsi="Arial" w:cs="Arial"/>
          <w:b/>
          <w:bCs/>
          <w:sz w:val="22"/>
          <w:szCs w:val="22"/>
        </w:rPr>
      </w:pPr>
    </w:p>
    <w:p w14:paraId="1D124C4A" w14:textId="77777777" w:rsidR="00AD27E2" w:rsidRPr="00AD27E2" w:rsidRDefault="00AD27E2" w:rsidP="00AD27E2">
      <w:pPr>
        <w:rPr>
          <w:rFonts w:ascii="Arial" w:hAnsi="Arial" w:cs="Arial"/>
          <w:sz w:val="22"/>
          <w:szCs w:val="22"/>
        </w:rPr>
      </w:pPr>
    </w:p>
    <w:p w14:paraId="62057E36" w14:textId="7690329D" w:rsidR="00AD27E2" w:rsidRPr="00AD27E2" w:rsidRDefault="00AD27E2" w:rsidP="00AD27E2">
      <w:pPr>
        <w:rPr>
          <w:rFonts w:ascii="Arial" w:hAnsi="Arial" w:cs="Arial"/>
          <w:sz w:val="22"/>
          <w:szCs w:val="22"/>
        </w:rPr>
      </w:pPr>
      <w:r w:rsidRPr="00AD27E2">
        <w:rPr>
          <w:rFonts w:ascii="Arial" w:hAnsi="Arial" w:cs="Arial"/>
          <w:sz w:val="22"/>
          <w:szCs w:val="22"/>
        </w:rPr>
        <w:t xml:space="preserve">Overall, contemporary HR practices provide effective tools for addressing key organisational challenges. However, their success depends on strategic alignment, consistent implementation and the ability of managers to apply them effectively. </w:t>
      </w:r>
    </w:p>
    <w:p w14:paraId="434C7208" w14:textId="431C3A8C" w:rsidR="006703D8" w:rsidRPr="008F6526" w:rsidRDefault="006703D8" w:rsidP="00E15C55">
      <w:pPr>
        <w:rPr>
          <w:rFonts w:ascii="Arial" w:hAnsi="Arial" w:cs="Arial"/>
          <w:sz w:val="22"/>
          <w:szCs w:val="22"/>
        </w:rPr>
      </w:pPr>
    </w:p>
    <w:p w14:paraId="2CFEF2B0" w14:textId="77777777" w:rsidR="006703D8" w:rsidRPr="008F6526" w:rsidRDefault="006703D8">
      <w:pPr>
        <w:rPr>
          <w:rFonts w:ascii="Arial" w:hAnsi="Arial" w:cs="Arial"/>
          <w:sz w:val="22"/>
          <w:szCs w:val="22"/>
        </w:rPr>
      </w:pPr>
      <w:r w:rsidRPr="008F6526">
        <w:rPr>
          <w:rFonts w:ascii="Arial" w:hAnsi="Arial" w:cs="Arial"/>
          <w:sz w:val="22"/>
          <w:szCs w:val="22"/>
        </w:rPr>
        <w:br w:type="page"/>
      </w:r>
    </w:p>
    <w:p w14:paraId="3031C572" w14:textId="77777777" w:rsidR="002E086F" w:rsidRPr="008F6526" w:rsidRDefault="002E086F" w:rsidP="002E086F">
      <w:pPr>
        <w:pStyle w:val="Heading1"/>
        <w:rPr>
          <w:rFonts w:ascii="Arial" w:hAnsi="Arial" w:cs="Arial"/>
          <w:sz w:val="22"/>
          <w:szCs w:val="22"/>
        </w:rPr>
      </w:pPr>
      <w:bookmarkStart w:id="5" w:name="_Toc225764305"/>
      <w:r w:rsidRPr="008F6526">
        <w:rPr>
          <w:rFonts w:ascii="Arial" w:hAnsi="Arial" w:cs="Arial"/>
          <w:sz w:val="22"/>
          <w:szCs w:val="22"/>
        </w:rPr>
        <w:lastRenderedPageBreak/>
        <w:t>Critical Evaluation of the Role of Managers in Implementing HR Practices</w:t>
      </w:r>
      <w:bookmarkEnd w:id="5"/>
    </w:p>
    <w:p w14:paraId="00706DD3" w14:textId="77777777" w:rsidR="002E086F" w:rsidRPr="002E086F" w:rsidRDefault="002E086F" w:rsidP="002E086F">
      <w:pPr>
        <w:rPr>
          <w:rFonts w:ascii="Arial" w:hAnsi="Arial" w:cs="Arial"/>
          <w:sz w:val="22"/>
          <w:szCs w:val="22"/>
        </w:rPr>
      </w:pPr>
    </w:p>
    <w:p w14:paraId="7431EF19" w14:textId="77777777" w:rsidR="002E086F" w:rsidRPr="002E086F" w:rsidRDefault="002E086F" w:rsidP="002E086F">
      <w:pPr>
        <w:rPr>
          <w:rFonts w:ascii="Arial" w:hAnsi="Arial" w:cs="Arial"/>
          <w:sz w:val="22"/>
          <w:szCs w:val="22"/>
        </w:rPr>
      </w:pPr>
      <w:r w:rsidRPr="002E086F">
        <w:rPr>
          <w:rFonts w:ascii="Arial" w:hAnsi="Arial" w:cs="Arial"/>
          <w:sz w:val="22"/>
          <w:szCs w:val="22"/>
        </w:rPr>
        <w:t>While HR departments design policies and strategies, the successful implementation of these practices depends largely on departmental managers. In organisations such as Grosvenor Casinos, managers are responsible for ensuring that initiatives related to technological advancement, talent management, and diversity, equity and inclusion (DEI) are effectively applied in everyday operations.</w:t>
      </w:r>
    </w:p>
    <w:p w14:paraId="3AAE7BCF" w14:textId="141813C4" w:rsidR="002E086F" w:rsidRPr="002E086F" w:rsidRDefault="002E086F" w:rsidP="002E086F">
      <w:pPr>
        <w:rPr>
          <w:rFonts w:ascii="Arial" w:hAnsi="Arial" w:cs="Arial"/>
          <w:sz w:val="22"/>
          <w:szCs w:val="22"/>
        </w:rPr>
      </w:pPr>
    </w:p>
    <w:p w14:paraId="712C03D7" w14:textId="77777777" w:rsidR="002E086F" w:rsidRPr="008F6526" w:rsidRDefault="002E086F" w:rsidP="002E086F">
      <w:pPr>
        <w:rPr>
          <w:rFonts w:ascii="Arial" w:hAnsi="Arial" w:cs="Arial"/>
          <w:b/>
          <w:bCs/>
          <w:sz w:val="22"/>
          <w:szCs w:val="22"/>
        </w:rPr>
      </w:pPr>
    </w:p>
    <w:p w14:paraId="52D07E9A" w14:textId="7ABAF3E8" w:rsidR="002E086F" w:rsidRPr="002E086F" w:rsidRDefault="002E086F" w:rsidP="002E086F">
      <w:pPr>
        <w:rPr>
          <w:rFonts w:ascii="Arial" w:hAnsi="Arial" w:cs="Arial"/>
          <w:b/>
          <w:bCs/>
          <w:sz w:val="22"/>
          <w:szCs w:val="22"/>
        </w:rPr>
      </w:pPr>
      <w:r w:rsidRPr="002E086F">
        <w:rPr>
          <w:rFonts w:ascii="Arial" w:hAnsi="Arial" w:cs="Arial"/>
          <w:b/>
          <w:bCs/>
          <w:sz w:val="22"/>
          <w:szCs w:val="22"/>
        </w:rPr>
        <w:t>Technological Advancement</w:t>
      </w:r>
    </w:p>
    <w:p w14:paraId="2395C1F3" w14:textId="77777777" w:rsidR="002E086F" w:rsidRPr="002E086F" w:rsidRDefault="002E086F" w:rsidP="002E086F">
      <w:pPr>
        <w:rPr>
          <w:rFonts w:ascii="Arial" w:hAnsi="Arial" w:cs="Arial"/>
          <w:sz w:val="22"/>
          <w:szCs w:val="22"/>
        </w:rPr>
      </w:pPr>
    </w:p>
    <w:p w14:paraId="42344569" w14:textId="77777777" w:rsidR="00CE4064" w:rsidRPr="00CE4064" w:rsidRDefault="00CE4064" w:rsidP="00CE4064">
      <w:pPr>
        <w:rPr>
          <w:rFonts w:ascii="Arial" w:hAnsi="Arial" w:cs="Arial"/>
          <w:sz w:val="22"/>
          <w:szCs w:val="22"/>
        </w:rPr>
      </w:pPr>
      <w:r w:rsidRPr="00CE4064">
        <w:rPr>
          <w:rFonts w:ascii="Arial" w:hAnsi="Arial" w:cs="Arial"/>
          <w:sz w:val="22"/>
          <w:szCs w:val="22"/>
        </w:rPr>
        <w:t>Managers play a crucial role in helping employees adapt to new technologies by providing training and continuous support. At Grosvenor Casinos, experienced managers contribute to development initiatives such as the dealer academy and Kallidus digital training, strengthening practical skills. They also reinforce learning through monthly Amber to Green evaluations and consistent feedback. While performance management aims to review progress and guide development, its effectiveness depends on the manager’s ability to deliver constructive, meaningful feedback. When applied superficially, it fails to encourage real learning, leaving employees without the skills or adaptability needed to respond to technological change and limiting organisational progress.</w:t>
      </w:r>
    </w:p>
    <w:p w14:paraId="0340F58A" w14:textId="00A88224" w:rsidR="002E086F" w:rsidRPr="008F6526" w:rsidRDefault="002E086F" w:rsidP="002E086F">
      <w:pPr>
        <w:rPr>
          <w:rFonts w:ascii="Arial" w:hAnsi="Arial" w:cs="Arial"/>
          <w:sz w:val="22"/>
          <w:szCs w:val="22"/>
        </w:rPr>
      </w:pPr>
    </w:p>
    <w:p w14:paraId="0CF40796" w14:textId="77777777" w:rsidR="00704995" w:rsidRPr="002E086F" w:rsidRDefault="00704995" w:rsidP="002E086F">
      <w:pPr>
        <w:rPr>
          <w:rFonts w:ascii="Arial" w:hAnsi="Arial" w:cs="Arial"/>
          <w:sz w:val="22"/>
          <w:szCs w:val="22"/>
        </w:rPr>
      </w:pPr>
    </w:p>
    <w:p w14:paraId="6E186767" w14:textId="77777777" w:rsidR="002E086F" w:rsidRPr="002E086F" w:rsidRDefault="002E086F" w:rsidP="002E086F">
      <w:pPr>
        <w:rPr>
          <w:rFonts w:ascii="Arial" w:hAnsi="Arial" w:cs="Arial"/>
          <w:b/>
          <w:bCs/>
          <w:sz w:val="22"/>
          <w:szCs w:val="22"/>
        </w:rPr>
      </w:pPr>
      <w:r w:rsidRPr="002E086F">
        <w:rPr>
          <w:rFonts w:ascii="Arial" w:hAnsi="Arial" w:cs="Arial"/>
          <w:b/>
          <w:bCs/>
          <w:sz w:val="22"/>
          <w:szCs w:val="22"/>
        </w:rPr>
        <w:t>Talent Acquisition and Retention</w:t>
      </w:r>
    </w:p>
    <w:p w14:paraId="3943C412" w14:textId="77777777" w:rsidR="002E086F" w:rsidRPr="002E086F" w:rsidRDefault="002E086F" w:rsidP="002E086F">
      <w:pPr>
        <w:rPr>
          <w:rFonts w:ascii="Arial" w:hAnsi="Arial" w:cs="Arial"/>
          <w:sz w:val="22"/>
          <w:szCs w:val="22"/>
        </w:rPr>
      </w:pPr>
    </w:p>
    <w:p w14:paraId="77C5B56F" w14:textId="77777777" w:rsidR="002E086F" w:rsidRPr="002E086F" w:rsidRDefault="002E086F" w:rsidP="002E086F">
      <w:pPr>
        <w:rPr>
          <w:rFonts w:ascii="Arial" w:hAnsi="Arial" w:cs="Arial"/>
          <w:sz w:val="22"/>
          <w:szCs w:val="22"/>
        </w:rPr>
      </w:pPr>
      <w:r w:rsidRPr="002E086F">
        <w:rPr>
          <w:rFonts w:ascii="Arial" w:hAnsi="Arial" w:cs="Arial"/>
          <w:sz w:val="22"/>
          <w:szCs w:val="22"/>
        </w:rPr>
        <w:t>Managers are directly involved in recruitment and employee retention. At Grosvenor Casinos, managers may participate in group interviews to identify candidates with the required skills and behaviours, ensuring alignment with organisational needs. They also play a role in retaining employees by offering support, recognising performance, and encouraging development opportunities such as internal training programmes.</w:t>
      </w:r>
    </w:p>
    <w:p w14:paraId="6856D1FF" w14:textId="54BD28DD" w:rsidR="002E086F" w:rsidRPr="002E086F" w:rsidRDefault="002E086F" w:rsidP="002E086F">
      <w:pPr>
        <w:rPr>
          <w:rFonts w:ascii="Arial" w:hAnsi="Arial" w:cs="Arial"/>
          <w:sz w:val="22"/>
          <w:szCs w:val="22"/>
        </w:rPr>
      </w:pPr>
      <w:r w:rsidRPr="002E086F">
        <w:rPr>
          <w:rFonts w:ascii="Arial" w:hAnsi="Arial" w:cs="Arial"/>
          <w:sz w:val="22"/>
          <w:szCs w:val="22"/>
        </w:rPr>
        <w:t>However, inconsistent management practices across departments may lead to unequal employee experiences. If managers fail to meet employee expectations, this can result in dissatisfaction and increased turnover, highlighting the importance of consistent and effective managerial behaviour.</w:t>
      </w:r>
    </w:p>
    <w:p w14:paraId="57087018" w14:textId="77777777" w:rsidR="00704995" w:rsidRPr="008F6526" w:rsidRDefault="00704995" w:rsidP="002E086F">
      <w:pPr>
        <w:rPr>
          <w:rFonts w:ascii="Arial" w:hAnsi="Arial" w:cs="Arial"/>
          <w:sz w:val="22"/>
          <w:szCs w:val="22"/>
        </w:rPr>
      </w:pPr>
    </w:p>
    <w:p w14:paraId="05066F35" w14:textId="77777777" w:rsidR="00704995" w:rsidRPr="008F6526" w:rsidRDefault="00704995" w:rsidP="002E086F">
      <w:pPr>
        <w:rPr>
          <w:rFonts w:ascii="Arial" w:hAnsi="Arial" w:cs="Arial"/>
          <w:sz w:val="22"/>
          <w:szCs w:val="22"/>
        </w:rPr>
      </w:pPr>
    </w:p>
    <w:p w14:paraId="061570E4" w14:textId="79C13B22" w:rsidR="002E086F" w:rsidRPr="002E086F" w:rsidRDefault="002E086F" w:rsidP="002E086F">
      <w:pPr>
        <w:rPr>
          <w:rFonts w:ascii="Arial" w:hAnsi="Arial" w:cs="Arial"/>
          <w:b/>
          <w:bCs/>
          <w:sz w:val="22"/>
          <w:szCs w:val="22"/>
        </w:rPr>
      </w:pPr>
      <w:r w:rsidRPr="002E086F">
        <w:rPr>
          <w:rFonts w:ascii="Arial" w:hAnsi="Arial" w:cs="Arial"/>
          <w:b/>
          <w:bCs/>
          <w:sz w:val="22"/>
          <w:szCs w:val="22"/>
        </w:rPr>
        <w:t>Diversity, Equity and Inclusion (DEI)</w:t>
      </w:r>
    </w:p>
    <w:p w14:paraId="7F988C5A" w14:textId="77777777" w:rsidR="002E086F" w:rsidRPr="002E086F" w:rsidRDefault="002E086F" w:rsidP="002E086F">
      <w:pPr>
        <w:rPr>
          <w:rFonts w:ascii="Arial" w:hAnsi="Arial" w:cs="Arial"/>
          <w:sz w:val="22"/>
          <w:szCs w:val="22"/>
        </w:rPr>
      </w:pPr>
    </w:p>
    <w:p w14:paraId="1FDECDDB" w14:textId="5162EAF9" w:rsidR="002E086F" w:rsidRPr="002E086F" w:rsidRDefault="002E086F" w:rsidP="002E086F">
      <w:pPr>
        <w:rPr>
          <w:rFonts w:ascii="Arial" w:hAnsi="Arial" w:cs="Arial"/>
          <w:sz w:val="22"/>
          <w:szCs w:val="22"/>
        </w:rPr>
      </w:pPr>
      <w:r w:rsidRPr="002E086F">
        <w:rPr>
          <w:rFonts w:ascii="Arial" w:hAnsi="Arial" w:cs="Arial"/>
          <w:sz w:val="22"/>
          <w:szCs w:val="22"/>
        </w:rPr>
        <w:t xml:space="preserve">Managers are central to embedding DEI practices within the organisation. At Grosvenor Casinos, managers </w:t>
      </w:r>
      <w:r w:rsidR="00704995" w:rsidRPr="008F6526">
        <w:rPr>
          <w:rFonts w:ascii="Arial" w:hAnsi="Arial" w:cs="Arial"/>
          <w:sz w:val="22"/>
          <w:szCs w:val="22"/>
        </w:rPr>
        <w:t>ensure</w:t>
      </w:r>
      <w:r w:rsidRPr="002E086F">
        <w:rPr>
          <w:rFonts w:ascii="Arial" w:hAnsi="Arial" w:cs="Arial"/>
          <w:sz w:val="22"/>
          <w:szCs w:val="22"/>
        </w:rPr>
        <w:t xml:space="preserve"> fair recruitment and promotion decisions by applying objective criteria and reducing bias during selection processes. They also promote inclusive team environments by encouraging open communication and addressing inappropriate behaviour promptly.</w:t>
      </w:r>
      <w:r w:rsidR="00704995" w:rsidRPr="008F6526">
        <w:rPr>
          <w:rFonts w:ascii="Arial" w:hAnsi="Arial" w:cs="Arial"/>
          <w:sz w:val="22"/>
          <w:szCs w:val="22"/>
        </w:rPr>
        <w:t xml:space="preserve"> </w:t>
      </w:r>
      <w:r w:rsidRPr="002E086F">
        <w:rPr>
          <w:rFonts w:ascii="Arial" w:hAnsi="Arial" w:cs="Arial"/>
          <w:sz w:val="22"/>
          <w:szCs w:val="22"/>
        </w:rPr>
        <w:t>However, while policies may exist, their success depends on how seriously managers enforce them</w:t>
      </w:r>
      <w:r w:rsidR="00704995" w:rsidRPr="008F6526">
        <w:rPr>
          <w:rFonts w:ascii="Arial" w:hAnsi="Arial" w:cs="Arial"/>
          <w:sz w:val="22"/>
          <w:szCs w:val="22"/>
        </w:rPr>
        <w:t xml:space="preserve">, therefore, </w:t>
      </w:r>
      <w:r w:rsidRPr="002E086F">
        <w:rPr>
          <w:rFonts w:ascii="Arial" w:hAnsi="Arial" w:cs="Arial"/>
          <w:sz w:val="22"/>
          <w:szCs w:val="22"/>
        </w:rPr>
        <w:t>managers must actively demonstrate inclusive behaviour rather than rely solely on organisational policies.</w:t>
      </w:r>
    </w:p>
    <w:p w14:paraId="2BC2C9D9" w14:textId="77777777" w:rsidR="002E086F" w:rsidRPr="002E086F" w:rsidRDefault="002E086F" w:rsidP="002E086F">
      <w:pPr>
        <w:rPr>
          <w:rFonts w:ascii="Arial" w:hAnsi="Arial" w:cs="Arial"/>
          <w:sz w:val="22"/>
          <w:szCs w:val="22"/>
        </w:rPr>
      </w:pPr>
    </w:p>
    <w:p w14:paraId="6AC65BCD" w14:textId="0E96EFBC" w:rsidR="002E086F" w:rsidRPr="002E086F" w:rsidRDefault="002E086F" w:rsidP="002E086F">
      <w:pPr>
        <w:rPr>
          <w:rFonts w:ascii="Arial" w:hAnsi="Arial" w:cs="Arial"/>
          <w:sz w:val="22"/>
          <w:szCs w:val="22"/>
        </w:rPr>
      </w:pPr>
      <w:r w:rsidRPr="002E086F">
        <w:rPr>
          <w:rFonts w:ascii="Arial" w:hAnsi="Arial" w:cs="Arial"/>
          <w:sz w:val="22"/>
          <w:szCs w:val="22"/>
        </w:rPr>
        <w:t xml:space="preserve">Overall, managers play a critical role in translating HR strategies into practice. While they </w:t>
      </w:r>
      <w:r w:rsidR="00E14B1E" w:rsidRPr="008F6526">
        <w:rPr>
          <w:rFonts w:ascii="Arial" w:hAnsi="Arial" w:cs="Arial"/>
          <w:sz w:val="22"/>
          <w:szCs w:val="22"/>
        </w:rPr>
        <w:t xml:space="preserve">could </w:t>
      </w:r>
      <w:r w:rsidRPr="002E086F">
        <w:rPr>
          <w:rFonts w:ascii="Arial" w:hAnsi="Arial" w:cs="Arial"/>
          <w:sz w:val="22"/>
          <w:szCs w:val="22"/>
        </w:rPr>
        <w:t>drive effective implementation, their success depends on their skills, consistency, and commitment.</w:t>
      </w:r>
    </w:p>
    <w:p w14:paraId="3E5AF956" w14:textId="77777777" w:rsidR="00E15C55" w:rsidRPr="008F6526" w:rsidRDefault="00E15C55" w:rsidP="00E15C55">
      <w:pPr>
        <w:rPr>
          <w:rFonts w:ascii="Arial" w:hAnsi="Arial" w:cs="Arial"/>
          <w:sz w:val="22"/>
          <w:szCs w:val="22"/>
        </w:rPr>
      </w:pPr>
    </w:p>
    <w:p w14:paraId="239C3BA2" w14:textId="77777777" w:rsidR="0070389C" w:rsidRPr="008F6526" w:rsidRDefault="0070389C" w:rsidP="004758AA">
      <w:pPr>
        <w:pStyle w:val="Heading1"/>
        <w:rPr>
          <w:rFonts w:ascii="Arial" w:hAnsi="Arial" w:cs="Arial"/>
          <w:sz w:val="22"/>
          <w:szCs w:val="22"/>
        </w:rPr>
      </w:pPr>
    </w:p>
    <w:p w14:paraId="16A930EC" w14:textId="09447DD6" w:rsidR="0070389C" w:rsidRPr="008F6526" w:rsidRDefault="0070389C" w:rsidP="004758AA">
      <w:pPr>
        <w:pStyle w:val="Heading1"/>
        <w:rPr>
          <w:rFonts w:ascii="Arial" w:hAnsi="Arial" w:cs="Arial"/>
          <w:sz w:val="22"/>
          <w:szCs w:val="22"/>
        </w:rPr>
      </w:pPr>
      <w:bookmarkStart w:id="6" w:name="_Toc225764306"/>
      <w:r w:rsidRPr="008F6526">
        <w:rPr>
          <w:rFonts w:ascii="Arial" w:hAnsi="Arial" w:cs="Arial"/>
          <w:sz w:val="22"/>
          <w:szCs w:val="22"/>
        </w:rPr>
        <w:t>Conclusion</w:t>
      </w:r>
      <w:bookmarkEnd w:id="6"/>
    </w:p>
    <w:p w14:paraId="016AB33A" w14:textId="77777777" w:rsidR="0070389C" w:rsidRPr="008F6526" w:rsidRDefault="0070389C" w:rsidP="0070389C">
      <w:pPr>
        <w:rPr>
          <w:rFonts w:ascii="Arial" w:hAnsi="Arial" w:cs="Arial"/>
          <w:sz w:val="22"/>
          <w:szCs w:val="22"/>
        </w:rPr>
      </w:pPr>
    </w:p>
    <w:p w14:paraId="0F3F44F1" w14:textId="77777777" w:rsidR="0070389C" w:rsidRPr="008F6526" w:rsidRDefault="0070389C" w:rsidP="0070389C">
      <w:pPr>
        <w:rPr>
          <w:rFonts w:ascii="Arial" w:hAnsi="Arial" w:cs="Arial"/>
          <w:sz w:val="22"/>
          <w:szCs w:val="22"/>
        </w:rPr>
      </w:pPr>
    </w:p>
    <w:p w14:paraId="2288DA7B" w14:textId="756A6F5D" w:rsidR="00B139B9" w:rsidRPr="008F6526" w:rsidRDefault="0070389C" w:rsidP="0070389C">
      <w:pPr>
        <w:rPr>
          <w:rFonts w:ascii="Arial" w:hAnsi="Arial" w:cs="Arial"/>
          <w:sz w:val="22"/>
          <w:szCs w:val="22"/>
        </w:rPr>
      </w:pPr>
      <w:r w:rsidRPr="008F6526">
        <w:rPr>
          <w:rFonts w:ascii="Arial" w:hAnsi="Arial" w:cs="Arial"/>
          <w:sz w:val="22"/>
          <w:szCs w:val="22"/>
        </w:rPr>
        <w:t>In conclusion, this report has identified the main HR challenges facing Grosvenor Casinos, particularly those linked to technological change, talent acquisition and retention, and the organisation’s focus on diversity, equity and inclusion (DEI). These areas are highly connected and require a strategic, coordinated response to enhance overall performance. Modern HR practices such as training and development, performance management, talent management and inclusive recruitment, provide effective ways to address these issues. However, their impact depends on consistent and high</w:t>
      </w:r>
      <w:r w:rsidRPr="008F6526">
        <w:rPr>
          <w:rFonts w:ascii="Arial" w:hAnsi="Arial" w:cs="Arial"/>
          <w:sz w:val="22"/>
          <w:szCs w:val="22"/>
        </w:rPr>
        <w:noBreakHyphen/>
        <w:t>quality implementation. Departmental managers play a vital role, as their communication, support and day</w:t>
      </w:r>
      <w:r w:rsidRPr="008F6526">
        <w:rPr>
          <w:rFonts w:ascii="Arial" w:hAnsi="Arial" w:cs="Arial"/>
          <w:sz w:val="22"/>
          <w:szCs w:val="22"/>
        </w:rPr>
        <w:noBreakHyphen/>
        <w:t>to</w:t>
      </w:r>
      <w:r w:rsidRPr="008F6526">
        <w:rPr>
          <w:rFonts w:ascii="Arial" w:hAnsi="Arial" w:cs="Arial"/>
          <w:sz w:val="22"/>
          <w:szCs w:val="22"/>
        </w:rPr>
        <w:noBreakHyphen/>
        <w:t>day application of these practices are essential for embedding them across the organisation</w:t>
      </w:r>
    </w:p>
    <w:p w14:paraId="65D2A104" w14:textId="77777777" w:rsidR="00B139B9" w:rsidRPr="008F6526" w:rsidRDefault="00B139B9" w:rsidP="004758AA">
      <w:pPr>
        <w:pStyle w:val="Heading1"/>
        <w:rPr>
          <w:rFonts w:ascii="Arial" w:hAnsi="Arial" w:cs="Arial"/>
          <w:sz w:val="22"/>
          <w:szCs w:val="22"/>
        </w:rPr>
      </w:pPr>
    </w:p>
    <w:p w14:paraId="015E3282" w14:textId="77777777" w:rsidR="00B139B9" w:rsidRPr="008F6526" w:rsidRDefault="00B139B9">
      <w:pPr>
        <w:rPr>
          <w:rFonts w:ascii="Arial" w:eastAsiaTheme="majorEastAsia" w:hAnsi="Arial" w:cs="Arial"/>
          <w:color w:val="0F4761" w:themeColor="accent1" w:themeShade="BF"/>
          <w:sz w:val="22"/>
          <w:szCs w:val="22"/>
        </w:rPr>
      </w:pPr>
      <w:r w:rsidRPr="008F6526">
        <w:rPr>
          <w:rFonts w:ascii="Arial" w:hAnsi="Arial" w:cs="Arial"/>
          <w:sz w:val="22"/>
          <w:szCs w:val="22"/>
        </w:rPr>
        <w:br w:type="page"/>
      </w:r>
    </w:p>
    <w:p w14:paraId="26AE9889" w14:textId="1261E0EC" w:rsidR="00B139B9" w:rsidRPr="008F6526" w:rsidRDefault="00B139B9" w:rsidP="00B139B9">
      <w:pPr>
        <w:pStyle w:val="Heading1"/>
        <w:rPr>
          <w:rFonts w:ascii="Arial" w:hAnsi="Arial" w:cs="Arial"/>
          <w:sz w:val="22"/>
          <w:szCs w:val="22"/>
        </w:rPr>
      </w:pPr>
      <w:bookmarkStart w:id="7" w:name="_Toc225764307"/>
      <w:r w:rsidRPr="008F6526">
        <w:rPr>
          <w:rFonts w:ascii="Arial" w:hAnsi="Arial" w:cs="Arial"/>
          <w:sz w:val="22"/>
          <w:szCs w:val="22"/>
        </w:rPr>
        <w:lastRenderedPageBreak/>
        <w:t>References</w:t>
      </w:r>
      <w:bookmarkEnd w:id="7"/>
      <w:r w:rsidRPr="008F6526">
        <w:rPr>
          <w:rFonts w:ascii="Arial" w:hAnsi="Arial" w:cs="Arial"/>
          <w:sz w:val="22"/>
          <w:szCs w:val="22"/>
        </w:rPr>
        <w:t xml:space="preserve"> </w:t>
      </w:r>
    </w:p>
    <w:p w14:paraId="2043CA95" w14:textId="59CFDBD7" w:rsidR="00B139B9" w:rsidRPr="00B139B9" w:rsidRDefault="00B139B9" w:rsidP="00B139B9">
      <w:pPr>
        <w:rPr>
          <w:rFonts w:ascii="Arial" w:hAnsi="Arial" w:cs="Arial"/>
          <w:b/>
          <w:bCs/>
          <w:sz w:val="22"/>
          <w:szCs w:val="22"/>
        </w:rPr>
      </w:pPr>
    </w:p>
    <w:p w14:paraId="63BF682E" w14:textId="77777777" w:rsidR="00B139B9" w:rsidRPr="00B139B9" w:rsidRDefault="00B139B9" w:rsidP="00B139B9">
      <w:pPr>
        <w:rPr>
          <w:rFonts w:ascii="Arial" w:hAnsi="Arial" w:cs="Arial"/>
          <w:sz w:val="22"/>
          <w:szCs w:val="22"/>
        </w:rPr>
      </w:pPr>
      <w:r w:rsidRPr="00B139B9">
        <w:rPr>
          <w:rFonts w:ascii="Arial" w:hAnsi="Arial" w:cs="Arial"/>
          <w:sz w:val="22"/>
          <w:szCs w:val="22"/>
        </w:rPr>
        <w:t xml:space="preserve">Armstrong, M. (2009). </w:t>
      </w:r>
      <w:r w:rsidRPr="00B139B9">
        <w:rPr>
          <w:rFonts w:ascii="Arial" w:hAnsi="Arial" w:cs="Arial"/>
          <w:i/>
          <w:iCs/>
          <w:sz w:val="22"/>
          <w:szCs w:val="22"/>
        </w:rPr>
        <w:t xml:space="preserve">Armstrong’s Handbook of Performance </w:t>
      </w:r>
      <w:proofErr w:type="gramStart"/>
      <w:r w:rsidRPr="00B139B9">
        <w:rPr>
          <w:rFonts w:ascii="Arial" w:hAnsi="Arial" w:cs="Arial"/>
          <w:i/>
          <w:iCs/>
          <w:sz w:val="22"/>
          <w:szCs w:val="22"/>
        </w:rPr>
        <w:t>Management :</w:t>
      </w:r>
      <w:proofErr w:type="gramEnd"/>
      <w:r w:rsidRPr="00B139B9">
        <w:rPr>
          <w:rFonts w:ascii="Arial" w:hAnsi="Arial" w:cs="Arial"/>
          <w:i/>
          <w:iCs/>
          <w:sz w:val="22"/>
          <w:szCs w:val="22"/>
        </w:rPr>
        <w:t xml:space="preserve"> an evidence-based Guide to Delivering High Performance</w:t>
      </w:r>
      <w:r w:rsidRPr="00B139B9">
        <w:rPr>
          <w:rFonts w:ascii="Arial" w:hAnsi="Arial" w:cs="Arial"/>
          <w:sz w:val="22"/>
          <w:szCs w:val="22"/>
        </w:rPr>
        <w:t xml:space="preserve">. 4th ed. </w:t>
      </w:r>
      <w:proofErr w:type="gramStart"/>
      <w:r w:rsidRPr="00B139B9">
        <w:rPr>
          <w:rFonts w:ascii="Arial" w:hAnsi="Arial" w:cs="Arial"/>
          <w:sz w:val="22"/>
          <w:szCs w:val="22"/>
        </w:rPr>
        <w:t>London ;</w:t>
      </w:r>
      <w:proofErr w:type="gramEnd"/>
      <w:r w:rsidRPr="00B139B9">
        <w:rPr>
          <w:rFonts w:ascii="Arial" w:hAnsi="Arial" w:cs="Arial"/>
          <w:sz w:val="22"/>
          <w:szCs w:val="22"/>
        </w:rPr>
        <w:t xml:space="preserve"> Philadelphia ; New York: Kogan Page.</w:t>
      </w:r>
    </w:p>
    <w:p w14:paraId="1890620D" w14:textId="77777777" w:rsidR="00B139B9" w:rsidRPr="008F6526" w:rsidRDefault="00B139B9" w:rsidP="00B139B9">
      <w:pPr>
        <w:rPr>
          <w:rFonts w:ascii="Arial" w:hAnsi="Arial" w:cs="Arial"/>
          <w:sz w:val="22"/>
          <w:szCs w:val="22"/>
        </w:rPr>
      </w:pPr>
    </w:p>
    <w:p w14:paraId="410C9370" w14:textId="7BE4EE21" w:rsidR="00B139B9" w:rsidRPr="00B139B9" w:rsidRDefault="00B139B9" w:rsidP="00B139B9">
      <w:pPr>
        <w:rPr>
          <w:rFonts w:ascii="Arial" w:hAnsi="Arial" w:cs="Arial"/>
          <w:sz w:val="22"/>
          <w:szCs w:val="22"/>
        </w:rPr>
      </w:pPr>
      <w:r w:rsidRPr="00B139B9">
        <w:rPr>
          <w:rFonts w:ascii="Arial" w:hAnsi="Arial" w:cs="Arial"/>
          <w:sz w:val="22"/>
          <w:szCs w:val="22"/>
        </w:rPr>
        <w:t xml:space="preserve">Barney, J. (1991). Firm Resources and Sustained Competitive Advantage. </w:t>
      </w:r>
      <w:r w:rsidRPr="00B139B9">
        <w:rPr>
          <w:rFonts w:ascii="Arial" w:hAnsi="Arial" w:cs="Arial"/>
          <w:i/>
          <w:iCs/>
          <w:sz w:val="22"/>
          <w:szCs w:val="22"/>
        </w:rPr>
        <w:t>Journal of Management</w:t>
      </w:r>
      <w:r w:rsidRPr="00B139B9">
        <w:rPr>
          <w:rFonts w:ascii="Arial" w:hAnsi="Arial" w:cs="Arial"/>
          <w:sz w:val="22"/>
          <w:szCs w:val="22"/>
        </w:rPr>
        <w:t>, [online] 17(1), pp.99–120. Available at: https://dn721803.ca.archive.org/0/items/barney-1991/Barney%20%281991%29_text.pdf.</w:t>
      </w:r>
    </w:p>
    <w:p w14:paraId="1B267D2F" w14:textId="77777777" w:rsidR="00B139B9" w:rsidRPr="008F6526" w:rsidRDefault="00B139B9" w:rsidP="00B139B9">
      <w:pPr>
        <w:rPr>
          <w:rFonts w:ascii="Arial" w:hAnsi="Arial" w:cs="Arial"/>
          <w:sz w:val="22"/>
          <w:szCs w:val="22"/>
        </w:rPr>
      </w:pPr>
    </w:p>
    <w:p w14:paraId="628C69A5" w14:textId="77777777" w:rsidR="00B139B9" w:rsidRPr="008F6526" w:rsidRDefault="00B139B9" w:rsidP="00B139B9">
      <w:pPr>
        <w:rPr>
          <w:rFonts w:ascii="Arial" w:hAnsi="Arial" w:cs="Arial"/>
          <w:sz w:val="22"/>
          <w:szCs w:val="22"/>
        </w:rPr>
      </w:pPr>
      <w:r w:rsidRPr="00B139B9">
        <w:rPr>
          <w:rFonts w:ascii="Arial" w:hAnsi="Arial" w:cs="Arial"/>
          <w:sz w:val="22"/>
          <w:szCs w:val="22"/>
        </w:rPr>
        <w:t xml:space="preserve">Boyles, M. (2023). </w:t>
      </w:r>
      <w:r w:rsidRPr="00B139B9">
        <w:rPr>
          <w:rFonts w:ascii="Arial" w:hAnsi="Arial" w:cs="Arial"/>
          <w:i/>
          <w:iCs/>
          <w:sz w:val="22"/>
          <w:szCs w:val="22"/>
        </w:rPr>
        <w:t>DEI: What It Is &amp; How to Champion It in the Workplace</w:t>
      </w:r>
      <w:r w:rsidRPr="00B139B9">
        <w:rPr>
          <w:rFonts w:ascii="Arial" w:hAnsi="Arial" w:cs="Arial"/>
          <w:sz w:val="22"/>
          <w:szCs w:val="22"/>
        </w:rPr>
        <w:t xml:space="preserve">. [online] </w:t>
      </w:r>
    </w:p>
    <w:p w14:paraId="6FCABB45" w14:textId="77777777" w:rsidR="00B139B9" w:rsidRPr="008F6526" w:rsidRDefault="00B139B9" w:rsidP="00B139B9">
      <w:pPr>
        <w:rPr>
          <w:rFonts w:ascii="Arial" w:hAnsi="Arial" w:cs="Arial"/>
          <w:sz w:val="22"/>
          <w:szCs w:val="22"/>
        </w:rPr>
      </w:pPr>
    </w:p>
    <w:p w14:paraId="1A810AA7" w14:textId="3FBDCF69" w:rsidR="00B139B9" w:rsidRPr="00B139B9" w:rsidRDefault="00B139B9" w:rsidP="00B139B9">
      <w:pPr>
        <w:rPr>
          <w:rFonts w:ascii="Arial" w:hAnsi="Arial" w:cs="Arial"/>
          <w:sz w:val="22"/>
          <w:szCs w:val="22"/>
        </w:rPr>
      </w:pPr>
      <w:r w:rsidRPr="00B139B9">
        <w:rPr>
          <w:rFonts w:ascii="Arial" w:hAnsi="Arial" w:cs="Arial"/>
          <w:sz w:val="22"/>
          <w:szCs w:val="22"/>
        </w:rPr>
        <w:t>Business Insights Blog. Available at: https://online.hbs.edu/blog/post/what-is-dei.</w:t>
      </w:r>
    </w:p>
    <w:p w14:paraId="63826FC6" w14:textId="77777777" w:rsidR="00B139B9" w:rsidRPr="00B139B9" w:rsidRDefault="00B139B9" w:rsidP="00B139B9">
      <w:pPr>
        <w:rPr>
          <w:rFonts w:ascii="Arial" w:hAnsi="Arial" w:cs="Arial"/>
          <w:sz w:val="22"/>
          <w:szCs w:val="22"/>
        </w:rPr>
      </w:pPr>
      <w:r w:rsidRPr="00B139B9">
        <w:rPr>
          <w:rFonts w:ascii="Arial" w:hAnsi="Arial" w:cs="Arial"/>
          <w:sz w:val="22"/>
          <w:szCs w:val="22"/>
        </w:rPr>
        <w:t xml:space="preserve">CIPD (2024). </w:t>
      </w:r>
      <w:r w:rsidRPr="00B139B9">
        <w:rPr>
          <w:rFonts w:ascii="Arial" w:hAnsi="Arial" w:cs="Arial"/>
          <w:i/>
          <w:iCs/>
          <w:sz w:val="22"/>
          <w:szCs w:val="22"/>
        </w:rPr>
        <w:t>A Guide to Inclusive Recruitment for Employers</w:t>
      </w:r>
      <w:r w:rsidRPr="00B139B9">
        <w:rPr>
          <w:rFonts w:ascii="Arial" w:hAnsi="Arial" w:cs="Arial"/>
          <w:sz w:val="22"/>
          <w:szCs w:val="22"/>
        </w:rPr>
        <w:t>. [online] CIPD. Available at: https://www.cipd.org/uk/knowledge/guides/inclusive-employers/.</w:t>
      </w:r>
    </w:p>
    <w:p w14:paraId="5E1CB4D1" w14:textId="77777777" w:rsidR="00B139B9" w:rsidRPr="008F6526" w:rsidRDefault="00B139B9" w:rsidP="00B139B9">
      <w:pPr>
        <w:rPr>
          <w:rFonts w:ascii="Arial" w:hAnsi="Arial" w:cs="Arial"/>
          <w:sz w:val="22"/>
          <w:szCs w:val="22"/>
        </w:rPr>
      </w:pPr>
    </w:p>
    <w:p w14:paraId="1E06E73B" w14:textId="4F7F34E2" w:rsidR="00B139B9" w:rsidRPr="00B139B9" w:rsidRDefault="00B139B9" w:rsidP="00B139B9">
      <w:pPr>
        <w:rPr>
          <w:rFonts w:ascii="Arial" w:hAnsi="Arial" w:cs="Arial"/>
          <w:sz w:val="22"/>
          <w:szCs w:val="22"/>
        </w:rPr>
      </w:pPr>
      <w:r w:rsidRPr="00B139B9">
        <w:rPr>
          <w:rFonts w:ascii="Arial" w:hAnsi="Arial" w:cs="Arial"/>
          <w:sz w:val="22"/>
          <w:szCs w:val="22"/>
        </w:rPr>
        <w:t xml:space="preserve">CIPD (2025). </w:t>
      </w:r>
      <w:r w:rsidRPr="00B139B9">
        <w:rPr>
          <w:rFonts w:ascii="Arial" w:hAnsi="Arial" w:cs="Arial"/>
          <w:i/>
          <w:iCs/>
          <w:sz w:val="22"/>
          <w:szCs w:val="22"/>
        </w:rPr>
        <w:t>Psychological Contract</w:t>
      </w:r>
      <w:r w:rsidRPr="00B139B9">
        <w:rPr>
          <w:rFonts w:ascii="Arial" w:hAnsi="Arial" w:cs="Arial"/>
          <w:sz w:val="22"/>
          <w:szCs w:val="22"/>
        </w:rPr>
        <w:t>. [online] CIPD. Available at: https://www.cipd.org/uk/knowledge/factsheets/psychological-factsheet/.</w:t>
      </w:r>
    </w:p>
    <w:p w14:paraId="45936D08" w14:textId="77777777" w:rsidR="000C74A5" w:rsidRPr="008F6526" w:rsidRDefault="000C74A5" w:rsidP="00B139B9">
      <w:pPr>
        <w:rPr>
          <w:rFonts w:ascii="Arial" w:hAnsi="Arial" w:cs="Arial"/>
          <w:sz w:val="22"/>
          <w:szCs w:val="22"/>
        </w:rPr>
      </w:pPr>
    </w:p>
    <w:p w14:paraId="09E19648" w14:textId="2F07494A" w:rsidR="00B139B9" w:rsidRPr="00B139B9" w:rsidRDefault="00B139B9" w:rsidP="00B139B9">
      <w:pPr>
        <w:rPr>
          <w:rFonts w:ascii="Arial" w:hAnsi="Arial" w:cs="Arial"/>
          <w:sz w:val="22"/>
          <w:szCs w:val="22"/>
        </w:rPr>
      </w:pPr>
      <w:r w:rsidRPr="00B139B9">
        <w:rPr>
          <w:rFonts w:ascii="Arial" w:hAnsi="Arial" w:cs="Arial"/>
          <w:sz w:val="22"/>
          <w:szCs w:val="22"/>
        </w:rPr>
        <w:t xml:space="preserve">Farquharson, C., McNally, S. and Tahir, I. (2024). Education inequalities. </w:t>
      </w:r>
      <w:r w:rsidRPr="00B139B9">
        <w:rPr>
          <w:rFonts w:ascii="Arial" w:hAnsi="Arial" w:cs="Arial"/>
          <w:i/>
          <w:iCs/>
          <w:sz w:val="22"/>
          <w:szCs w:val="22"/>
        </w:rPr>
        <w:t>Oxford open economics</w:t>
      </w:r>
      <w:r w:rsidRPr="00B139B9">
        <w:rPr>
          <w:rFonts w:ascii="Arial" w:hAnsi="Arial" w:cs="Arial"/>
          <w:sz w:val="22"/>
          <w:szCs w:val="22"/>
        </w:rPr>
        <w:t xml:space="preserve">, 3(1), pp.760–820. </w:t>
      </w:r>
      <w:proofErr w:type="spellStart"/>
      <w:proofErr w:type="gramStart"/>
      <w:r w:rsidRPr="00B139B9">
        <w:rPr>
          <w:rFonts w:ascii="Arial" w:hAnsi="Arial" w:cs="Arial"/>
          <w:sz w:val="22"/>
          <w:szCs w:val="22"/>
        </w:rPr>
        <w:t>doi:https</w:t>
      </w:r>
      <w:proofErr w:type="spellEnd"/>
      <w:r w:rsidRPr="00B139B9">
        <w:rPr>
          <w:rFonts w:ascii="Arial" w:hAnsi="Arial" w:cs="Arial"/>
          <w:sz w:val="22"/>
          <w:szCs w:val="22"/>
        </w:rPr>
        <w:t>://doi.org/10.1093/</w:t>
      </w:r>
      <w:proofErr w:type="spellStart"/>
      <w:r w:rsidRPr="00B139B9">
        <w:rPr>
          <w:rFonts w:ascii="Arial" w:hAnsi="Arial" w:cs="Arial"/>
          <w:sz w:val="22"/>
          <w:szCs w:val="22"/>
        </w:rPr>
        <w:t>ooec</w:t>
      </w:r>
      <w:proofErr w:type="spellEnd"/>
      <w:r w:rsidRPr="00B139B9">
        <w:rPr>
          <w:rFonts w:ascii="Arial" w:hAnsi="Arial" w:cs="Arial"/>
          <w:sz w:val="22"/>
          <w:szCs w:val="22"/>
        </w:rPr>
        <w:t>/odad029</w:t>
      </w:r>
      <w:proofErr w:type="gramEnd"/>
      <w:r w:rsidRPr="00B139B9">
        <w:rPr>
          <w:rFonts w:ascii="Arial" w:hAnsi="Arial" w:cs="Arial"/>
          <w:sz w:val="22"/>
          <w:szCs w:val="22"/>
        </w:rPr>
        <w:t>.</w:t>
      </w:r>
    </w:p>
    <w:p w14:paraId="4EA494CF" w14:textId="77777777" w:rsidR="000C74A5" w:rsidRPr="008F6526" w:rsidRDefault="000C74A5" w:rsidP="00B139B9">
      <w:pPr>
        <w:rPr>
          <w:rFonts w:ascii="Arial" w:hAnsi="Arial" w:cs="Arial"/>
          <w:sz w:val="22"/>
          <w:szCs w:val="22"/>
        </w:rPr>
      </w:pPr>
    </w:p>
    <w:p w14:paraId="2E4F0573" w14:textId="2CD342EE" w:rsidR="00B139B9" w:rsidRPr="00B139B9" w:rsidRDefault="00B139B9" w:rsidP="00B139B9">
      <w:pPr>
        <w:rPr>
          <w:rFonts w:ascii="Arial" w:hAnsi="Arial" w:cs="Arial"/>
          <w:sz w:val="22"/>
          <w:szCs w:val="22"/>
        </w:rPr>
      </w:pPr>
      <w:r w:rsidRPr="00B139B9">
        <w:rPr>
          <w:rFonts w:ascii="Arial" w:hAnsi="Arial" w:cs="Arial"/>
          <w:sz w:val="22"/>
          <w:szCs w:val="22"/>
        </w:rPr>
        <w:t xml:space="preserve">Hassan, Y. (2006). Michael </w:t>
      </w:r>
      <w:proofErr w:type="spellStart"/>
      <w:r w:rsidRPr="00B139B9">
        <w:rPr>
          <w:rFonts w:ascii="Arial" w:hAnsi="Arial" w:cs="Arial"/>
          <w:sz w:val="22"/>
          <w:szCs w:val="22"/>
        </w:rPr>
        <w:t>armstrong</w:t>
      </w:r>
      <w:proofErr w:type="spellEnd"/>
      <w:r w:rsidRPr="00B139B9">
        <w:rPr>
          <w:rFonts w:ascii="Arial" w:hAnsi="Arial" w:cs="Arial"/>
          <w:sz w:val="22"/>
          <w:szCs w:val="22"/>
        </w:rPr>
        <w:t xml:space="preserve">-performance management. </w:t>
      </w:r>
      <w:r w:rsidRPr="00B139B9">
        <w:rPr>
          <w:rFonts w:ascii="Arial" w:hAnsi="Arial" w:cs="Arial"/>
          <w:i/>
          <w:iCs/>
          <w:sz w:val="22"/>
          <w:szCs w:val="22"/>
        </w:rPr>
        <w:t>www.academia.edu</w:t>
      </w:r>
      <w:r w:rsidRPr="00B139B9">
        <w:rPr>
          <w:rFonts w:ascii="Arial" w:hAnsi="Arial" w:cs="Arial"/>
          <w:sz w:val="22"/>
          <w:szCs w:val="22"/>
        </w:rPr>
        <w:t>. [online] Available at: https://www.academia.edu/37034843/Michael_armstrong_performance_managemen</w:t>
      </w:r>
      <w:r w:rsidR="000C74A5" w:rsidRPr="008F6526">
        <w:rPr>
          <w:rFonts w:ascii="Arial" w:hAnsi="Arial" w:cs="Arial"/>
          <w:sz w:val="22"/>
          <w:szCs w:val="22"/>
        </w:rPr>
        <w:t>t</w:t>
      </w:r>
      <w:r w:rsidRPr="00B139B9">
        <w:rPr>
          <w:rFonts w:ascii="Arial" w:hAnsi="Arial" w:cs="Arial"/>
          <w:sz w:val="22"/>
          <w:szCs w:val="22"/>
        </w:rPr>
        <w:t>.</w:t>
      </w:r>
    </w:p>
    <w:p w14:paraId="2890D695" w14:textId="77777777" w:rsidR="00B139B9" w:rsidRPr="00B139B9" w:rsidRDefault="00B139B9" w:rsidP="00B139B9">
      <w:pPr>
        <w:rPr>
          <w:rFonts w:ascii="Arial" w:hAnsi="Arial" w:cs="Arial"/>
          <w:sz w:val="22"/>
          <w:szCs w:val="22"/>
        </w:rPr>
      </w:pPr>
      <w:r w:rsidRPr="00B139B9">
        <w:rPr>
          <w:rFonts w:ascii="Arial" w:hAnsi="Arial" w:cs="Arial"/>
          <w:sz w:val="22"/>
          <w:szCs w:val="22"/>
        </w:rPr>
        <w:t xml:space="preserve">Kaplan, R.S. and Norton, D.P. (2004). </w:t>
      </w:r>
      <w:r w:rsidRPr="00B139B9">
        <w:rPr>
          <w:rFonts w:ascii="Arial" w:hAnsi="Arial" w:cs="Arial"/>
          <w:i/>
          <w:iCs/>
          <w:sz w:val="22"/>
          <w:szCs w:val="22"/>
        </w:rPr>
        <w:t>Measuring the Strategic Readiness of Intangible Assets</w:t>
      </w:r>
      <w:r w:rsidRPr="00B139B9">
        <w:rPr>
          <w:rFonts w:ascii="Arial" w:hAnsi="Arial" w:cs="Arial"/>
          <w:sz w:val="22"/>
          <w:szCs w:val="22"/>
        </w:rPr>
        <w:t>. [online] Harvard Business Review. Available at: https://hbr.org/2004/02/measuring-the-strategic-readiness-of-intangible-assets.</w:t>
      </w:r>
    </w:p>
    <w:p w14:paraId="1695C566" w14:textId="77777777" w:rsidR="000C74A5" w:rsidRPr="008F6526" w:rsidRDefault="000C74A5" w:rsidP="00B139B9">
      <w:pPr>
        <w:rPr>
          <w:rFonts w:ascii="Arial" w:hAnsi="Arial" w:cs="Arial"/>
          <w:sz w:val="22"/>
          <w:szCs w:val="22"/>
        </w:rPr>
      </w:pPr>
    </w:p>
    <w:p w14:paraId="5784E8BF" w14:textId="3FBB7C21" w:rsidR="00B139B9" w:rsidRPr="00B139B9" w:rsidRDefault="00B139B9" w:rsidP="00B139B9">
      <w:pPr>
        <w:rPr>
          <w:rFonts w:ascii="Arial" w:hAnsi="Arial" w:cs="Arial"/>
          <w:sz w:val="22"/>
          <w:szCs w:val="22"/>
        </w:rPr>
      </w:pPr>
      <w:r w:rsidRPr="00B139B9">
        <w:rPr>
          <w:rFonts w:ascii="Arial" w:hAnsi="Arial" w:cs="Arial"/>
          <w:sz w:val="22"/>
          <w:szCs w:val="22"/>
        </w:rPr>
        <w:t xml:space="preserve">Mazzei, M. (2024). </w:t>
      </w:r>
      <w:r w:rsidRPr="00B139B9">
        <w:rPr>
          <w:rFonts w:ascii="Arial" w:hAnsi="Arial" w:cs="Arial"/>
          <w:i/>
          <w:iCs/>
          <w:sz w:val="22"/>
          <w:szCs w:val="22"/>
        </w:rPr>
        <w:t>Resource-Based View (RBV) | EBSCO</w:t>
      </w:r>
      <w:r w:rsidRPr="00B139B9">
        <w:rPr>
          <w:rFonts w:ascii="Arial" w:hAnsi="Arial" w:cs="Arial"/>
          <w:sz w:val="22"/>
          <w:szCs w:val="22"/>
        </w:rPr>
        <w:t>. [online] EBSCO Information Services, Inc. | www.ebsco.com. Available at: https://www.ebsco.com/research-starters/business-and-management/resource-based-view-rbv.</w:t>
      </w:r>
    </w:p>
    <w:p w14:paraId="6554C539" w14:textId="77777777" w:rsidR="000C74A5" w:rsidRPr="008F6526" w:rsidRDefault="000C74A5" w:rsidP="00B139B9">
      <w:pPr>
        <w:rPr>
          <w:rFonts w:ascii="Arial" w:hAnsi="Arial" w:cs="Arial"/>
          <w:sz w:val="22"/>
          <w:szCs w:val="22"/>
        </w:rPr>
      </w:pPr>
    </w:p>
    <w:p w14:paraId="20E1C054" w14:textId="0AC29181" w:rsidR="00B139B9" w:rsidRPr="00B139B9" w:rsidRDefault="00B139B9" w:rsidP="00B139B9">
      <w:pPr>
        <w:rPr>
          <w:rFonts w:ascii="Arial" w:hAnsi="Arial" w:cs="Arial"/>
          <w:sz w:val="22"/>
          <w:szCs w:val="22"/>
        </w:rPr>
      </w:pPr>
      <w:r w:rsidRPr="00B139B9">
        <w:rPr>
          <w:rFonts w:ascii="Arial" w:hAnsi="Arial" w:cs="Arial"/>
          <w:sz w:val="22"/>
          <w:szCs w:val="22"/>
        </w:rPr>
        <w:t xml:space="preserve">Moltke, N. von (2025). </w:t>
      </w:r>
      <w:r w:rsidRPr="00B139B9">
        <w:rPr>
          <w:rFonts w:ascii="Arial" w:hAnsi="Arial" w:cs="Arial"/>
          <w:i/>
          <w:iCs/>
          <w:sz w:val="22"/>
          <w:szCs w:val="22"/>
        </w:rPr>
        <w:t>How Human Resources Contributes to an Organization’s Strategy in 10 Ways</w:t>
      </w:r>
      <w:r w:rsidRPr="00B139B9">
        <w:rPr>
          <w:rFonts w:ascii="Arial" w:hAnsi="Arial" w:cs="Arial"/>
          <w:sz w:val="22"/>
          <w:szCs w:val="22"/>
        </w:rPr>
        <w:t>. [online] AIHR. Available at: https://www.aihr.com/blog/how-hr-contributes-to-organizational-strategy/.</w:t>
      </w:r>
    </w:p>
    <w:p w14:paraId="4070DA01" w14:textId="77777777" w:rsidR="000C74A5" w:rsidRPr="008F6526" w:rsidRDefault="000C74A5" w:rsidP="00B139B9">
      <w:pPr>
        <w:rPr>
          <w:rFonts w:ascii="Arial" w:hAnsi="Arial" w:cs="Arial"/>
          <w:sz w:val="22"/>
          <w:szCs w:val="22"/>
        </w:rPr>
      </w:pPr>
    </w:p>
    <w:p w14:paraId="0F9C214C" w14:textId="001F00DD" w:rsidR="00B139B9" w:rsidRPr="00B139B9" w:rsidRDefault="00B139B9" w:rsidP="00B139B9">
      <w:pPr>
        <w:rPr>
          <w:rFonts w:ascii="Arial" w:hAnsi="Arial" w:cs="Arial"/>
          <w:sz w:val="22"/>
          <w:szCs w:val="22"/>
        </w:rPr>
      </w:pPr>
      <w:r w:rsidRPr="00B139B9">
        <w:rPr>
          <w:rFonts w:ascii="Arial" w:hAnsi="Arial" w:cs="Arial"/>
          <w:sz w:val="22"/>
          <w:szCs w:val="22"/>
        </w:rPr>
        <w:t xml:space="preserve">Skinner, B.F. (1938). </w:t>
      </w:r>
      <w:r w:rsidRPr="00B139B9">
        <w:rPr>
          <w:rFonts w:ascii="Arial" w:hAnsi="Arial" w:cs="Arial"/>
          <w:i/>
          <w:iCs/>
          <w:sz w:val="22"/>
          <w:szCs w:val="22"/>
        </w:rPr>
        <w:t>THE BEHAVIOR OF ORGANISMS An Experimental Analysis</w:t>
      </w:r>
      <w:r w:rsidRPr="00B139B9">
        <w:rPr>
          <w:rFonts w:ascii="Arial" w:hAnsi="Arial" w:cs="Arial"/>
          <w:sz w:val="22"/>
          <w:szCs w:val="22"/>
        </w:rPr>
        <w:t>. [online] Available at: https://www.bfskinner.org/wp-content/uploads/2016/02/BoO.pdf.</w:t>
      </w:r>
    </w:p>
    <w:p w14:paraId="6B04C456" w14:textId="77777777" w:rsidR="000C74A5" w:rsidRPr="008F6526" w:rsidRDefault="000C74A5" w:rsidP="00B139B9">
      <w:pPr>
        <w:rPr>
          <w:rFonts w:ascii="Arial" w:hAnsi="Arial" w:cs="Arial"/>
          <w:sz w:val="22"/>
          <w:szCs w:val="22"/>
        </w:rPr>
      </w:pPr>
    </w:p>
    <w:p w14:paraId="73B61EB9" w14:textId="4468294A" w:rsidR="00B139B9" w:rsidRPr="00B139B9" w:rsidRDefault="00B139B9" w:rsidP="00B139B9">
      <w:pPr>
        <w:rPr>
          <w:rFonts w:ascii="Arial" w:hAnsi="Arial" w:cs="Arial"/>
          <w:sz w:val="22"/>
          <w:szCs w:val="22"/>
        </w:rPr>
      </w:pPr>
      <w:r w:rsidRPr="00B139B9">
        <w:rPr>
          <w:rFonts w:ascii="Arial" w:hAnsi="Arial" w:cs="Arial"/>
          <w:sz w:val="22"/>
          <w:szCs w:val="22"/>
        </w:rPr>
        <w:t xml:space="preserve">Snowdon, I. (2025). </w:t>
      </w:r>
      <w:r w:rsidRPr="00B139B9">
        <w:rPr>
          <w:rFonts w:ascii="Arial" w:hAnsi="Arial" w:cs="Arial"/>
          <w:i/>
          <w:iCs/>
          <w:sz w:val="22"/>
          <w:szCs w:val="22"/>
        </w:rPr>
        <w:t>Unlock top talent: Building a powerful employee value proposition (EVP)</w:t>
      </w:r>
      <w:r w:rsidRPr="00B139B9">
        <w:rPr>
          <w:rFonts w:ascii="Arial" w:hAnsi="Arial" w:cs="Arial"/>
          <w:sz w:val="22"/>
          <w:szCs w:val="22"/>
        </w:rPr>
        <w:t>. [online] Peoplehr.com. Available at: https://www.peoplehr.com/en-gb/resources/blog/how-to-build-an-employee-value-proposition/.</w:t>
      </w:r>
    </w:p>
    <w:p w14:paraId="10A0F9A6" w14:textId="77777777" w:rsidR="000C74A5" w:rsidRPr="008F6526" w:rsidRDefault="000C74A5" w:rsidP="00B139B9">
      <w:pPr>
        <w:rPr>
          <w:rFonts w:ascii="Arial" w:hAnsi="Arial" w:cs="Arial"/>
          <w:sz w:val="22"/>
          <w:szCs w:val="22"/>
        </w:rPr>
      </w:pPr>
    </w:p>
    <w:p w14:paraId="2CC58F4D" w14:textId="30ED09E2" w:rsidR="00B139B9" w:rsidRPr="00B139B9" w:rsidRDefault="00B139B9" w:rsidP="00B139B9">
      <w:pPr>
        <w:rPr>
          <w:rFonts w:ascii="Arial" w:hAnsi="Arial" w:cs="Arial"/>
          <w:sz w:val="22"/>
          <w:szCs w:val="22"/>
        </w:rPr>
      </w:pPr>
      <w:r w:rsidRPr="00B139B9">
        <w:rPr>
          <w:rFonts w:ascii="Arial" w:hAnsi="Arial" w:cs="Arial"/>
          <w:sz w:val="22"/>
          <w:szCs w:val="22"/>
        </w:rPr>
        <w:t xml:space="preserve">Tawse, A. and Tabesh, P. (2023). Thirty Years with the Balanced scorecard: What We Have Learned. </w:t>
      </w:r>
      <w:r w:rsidRPr="00B139B9">
        <w:rPr>
          <w:rFonts w:ascii="Arial" w:hAnsi="Arial" w:cs="Arial"/>
          <w:i/>
          <w:iCs/>
          <w:sz w:val="22"/>
          <w:szCs w:val="22"/>
        </w:rPr>
        <w:t>Business Horizons</w:t>
      </w:r>
      <w:r w:rsidRPr="00B139B9">
        <w:rPr>
          <w:rFonts w:ascii="Arial" w:hAnsi="Arial" w:cs="Arial"/>
          <w:sz w:val="22"/>
          <w:szCs w:val="22"/>
        </w:rPr>
        <w:t xml:space="preserve">, [online] 66(1), pp.123–132. </w:t>
      </w:r>
      <w:proofErr w:type="spellStart"/>
      <w:proofErr w:type="gramStart"/>
      <w:r w:rsidRPr="00B139B9">
        <w:rPr>
          <w:rFonts w:ascii="Arial" w:hAnsi="Arial" w:cs="Arial"/>
          <w:sz w:val="22"/>
          <w:szCs w:val="22"/>
        </w:rPr>
        <w:t>doi:https</w:t>
      </w:r>
      <w:proofErr w:type="spellEnd"/>
      <w:r w:rsidRPr="00B139B9">
        <w:rPr>
          <w:rFonts w:ascii="Arial" w:hAnsi="Arial" w:cs="Arial"/>
          <w:sz w:val="22"/>
          <w:szCs w:val="22"/>
        </w:rPr>
        <w:t>://doi.org/10.1016/j.bushor.2022.03.005</w:t>
      </w:r>
      <w:proofErr w:type="gramEnd"/>
      <w:r w:rsidRPr="00B139B9">
        <w:rPr>
          <w:rFonts w:ascii="Arial" w:hAnsi="Arial" w:cs="Arial"/>
          <w:sz w:val="22"/>
          <w:szCs w:val="22"/>
        </w:rPr>
        <w:t>.</w:t>
      </w:r>
    </w:p>
    <w:p w14:paraId="37ADDFE8" w14:textId="77777777" w:rsidR="000C74A5" w:rsidRPr="008F6526" w:rsidRDefault="000C74A5" w:rsidP="00B139B9">
      <w:pPr>
        <w:rPr>
          <w:rFonts w:ascii="Arial" w:hAnsi="Arial" w:cs="Arial"/>
          <w:sz w:val="22"/>
          <w:szCs w:val="22"/>
        </w:rPr>
      </w:pPr>
    </w:p>
    <w:p w14:paraId="32174C9F" w14:textId="0A9600EB" w:rsidR="00B139B9" w:rsidRPr="00B139B9" w:rsidRDefault="00B139B9" w:rsidP="00B139B9">
      <w:pPr>
        <w:rPr>
          <w:rFonts w:ascii="Arial" w:hAnsi="Arial" w:cs="Arial"/>
          <w:sz w:val="22"/>
          <w:szCs w:val="22"/>
        </w:rPr>
      </w:pPr>
      <w:r w:rsidRPr="00B139B9">
        <w:rPr>
          <w:rFonts w:ascii="Arial" w:hAnsi="Arial" w:cs="Arial"/>
          <w:sz w:val="22"/>
          <w:szCs w:val="22"/>
        </w:rPr>
        <w:t xml:space="preserve">Vulpen, E. van (2020). </w:t>
      </w:r>
      <w:r w:rsidRPr="00B139B9">
        <w:rPr>
          <w:rFonts w:ascii="Arial" w:hAnsi="Arial" w:cs="Arial"/>
          <w:i/>
          <w:iCs/>
          <w:sz w:val="22"/>
          <w:szCs w:val="22"/>
        </w:rPr>
        <w:t>Strategic Human Resource Management: The Basics</w:t>
      </w:r>
      <w:r w:rsidRPr="00B139B9">
        <w:rPr>
          <w:rFonts w:ascii="Arial" w:hAnsi="Arial" w:cs="Arial"/>
          <w:sz w:val="22"/>
          <w:szCs w:val="22"/>
        </w:rPr>
        <w:t>. [online] AIHR. Available at: https://www.aihr.com/blog/strategic-human-resource-management/.</w:t>
      </w:r>
    </w:p>
    <w:p w14:paraId="42E34CD3" w14:textId="77777777" w:rsidR="00B139B9" w:rsidRPr="00B139B9" w:rsidRDefault="00B139B9" w:rsidP="00B139B9">
      <w:pPr>
        <w:rPr>
          <w:rFonts w:ascii="Arial" w:hAnsi="Arial" w:cs="Arial"/>
          <w:sz w:val="22"/>
          <w:szCs w:val="22"/>
        </w:rPr>
      </w:pPr>
      <w:r w:rsidRPr="00B139B9">
        <w:rPr>
          <w:rFonts w:ascii="Arial" w:hAnsi="Arial" w:cs="Arial"/>
          <w:sz w:val="22"/>
          <w:szCs w:val="22"/>
        </w:rPr>
        <w:lastRenderedPageBreak/>
        <w:t xml:space="preserve">Westover, J.H. (2025). </w:t>
      </w:r>
      <w:r w:rsidRPr="00B139B9">
        <w:rPr>
          <w:rFonts w:ascii="Arial" w:hAnsi="Arial" w:cs="Arial"/>
          <w:i/>
          <w:iCs/>
          <w:sz w:val="22"/>
          <w:szCs w:val="22"/>
        </w:rPr>
        <w:t>Harnessing Human Capital: How Strategic HR Drives Competitive Advantage</w:t>
      </w:r>
      <w:r w:rsidRPr="00B139B9">
        <w:rPr>
          <w:rFonts w:ascii="Arial" w:hAnsi="Arial" w:cs="Arial"/>
          <w:sz w:val="22"/>
          <w:szCs w:val="22"/>
        </w:rPr>
        <w:t>. [online] HCI Consulting. Available at: https://www.innovativehumancapital.com/article/harnessing-human-capital-how-strategic-hr-drives-competitive-advantage.</w:t>
      </w:r>
    </w:p>
    <w:p w14:paraId="6EA8FD87" w14:textId="77777777" w:rsidR="00B139B9" w:rsidRPr="008F6526" w:rsidRDefault="00B139B9" w:rsidP="00B139B9">
      <w:pPr>
        <w:rPr>
          <w:rFonts w:ascii="Arial" w:hAnsi="Arial" w:cs="Arial"/>
          <w:sz w:val="22"/>
          <w:szCs w:val="22"/>
        </w:rPr>
      </w:pPr>
    </w:p>
    <w:p w14:paraId="7239E921" w14:textId="5EB8646B" w:rsidR="004E7B6E" w:rsidRPr="004E7B6E" w:rsidRDefault="004E7B6E" w:rsidP="004E7B6E">
      <w:pPr>
        <w:rPr>
          <w:rFonts w:ascii="Arial" w:hAnsi="Arial" w:cs="Arial"/>
          <w:sz w:val="22"/>
          <w:szCs w:val="22"/>
        </w:rPr>
      </w:pPr>
    </w:p>
    <w:p w14:paraId="292CF578" w14:textId="5B127A37" w:rsidR="00D31925" w:rsidRPr="008F6526" w:rsidRDefault="00D31925" w:rsidP="00875E06">
      <w:pPr>
        <w:rPr>
          <w:rFonts w:ascii="Arial" w:hAnsi="Arial" w:cs="Arial"/>
          <w:sz w:val="22"/>
          <w:szCs w:val="22"/>
        </w:rPr>
      </w:pPr>
    </w:p>
    <w:p w14:paraId="7FDA69B2" w14:textId="77777777" w:rsidR="00875E06" w:rsidRPr="008F6526" w:rsidRDefault="00875E06" w:rsidP="00875E06">
      <w:pPr>
        <w:rPr>
          <w:rFonts w:ascii="Arial" w:hAnsi="Arial" w:cs="Arial"/>
          <w:sz w:val="22"/>
          <w:szCs w:val="22"/>
        </w:rPr>
      </w:pPr>
    </w:p>
    <w:p w14:paraId="54496D05" w14:textId="77777777" w:rsidR="00875E06" w:rsidRPr="008F6526" w:rsidRDefault="00875E06" w:rsidP="00875E06">
      <w:pPr>
        <w:rPr>
          <w:rFonts w:ascii="Arial" w:hAnsi="Arial" w:cs="Arial"/>
          <w:sz w:val="22"/>
          <w:szCs w:val="22"/>
        </w:rPr>
      </w:pPr>
    </w:p>
    <w:p w14:paraId="6E753CB5" w14:textId="133F99FF" w:rsidR="00441492" w:rsidRPr="008F6526" w:rsidRDefault="00441492" w:rsidP="00441492">
      <w:pPr>
        <w:rPr>
          <w:rFonts w:ascii="Arial" w:hAnsi="Arial" w:cs="Arial"/>
          <w:sz w:val="22"/>
          <w:szCs w:val="22"/>
        </w:rPr>
      </w:pPr>
    </w:p>
    <w:sectPr w:rsidR="00441492" w:rsidRPr="008F6526">
      <w:footerReference w:type="default" r:id="rId7"/>
      <w:pgSz w:w="11907" w:h="16840" w:code="9"/>
      <w:pgMar w:top="1440" w:right="1797" w:bottom="1440" w:left="179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96707" w14:textId="77777777" w:rsidR="00DC52CB" w:rsidRDefault="00DC52CB" w:rsidP="00676F06">
      <w:r>
        <w:separator/>
      </w:r>
    </w:p>
  </w:endnote>
  <w:endnote w:type="continuationSeparator" w:id="0">
    <w:p w14:paraId="29CBF9A8" w14:textId="77777777" w:rsidR="00DC52CB" w:rsidRDefault="00DC52CB" w:rsidP="00676F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0362142"/>
      <w:docPartObj>
        <w:docPartGallery w:val="Page Numbers (Bottom of Page)"/>
        <w:docPartUnique/>
      </w:docPartObj>
    </w:sdtPr>
    <w:sdtEndPr>
      <w:rPr>
        <w:noProof/>
      </w:rPr>
    </w:sdtEndPr>
    <w:sdtContent>
      <w:p w14:paraId="0BEB9082" w14:textId="73AB3D25" w:rsidR="00676F06" w:rsidRDefault="00676F0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066141" w14:textId="77777777" w:rsidR="00676F06" w:rsidRDefault="00676F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12A898" w14:textId="77777777" w:rsidR="00DC52CB" w:rsidRDefault="00DC52CB" w:rsidP="00676F06">
      <w:r>
        <w:separator/>
      </w:r>
    </w:p>
  </w:footnote>
  <w:footnote w:type="continuationSeparator" w:id="0">
    <w:p w14:paraId="7573A70C" w14:textId="77777777" w:rsidR="00DC52CB" w:rsidRDefault="00DC52CB" w:rsidP="00676F0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3A6"/>
    <w:rsid w:val="000242B5"/>
    <w:rsid w:val="00057691"/>
    <w:rsid w:val="00061FD2"/>
    <w:rsid w:val="0007637C"/>
    <w:rsid w:val="000928A7"/>
    <w:rsid w:val="000A0356"/>
    <w:rsid w:val="000A3C5E"/>
    <w:rsid w:val="000B1F09"/>
    <w:rsid w:val="000C74A5"/>
    <w:rsid w:val="000E73BB"/>
    <w:rsid w:val="000F2411"/>
    <w:rsid w:val="00141F7B"/>
    <w:rsid w:val="0014228F"/>
    <w:rsid w:val="001628C7"/>
    <w:rsid w:val="001903A6"/>
    <w:rsid w:val="00191617"/>
    <w:rsid w:val="00191BF9"/>
    <w:rsid w:val="001B3680"/>
    <w:rsid w:val="001C1264"/>
    <w:rsid w:val="001D1CF4"/>
    <w:rsid w:val="002634C2"/>
    <w:rsid w:val="00275EE9"/>
    <w:rsid w:val="0028390D"/>
    <w:rsid w:val="002A79A8"/>
    <w:rsid w:val="002C6ABE"/>
    <w:rsid w:val="002D3AB3"/>
    <w:rsid w:val="002E086F"/>
    <w:rsid w:val="003128B6"/>
    <w:rsid w:val="0035731C"/>
    <w:rsid w:val="00365E99"/>
    <w:rsid w:val="003B5E4D"/>
    <w:rsid w:val="003C3BED"/>
    <w:rsid w:val="003C3E37"/>
    <w:rsid w:val="003E6276"/>
    <w:rsid w:val="003F6725"/>
    <w:rsid w:val="0040797B"/>
    <w:rsid w:val="00411D79"/>
    <w:rsid w:val="0042571B"/>
    <w:rsid w:val="00437633"/>
    <w:rsid w:val="00441492"/>
    <w:rsid w:val="00471801"/>
    <w:rsid w:val="004758AA"/>
    <w:rsid w:val="004B0D2F"/>
    <w:rsid w:val="004B69F2"/>
    <w:rsid w:val="004C4915"/>
    <w:rsid w:val="004D02ED"/>
    <w:rsid w:val="004D1940"/>
    <w:rsid w:val="004E343A"/>
    <w:rsid w:val="004E7B6E"/>
    <w:rsid w:val="004F1997"/>
    <w:rsid w:val="00507D77"/>
    <w:rsid w:val="00510EDB"/>
    <w:rsid w:val="00521382"/>
    <w:rsid w:val="00532C06"/>
    <w:rsid w:val="00587B59"/>
    <w:rsid w:val="005A0D2A"/>
    <w:rsid w:val="00612C2B"/>
    <w:rsid w:val="00615923"/>
    <w:rsid w:val="0061798C"/>
    <w:rsid w:val="006350F8"/>
    <w:rsid w:val="00635B0E"/>
    <w:rsid w:val="00655254"/>
    <w:rsid w:val="006703D8"/>
    <w:rsid w:val="00671C8D"/>
    <w:rsid w:val="00676F06"/>
    <w:rsid w:val="006977F3"/>
    <w:rsid w:val="006A6547"/>
    <w:rsid w:val="006A6F3B"/>
    <w:rsid w:val="006B0EE7"/>
    <w:rsid w:val="006B7FF6"/>
    <w:rsid w:val="006E78C5"/>
    <w:rsid w:val="00700624"/>
    <w:rsid w:val="0070389C"/>
    <w:rsid w:val="00703CFE"/>
    <w:rsid w:val="00704995"/>
    <w:rsid w:val="00727169"/>
    <w:rsid w:val="007303A4"/>
    <w:rsid w:val="007341C3"/>
    <w:rsid w:val="00764BDF"/>
    <w:rsid w:val="00790DF7"/>
    <w:rsid w:val="007E447C"/>
    <w:rsid w:val="007E5E73"/>
    <w:rsid w:val="007F35E6"/>
    <w:rsid w:val="0080531A"/>
    <w:rsid w:val="0080556C"/>
    <w:rsid w:val="00807CC5"/>
    <w:rsid w:val="00811488"/>
    <w:rsid w:val="00821436"/>
    <w:rsid w:val="00834685"/>
    <w:rsid w:val="00875829"/>
    <w:rsid w:val="00875E06"/>
    <w:rsid w:val="008B7DEC"/>
    <w:rsid w:val="008C01A1"/>
    <w:rsid w:val="008C2FBE"/>
    <w:rsid w:val="008E3AD9"/>
    <w:rsid w:val="008F2A1B"/>
    <w:rsid w:val="008F38CB"/>
    <w:rsid w:val="008F6526"/>
    <w:rsid w:val="009020A8"/>
    <w:rsid w:val="00974EFF"/>
    <w:rsid w:val="00993650"/>
    <w:rsid w:val="009942D6"/>
    <w:rsid w:val="009A7763"/>
    <w:rsid w:val="009B77E1"/>
    <w:rsid w:val="009C4E63"/>
    <w:rsid w:val="009E2888"/>
    <w:rsid w:val="009F67DC"/>
    <w:rsid w:val="00A1173A"/>
    <w:rsid w:val="00A52E4B"/>
    <w:rsid w:val="00A56DBC"/>
    <w:rsid w:val="00A634A4"/>
    <w:rsid w:val="00A7295C"/>
    <w:rsid w:val="00A833EB"/>
    <w:rsid w:val="00A9142E"/>
    <w:rsid w:val="00AD27E2"/>
    <w:rsid w:val="00AD7543"/>
    <w:rsid w:val="00AE6EC1"/>
    <w:rsid w:val="00B0009C"/>
    <w:rsid w:val="00B01D6D"/>
    <w:rsid w:val="00B12CAE"/>
    <w:rsid w:val="00B139B9"/>
    <w:rsid w:val="00B158B8"/>
    <w:rsid w:val="00B16648"/>
    <w:rsid w:val="00B30B7F"/>
    <w:rsid w:val="00B36B6E"/>
    <w:rsid w:val="00B44CE6"/>
    <w:rsid w:val="00B460CB"/>
    <w:rsid w:val="00B9043A"/>
    <w:rsid w:val="00B92A32"/>
    <w:rsid w:val="00BA047A"/>
    <w:rsid w:val="00BD3F18"/>
    <w:rsid w:val="00C054C5"/>
    <w:rsid w:val="00C05689"/>
    <w:rsid w:val="00C1433C"/>
    <w:rsid w:val="00C17283"/>
    <w:rsid w:val="00C44B59"/>
    <w:rsid w:val="00C510FD"/>
    <w:rsid w:val="00C66A16"/>
    <w:rsid w:val="00C758E1"/>
    <w:rsid w:val="00C77EFD"/>
    <w:rsid w:val="00C91CBD"/>
    <w:rsid w:val="00C91FA7"/>
    <w:rsid w:val="00CC5C5B"/>
    <w:rsid w:val="00CD4445"/>
    <w:rsid w:val="00CD5856"/>
    <w:rsid w:val="00CD7BA5"/>
    <w:rsid w:val="00CE4064"/>
    <w:rsid w:val="00D31925"/>
    <w:rsid w:val="00D37AF3"/>
    <w:rsid w:val="00D808DF"/>
    <w:rsid w:val="00D813D6"/>
    <w:rsid w:val="00D90174"/>
    <w:rsid w:val="00DA0447"/>
    <w:rsid w:val="00DB1C6D"/>
    <w:rsid w:val="00DC52CB"/>
    <w:rsid w:val="00DC64AD"/>
    <w:rsid w:val="00DE03BC"/>
    <w:rsid w:val="00DE0562"/>
    <w:rsid w:val="00DE5765"/>
    <w:rsid w:val="00DE7324"/>
    <w:rsid w:val="00E04A10"/>
    <w:rsid w:val="00E14B1E"/>
    <w:rsid w:val="00E15C55"/>
    <w:rsid w:val="00E72692"/>
    <w:rsid w:val="00E7440F"/>
    <w:rsid w:val="00E81F22"/>
    <w:rsid w:val="00E91352"/>
    <w:rsid w:val="00EA04F3"/>
    <w:rsid w:val="00EA0A33"/>
    <w:rsid w:val="00EA4170"/>
    <w:rsid w:val="00EB288E"/>
    <w:rsid w:val="00EC09EA"/>
    <w:rsid w:val="00EC6A25"/>
    <w:rsid w:val="00ED7DB2"/>
    <w:rsid w:val="00F15932"/>
    <w:rsid w:val="00F24605"/>
    <w:rsid w:val="00F2471A"/>
    <w:rsid w:val="00F444C7"/>
    <w:rsid w:val="00F6696E"/>
    <w:rsid w:val="00F6708D"/>
    <w:rsid w:val="00F96579"/>
    <w:rsid w:val="00FA7C11"/>
    <w:rsid w:val="00FB2044"/>
    <w:rsid w:val="00FB450A"/>
    <w:rsid w:val="00FC3A59"/>
    <w:rsid w:val="00FD1145"/>
    <w:rsid w:val="00FF026B"/>
    <w:rsid w:val="00FF73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31BADF"/>
  <w15:chartTrackingRefBased/>
  <w15:docId w15:val="{39D85A26-5CC4-4C88-93BE-8E2E40A86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Garamond" w:hAnsi="Garamond"/>
      <w:sz w:val="24"/>
    </w:rPr>
  </w:style>
  <w:style w:type="paragraph" w:styleId="Heading1">
    <w:name w:val="heading 1"/>
    <w:basedOn w:val="Normal"/>
    <w:next w:val="Normal"/>
    <w:link w:val="Heading1Char"/>
    <w:uiPriority w:val="9"/>
    <w:qFormat/>
    <w:rsid w:val="001903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03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03A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03A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903A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903A6"/>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903A6"/>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903A6"/>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903A6"/>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03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03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03A6"/>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03A6"/>
    <w:rPr>
      <w:rFonts w:asciiTheme="minorHAnsi" w:eastAsiaTheme="majorEastAsia" w:hAnsiTheme="minorHAnsi" w:cstheme="majorBidi"/>
      <w:i/>
      <w:iCs/>
      <w:color w:val="0F4761" w:themeColor="accent1" w:themeShade="BF"/>
      <w:sz w:val="24"/>
    </w:rPr>
  </w:style>
  <w:style w:type="character" w:customStyle="1" w:styleId="Heading5Char">
    <w:name w:val="Heading 5 Char"/>
    <w:basedOn w:val="DefaultParagraphFont"/>
    <w:link w:val="Heading5"/>
    <w:uiPriority w:val="9"/>
    <w:semiHidden/>
    <w:rsid w:val="001903A6"/>
    <w:rPr>
      <w:rFonts w:asciiTheme="minorHAnsi" w:eastAsiaTheme="majorEastAsia" w:hAnsiTheme="minorHAnsi" w:cstheme="majorBidi"/>
      <w:color w:val="0F4761" w:themeColor="accent1" w:themeShade="BF"/>
      <w:sz w:val="24"/>
    </w:rPr>
  </w:style>
  <w:style w:type="character" w:customStyle="1" w:styleId="Heading6Char">
    <w:name w:val="Heading 6 Char"/>
    <w:basedOn w:val="DefaultParagraphFont"/>
    <w:link w:val="Heading6"/>
    <w:uiPriority w:val="9"/>
    <w:semiHidden/>
    <w:rsid w:val="001903A6"/>
    <w:rPr>
      <w:rFonts w:asciiTheme="minorHAnsi" w:eastAsiaTheme="majorEastAsia" w:hAnsiTheme="minorHAnsi" w:cstheme="majorBidi"/>
      <w:i/>
      <w:iCs/>
      <w:color w:val="595959" w:themeColor="text1" w:themeTint="A6"/>
      <w:sz w:val="24"/>
    </w:rPr>
  </w:style>
  <w:style w:type="character" w:customStyle="1" w:styleId="Heading7Char">
    <w:name w:val="Heading 7 Char"/>
    <w:basedOn w:val="DefaultParagraphFont"/>
    <w:link w:val="Heading7"/>
    <w:uiPriority w:val="9"/>
    <w:semiHidden/>
    <w:rsid w:val="001903A6"/>
    <w:rPr>
      <w:rFonts w:asciiTheme="minorHAnsi" w:eastAsiaTheme="majorEastAsia" w:hAnsiTheme="minorHAnsi" w:cstheme="majorBidi"/>
      <w:color w:val="595959" w:themeColor="text1" w:themeTint="A6"/>
      <w:sz w:val="24"/>
    </w:rPr>
  </w:style>
  <w:style w:type="character" w:customStyle="1" w:styleId="Heading8Char">
    <w:name w:val="Heading 8 Char"/>
    <w:basedOn w:val="DefaultParagraphFont"/>
    <w:link w:val="Heading8"/>
    <w:uiPriority w:val="9"/>
    <w:semiHidden/>
    <w:rsid w:val="001903A6"/>
    <w:rPr>
      <w:rFonts w:asciiTheme="minorHAnsi" w:eastAsiaTheme="majorEastAsia" w:hAnsiTheme="minorHAnsi" w:cstheme="majorBidi"/>
      <w:i/>
      <w:iCs/>
      <w:color w:val="272727" w:themeColor="text1" w:themeTint="D8"/>
      <w:sz w:val="24"/>
    </w:rPr>
  </w:style>
  <w:style w:type="character" w:customStyle="1" w:styleId="Heading9Char">
    <w:name w:val="Heading 9 Char"/>
    <w:basedOn w:val="DefaultParagraphFont"/>
    <w:link w:val="Heading9"/>
    <w:uiPriority w:val="9"/>
    <w:semiHidden/>
    <w:rsid w:val="001903A6"/>
    <w:rPr>
      <w:rFonts w:asciiTheme="minorHAnsi" w:eastAsiaTheme="majorEastAsia" w:hAnsiTheme="minorHAnsi" w:cstheme="majorBidi"/>
      <w:color w:val="272727" w:themeColor="text1" w:themeTint="D8"/>
      <w:sz w:val="24"/>
    </w:rPr>
  </w:style>
  <w:style w:type="paragraph" w:styleId="Title">
    <w:name w:val="Title"/>
    <w:basedOn w:val="Normal"/>
    <w:next w:val="Normal"/>
    <w:link w:val="TitleChar"/>
    <w:uiPriority w:val="10"/>
    <w:qFormat/>
    <w:rsid w:val="001903A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03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03A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03A6"/>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903A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903A6"/>
    <w:rPr>
      <w:rFonts w:ascii="Garamond" w:hAnsi="Garamond"/>
      <w:i/>
      <w:iCs/>
      <w:color w:val="404040" w:themeColor="text1" w:themeTint="BF"/>
      <w:sz w:val="24"/>
    </w:rPr>
  </w:style>
  <w:style w:type="paragraph" w:styleId="ListParagraph">
    <w:name w:val="List Paragraph"/>
    <w:basedOn w:val="Normal"/>
    <w:uiPriority w:val="34"/>
    <w:qFormat/>
    <w:rsid w:val="001903A6"/>
    <w:pPr>
      <w:ind w:left="720"/>
      <w:contextualSpacing/>
    </w:pPr>
  </w:style>
  <w:style w:type="character" w:styleId="IntenseEmphasis">
    <w:name w:val="Intense Emphasis"/>
    <w:basedOn w:val="DefaultParagraphFont"/>
    <w:uiPriority w:val="21"/>
    <w:qFormat/>
    <w:rsid w:val="001903A6"/>
    <w:rPr>
      <w:i/>
      <w:iCs/>
      <w:color w:val="0F4761" w:themeColor="accent1" w:themeShade="BF"/>
    </w:rPr>
  </w:style>
  <w:style w:type="paragraph" w:styleId="IntenseQuote">
    <w:name w:val="Intense Quote"/>
    <w:basedOn w:val="Normal"/>
    <w:next w:val="Normal"/>
    <w:link w:val="IntenseQuoteChar"/>
    <w:uiPriority w:val="30"/>
    <w:qFormat/>
    <w:rsid w:val="001903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03A6"/>
    <w:rPr>
      <w:rFonts w:ascii="Garamond" w:hAnsi="Garamond"/>
      <w:i/>
      <w:iCs/>
      <w:color w:val="0F4761" w:themeColor="accent1" w:themeShade="BF"/>
      <w:sz w:val="24"/>
    </w:rPr>
  </w:style>
  <w:style w:type="character" w:styleId="IntenseReference">
    <w:name w:val="Intense Reference"/>
    <w:basedOn w:val="DefaultParagraphFont"/>
    <w:uiPriority w:val="32"/>
    <w:qFormat/>
    <w:rsid w:val="001903A6"/>
    <w:rPr>
      <w:b/>
      <w:bCs/>
      <w:smallCaps/>
      <w:color w:val="0F4761" w:themeColor="accent1" w:themeShade="BF"/>
      <w:spacing w:val="5"/>
    </w:rPr>
  </w:style>
  <w:style w:type="table" w:styleId="TableGrid">
    <w:name w:val="Table Grid"/>
    <w:basedOn w:val="TableNormal"/>
    <w:uiPriority w:val="39"/>
    <w:rsid w:val="001903A6"/>
    <w:pPr>
      <w:spacing w:after="160" w:line="259" w:lineRule="auto"/>
    </w:pPr>
    <w:rPr>
      <w:rFonts w:asciiTheme="minorHAnsi" w:eastAsiaTheme="minorEastAsia" w:hAnsiTheme="minorHAnsi" w:cstheme="minorBid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C3E37"/>
    <w:pPr>
      <w:spacing w:before="240" w:after="0" w:line="259" w:lineRule="auto"/>
      <w:outlineLvl w:val="9"/>
    </w:pPr>
    <w:rPr>
      <w:kern w:val="0"/>
      <w:sz w:val="32"/>
      <w:szCs w:val="32"/>
      <w:lang w:val="en-US" w:eastAsia="en-US"/>
      <w14:ligatures w14:val="none"/>
    </w:rPr>
  </w:style>
  <w:style w:type="paragraph" w:styleId="Header">
    <w:name w:val="header"/>
    <w:basedOn w:val="Normal"/>
    <w:link w:val="HeaderChar"/>
    <w:uiPriority w:val="99"/>
    <w:unhideWhenUsed/>
    <w:rsid w:val="00676F06"/>
    <w:pPr>
      <w:tabs>
        <w:tab w:val="center" w:pos="4513"/>
        <w:tab w:val="right" w:pos="9026"/>
      </w:tabs>
    </w:pPr>
  </w:style>
  <w:style w:type="character" w:customStyle="1" w:styleId="HeaderChar">
    <w:name w:val="Header Char"/>
    <w:basedOn w:val="DefaultParagraphFont"/>
    <w:link w:val="Header"/>
    <w:uiPriority w:val="99"/>
    <w:rsid w:val="00676F06"/>
    <w:rPr>
      <w:rFonts w:ascii="Garamond" w:hAnsi="Garamond"/>
      <w:sz w:val="24"/>
    </w:rPr>
  </w:style>
  <w:style w:type="paragraph" w:styleId="Footer">
    <w:name w:val="footer"/>
    <w:basedOn w:val="Normal"/>
    <w:link w:val="FooterChar"/>
    <w:uiPriority w:val="99"/>
    <w:unhideWhenUsed/>
    <w:rsid w:val="00676F06"/>
    <w:pPr>
      <w:tabs>
        <w:tab w:val="center" w:pos="4513"/>
        <w:tab w:val="right" w:pos="9026"/>
      </w:tabs>
    </w:pPr>
  </w:style>
  <w:style w:type="character" w:customStyle="1" w:styleId="FooterChar">
    <w:name w:val="Footer Char"/>
    <w:basedOn w:val="DefaultParagraphFont"/>
    <w:link w:val="Footer"/>
    <w:uiPriority w:val="99"/>
    <w:rsid w:val="00676F06"/>
    <w:rPr>
      <w:rFonts w:ascii="Garamond" w:hAnsi="Garamond"/>
      <w:sz w:val="24"/>
    </w:rPr>
  </w:style>
  <w:style w:type="paragraph" w:styleId="TOC1">
    <w:name w:val="toc 1"/>
    <w:basedOn w:val="Normal"/>
    <w:next w:val="Normal"/>
    <w:autoRedefine/>
    <w:uiPriority w:val="39"/>
    <w:unhideWhenUsed/>
    <w:rsid w:val="00061FD2"/>
    <w:pPr>
      <w:spacing w:after="100"/>
    </w:pPr>
  </w:style>
  <w:style w:type="character" w:styleId="Hyperlink">
    <w:name w:val="Hyperlink"/>
    <w:basedOn w:val="DefaultParagraphFont"/>
    <w:uiPriority w:val="99"/>
    <w:unhideWhenUsed/>
    <w:rsid w:val="00061FD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43316">
      <w:bodyDiv w:val="1"/>
      <w:marLeft w:val="0"/>
      <w:marRight w:val="0"/>
      <w:marTop w:val="0"/>
      <w:marBottom w:val="0"/>
      <w:divBdr>
        <w:top w:val="none" w:sz="0" w:space="0" w:color="auto"/>
        <w:left w:val="none" w:sz="0" w:space="0" w:color="auto"/>
        <w:bottom w:val="none" w:sz="0" w:space="0" w:color="auto"/>
        <w:right w:val="none" w:sz="0" w:space="0" w:color="auto"/>
      </w:divBdr>
      <w:divsChild>
        <w:div w:id="1529563188">
          <w:marLeft w:val="0"/>
          <w:marRight w:val="0"/>
          <w:marTop w:val="0"/>
          <w:marBottom w:val="0"/>
          <w:divBdr>
            <w:top w:val="none" w:sz="0" w:space="0" w:color="auto"/>
            <w:left w:val="none" w:sz="0" w:space="0" w:color="auto"/>
            <w:bottom w:val="none" w:sz="0" w:space="0" w:color="auto"/>
            <w:right w:val="none" w:sz="0" w:space="0" w:color="auto"/>
          </w:divBdr>
        </w:div>
      </w:divsChild>
    </w:div>
    <w:div w:id="47807085">
      <w:bodyDiv w:val="1"/>
      <w:marLeft w:val="0"/>
      <w:marRight w:val="0"/>
      <w:marTop w:val="0"/>
      <w:marBottom w:val="0"/>
      <w:divBdr>
        <w:top w:val="none" w:sz="0" w:space="0" w:color="auto"/>
        <w:left w:val="none" w:sz="0" w:space="0" w:color="auto"/>
        <w:bottom w:val="none" w:sz="0" w:space="0" w:color="auto"/>
        <w:right w:val="none" w:sz="0" w:space="0" w:color="auto"/>
      </w:divBdr>
      <w:divsChild>
        <w:div w:id="1195538787">
          <w:marLeft w:val="0"/>
          <w:marRight w:val="0"/>
          <w:marTop w:val="0"/>
          <w:marBottom w:val="0"/>
          <w:divBdr>
            <w:top w:val="none" w:sz="0" w:space="0" w:color="auto"/>
            <w:left w:val="none" w:sz="0" w:space="0" w:color="auto"/>
            <w:bottom w:val="none" w:sz="0" w:space="0" w:color="auto"/>
            <w:right w:val="none" w:sz="0" w:space="0" w:color="auto"/>
          </w:divBdr>
        </w:div>
      </w:divsChild>
    </w:div>
    <w:div w:id="60373575">
      <w:bodyDiv w:val="1"/>
      <w:marLeft w:val="0"/>
      <w:marRight w:val="0"/>
      <w:marTop w:val="0"/>
      <w:marBottom w:val="0"/>
      <w:divBdr>
        <w:top w:val="none" w:sz="0" w:space="0" w:color="auto"/>
        <w:left w:val="none" w:sz="0" w:space="0" w:color="auto"/>
        <w:bottom w:val="none" w:sz="0" w:space="0" w:color="auto"/>
        <w:right w:val="none" w:sz="0" w:space="0" w:color="auto"/>
      </w:divBdr>
    </w:div>
    <w:div w:id="82576218">
      <w:bodyDiv w:val="1"/>
      <w:marLeft w:val="0"/>
      <w:marRight w:val="0"/>
      <w:marTop w:val="0"/>
      <w:marBottom w:val="0"/>
      <w:divBdr>
        <w:top w:val="none" w:sz="0" w:space="0" w:color="auto"/>
        <w:left w:val="none" w:sz="0" w:space="0" w:color="auto"/>
        <w:bottom w:val="none" w:sz="0" w:space="0" w:color="auto"/>
        <w:right w:val="none" w:sz="0" w:space="0" w:color="auto"/>
      </w:divBdr>
    </w:div>
    <w:div w:id="85273183">
      <w:bodyDiv w:val="1"/>
      <w:marLeft w:val="0"/>
      <w:marRight w:val="0"/>
      <w:marTop w:val="0"/>
      <w:marBottom w:val="0"/>
      <w:divBdr>
        <w:top w:val="none" w:sz="0" w:space="0" w:color="auto"/>
        <w:left w:val="none" w:sz="0" w:space="0" w:color="auto"/>
        <w:bottom w:val="none" w:sz="0" w:space="0" w:color="auto"/>
        <w:right w:val="none" w:sz="0" w:space="0" w:color="auto"/>
      </w:divBdr>
      <w:divsChild>
        <w:div w:id="1137262109">
          <w:marLeft w:val="0"/>
          <w:marRight w:val="0"/>
          <w:marTop w:val="0"/>
          <w:marBottom w:val="0"/>
          <w:divBdr>
            <w:top w:val="none" w:sz="0" w:space="0" w:color="auto"/>
            <w:left w:val="none" w:sz="0" w:space="0" w:color="auto"/>
            <w:bottom w:val="none" w:sz="0" w:space="0" w:color="auto"/>
            <w:right w:val="none" w:sz="0" w:space="0" w:color="auto"/>
          </w:divBdr>
        </w:div>
      </w:divsChild>
    </w:div>
    <w:div w:id="111558574">
      <w:bodyDiv w:val="1"/>
      <w:marLeft w:val="0"/>
      <w:marRight w:val="0"/>
      <w:marTop w:val="0"/>
      <w:marBottom w:val="0"/>
      <w:divBdr>
        <w:top w:val="none" w:sz="0" w:space="0" w:color="auto"/>
        <w:left w:val="none" w:sz="0" w:space="0" w:color="auto"/>
        <w:bottom w:val="none" w:sz="0" w:space="0" w:color="auto"/>
        <w:right w:val="none" w:sz="0" w:space="0" w:color="auto"/>
      </w:divBdr>
    </w:div>
    <w:div w:id="239679755">
      <w:bodyDiv w:val="1"/>
      <w:marLeft w:val="0"/>
      <w:marRight w:val="0"/>
      <w:marTop w:val="0"/>
      <w:marBottom w:val="0"/>
      <w:divBdr>
        <w:top w:val="none" w:sz="0" w:space="0" w:color="auto"/>
        <w:left w:val="none" w:sz="0" w:space="0" w:color="auto"/>
        <w:bottom w:val="none" w:sz="0" w:space="0" w:color="auto"/>
        <w:right w:val="none" w:sz="0" w:space="0" w:color="auto"/>
      </w:divBdr>
      <w:divsChild>
        <w:div w:id="2069913694">
          <w:marLeft w:val="0"/>
          <w:marRight w:val="0"/>
          <w:marTop w:val="0"/>
          <w:marBottom w:val="0"/>
          <w:divBdr>
            <w:top w:val="none" w:sz="0" w:space="0" w:color="auto"/>
            <w:left w:val="none" w:sz="0" w:space="0" w:color="auto"/>
            <w:bottom w:val="none" w:sz="0" w:space="0" w:color="auto"/>
            <w:right w:val="none" w:sz="0" w:space="0" w:color="auto"/>
          </w:divBdr>
        </w:div>
      </w:divsChild>
    </w:div>
    <w:div w:id="246352142">
      <w:bodyDiv w:val="1"/>
      <w:marLeft w:val="0"/>
      <w:marRight w:val="0"/>
      <w:marTop w:val="0"/>
      <w:marBottom w:val="0"/>
      <w:divBdr>
        <w:top w:val="none" w:sz="0" w:space="0" w:color="auto"/>
        <w:left w:val="none" w:sz="0" w:space="0" w:color="auto"/>
        <w:bottom w:val="none" w:sz="0" w:space="0" w:color="auto"/>
        <w:right w:val="none" w:sz="0" w:space="0" w:color="auto"/>
      </w:divBdr>
      <w:divsChild>
        <w:div w:id="637103632">
          <w:marLeft w:val="0"/>
          <w:marRight w:val="0"/>
          <w:marTop w:val="0"/>
          <w:marBottom w:val="0"/>
          <w:divBdr>
            <w:top w:val="none" w:sz="0" w:space="0" w:color="auto"/>
            <w:left w:val="none" w:sz="0" w:space="0" w:color="auto"/>
            <w:bottom w:val="none" w:sz="0" w:space="0" w:color="auto"/>
            <w:right w:val="none" w:sz="0" w:space="0" w:color="auto"/>
          </w:divBdr>
        </w:div>
      </w:divsChild>
    </w:div>
    <w:div w:id="251400494">
      <w:bodyDiv w:val="1"/>
      <w:marLeft w:val="0"/>
      <w:marRight w:val="0"/>
      <w:marTop w:val="0"/>
      <w:marBottom w:val="0"/>
      <w:divBdr>
        <w:top w:val="none" w:sz="0" w:space="0" w:color="auto"/>
        <w:left w:val="none" w:sz="0" w:space="0" w:color="auto"/>
        <w:bottom w:val="none" w:sz="0" w:space="0" w:color="auto"/>
        <w:right w:val="none" w:sz="0" w:space="0" w:color="auto"/>
      </w:divBdr>
      <w:divsChild>
        <w:div w:id="931090521">
          <w:marLeft w:val="0"/>
          <w:marRight w:val="0"/>
          <w:marTop w:val="0"/>
          <w:marBottom w:val="0"/>
          <w:divBdr>
            <w:top w:val="none" w:sz="0" w:space="0" w:color="auto"/>
            <w:left w:val="none" w:sz="0" w:space="0" w:color="auto"/>
            <w:bottom w:val="none" w:sz="0" w:space="0" w:color="auto"/>
            <w:right w:val="none" w:sz="0" w:space="0" w:color="auto"/>
          </w:divBdr>
        </w:div>
      </w:divsChild>
    </w:div>
    <w:div w:id="258216036">
      <w:bodyDiv w:val="1"/>
      <w:marLeft w:val="0"/>
      <w:marRight w:val="0"/>
      <w:marTop w:val="0"/>
      <w:marBottom w:val="0"/>
      <w:divBdr>
        <w:top w:val="none" w:sz="0" w:space="0" w:color="auto"/>
        <w:left w:val="none" w:sz="0" w:space="0" w:color="auto"/>
        <w:bottom w:val="none" w:sz="0" w:space="0" w:color="auto"/>
        <w:right w:val="none" w:sz="0" w:space="0" w:color="auto"/>
      </w:divBdr>
      <w:divsChild>
        <w:div w:id="202217">
          <w:marLeft w:val="0"/>
          <w:marRight w:val="0"/>
          <w:marTop w:val="0"/>
          <w:marBottom w:val="0"/>
          <w:divBdr>
            <w:top w:val="none" w:sz="0" w:space="0" w:color="auto"/>
            <w:left w:val="none" w:sz="0" w:space="0" w:color="auto"/>
            <w:bottom w:val="none" w:sz="0" w:space="0" w:color="auto"/>
            <w:right w:val="none" w:sz="0" w:space="0" w:color="auto"/>
          </w:divBdr>
        </w:div>
      </w:divsChild>
    </w:div>
    <w:div w:id="506558944">
      <w:bodyDiv w:val="1"/>
      <w:marLeft w:val="0"/>
      <w:marRight w:val="0"/>
      <w:marTop w:val="0"/>
      <w:marBottom w:val="0"/>
      <w:divBdr>
        <w:top w:val="none" w:sz="0" w:space="0" w:color="auto"/>
        <w:left w:val="none" w:sz="0" w:space="0" w:color="auto"/>
        <w:bottom w:val="none" w:sz="0" w:space="0" w:color="auto"/>
        <w:right w:val="none" w:sz="0" w:space="0" w:color="auto"/>
      </w:divBdr>
    </w:div>
    <w:div w:id="507445453">
      <w:bodyDiv w:val="1"/>
      <w:marLeft w:val="0"/>
      <w:marRight w:val="0"/>
      <w:marTop w:val="0"/>
      <w:marBottom w:val="0"/>
      <w:divBdr>
        <w:top w:val="none" w:sz="0" w:space="0" w:color="auto"/>
        <w:left w:val="none" w:sz="0" w:space="0" w:color="auto"/>
        <w:bottom w:val="none" w:sz="0" w:space="0" w:color="auto"/>
        <w:right w:val="none" w:sz="0" w:space="0" w:color="auto"/>
      </w:divBdr>
    </w:div>
    <w:div w:id="525826513">
      <w:bodyDiv w:val="1"/>
      <w:marLeft w:val="0"/>
      <w:marRight w:val="0"/>
      <w:marTop w:val="0"/>
      <w:marBottom w:val="0"/>
      <w:divBdr>
        <w:top w:val="none" w:sz="0" w:space="0" w:color="auto"/>
        <w:left w:val="none" w:sz="0" w:space="0" w:color="auto"/>
        <w:bottom w:val="none" w:sz="0" w:space="0" w:color="auto"/>
        <w:right w:val="none" w:sz="0" w:space="0" w:color="auto"/>
      </w:divBdr>
      <w:divsChild>
        <w:div w:id="967667667">
          <w:marLeft w:val="0"/>
          <w:marRight w:val="0"/>
          <w:marTop w:val="0"/>
          <w:marBottom w:val="0"/>
          <w:divBdr>
            <w:top w:val="none" w:sz="0" w:space="0" w:color="auto"/>
            <w:left w:val="none" w:sz="0" w:space="0" w:color="auto"/>
            <w:bottom w:val="none" w:sz="0" w:space="0" w:color="auto"/>
            <w:right w:val="none" w:sz="0" w:space="0" w:color="auto"/>
          </w:divBdr>
        </w:div>
      </w:divsChild>
    </w:div>
    <w:div w:id="572391691">
      <w:bodyDiv w:val="1"/>
      <w:marLeft w:val="0"/>
      <w:marRight w:val="0"/>
      <w:marTop w:val="0"/>
      <w:marBottom w:val="0"/>
      <w:divBdr>
        <w:top w:val="none" w:sz="0" w:space="0" w:color="auto"/>
        <w:left w:val="none" w:sz="0" w:space="0" w:color="auto"/>
        <w:bottom w:val="none" w:sz="0" w:space="0" w:color="auto"/>
        <w:right w:val="none" w:sz="0" w:space="0" w:color="auto"/>
      </w:divBdr>
    </w:div>
    <w:div w:id="723523653">
      <w:bodyDiv w:val="1"/>
      <w:marLeft w:val="0"/>
      <w:marRight w:val="0"/>
      <w:marTop w:val="0"/>
      <w:marBottom w:val="0"/>
      <w:divBdr>
        <w:top w:val="none" w:sz="0" w:space="0" w:color="auto"/>
        <w:left w:val="none" w:sz="0" w:space="0" w:color="auto"/>
        <w:bottom w:val="none" w:sz="0" w:space="0" w:color="auto"/>
        <w:right w:val="none" w:sz="0" w:space="0" w:color="auto"/>
      </w:divBdr>
      <w:divsChild>
        <w:div w:id="1512834673">
          <w:marLeft w:val="0"/>
          <w:marRight w:val="0"/>
          <w:marTop w:val="0"/>
          <w:marBottom w:val="0"/>
          <w:divBdr>
            <w:top w:val="none" w:sz="0" w:space="0" w:color="auto"/>
            <w:left w:val="none" w:sz="0" w:space="0" w:color="auto"/>
            <w:bottom w:val="none" w:sz="0" w:space="0" w:color="auto"/>
            <w:right w:val="none" w:sz="0" w:space="0" w:color="auto"/>
          </w:divBdr>
        </w:div>
      </w:divsChild>
    </w:div>
    <w:div w:id="734818219">
      <w:bodyDiv w:val="1"/>
      <w:marLeft w:val="0"/>
      <w:marRight w:val="0"/>
      <w:marTop w:val="0"/>
      <w:marBottom w:val="0"/>
      <w:divBdr>
        <w:top w:val="none" w:sz="0" w:space="0" w:color="auto"/>
        <w:left w:val="none" w:sz="0" w:space="0" w:color="auto"/>
        <w:bottom w:val="none" w:sz="0" w:space="0" w:color="auto"/>
        <w:right w:val="none" w:sz="0" w:space="0" w:color="auto"/>
      </w:divBdr>
    </w:div>
    <w:div w:id="752816060">
      <w:bodyDiv w:val="1"/>
      <w:marLeft w:val="0"/>
      <w:marRight w:val="0"/>
      <w:marTop w:val="0"/>
      <w:marBottom w:val="0"/>
      <w:divBdr>
        <w:top w:val="none" w:sz="0" w:space="0" w:color="auto"/>
        <w:left w:val="none" w:sz="0" w:space="0" w:color="auto"/>
        <w:bottom w:val="none" w:sz="0" w:space="0" w:color="auto"/>
        <w:right w:val="none" w:sz="0" w:space="0" w:color="auto"/>
      </w:divBdr>
      <w:divsChild>
        <w:div w:id="1205559003">
          <w:marLeft w:val="0"/>
          <w:marRight w:val="0"/>
          <w:marTop w:val="0"/>
          <w:marBottom w:val="0"/>
          <w:divBdr>
            <w:top w:val="none" w:sz="0" w:space="0" w:color="auto"/>
            <w:left w:val="none" w:sz="0" w:space="0" w:color="auto"/>
            <w:bottom w:val="none" w:sz="0" w:space="0" w:color="auto"/>
            <w:right w:val="none" w:sz="0" w:space="0" w:color="auto"/>
          </w:divBdr>
        </w:div>
      </w:divsChild>
    </w:div>
    <w:div w:id="766996227">
      <w:bodyDiv w:val="1"/>
      <w:marLeft w:val="0"/>
      <w:marRight w:val="0"/>
      <w:marTop w:val="0"/>
      <w:marBottom w:val="0"/>
      <w:divBdr>
        <w:top w:val="none" w:sz="0" w:space="0" w:color="auto"/>
        <w:left w:val="none" w:sz="0" w:space="0" w:color="auto"/>
        <w:bottom w:val="none" w:sz="0" w:space="0" w:color="auto"/>
        <w:right w:val="none" w:sz="0" w:space="0" w:color="auto"/>
      </w:divBdr>
    </w:div>
    <w:div w:id="769353010">
      <w:bodyDiv w:val="1"/>
      <w:marLeft w:val="0"/>
      <w:marRight w:val="0"/>
      <w:marTop w:val="0"/>
      <w:marBottom w:val="0"/>
      <w:divBdr>
        <w:top w:val="none" w:sz="0" w:space="0" w:color="auto"/>
        <w:left w:val="none" w:sz="0" w:space="0" w:color="auto"/>
        <w:bottom w:val="none" w:sz="0" w:space="0" w:color="auto"/>
        <w:right w:val="none" w:sz="0" w:space="0" w:color="auto"/>
      </w:divBdr>
      <w:divsChild>
        <w:div w:id="1482582338">
          <w:marLeft w:val="0"/>
          <w:marRight w:val="0"/>
          <w:marTop w:val="0"/>
          <w:marBottom w:val="0"/>
          <w:divBdr>
            <w:top w:val="none" w:sz="0" w:space="0" w:color="auto"/>
            <w:left w:val="none" w:sz="0" w:space="0" w:color="auto"/>
            <w:bottom w:val="none" w:sz="0" w:space="0" w:color="auto"/>
            <w:right w:val="none" w:sz="0" w:space="0" w:color="auto"/>
          </w:divBdr>
        </w:div>
      </w:divsChild>
    </w:div>
    <w:div w:id="776870511">
      <w:bodyDiv w:val="1"/>
      <w:marLeft w:val="0"/>
      <w:marRight w:val="0"/>
      <w:marTop w:val="0"/>
      <w:marBottom w:val="0"/>
      <w:divBdr>
        <w:top w:val="none" w:sz="0" w:space="0" w:color="auto"/>
        <w:left w:val="none" w:sz="0" w:space="0" w:color="auto"/>
        <w:bottom w:val="none" w:sz="0" w:space="0" w:color="auto"/>
        <w:right w:val="none" w:sz="0" w:space="0" w:color="auto"/>
      </w:divBdr>
      <w:divsChild>
        <w:div w:id="660086694">
          <w:marLeft w:val="0"/>
          <w:marRight w:val="0"/>
          <w:marTop w:val="0"/>
          <w:marBottom w:val="0"/>
          <w:divBdr>
            <w:top w:val="none" w:sz="0" w:space="0" w:color="auto"/>
            <w:left w:val="none" w:sz="0" w:space="0" w:color="auto"/>
            <w:bottom w:val="none" w:sz="0" w:space="0" w:color="auto"/>
            <w:right w:val="none" w:sz="0" w:space="0" w:color="auto"/>
          </w:divBdr>
        </w:div>
      </w:divsChild>
    </w:div>
    <w:div w:id="849492294">
      <w:bodyDiv w:val="1"/>
      <w:marLeft w:val="0"/>
      <w:marRight w:val="0"/>
      <w:marTop w:val="0"/>
      <w:marBottom w:val="0"/>
      <w:divBdr>
        <w:top w:val="none" w:sz="0" w:space="0" w:color="auto"/>
        <w:left w:val="none" w:sz="0" w:space="0" w:color="auto"/>
        <w:bottom w:val="none" w:sz="0" w:space="0" w:color="auto"/>
        <w:right w:val="none" w:sz="0" w:space="0" w:color="auto"/>
      </w:divBdr>
      <w:divsChild>
        <w:div w:id="1937209120">
          <w:marLeft w:val="0"/>
          <w:marRight w:val="0"/>
          <w:marTop w:val="0"/>
          <w:marBottom w:val="0"/>
          <w:divBdr>
            <w:top w:val="none" w:sz="0" w:space="0" w:color="auto"/>
            <w:left w:val="none" w:sz="0" w:space="0" w:color="auto"/>
            <w:bottom w:val="none" w:sz="0" w:space="0" w:color="auto"/>
            <w:right w:val="none" w:sz="0" w:space="0" w:color="auto"/>
          </w:divBdr>
        </w:div>
      </w:divsChild>
    </w:div>
    <w:div w:id="897017597">
      <w:bodyDiv w:val="1"/>
      <w:marLeft w:val="0"/>
      <w:marRight w:val="0"/>
      <w:marTop w:val="0"/>
      <w:marBottom w:val="0"/>
      <w:divBdr>
        <w:top w:val="none" w:sz="0" w:space="0" w:color="auto"/>
        <w:left w:val="none" w:sz="0" w:space="0" w:color="auto"/>
        <w:bottom w:val="none" w:sz="0" w:space="0" w:color="auto"/>
        <w:right w:val="none" w:sz="0" w:space="0" w:color="auto"/>
      </w:divBdr>
    </w:div>
    <w:div w:id="933167343">
      <w:bodyDiv w:val="1"/>
      <w:marLeft w:val="0"/>
      <w:marRight w:val="0"/>
      <w:marTop w:val="0"/>
      <w:marBottom w:val="0"/>
      <w:divBdr>
        <w:top w:val="none" w:sz="0" w:space="0" w:color="auto"/>
        <w:left w:val="none" w:sz="0" w:space="0" w:color="auto"/>
        <w:bottom w:val="none" w:sz="0" w:space="0" w:color="auto"/>
        <w:right w:val="none" w:sz="0" w:space="0" w:color="auto"/>
      </w:divBdr>
    </w:div>
    <w:div w:id="949748060">
      <w:bodyDiv w:val="1"/>
      <w:marLeft w:val="0"/>
      <w:marRight w:val="0"/>
      <w:marTop w:val="0"/>
      <w:marBottom w:val="0"/>
      <w:divBdr>
        <w:top w:val="none" w:sz="0" w:space="0" w:color="auto"/>
        <w:left w:val="none" w:sz="0" w:space="0" w:color="auto"/>
        <w:bottom w:val="none" w:sz="0" w:space="0" w:color="auto"/>
        <w:right w:val="none" w:sz="0" w:space="0" w:color="auto"/>
      </w:divBdr>
    </w:div>
    <w:div w:id="1016811274">
      <w:bodyDiv w:val="1"/>
      <w:marLeft w:val="0"/>
      <w:marRight w:val="0"/>
      <w:marTop w:val="0"/>
      <w:marBottom w:val="0"/>
      <w:divBdr>
        <w:top w:val="none" w:sz="0" w:space="0" w:color="auto"/>
        <w:left w:val="none" w:sz="0" w:space="0" w:color="auto"/>
        <w:bottom w:val="none" w:sz="0" w:space="0" w:color="auto"/>
        <w:right w:val="none" w:sz="0" w:space="0" w:color="auto"/>
      </w:divBdr>
      <w:divsChild>
        <w:div w:id="876310100">
          <w:marLeft w:val="0"/>
          <w:marRight w:val="0"/>
          <w:marTop w:val="0"/>
          <w:marBottom w:val="0"/>
          <w:divBdr>
            <w:top w:val="none" w:sz="0" w:space="0" w:color="auto"/>
            <w:left w:val="none" w:sz="0" w:space="0" w:color="auto"/>
            <w:bottom w:val="none" w:sz="0" w:space="0" w:color="auto"/>
            <w:right w:val="none" w:sz="0" w:space="0" w:color="auto"/>
          </w:divBdr>
        </w:div>
      </w:divsChild>
    </w:div>
    <w:div w:id="1051927123">
      <w:bodyDiv w:val="1"/>
      <w:marLeft w:val="0"/>
      <w:marRight w:val="0"/>
      <w:marTop w:val="0"/>
      <w:marBottom w:val="0"/>
      <w:divBdr>
        <w:top w:val="none" w:sz="0" w:space="0" w:color="auto"/>
        <w:left w:val="none" w:sz="0" w:space="0" w:color="auto"/>
        <w:bottom w:val="none" w:sz="0" w:space="0" w:color="auto"/>
        <w:right w:val="none" w:sz="0" w:space="0" w:color="auto"/>
      </w:divBdr>
    </w:div>
    <w:div w:id="1087188081">
      <w:bodyDiv w:val="1"/>
      <w:marLeft w:val="0"/>
      <w:marRight w:val="0"/>
      <w:marTop w:val="0"/>
      <w:marBottom w:val="0"/>
      <w:divBdr>
        <w:top w:val="none" w:sz="0" w:space="0" w:color="auto"/>
        <w:left w:val="none" w:sz="0" w:space="0" w:color="auto"/>
        <w:bottom w:val="none" w:sz="0" w:space="0" w:color="auto"/>
        <w:right w:val="none" w:sz="0" w:space="0" w:color="auto"/>
      </w:divBdr>
    </w:div>
    <w:div w:id="1102802470">
      <w:bodyDiv w:val="1"/>
      <w:marLeft w:val="0"/>
      <w:marRight w:val="0"/>
      <w:marTop w:val="0"/>
      <w:marBottom w:val="0"/>
      <w:divBdr>
        <w:top w:val="none" w:sz="0" w:space="0" w:color="auto"/>
        <w:left w:val="none" w:sz="0" w:space="0" w:color="auto"/>
        <w:bottom w:val="none" w:sz="0" w:space="0" w:color="auto"/>
        <w:right w:val="none" w:sz="0" w:space="0" w:color="auto"/>
      </w:divBdr>
    </w:div>
    <w:div w:id="1121920528">
      <w:bodyDiv w:val="1"/>
      <w:marLeft w:val="0"/>
      <w:marRight w:val="0"/>
      <w:marTop w:val="0"/>
      <w:marBottom w:val="0"/>
      <w:divBdr>
        <w:top w:val="none" w:sz="0" w:space="0" w:color="auto"/>
        <w:left w:val="none" w:sz="0" w:space="0" w:color="auto"/>
        <w:bottom w:val="none" w:sz="0" w:space="0" w:color="auto"/>
        <w:right w:val="none" w:sz="0" w:space="0" w:color="auto"/>
      </w:divBdr>
      <w:divsChild>
        <w:div w:id="865678878">
          <w:marLeft w:val="0"/>
          <w:marRight w:val="0"/>
          <w:marTop w:val="0"/>
          <w:marBottom w:val="0"/>
          <w:divBdr>
            <w:top w:val="none" w:sz="0" w:space="0" w:color="auto"/>
            <w:left w:val="none" w:sz="0" w:space="0" w:color="auto"/>
            <w:bottom w:val="none" w:sz="0" w:space="0" w:color="auto"/>
            <w:right w:val="none" w:sz="0" w:space="0" w:color="auto"/>
          </w:divBdr>
        </w:div>
      </w:divsChild>
    </w:div>
    <w:div w:id="1140345150">
      <w:bodyDiv w:val="1"/>
      <w:marLeft w:val="0"/>
      <w:marRight w:val="0"/>
      <w:marTop w:val="0"/>
      <w:marBottom w:val="0"/>
      <w:divBdr>
        <w:top w:val="none" w:sz="0" w:space="0" w:color="auto"/>
        <w:left w:val="none" w:sz="0" w:space="0" w:color="auto"/>
        <w:bottom w:val="none" w:sz="0" w:space="0" w:color="auto"/>
        <w:right w:val="none" w:sz="0" w:space="0" w:color="auto"/>
      </w:divBdr>
    </w:div>
    <w:div w:id="1181630310">
      <w:bodyDiv w:val="1"/>
      <w:marLeft w:val="0"/>
      <w:marRight w:val="0"/>
      <w:marTop w:val="0"/>
      <w:marBottom w:val="0"/>
      <w:divBdr>
        <w:top w:val="none" w:sz="0" w:space="0" w:color="auto"/>
        <w:left w:val="none" w:sz="0" w:space="0" w:color="auto"/>
        <w:bottom w:val="none" w:sz="0" w:space="0" w:color="auto"/>
        <w:right w:val="none" w:sz="0" w:space="0" w:color="auto"/>
      </w:divBdr>
      <w:divsChild>
        <w:div w:id="662129394">
          <w:marLeft w:val="0"/>
          <w:marRight w:val="0"/>
          <w:marTop w:val="0"/>
          <w:marBottom w:val="0"/>
          <w:divBdr>
            <w:top w:val="none" w:sz="0" w:space="0" w:color="auto"/>
            <w:left w:val="none" w:sz="0" w:space="0" w:color="auto"/>
            <w:bottom w:val="none" w:sz="0" w:space="0" w:color="auto"/>
            <w:right w:val="none" w:sz="0" w:space="0" w:color="auto"/>
          </w:divBdr>
        </w:div>
      </w:divsChild>
    </w:div>
    <w:div w:id="1193804472">
      <w:bodyDiv w:val="1"/>
      <w:marLeft w:val="0"/>
      <w:marRight w:val="0"/>
      <w:marTop w:val="0"/>
      <w:marBottom w:val="0"/>
      <w:divBdr>
        <w:top w:val="none" w:sz="0" w:space="0" w:color="auto"/>
        <w:left w:val="none" w:sz="0" w:space="0" w:color="auto"/>
        <w:bottom w:val="none" w:sz="0" w:space="0" w:color="auto"/>
        <w:right w:val="none" w:sz="0" w:space="0" w:color="auto"/>
      </w:divBdr>
    </w:div>
    <w:div w:id="1223251872">
      <w:bodyDiv w:val="1"/>
      <w:marLeft w:val="0"/>
      <w:marRight w:val="0"/>
      <w:marTop w:val="0"/>
      <w:marBottom w:val="0"/>
      <w:divBdr>
        <w:top w:val="none" w:sz="0" w:space="0" w:color="auto"/>
        <w:left w:val="none" w:sz="0" w:space="0" w:color="auto"/>
        <w:bottom w:val="none" w:sz="0" w:space="0" w:color="auto"/>
        <w:right w:val="none" w:sz="0" w:space="0" w:color="auto"/>
      </w:divBdr>
      <w:divsChild>
        <w:div w:id="1667392911">
          <w:marLeft w:val="0"/>
          <w:marRight w:val="0"/>
          <w:marTop w:val="0"/>
          <w:marBottom w:val="0"/>
          <w:divBdr>
            <w:top w:val="none" w:sz="0" w:space="0" w:color="auto"/>
            <w:left w:val="none" w:sz="0" w:space="0" w:color="auto"/>
            <w:bottom w:val="none" w:sz="0" w:space="0" w:color="auto"/>
            <w:right w:val="none" w:sz="0" w:space="0" w:color="auto"/>
          </w:divBdr>
        </w:div>
      </w:divsChild>
    </w:div>
    <w:div w:id="1263301090">
      <w:bodyDiv w:val="1"/>
      <w:marLeft w:val="0"/>
      <w:marRight w:val="0"/>
      <w:marTop w:val="0"/>
      <w:marBottom w:val="0"/>
      <w:divBdr>
        <w:top w:val="none" w:sz="0" w:space="0" w:color="auto"/>
        <w:left w:val="none" w:sz="0" w:space="0" w:color="auto"/>
        <w:bottom w:val="none" w:sz="0" w:space="0" w:color="auto"/>
        <w:right w:val="none" w:sz="0" w:space="0" w:color="auto"/>
      </w:divBdr>
    </w:div>
    <w:div w:id="1304039362">
      <w:bodyDiv w:val="1"/>
      <w:marLeft w:val="0"/>
      <w:marRight w:val="0"/>
      <w:marTop w:val="0"/>
      <w:marBottom w:val="0"/>
      <w:divBdr>
        <w:top w:val="none" w:sz="0" w:space="0" w:color="auto"/>
        <w:left w:val="none" w:sz="0" w:space="0" w:color="auto"/>
        <w:bottom w:val="none" w:sz="0" w:space="0" w:color="auto"/>
        <w:right w:val="none" w:sz="0" w:space="0" w:color="auto"/>
      </w:divBdr>
    </w:div>
    <w:div w:id="1307930195">
      <w:bodyDiv w:val="1"/>
      <w:marLeft w:val="0"/>
      <w:marRight w:val="0"/>
      <w:marTop w:val="0"/>
      <w:marBottom w:val="0"/>
      <w:divBdr>
        <w:top w:val="none" w:sz="0" w:space="0" w:color="auto"/>
        <w:left w:val="none" w:sz="0" w:space="0" w:color="auto"/>
        <w:bottom w:val="none" w:sz="0" w:space="0" w:color="auto"/>
        <w:right w:val="none" w:sz="0" w:space="0" w:color="auto"/>
      </w:divBdr>
    </w:div>
    <w:div w:id="1339426922">
      <w:bodyDiv w:val="1"/>
      <w:marLeft w:val="0"/>
      <w:marRight w:val="0"/>
      <w:marTop w:val="0"/>
      <w:marBottom w:val="0"/>
      <w:divBdr>
        <w:top w:val="none" w:sz="0" w:space="0" w:color="auto"/>
        <w:left w:val="none" w:sz="0" w:space="0" w:color="auto"/>
        <w:bottom w:val="none" w:sz="0" w:space="0" w:color="auto"/>
        <w:right w:val="none" w:sz="0" w:space="0" w:color="auto"/>
      </w:divBdr>
    </w:div>
    <w:div w:id="1368070823">
      <w:bodyDiv w:val="1"/>
      <w:marLeft w:val="0"/>
      <w:marRight w:val="0"/>
      <w:marTop w:val="0"/>
      <w:marBottom w:val="0"/>
      <w:divBdr>
        <w:top w:val="none" w:sz="0" w:space="0" w:color="auto"/>
        <w:left w:val="none" w:sz="0" w:space="0" w:color="auto"/>
        <w:bottom w:val="none" w:sz="0" w:space="0" w:color="auto"/>
        <w:right w:val="none" w:sz="0" w:space="0" w:color="auto"/>
      </w:divBdr>
    </w:div>
    <w:div w:id="1368988645">
      <w:bodyDiv w:val="1"/>
      <w:marLeft w:val="0"/>
      <w:marRight w:val="0"/>
      <w:marTop w:val="0"/>
      <w:marBottom w:val="0"/>
      <w:divBdr>
        <w:top w:val="none" w:sz="0" w:space="0" w:color="auto"/>
        <w:left w:val="none" w:sz="0" w:space="0" w:color="auto"/>
        <w:bottom w:val="none" w:sz="0" w:space="0" w:color="auto"/>
        <w:right w:val="none" w:sz="0" w:space="0" w:color="auto"/>
      </w:divBdr>
    </w:div>
    <w:div w:id="1399205196">
      <w:bodyDiv w:val="1"/>
      <w:marLeft w:val="0"/>
      <w:marRight w:val="0"/>
      <w:marTop w:val="0"/>
      <w:marBottom w:val="0"/>
      <w:divBdr>
        <w:top w:val="none" w:sz="0" w:space="0" w:color="auto"/>
        <w:left w:val="none" w:sz="0" w:space="0" w:color="auto"/>
        <w:bottom w:val="none" w:sz="0" w:space="0" w:color="auto"/>
        <w:right w:val="none" w:sz="0" w:space="0" w:color="auto"/>
      </w:divBdr>
    </w:div>
    <w:div w:id="1421827999">
      <w:bodyDiv w:val="1"/>
      <w:marLeft w:val="0"/>
      <w:marRight w:val="0"/>
      <w:marTop w:val="0"/>
      <w:marBottom w:val="0"/>
      <w:divBdr>
        <w:top w:val="none" w:sz="0" w:space="0" w:color="auto"/>
        <w:left w:val="none" w:sz="0" w:space="0" w:color="auto"/>
        <w:bottom w:val="none" w:sz="0" w:space="0" w:color="auto"/>
        <w:right w:val="none" w:sz="0" w:space="0" w:color="auto"/>
      </w:divBdr>
    </w:div>
    <w:div w:id="1427002327">
      <w:bodyDiv w:val="1"/>
      <w:marLeft w:val="0"/>
      <w:marRight w:val="0"/>
      <w:marTop w:val="0"/>
      <w:marBottom w:val="0"/>
      <w:divBdr>
        <w:top w:val="none" w:sz="0" w:space="0" w:color="auto"/>
        <w:left w:val="none" w:sz="0" w:space="0" w:color="auto"/>
        <w:bottom w:val="none" w:sz="0" w:space="0" w:color="auto"/>
        <w:right w:val="none" w:sz="0" w:space="0" w:color="auto"/>
      </w:divBdr>
      <w:divsChild>
        <w:div w:id="1577587745">
          <w:marLeft w:val="0"/>
          <w:marRight w:val="0"/>
          <w:marTop w:val="0"/>
          <w:marBottom w:val="0"/>
          <w:divBdr>
            <w:top w:val="none" w:sz="0" w:space="0" w:color="auto"/>
            <w:left w:val="none" w:sz="0" w:space="0" w:color="auto"/>
            <w:bottom w:val="none" w:sz="0" w:space="0" w:color="auto"/>
            <w:right w:val="none" w:sz="0" w:space="0" w:color="auto"/>
          </w:divBdr>
        </w:div>
      </w:divsChild>
    </w:div>
    <w:div w:id="1476139984">
      <w:bodyDiv w:val="1"/>
      <w:marLeft w:val="0"/>
      <w:marRight w:val="0"/>
      <w:marTop w:val="0"/>
      <w:marBottom w:val="0"/>
      <w:divBdr>
        <w:top w:val="none" w:sz="0" w:space="0" w:color="auto"/>
        <w:left w:val="none" w:sz="0" w:space="0" w:color="auto"/>
        <w:bottom w:val="none" w:sz="0" w:space="0" w:color="auto"/>
        <w:right w:val="none" w:sz="0" w:space="0" w:color="auto"/>
      </w:divBdr>
      <w:divsChild>
        <w:div w:id="1240139135">
          <w:marLeft w:val="0"/>
          <w:marRight w:val="0"/>
          <w:marTop w:val="0"/>
          <w:marBottom w:val="0"/>
          <w:divBdr>
            <w:top w:val="none" w:sz="0" w:space="0" w:color="auto"/>
            <w:left w:val="none" w:sz="0" w:space="0" w:color="auto"/>
            <w:bottom w:val="none" w:sz="0" w:space="0" w:color="auto"/>
            <w:right w:val="none" w:sz="0" w:space="0" w:color="auto"/>
          </w:divBdr>
        </w:div>
      </w:divsChild>
    </w:div>
    <w:div w:id="1511797710">
      <w:bodyDiv w:val="1"/>
      <w:marLeft w:val="0"/>
      <w:marRight w:val="0"/>
      <w:marTop w:val="0"/>
      <w:marBottom w:val="0"/>
      <w:divBdr>
        <w:top w:val="none" w:sz="0" w:space="0" w:color="auto"/>
        <w:left w:val="none" w:sz="0" w:space="0" w:color="auto"/>
        <w:bottom w:val="none" w:sz="0" w:space="0" w:color="auto"/>
        <w:right w:val="none" w:sz="0" w:space="0" w:color="auto"/>
      </w:divBdr>
    </w:div>
    <w:div w:id="1553350564">
      <w:bodyDiv w:val="1"/>
      <w:marLeft w:val="0"/>
      <w:marRight w:val="0"/>
      <w:marTop w:val="0"/>
      <w:marBottom w:val="0"/>
      <w:divBdr>
        <w:top w:val="none" w:sz="0" w:space="0" w:color="auto"/>
        <w:left w:val="none" w:sz="0" w:space="0" w:color="auto"/>
        <w:bottom w:val="none" w:sz="0" w:space="0" w:color="auto"/>
        <w:right w:val="none" w:sz="0" w:space="0" w:color="auto"/>
      </w:divBdr>
    </w:div>
    <w:div w:id="1576012928">
      <w:bodyDiv w:val="1"/>
      <w:marLeft w:val="0"/>
      <w:marRight w:val="0"/>
      <w:marTop w:val="0"/>
      <w:marBottom w:val="0"/>
      <w:divBdr>
        <w:top w:val="none" w:sz="0" w:space="0" w:color="auto"/>
        <w:left w:val="none" w:sz="0" w:space="0" w:color="auto"/>
        <w:bottom w:val="none" w:sz="0" w:space="0" w:color="auto"/>
        <w:right w:val="none" w:sz="0" w:space="0" w:color="auto"/>
      </w:divBdr>
    </w:div>
    <w:div w:id="1605769901">
      <w:bodyDiv w:val="1"/>
      <w:marLeft w:val="0"/>
      <w:marRight w:val="0"/>
      <w:marTop w:val="0"/>
      <w:marBottom w:val="0"/>
      <w:divBdr>
        <w:top w:val="none" w:sz="0" w:space="0" w:color="auto"/>
        <w:left w:val="none" w:sz="0" w:space="0" w:color="auto"/>
        <w:bottom w:val="none" w:sz="0" w:space="0" w:color="auto"/>
        <w:right w:val="none" w:sz="0" w:space="0" w:color="auto"/>
      </w:divBdr>
      <w:divsChild>
        <w:div w:id="1772360888">
          <w:marLeft w:val="0"/>
          <w:marRight w:val="0"/>
          <w:marTop w:val="0"/>
          <w:marBottom w:val="0"/>
          <w:divBdr>
            <w:top w:val="none" w:sz="0" w:space="0" w:color="auto"/>
            <w:left w:val="none" w:sz="0" w:space="0" w:color="auto"/>
            <w:bottom w:val="none" w:sz="0" w:space="0" w:color="auto"/>
            <w:right w:val="none" w:sz="0" w:space="0" w:color="auto"/>
          </w:divBdr>
        </w:div>
      </w:divsChild>
    </w:div>
    <w:div w:id="1636570071">
      <w:bodyDiv w:val="1"/>
      <w:marLeft w:val="0"/>
      <w:marRight w:val="0"/>
      <w:marTop w:val="0"/>
      <w:marBottom w:val="0"/>
      <w:divBdr>
        <w:top w:val="none" w:sz="0" w:space="0" w:color="auto"/>
        <w:left w:val="none" w:sz="0" w:space="0" w:color="auto"/>
        <w:bottom w:val="none" w:sz="0" w:space="0" w:color="auto"/>
        <w:right w:val="none" w:sz="0" w:space="0" w:color="auto"/>
      </w:divBdr>
    </w:div>
    <w:div w:id="1718359492">
      <w:bodyDiv w:val="1"/>
      <w:marLeft w:val="0"/>
      <w:marRight w:val="0"/>
      <w:marTop w:val="0"/>
      <w:marBottom w:val="0"/>
      <w:divBdr>
        <w:top w:val="none" w:sz="0" w:space="0" w:color="auto"/>
        <w:left w:val="none" w:sz="0" w:space="0" w:color="auto"/>
        <w:bottom w:val="none" w:sz="0" w:space="0" w:color="auto"/>
        <w:right w:val="none" w:sz="0" w:space="0" w:color="auto"/>
      </w:divBdr>
    </w:div>
    <w:div w:id="1735005058">
      <w:bodyDiv w:val="1"/>
      <w:marLeft w:val="0"/>
      <w:marRight w:val="0"/>
      <w:marTop w:val="0"/>
      <w:marBottom w:val="0"/>
      <w:divBdr>
        <w:top w:val="none" w:sz="0" w:space="0" w:color="auto"/>
        <w:left w:val="none" w:sz="0" w:space="0" w:color="auto"/>
        <w:bottom w:val="none" w:sz="0" w:space="0" w:color="auto"/>
        <w:right w:val="none" w:sz="0" w:space="0" w:color="auto"/>
      </w:divBdr>
    </w:div>
    <w:div w:id="1776555408">
      <w:bodyDiv w:val="1"/>
      <w:marLeft w:val="0"/>
      <w:marRight w:val="0"/>
      <w:marTop w:val="0"/>
      <w:marBottom w:val="0"/>
      <w:divBdr>
        <w:top w:val="none" w:sz="0" w:space="0" w:color="auto"/>
        <w:left w:val="none" w:sz="0" w:space="0" w:color="auto"/>
        <w:bottom w:val="none" w:sz="0" w:space="0" w:color="auto"/>
        <w:right w:val="none" w:sz="0" w:space="0" w:color="auto"/>
      </w:divBdr>
    </w:div>
    <w:div w:id="1865365206">
      <w:bodyDiv w:val="1"/>
      <w:marLeft w:val="0"/>
      <w:marRight w:val="0"/>
      <w:marTop w:val="0"/>
      <w:marBottom w:val="0"/>
      <w:divBdr>
        <w:top w:val="none" w:sz="0" w:space="0" w:color="auto"/>
        <w:left w:val="none" w:sz="0" w:space="0" w:color="auto"/>
        <w:bottom w:val="none" w:sz="0" w:space="0" w:color="auto"/>
        <w:right w:val="none" w:sz="0" w:space="0" w:color="auto"/>
      </w:divBdr>
    </w:div>
    <w:div w:id="1885406056">
      <w:bodyDiv w:val="1"/>
      <w:marLeft w:val="0"/>
      <w:marRight w:val="0"/>
      <w:marTop w:val="0"/>
      <w:marBottom w:val="0"/>
      <w:divBdr>
        <w:top w:val="none" w:sz="0" w:space="0" w:color="auto"/>
        <w:left w:val="none" w:sz="0" w:space="0" w:color="auto"/>
        <w:bottom w:val="none" w:sz="0" w:space="0" w:color="auto"/>
        <w:right w:val="none" w:sz="0" w:space="0" w:color="auto"/>
      </w:divBdr>
      <w:divsChild>
        <w:div w:id="2006546880">
          <w:marLeft w:val="0"/>
          <w:marRight w:val="0"/>
          <w:marTop w:val="0"/>
          <w:marBottom w:val="0"/>
          <w:divBdr>
            <w:top w:val="none" w:sz="0" w:space="0" w:color="auto"/>
            <w:left w:val="none" w:sz="0" w:space="0" w:color="auto"/>
            <w:bottom w:val="none" w:sz="0" w:space="0" w:color="auto"/>
            <w:right w:val="none" w:sz="0" w:space="0" w:color="auto"/>
          </w:divBdr>
        </w:div>
      </w:divsChild>
    </w:div>
    <w:div w:id="1927765776">
      <w:bodyDiv w:val="1"/>
      <w:marLeft w:val="0"/>
      <w:marRight w:val="0"/>
      <w:marTop w:val="0"/>
      <w:marBottom w:val="0"/>
      <w:divBdr>
        <w:top w:val="none" w:sz="0" w:space="0" w:color="auto"/>
        <w:left w:val="none" w:sz="0" w:space="0" w:color="auto"/>
        <w:bottom w:val="none" w:sz="0" w:space="0" w:color="auto"/>
        <w:right w:val="none" w:sz="0" w:space="0" w:color="auto"/>
      </w:divBdr>
    </w:div>
    <w:div w:id="2040037340">
      <w:bodyDiv w:val="1"/>
      <w:marLeft w:val="0"/>
      <w:marRight w:val="0"/>
      <w:marTop w:val="0"/>
      <w:marBottom w:val="0"/>
      <w:divBdr>
        <w:top w:val="none" w:sz="0" w:space="0" w:color="auto"/>
        <w:left w:val="none" w:sz="0" w:space="0" w:color="auto"/>
        <w:bottom w:val="none" w:sz="0" w:space="0" w:color="auto"/>
        <w:right w:val="none" w:sz="0" w:space="0" w:color="auto"/>
      </w:divBdr>
      <w:divsChild>
        <w:div w:id="2090879094">
          <w:marLeft w:val="0"/>
          <w:marRight w:val="0"/>
          <w:marTop w:val="0"/>
          <w:marBottom w:val="0"/>
          <w:divBdr>
            <w:top w:val="none" w:sz="0" w:space="0" w:color="auto"/>
            <w:left w:val="none" w:sz="0" w:space="0" w:color="auto"/>
            <w:bottom w:val="none" w:sz="0" w:space="0" w:color="auto"/>
            <w:right w:val="none" w:sz="0" w:space="0" w:color="auto"/>
          </w:divBdr>
        </w:div>
      </w:divsChild>
    </w:div>
    <w:div w:id="2101485597">
      <w:bodyDiv w:val="1"/>
      <w:marLeft w:val="0"/>
      <w:marRight w:val="0"/>
      <w:marTop w:val="0"/>
      <w:marBottom w:val="0"/>
      <w:divBdr>
        <w:top w:val="none" w:sz="0" w:space="0" w:color="auto"/>
        <w:left w:val="none" w:sz="0" w:space="0" w:color="auto"/>
        <w:bottom w:val="none" w:sz="0" w:space="0" w:color="auto"/>
        <w:right w:val="none" w:sz="0" w:space="0" w:color="auto"/>
      </w:divBdr>
    </w:div>
    <w:div w:id="2134594865">
      <w:bodyDiv w:val="1"/>
      <w:marLeft w:val="0"/>
      <w:marRight w:val="0"/>
      <w:marTop w:val="0"/>
      <w:marBottom w:val="0"/>
      <w:divBdr>
        <w:top w:val="none" w:sz="0" w:space="0" w:color="auto"/>
        <w:left w:val="none" w:sz="0" w:space="0" w:color="auto"/>
        <w:bottom w:val="none" w:sz="0" w:space="0" w:color="auto"/>
        <w:right w:val="none" w:sz="0" w:space="0" w:color="auto"/>
      </w:divBdr>
    </w:div>
    <w:div w:id="2135436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B5B466-E474-45D0-807C-ED71A03E9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3040</TotalTime>
  <Pages>12</Pages>
  <Words>2934</Words>
  <Characters>16729</Characters>
  <Application>Microsoft Office Word</Application>
  <DocSecurity>0</DocSecurity>
  <Lines>139</Lines>
  <Paragraphs>39</Paragraphs>
  <ScaleCrop>false</ScaleCrop>
  <Company/>
  <LinksUpToDate>false</LinksUpToDate>
  <CharactersWithSpaces>19624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Mihoc</dc:creator>
  <cp:keywords/>
  <dc:description/>
  <cp:lastModifiedBy>Alina Mihoc</cp:lastModifiedBy>
  <cp:revision>181</cp:revision>
  <dcterms:created xsi:type="dcterms:W3CDTF">2026-03-28T09:01:00Z</dcterms:created>
  <dcterms:modified xsi:type="dcterms:W3CDTF">2026-03-30T10:58:00Z</dcterms:modified>
</cp:coreProperties>
</file>