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75723F" w:rsidRDefault="00B21F2E" w:rsidP="0075723F">
      <w:pPr>
        <w:spacing w:line="360" w:lineRule="auto"/>
        <w:jc w:val="center"/>
        <w:rPr>
          <w:rFonts w:ascii="Arial" w:hAnsi="Arial" w:cs="Arial"/>
          <w:b/>
          <w:u w:val="single"/>
        </w:rPr>
      </w:pPr>
    </w:p>
    <w:p w14:paraId="618BF57D" w14:textId="77777777" w:rsidR="001B69C8" w:rsidRPr="0075723F" w:rsidRDefault="001B69C8" w:rsidP="0075723F">
      <w:pPr>
        <w:spacing w:line="360" w:lineRule="auto"/>
        <w:jc w:val="both"/>
        <w:rPr>
          <w:rFonts w:ascii="Arial" w:hAnsi="Arial" w:cs="Arial"/>
          <w:b/>
          <w:u w:val="single"/>
        </w:rPr>
      </w:pPr>
    </w:p>
    <w:p w14:paraId="5E1B2845" w14:textId="77777777" w:rsidR="001B69C8" w:rsidRPr="0075723F" w:rsidRDefault="001B69C8" w:rsidP="0075723F">
      <w:pPr>
        <w:spacing w:line="360" w:lineRule="auto"/>
        <w:jc w:val="both"/>
        <w:rPr>
          <w:rFonts w:ascii="Arial" w:hAnsi="Arial" w:cs="Arial"/>
          <w:b/>
          <w:u w:val="single"/>
        </w:rPr>
      </w:pPr>
    </w:p>
    <w:p w14:paraId="3FBC8958" w14:textId="2864CFD5" w:rsidR="00301AD0" w:rsidRPr="0075723F" w:rsidRDefault="001B6DB4" w:rsidP="0075723F">
      <w:pPr>
        <w:spacing w:line="360" w:lineRule="auto"/>
        <w:jc w:val="both"/>
        <w:rPr>
          <w:rFonts w:ascii="Arial" w:hAnsi="Arial" w:cs="Arial"/>
          <w:b/>
          <w:u w:val="single"/>
        </w:rPr>
      </w:pPr>
      <w:r w:rsidRPr="0075723F">
        <w:rPr>
          <w:rFonts w:ascii="Arial" w:hAnsi="Arial" w:cs="Arial"/>
          <w:b/>
          <w:u w:val="single"/>
        </w:rPr>
        <w:t>L</w:t>
      </w:r>
      <w:r w:rsidR="001B69C8" w:rsidRPr="0075723F">
        <w:rPr>
          <w:rFonts w:ascii="Arial" w:hAnsi="Arial" w:cs="Arial"/>
          <w:b/>
          <w:u w:val="single"/>
        </w:rPr>
        <w:t>E</w:t>
      </w:r>
      <w:r w:rsidRPr="0075723F">
        <w:rPr>
          <w:rFonts w:ascii="Arial" w:hAnsi="Arial" w:cs="Arial"/>
          <w:b/>
          <w:u w:val="single"/>
        </w:rPr>
        <w:t>V</w:t>
      </w:r>
      <w:r w:rsidR="001B69C8" w:rsidRPr="0075723F">
        <w:rPr>
          <w:rFonts w:ascii="Arial" w:hAnsi="Arial" w:cs="Arial"/>
          <w:b/>
          <w:u w:val="single"/>
        </w:rPr>
        <w:t>EL 4</w:t>
      </w:r>
      <w:r w:rsidRPr="0075723F">
        <w:rPr>
          <w:rFonts w:ascii="Arial" w:hAnsi="Arial" w:cs="Arial"/>
          <w:b/>
          <w:u w:val="single"/>
        </w:rPr>
        <w:t xml:space="preserve"> </w:t>
      </w:r>
      <w:r w:rsidR="00643CB9" w:rsidRPr="0075723F">
        <w:rPr>
          <w:rFonts w:ascii="Arial" w:hAnsi="Arial" w:cs="Arial"/>
          <w:b/>
          <w:u w:val="single"/>
        </w:rPr>
        <w:t>–</w:t>
      </w:r>
      <w:r w:rsidRPr="0075723F">
        <w:rPr>
          <w:rFonts w:ascii="Arial" w:hAnsi="Arial" w:cs="Arial"/>
          <w:b/>
          <w:u w:val="single"/>
        </w:rPr>
        <w:t xml:space="preserve"> </w:t>
      </w:r>
      <w:r w:rsidR="00B21F2E" w:rsidRPr="0075723F">
        <w:rPr>
          <w:rFonts w:ascii="Arial" w:hAnsi="Arial" w:cs="Arial"/>
          <w:b/>
          <w:u w:val="single"/>
        </w:rPr>
        <w:t xml:space="preserve">Student Journal </w:t>
      </w:r>
      <w:r w:rsidR="00A138AA" w:rsidRPr="0075723F">
        <w:rPr>
          <w:rFonts w:ascii="Arial" w:hAnsi="Arial" w:cs="Arial"/>
          <w:b/>
          <w:u w:val="single"/>
        </w:rPr>
        <w:t>(750 words)</w:t>
      </w:r>
    </w:p>
    <w:p w14:paraId="21B8D9FF" w14:textId="77777777" w:rsidR="00301AD0" w:rsidRPr="0075723F" w:rsidRDefault="00301AD0" w:rsidP="0075723F">
      <w:pPr>
        <w:spacing w:line="360" w:lineRule="auto"/>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75723F" w14:paraId="0D3FB92D" w14:textId="77777777" w:rsidTr="00B21F2E">
        <w:tc>
          <w:tcPr>
            <w:tcW w:w="3987" w:type="dxa"/>
            <w:shd w:val="clear" w:color="auto" w:fill="8DB3E2" w:themeFill="text2" w:themeFillTint="66"/>
          </w:tcPr>
          <w:p w14:paraId="37BA3919" w14:textId="77777777" w:rsidR="0075723F" w:rsidRDefault="00B21F2E" w:rsidP="0075723F">
            <w:pPr>
              <w:spacing w:line="360" w:lineRule="auto"/>
              <w:rPr>
                <w:rFonts w:ascii="Arial" w:hAnsi="Arial" w:cs="Arial"/>
                <w:b/>
              </w:rPr>
            </w:pPr>
            <w:r w:rsidRPr="0075723F">
              <w:rPr>
                <w:rFonts w:ascii="Arial" w:hAnsi="Arial" w:cs="Arial"/>
                <w:b/>
              </w:rPr>
              <w:t>Student Name:</w:t>
            </w:r>
            <w:r w:rsidR="003478CE" w:rsidRPr="0075723F">
              <w:rPr>
                <w:rFonts w:ascii="Arial" w:hAnsi="Arial" w:cs="Arial"/>
                <w:b/>
              </w:rPr>
              <w:t xml:space="preserve"> </w:t>
            </w:r>
          </w:p>
          <w:p w14:paraId="4B8FE21B" w14:textId="1C92685B" w:rsidR="00B21F2E" w:rsidRPr="0075723F" w:rsidRDefault="0075723F" w:rsidP="0075723F">
            <w:pPr>
              <w:spacing w:line="360" w:lineRule="auto"/>
              <w:rPr>
                <w:rFonts w:ascii="Arial" w:hAnsi="Arial" w:cs="Arial"/>
                <w:b/>
              </w:rPr>
            </w:pPr>
            <w:r>
              <w:rPr>
                <w:rFonts w:ascii="Arial" w:hAnsi="Arial" w:cs="Arial"/>
                <w:b/>
              </w:rPr>
              <w:t>Andreea Florentina Simon</w:t>
            </w:r>
          </w:p>
          <w:p w14:paraId="1BE02E96" w14:textId="5E6B7E99" w:rsidR="00B21F2E" w:rsidRPr="0075723F" w:rsidRDefault="001B69C8" w:rsidP="0075723F">
            <w:pPr>
              <w:spacing w:line="360" w:lineRule="auto"/>
              <w:rPr>
                <w:rFonts w:ascii="Arial" w:hAnsi="Arial" w:cs="Arial"/>
                <w:b/>
              </w:rPr>
            </w:pPr>
            <w:r w:rsidRPr="0075723F">
              <w:rPr>
                <w:rFonts w:ascii="Arial" w:hAnsi="Arial" w:cs="Arial"/>
                <w:b/>
              </w:rPr>
              <w:t>Student Number:</w:t>
            </w:r>
            <w:r w:rsidR="003478CE" w:rsidRPr="0075723F">
              <w:rPr>
                <w:rFonts w:ascii="Arial" w:hAnsi="Arial" w:cs="Arial"/>
                <w:b/>
              </w:rPr>
              <w:t xml:space="preserve"> </w:t>
            </w:r>
            <w:r w:rsidR="0075723F">
              <w:rPr>
                <w:rFonts w:ascii="Arial" w:hAnsi="Arial" w:cs="Arial"/>
                <w:b/>
              </w:rPr>
              <w:t>2025170</w:t>
            </w:r>
          </w:p>
        </w:tc>
        <w:tc>
          <w:tcPr>
            <w:tcW w:w="7195" w:type="dxa"/>
            <w:shd w:val="clear" w:color="auto" w:fill="8DB3E2" w:themeFill="text2" w:themeFillTint="66"/>
          </w:tcPr>
          <w:p w14:paraId="488BCD26" w14:textId="709B4C17" w:rsidR="00B21F2E" w:rsidRPr="0075723F" w:rsidRDefault="001B69C8" w:rsidP="0075723F">
            <w:pPr>
              <w:spacing w:line="360" w:lineRule="auto"/>
              <w:rPr>
                <w:rFonts w:ascii="Arial" w:hAnsi="Arial" w:cs="Arial"/>
                <w:b/>
              </w:rPr>
            </w:pPr>
            <w:r w:rsidRPr="0075723F">
              <w:rPr>
                <w:rFonts w:ascii="Arial" w:hAnsi="Arial" w:cs="Arial"/>
                <w:b/>
              </w:rPr>
              <w:t>Module:</w:t>
            </w:r>
            <w:r w:rsidR="003C7669">
              <w:rPr>
                <w:rFonts w:ascii="Arial" w:hAnsi="Arial" w:cs="Arial"/>
                <w:b/>
              </w:rPr>
              <w:t xml:space="preserve"> </w:t>
            </w:r>
            <w:r w:rsidR="003C7669">
              <w:rPr>
                <w:rFonts w:ascii="Arial" w:hAnsi="Arial" w:cs="Arial"/>
                <w:b/>
              </w:rPr>
              <w:t>BMIH4002</w:t>
            </w:r>
            <w:r w:rsidR="003C7669">
              <w:rPr>
                <w:rFonts w:ascii="Arial" w:hAnsi="Arial" w:cs="Arial"/>
                <w:b/>
              </w:rPr>
              <w:t>,</w:t>
            </w:r>
            <w:r w:rsidR="00C403AD">
              <w:rPr>
                <w:rFonts w:ascii="Arial" w:hAnsi="Arial" w:cs="Arial"/>
                <w:b/>
              </w:rPr>
              <w:t xml:space="preserve"> </w:t>
            </w:r>
            <w:r w:rsidR="0075723F">
              <w:rPr>
                <w:rFonts w:ascii="Arial" w:hAnsi="Arial" w:cs="Arial"/>
                <w:b/>
              </w:rPr>
              <w:t>Food &amp; Beverage Operations</w:t>
            </w:r>
            <w:r w:rsidR="00C403AD">
              <w:rPr>
                <w:rFonts w:ascii="Arial" w:hAnsi="Arial" w:cs="Arial"/>
                <w:b/>
              </w:rPr>
              <w:t xml:space="preserve">, </w:t>
            </w:r>
            <w:r w:rsidR="004508D4">
              <w:rPr>
                <w:rFonts w:ascii="Arial" w:hAnsi="Arial" w:cs="Arial"/>
                <w:b/>
              </w:rPr>
              <w:t>CERT</w:t>
            </w:r>
            <w:r w:rsidR="002939AB">
              <w:rPr>
                <w:rFonts w:ascii="Arial" w:hAnsi="Arial" w:cs="Arial"/>
                <w:b/>
              </w:rPr>
              <w:t xml:space="preserve"> B-SPRING 22_GRP</w:t>
            </w:r>
            <w:r w:rsidR="00C403AD">
              <w:rPr>
                <w:rFonts w:ascii="Arial" w:hAnsi="Arial" w:cs="Arial"/>
                <w:b/>
              </w:rPr>
              <w:t xml:space="preserve"> </w:t>
            </w:r>
          </w:p>
          <w:p w14:paraId="2019D1B6" w14:textId="77777777" w:rsidR="00B21F2E" w:rsidRPr="0075723F" w:rsidRDefault="00B21F2E" w:rsidP="0075723F">
            <w:pPr>
              <w:spacing w:line="360" w:lineRule="auto"/>
              <w:rPr>
                <w:rFonts w:ascii="Arial" w:hAnsi="Arial" w:cs="Arial"/>
                <w:b/>
              </w:rPr>
            </w:pPr>
          </w:p>
          <w:p w14:paraId="450FE136" w14:textId="6543A61E" w:rsidR="001B69C8" w:rsidRPr="0075723F" w:rsidRDefault="001B69C8" w:rsidP="0075723F">
            <w:pPr>
              <w:spacing w:line="360" w:lineRule="auto"/>
              <w:rPr>
                <w:rFonts w:ascii="Arial" w:hAnsi="Arial" w:cs="Arial"/>
                <w:b/>
              </w:rPr>
            </w:pPr>
            <w:r w:rsidRPr="0075723F">
              <w:rPr>
                <w:rFonts w:ascii="Arial" w:hAnsi="Arial" w:cs="Arial"/>
                <w:b/>
              </w:rPr>
              <w:t>Lecturer:</w:t>
            </w:r>
            <w:r w:rsidR="003478CE" w:rsidRPr="0075723F">
              <w:rPr>
                <w:rFonts w:ascii="Arial" w:hAnsi="Arial" w:cs="Arial"/>
                <w:b/>
              </w:rPr>
              <w:t xml:space="preserve"> </w:t>
            </w:r>
            <w:r w:rsidR="00C403AD">
              <w:rPr>
                <w:rFonts w:ascii="Arial" w:hAnsi="Arial" w:cs="Arial"/>
                <w:b/>
              </w:rPr>
              <w:t>LAURENCE BLAKE</w:t>
            </w:r>
          </w:p>
        </w:tc>
      </w:tr>
    </w:tbl>
    <w:p w14:paraId="1F13C318" w14:textId="4D5FFF34" w:rsidR="0062012D" w:rsidRPr="0075723F" w:rsidRDefault="0062012D" w:rsidP="0075723F">
      <w:pPr>
        <w:spacing w:line="360" w:lineRule="auto"/>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75723F" w14:paraId="19DFCE05" w14:textId="77777777" w:rsidTr="00563973">
        <w:tc>
          <w:tcPr>
            <w:tcW w:w="3983" w:type="dxa"/>
            <w:shd w:val="clear" w:color="auto" w:fill="FBD4B4" w:themeFill="accent6" w:themeFillTint="66"/>
          </w:tcPr>
          <w:p w14:paraId="15299B24" w14:textId="1E6D5FFF" w:rsidR="0075723F" w:rsidRPr="00F165C1" w:rsidRDefault="008F0D83" w:rsidP="00F165C1">
            <w:pPr>
              <w:spacing w:line="360" w:lineRule="auto"/>
              <w:rPr>
                <w:rFonts w:ascii="Arial" w:hAnsi="Arial" w:cs="Arial"/>
                <w:b/>
              </w:rPr>
            </w:pPr>
            <w:r w:rsidRPr="0075723F">
              <w:rPr>
                <w:rFonts w:ascii="Arial" w:hAnsi="Arial" w:cs="Arial"/>
                <w:b/>
              </w:rPr>
              <w:t>Topic of choice:</w:t>
            </w:r>
            <w:r w:rsidR="00B60FDF" w:rsidRPr="0075723F">
              <w:rPr>
                <w:rFonts w:ascii="Arial" w:hAnsi="Arial" w:cs="Arial"/>
                <w:b/>
              </w:rPr>
              <w:t xml:space="preserve"> </w:t>
            </w:r>
            <w:r w:rsidR="00F165C1" w:rsidRPr="0075723F">
              <w:rPr>
                <w:rFonts w:ascii="Arial" w:hAnsi="Arial" w:cs="Arial"/>
                <w:b/>
              </w:rPr>
              <w:t xml:space="preserve">Allergies and Intolerances and the importance within the industry </w:t>
            </w:r>
          </w:p>
        </w:tc>
        <w:tc>
          <w:tcPr>
            <w:tcW w:w="7199" w:type="dxa"/>
            <w:shd w:val="clear" w:color="auto" w:fill="FBD4B4" w:themeFill="accent6" w:themeFillTint="66"/>
          </w:tcPr>
          <w:p w14:paraId="174A44A2" w14:textId="77777777" w:rsidR="00F165C1" w:rsidRPr="00966BC2" w:rsidRDefault="00F165C1" w:rsidP="00F165C1">
            <w:pPr>
              <w:spacing w:line="360" w:lineRule="auto"/>
              <w:rPr>
                <w:rFonts w:ascii="Arial" w:hAnsi="Arial" w:cs="Arial"/>
                <w:b/>
              </w:rPr>
            </w:pPr>
            <w:r w:rsidRPr="00966BC2">
              <w:rPr>
                <w:rFonts w:ascii="Arial" w:hAnsi="Arial" w:cs="Arial"/>
                <w:b/>
              </w:rPr>
              <w:t>Date Completed: 08/02/2022</w:t>
            </w:r>
          </w:p>
          <w:p w14:paraId="5A58C08D" w14:textId="60CD33D1" w:rsidR="00F165C1" w:rsidRPr="0075723F" w:rsidRDefault="00F165C1" w:rsidP="0075723F">
            <w:pPr>
              <w:spacing w:line="360" w:lineRule="auto"/>
              <w:jc w:val="both"/>
              <w:rPr>
                <w:rFonts w:ascii="Arial" w:hAnsi="Arial" w:cs="Arial"/>
                <w:b/>
              </w:rPr>
            </w:pPr>
          </w:p>
        </w:tc>
      </w:tr>
      <w:tr w:rsidR="00B945EA" w:rsidRPr="0075723F" w14:paraId="60CC0225" w14:textId="77777777" w:rsidTr="00A91FD6">
        <w:trPr>
          <w:trHeight w:val="2494"/>
        </w:trPr>
        <w:tc>
          <w:tcPr>
            <w:tcW w:w="11182" w:type="dxa"/>
            <w:gridSpan w:val="2"/>
          </w:tcPr>
          <w:p w14:paraId="74AA39BA" w14:textId="3D11C44A" w:rsidR="00B721C0" w:rsidRPr="0075723F" w:rsidRDefault="0075723F" w:rsidP="0075723F">
            <w:pPr>
              <w:spacing w:line="360" w:lineRule="auto"/>
              <w:jc w:val="both"/>
              <w:rPr>
                <w:rFonts w:ascii="Arial" w:hAnsi="Arial" w:cs="Arial"/>
              </w:rPr>
            </w:pPr>
            <w:r>
              <w:rPr>
                <w:rFonts w:ascii="Arial" w:hAnsi="Arial" w:cs="Arial"/>
              </w:rPr>
              <w:t xml:space="preserve">          </w:t>
            </w:r>
            <w:r w:rsidR="00B721C0" w:rsidRPr="0075723F">
              <w:rPr>
                <w:rFonts w:ascii="Arial" w:hAnsi="Arial" w:cs="Arial"/>
              </w:rPr>
              <w:t>“Allergy” denotes the immune response of the body against different foods. Cosmetics or other things contain “allergens”. The allergic reaction causes inflammation, itching, swelling and redness of the skin, sneezing, cough and sometimes fever. Food intolerance shows vomiting, indigestion, colic pain and loose motion (</w:t>
            </w:r>
            <w:r w:rsidR="00B721C0" w:rsidRPr="0075723F">
              <w:rPr>
                <w:rFonts w:ascii="Arial" w:hAnsi="Arial" w:cs="Arial"/>
                <w:color w:val="222222"/>
                <w:highlight w:val="white"/>
              </w:rPr>
              <w:t xml:space="preserve">Facioni </w:t>
            </w:r>
            <w:r w:rsidR="00B721C0" w:rsidRPr="0075723F">
              <w:rPr>
                <w:rFonts w:ascii="Arial" w:hAnsi="Arial" w:cs="Arial"/>
                <w:i/>
                <w:color w:val="222222"/>
                <w:highlight w:val="white"/>
              </w:rPr>
              <w:t xml:space="preserve">et al. </w:t>
            </w:r>
            <w:r w:rsidR="00B721C0" w:rsidRPr="0075723F">
              <w:rPr>
                <w:rFonts w:ascii="Arial" w:hAnsi="Arial" w:cs="Arial"/>
                <w:color w:val="222222"/>
                <w:highlight w:val="white"/>
              </w:rPr>
              <w:t>2020</w:t>
            </w:r>
            <w:r w:rsidR="00B721C0" w:rsidRPr="0075723F">
              <w:rPr>
                <w:rFonts w:ascii="Arial" w:hAnsi="Arial" w:cs="Arial"/>
              </w:rPr>
              <w:t xml:space="preserve">). Several people are affected by the food allergens and suffer from food intolerance after consuming “pathogen-contaminated” foods or the food that causes “immune response”. </w:t>
            </w:r>
            <w:r>
              <w:rPr>
                <w:rFonts w:ascii="Arial" w:hAnsi="Arial" w:cs="Arial"/>
              </w:rPr>
              <w:t xml:space="preserve">        </w:t>
            </w:r>
            <w:r w:rsidR="00B721C0" w:rsidRPr="0075723F">
              <w:rPr>
                <w:rFonts w:ascii="Arial" w:hAnsi="Arial" w:cs="Arial"/>
              </w:rPr>
              <w:t xml:space="preserve">Most common food allergens are found in several protein-rich foods such as Prawn, Crab, Seafood, Meat, Eggs, vegetables like Brinjal, Mushrooms and nuts. As per </w:t>
            </w:r>
            <w:r w:rsidR="00B721C0" w:rsidRPr="0075723F">
              <w:rPr>
                <w:rFonts w:ascii="Arial" w:hAnsi="Arial" w:cs="Arial"/>
                <w:color w:val="222222"/>
                <w:highlight w:val="white"/>
              </w:rPr>
              <w:t xml:space="preserve">Pacholek </w:t>
            </w:r>
            <w:r w:rsidR="00B721C0" w:rsidRPr="0075723F">
              <w:rPr>
                <w:rFonts w:ascii="Arial" w:hAnsi="Arial" w:cs="Arial"/>
                <w:i/>
                <w:color w:val="222222"/>
                <w:highlight w:val="white"/>
              </w:rPr>
              <w:t xml:space="preserve">et al. </w:t>
            </w:r>
            <w:r w:rsidR="00B721C0" w:rsidRPr="0075723F">
              <w:rPr>
                <w:rFonts w:ascii="Arial" w:hAnsi="Arial" w:cs="Arial"/>
              </w:rPr>
              <w:t>(2018), some people have lactose and gluten intolerance ad allergic reaction starts after consumption of these foods. There is also an allergic reaction found in cosmetics and some metals used in Junk jewellery such as Nickel. Therefore the food processing, fast food industries and restaurants have to be aware of food allergens and should be explained which kind of materials are used in the foods, therefore the consumers having allergies can avoid those foods. Similarly, the cosmetics and fashion jewellery industries also have to be aware of allergens and intolerance in several products and have to provide details of product ingredients thus the people having allergies can avoid that cosmetics or jewellery (</w:t>
            </w:r>
            <w:r w:rsidR="00B721C0" w:rsidRPr="0075723F">
              <w:rPr>
                <w:rFonts w:ascii="Arial" w:hAnsi="Arial" w:cs="Arial"/>
                <w:color w:val="222222"/>
                <w:highlight w:val="white"/>
              </w:rPr>
              <w:t>Bahna, and Burkhardt, 2018</w:t>
            </w:r>
            <w:r w:rsidR="00B721C0" w:rsidRPr="0075723F">
              <w:rPr>
                <w:rFonts w:ascii="Arial" w:hAnsi="Arial" w:cs="Arial"/>
              </w:rPr>
              <w:t xml:space="preserve">). </w:t>
            </w:r>
          </w:p>
          <w:p w14:paraId="4175942C" w14:textId="423F434E" w:rsidR="00B721C0" w:rsidRPr="0075723F" w:rsidRDefault="0075723F" w:rsidP="0075723F">
            <w:pPr>
              <w:spacing w:line="360" w:lineRule="auto"/>
              <w:jc w:val="both"/>
              <w:rPr>
                <w:rFonts w:ascii="Arial" w:hAnsi="Arial" w:cs="Arial"/>
              </w:rPr>
            </w:pPr>
            <w:r>
              <w:rPr>
                <w:rFonts w:ascii="Arial" w:hAnsi="Arial" w:cs="Arial"/>
              </w:rPr>
              <w:t xml:space="preserve">          </w:t>
            </w:r>
            <w:r w:rsidR="00B721C0" w:rsidRPr="0075723F">
              <w:rPr>
                <w:rFonts w:ascii="Arial" w:hAnsi="Arial" w:cs="Arial"/>
              </w:rPr>
              <w:t>I have found in the study that food allergies and cosmetics allergies sometimes become severe and may cause serious health problems for the people who have the “hypersensitivity”.  Therefore the food and cosmetics industries have to protect the consumers from health hazards by providing the proper information of the ingredients of the products. My study depicts that 2 to 5 % of adults and 6 to 7% of total sub-adult people are suffering from food allergies in several proteinaceous foods (</w:t>
            </w:r>
            <w:r w:rsidR="00B721C0" w:rsidRPr="0075723F">
              <w:rPr>
                <w:rFonts w:ascii="Arial" w:hAnsi="Arial" w:cs="Arial"/>
                <w:color w:val="222222"/>
                <w:highlight w:val="white"/>
              </w:rPr>
              <w:t xml:space="preserve">Muthukumar </w:t>
            </w:r>
            <w:r w:rsidR="00B721C0" w:rsidRPr="0075723F">
              <w:rPr>
                <w:rFonts w:ascii="Arial" w:hAnsi="Arial" w:cs="Arial"/>
                <w:i/>
                <w:color w:val="222222"/>
                <w:highlight w:val="white"/>
              </w:rPr>
              <w:t xml:space="preserve">et al. </w:t>
            </w:r>
            <w:r w:rsidR="00B721C0" w:rsidRPr="0075723F">
              <w:rPr>
                <w:rFonts w:ascii="Arial" w:hAnsi="Arial" w:cs="Arial"/>
                <w:color w:val="222222"/>
                <w:highlight w:val="white"/>
              </w:rPr>
              <w:t>2020</w:t>
            </w:r>
            <w:r w:rsidR="00B721C0" w:rsidRPr="0075723F">
              <w:rPr>
                <w:rFonts w:ascii="Arial" w:hAnsi="Arial" w:cs="Arial"/>
              </w:rPr>
              <w:t xml:space="preserve">). This “hypersensitivity” is related to “IgE” and causes several inflammatory reactions. The food processing and fast food industries and restaurants have to follow the food safety regulations and legislation of the UK such as “Regulation (EU) No 1169/ 2011”, which helps the industries to maintain </w:t>
            </w:r>
            <w:r w:rsidR="00B721C0" w:rsidRPr="0075723F">
              <w:rPr>
                <w:rFonts w:ascii="Arial" w:hAnsi="Arial" w:cs="Arial"/>
              </w:rPr>
              <w:lastRenderedPageBreak/>
              <w:t>the image and value (</w:t>
            </w:r>
            <w:r w:rsidR="00B721C0" w:rsidRPr="0075723F">
              <w:rPr>
                <w:rFonts w:ascii="Arial" w:hAnsi="Arial" w:cs="Arial"/>
                <w:color w:val="222222"/>
                <w:highlight w:val="white"/>
              </w:rPr>
              <w:t xml:space="preserve">Kulshreshtha </w:t>
            </w:r>
            <w:r w:rsidR="00B721C0" w:rsidRPr="0075723F">
              <w:rPr>
                <w:rFonts w:ascii="Arial" w:hAnsi="Arial" w:cs="Arial"/>
                <w:i/>
                <w:color w:val="222222"/>
                <w:highlight w:val="white"/>
              </w:rPr>
              <w:t xml:space="preserve">et al. </w:t>
            </w:r>
            <w:r w:rsidR="00B721C0" w:rsidRPr="0075723F">
              <w:rPr>
                <w:rFonts w:ascii="Arial" w:hAnsi="Arial" w:cs="Arial"/>
                <w:color w:val="222222"/>
                <w:highlight w:val="white"/>
              </w:rPr>
              <w:t>2022</w:t>
            </w:r>
            <w:r w:rsidR="00B721C0" w:rsidRPr="0075723F">
              <w:rPr>
                <w:rFonts w:ascii="Arial" w:hAnsi="Arial" w:cs="Arial"/>
              </w:rPr>
              <w:t>). I have found that the food industries have to provide the “reaction reporting tools” for the consumers which can help the organisation to understand better the demand of the consumers and allergic reaction of different foods. The industries have to gain the “food safety training of PECB” which is ISO certified. Cosmetics and “beauty care” products such as shampoos, soaps, lotions, creams, foundations, eye makeup, lipstick, nail polish and deodorants also induce “allergic reaction”  therefore this industry have to obey the “Fair packaging and labelling act” as per which the organisation have to provide the warning terms on the packet like “not for sensitive skin” (</w:t>
            </w:r>
            <w:r w:rsidR="00B721C0" w:rsidRPr="0075723F">
              <w:rPr>
                <w:rFonts w:ascii="Arial" w:hAnsi="Arial" w:cs="Arial"/>
                <w:color w:val="222222"/>
                <w:highlight w:val="white"/>
              </w:rPr>
              <w:t>Sarkic, and Stappen, 2018</w:t>
            </w:r>
            <w:r w:rsidR="00B721C0" w:rsidRPr="0075723F">
              <w:rPr>
                <w:rFonts w:ascii="Arial" w:hAnsi="Arial" w:cs="Arial"/>
              </w:rPr>
              <w:t>). The consumers also have to check the ingredients of the product before purchase and use to avoid “anaphylaxis” and “allergic reaction”. This knowledge about allergic reactions and safety regulations will help me in the future development of industry management. Advanced knowledge about this topic also help me to avoid the allergy by knowing the instructions in the product packet. I have gained knowledge about this topic from several articles, newspapers, books and internet sources which helps me in the development of my professional and personal life.</w:t>
            </w:r>
          </w:p>
          <w:p w14:paraId="56C242B6" w14:textId="3C639661" w:rsidR="00B721C0" w:rsidRPr="0075723F" w:rsidRDefault="0075723F" w:rsidP="0075723F">
            <w:pPr>
              <w:spacing w:line="360" w:lineRule="auto"/>
              <w:jc w:val="both"/>
              <w:rPr>
                <w:rFonts w:ascii="Arial" w:hAnsi="Arial" w:cs="Arial"/>
              </w:rPr>
            </w:pPr>
            <w:r>
              <w:rPr>
                <w:rFonts w:ascii="Arial" w:hAnsi="Arial" w:cs="Arial"/>
              </w:rPr>
              <w:t xml:space="preserve">          </w:t>
            </w:r>
            <w:r w:rsidR="00B721C0" w:rsidRPr="0075723F">
              <w:rPr>
                <w:rFonts w:ascii="Arial" w:hAnsi="Arial" w:cs="Arial"/>
              </w:rPr>
              <w:t>The industry which is related to foods, beverages, cosmetics and junk jewellery have to be aware of “allergic reaction and hypersensitivity” because the lack of proper information about the product ingredient on the packet can increase the brand image and brand value of the organisation (</w:t>
            </w:r>
            <w:r w:rsidR="00B721C0" w:rsidRPr="0075723F">
              <w:rPr>
                <w:rFonts w:ascii="Arial" w:hAnsi="Arial" w:cs="Arial"/>
                <w:color w:val="222222"/>
                <w:highlight w:val="white"/>
              </w:rPr>
              <w:t xml:space="preserve">Zieglmayer </w:t>
            </w:r>
            <w:r w:rsidR="00B721C0" w:rsidRPr="0075723F">
              <w:rPr>
                <w:rFonts w:ascii="Arial" w:hAnsi="Arial" w:cs="Arial"/>
                <w:i/>
                <w:color w:val="222222"/>
                <w:highlight w:val="white"/>
              </w:rPr>
              <w:t xml:space="preserve">et al. </w:t>
            </w:r>
            <w:r w:rsidR="00B721C0" w:rsidRPr="0075723F">
              <w:rPr>
                <w:rFonts w:ascii="Arial" w:hAnsi="Arial" w:cs="Arial"/>
                <w:color w:val="222222"/>
                <w:highlight w:val="white"/>
              </w:rPr>
              <w:t>2021</w:t>
            </w:r>
            <w:r w:rsidR="00B721C0" w:rsidRPr="0075723F">
              <w:rPr>
                <w:rFonts w:ascii="Arial" w:hAnsi="Arial" w:cs="Arial"/>
              </w:rPr>
              <w:t>). On the other hand, the violation of the several rules and regulations associated with fair packaging and explaining the ingredients through a packet or menu chart can reduce the image of the organisation and can also reduce the sales and revenue of the organisation. Without knowing the ingredients, consumption or usage of products can be harmful to the consumers also. Therefore every consumer has to be aware of their possibilities of  “hypersensitivity” which helps them to avoid health hazards. Many of the consumers have no idea about cosmetics allergy, therefore every user has to test the beauty product through the reactions after usage in a small part of the skin. It can help the consumers to discriminate between reactive and non-reactive cosmetics. The industry also has to use organic materials for manufacturing the products instead of chemicals such as “paraben” which can reduce the possibility of allergic reactions (</w:t>
            </w:r>
            <w:r w:rsidR="00B721C0" w:rsidRPr="0075723F">
              <w:rPr>
                <w:rFonts w:ascii="Arial" w:hAnsi="Arial" w:cs="Arial"/>
                <w:color w:val="222222"/>
                <w:highlight w:val="white"/>
              </w:rPr>
              <w:t xml:space="preserve">Vanhoutte </w:t>
            </w:r>
            <w:r w:rsidR="00B721C0" w:rsidRPr="0075723F">
              <w:rPr>
                <w:rFonts w:ascii="Arial" w:hAnsi="Arial" w:cs="Arial"/>
                <w:i/>
                <w:color w:val="222222"/>
                <w:highlight w:val="white"/>
              </w:rPr>
              <w:t xml:space="preserve">et al. </w:t>
            </w:r>
            <w:r w:rsidR="00B721C0" w:rsidRPr="0075723F">
              <w:rPr>
                <w:rFonts w:ascii="Arial" w:hAnsi="Arial" w:cs="Arial"/>
                <w:color w:val="222222"/>
                <w:highlight w:val="white"/>
              </w:rPr>
              <w:t>2019</w:t>
            </w:r>
            <w:r w:rsidR="00B721C0" w:rsidRPr="0075723F">
              <w:rPr>
                <w:rFonts w:ascii="Arial" w:hAnsi="Arial" w:cs="Arial"/>
              </w:rPr>
              <w:t>). Therefore this topic is important for the industry management and future development of the industry.</w:t>
            </w:r>
          </w:p>
          <w:p w14:paraId="467586AD" w14:textId="77777777" w:rsidR="00F51904" w:rsidRPr="0075723F" w:rsidRDefault="00F51904" w:rsidP="0075723F">
            <w:pPr>
              <w:spacing w:line="360" w:lineRule="auto"/>
              <w:jc w:val="both"/>
              <w:rPr>
                <w:rFonts w:ascii="Arial" w:hAnsi="Arial" w:cs="Arial"/>
              </w:rPr>
            </w:pPr>
          </w:p>
          <w:p w14:paraId="4F94C46A" w14:textId="77777777" w:rsidR="00F51904" w:rsidRPr="0075723F" w:rsidRDefault="00F51904" w:rsidP="0075723F">
            <w:pPr>
              <w:spacing w:line="360" w:lineRule="auto"/>
              <w:jc w:val="both"/>
              <w:rPr>
                <w:rFonts w:ascii="Arial" w:hAnsi="Arial" w:cs="Arial"/>
              </w:rPr>
            </w:pPr>
          </w:p>
          <w:p w14:paraId="4DC1E882" w14:textId="77777777" w:rsidR="00797115" w:rsidRPr="0075723F" w:rsidRDefault="00797115" w:rsidP="0075723F">
            <w:pPr>
              <w:spacing w:line="360" w:lineRule="auto"/>
              <w:jc w:val="both"/>
              <w:rPr>
                <w:rFonts w:ascii="Arial" w:hAnsi="Arial" w:cs="Arial"/>
              </w:rPr>
            </w:pPr>
          </w:p>
          <w:p w14:paraId="10B11E51" w14:textId="77777777" w:rsidR="00375882" w:rsidRPr="0075723F" w:rsidRDefault="00375882" w:rsidP="0075723F">
            <w:pPr>
              <w:spacing w:line="360" w:lineRule="auto"/>
              <w:jc w:val="both"/>
              <w:rPr>
                <w:rFonts w:ascii="Arial" w:hAnsi="Arial" w:cs="Arial"/>
              </w:rPr>
            </w:pPr>
          </w:p>
          <w:p w14:paraId="629A4250" w14:textId="77777777" w:rsidR="00375882" w:rsidRPr="0075723F" w:rsidRDefault="00375882" w:rsidP="0075723F">
            <w:pPr>
              <w:spacing w:line="360" w:lineRule="auto"/>
              <w:jc w:val="both"/>
              <w:rPr>
                <w:rFonts w:ascii="Arial" w:hAnsi="Arial" w:cs="Arial"/>
              </w:rPr>
            </w:pPr>
          </w:p>
          <w:p w14:paraId="3B344F1E" w14:textId="4F66D5C5" w:rsidR="00375882" w:rsidRPr="0075723F" w:rsidRDefault="00375882" w:rsidP="0075723F">
            <w:pPr>
              <w:spacing w:line="360" w:lineRule="auto"/>
              <w:jc w:val="both"/>
              <w:rPr>
                <w:rFonts w:ascii="Arial" w:hAnsi="Arial" w:cs="Arial"/>
              </w:rPr>
            </w:pPr>
          </w:p>
        </w:tc>
      </w:tr>
    </w:tbl>
    <w:p w14:paraId="7D9A52CF" w14:textId="77777777" w:rsidR="00B00678" w:rsidRPr="0075723F" w:rsidRDefault="00B00678" w:rsidP="0075723F">
      <w:pPr>
        <w:spacing w:line="360" w:lineRule="auto"/>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75723F" w14:paraId="693FCD7B" w14:textId="77777777" w:rsidTr="00375882">
        <w:tc>
          <w:tcPr>
            <w:tcW w:w="10910" w:type="dxa"/>
            <w:shd w:val="clear" w:color="auto" w:fill="FBD4B4" w:themeFill="accent6" w:themeFillTint="66"/>
          </w:tcPr>
          <w:p w14:paraId="0731D9DE" w14:textId="2E3858E2" w:rsidR="00375882" w:rsidRPr="0075723F" w:rsidRDefault="00375882" w:rsidP="0075723F">
            <w:pPr>
              <w:spacing w:line="360" w:lineRule="auto"/>
              <w:rPr>
                <w:rFonts w:ascii="Arial" w:hAnsi="Arial" w:cs="Arial"/>
                <w:b/>
              </w:rPr>
            </w:pPr>
            <w:r w:rsidRPr="0075723F">
              <w:rPr>
                <w:rFonts w:ascii="Arial" w:hAnsi="Arial" w:cs="Arial"/>
                <w:b/>
              </w:rPr>
              <w:t>REFERENCE LIST</w:t>
            </w:r>
          </w:p>
        </w:tc>
        <w:tc>
          <w:tcPr>
            <w:tcW w:w="272" w:type="dxa"/>
            <w:shd w:val="clear" w:color="auto" w:fill="FBD4B4" w:themeFill="accent6" w:themeFillTint="66"/>
          </w:tcPr>
          <w:p w14:paraId="2A993785" w14:textId="77777777" w:rsidR="00375882" w:rsidRPr="0075723F" w:rsidRDefault="00375882" w:rsidP="0075723F">
            <w:pPr>
              <w:spacing w:line="360" w:lineRule="auto"/>
              <w:jc w:val="center"/>
              <w:rPr>
                <w:rFonts w:ascii="Arial" w:hAnsi="Arial" w:cs="Arial"/>
                <w:b/>
              </w:rPr>
            </w:pPr>
          </w:p>
          <w:p w14:paraId="52F3ACFA" w14:textId="77777777" w:rsidR="00375882" w:rsidRPr="0075723F" w:rsidRDefault="00375882" w:rsidP="0075723F">
            <w:pPr>
              <w:spacing w:line="360" w:lineRule="auto"/>
              <w:jc w:val="center"/>
              <w:rPr>
                <w:rFonts w:ascii="Arial" w:hAnsi="Arial" w:cs="Arial"/>
                <w:b/>
              </w:rPr>
            </w:pPr>
          </w:p>
        </w:tc>
      </w:tr>
      <w:tr w:rsidR="00375882" w:rsidRPr="0075723F" w14:paraId="130E5631" w14:textId="77777777" w:rsidTr="007F6692">
        <w:trPr>
          <w:trHeight w:val="2494"/>
        </w:trPr>
        <w:tc>
          <w:tcPr>
            <w:tcW w:w="11182" w:type="dxa"/>
            <w:gridSpan w:val="2"/>
          </w:tcPr>
          <w:p w14:paraId="2A8D48E1"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Bahna, S.L. and Burkhardt, J.G., 2018, January. The dilemma of allergy to food additives. In </w:t>
            </w:r>
            <w:r w:rsidRPr="0075723F">
              <w:rPr>
                <w:rFonts w:ascii="Arial" w:hAnsi="Arial" w:cs="Arial"/>
                <w:i/>
                <w:color w:val="222222"/>
                <w:highlight w:val="white"/>
              </w:rPr>
              <w:t>Allergy &amp; Asthma Proceedings</w:t>
            </w:r>
            <w:r w:rsidRPr="0075723F">
              <w:rPr>
                <w:rFonts w:ascii="Arial" w:hAnsi="Arial" w:cs="Arial"/>
                <w:color w:val="222222"/>
                <w:highlight w:val="white"/>
              </w:rPr>
              <w:t xml:space="preserve"> (Vol. 39, No. 1).</w:t>
            </w:r>
          </w:p>
          <w:p w14:paraId="484DF5DA" w14:textId="77777777" w:rsidR="002B20B0" w:rsidRPr="0075723F" w:rsidRDefault="002B20B0" w:rsidP="0075723F">
            <w:pPr>
              <w:spacing w:line="360" w:lineRule="auto"/>
              <w:jc w:val="both"/>
              <w:rPr>
                <w:rFonts w:ascii="Arial" w:hAnsi="Arial" w:cs="Arial"/>
                <w:color w:val="222222"/>
                <w:highlight w:val="white"/>
              </w:rPr>
            </w:pPr>
          </w:p>
          <w:p w14:paraId="0931A9B2"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Facioni, M.S., Raspini, B., Pivari, F., Dogliotti, E. and Cena, H., 2020. Nutritional management of lactose intolerance: the importance of diet and food labelling. </w:t>
            </w:r>
            <w:r w:rsidRPr="0075723F">
              <w:rPr>
                <w:rFonts w:ascii="Arial" w:hAnsi="Arial" w:cs="Arial"/>
                <w:i/>
                <w:color w:val="222222"/>
                <w:highlight w:val="white"/>
              </w:rPr>
              <w:t>Journal of Translational Medicine</w:t>
            </w:r>
            <w:r w:rsidRPr="0075723F">
              <w:rPr>
                <w:rFonts w:ascii="Arial" w:hAnsi="Arial" w:cs="Arial"/>
                <w:color w:val="222222"/>
                <w:highlight w:val="white"/>
              </w:rPr>
              <w:t xml:space="preserve">, </w:t>
            </w:r>
            <w:r w:rsidRPr="0075723F">
              <w:rPr>
                <w:rFonts w:ascii="Arial" w:hAnsi="Arial" w:cs="Arial"/>
                <w:i/>
                <w:color w:val="222222"/>
                <w:highlight w:val="white"/>
              </w:rPr>
              <w:t>18</w:t>
            </w:r>
            <w:r w:rsidRPr="0075723F">
              <w:rPr>
                <w:rFonts w:ascii="Arial" w:hAnsi="Arial" w:cs="Arial"/>
                <w:color w:val="222222"/>
                <w:highlight w:val="white"/>
              </w:rPr>
              <w:t>(1), pp.1-9.</w:t>
            </w:r>
          </w:p>
          <w:p w14:paraId="71DD85A8" w14:textId="77777777" w:rsidR="002B20B0" w:rsidRPr="0075723F" w:rsidRDefault="002B20B0" w:rsidP="0075723F">
            <w:pPr>
              <w:spacing w:line="360" w:lineRule="auto"/>
              <w:jc w:val="both"/>
              <w:rPr>
                <w:rFonts w:ascii="Arial" w:hAnsi="Arial" w:cs="Arial"/>
                <w:color w:val="222222"/>
                <w:highlight w:val="white"/>
              </w:rPr>
            </w:pPr>
          </w:p>
          <w:p w14:paraId="5147CFDB"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Kulshreshtha, G., Diep, T., Hudson, H.A. and Hincke, M.T., 2022. High-value applications and current commercial market for eggshell membranes and derived bioactive. </w:t>
            </w:r>
            <w:r w:rsidRPr="0075723F">
              <w:rPr>
                <w:rFonts w:ascii="Arial" w:hAnsi="Arial" w:cs="Arial"/>
                <w:i/>
                <w:color w:val="222222"/>
                <w:highlight w:val="white"/>
              </w:rPr>
              <w:t>Food Chemistry</w:t>
            </w:r>
            <w:r w:rsidRPr="0075723F">
              <w:rPr>
                <w:rFonts w:ascii="Arial" w:hAnsi="Arial" w:cs="Arial"/>
                <w:color w:val="222222"/>
                <w:highlight w:val="white"/>
              </w:rPr>
              <w:t>, p.132270.</w:t>
            </w:r>
          </w:p>
          <w:p w14:paraId="5A5D7996" w14:textId="77777777" w:rsidR="002B20B0" w:rsidRPr="0075723F" w:rsidRDefault="002B20B0" w:rsidP="0075723F">
            <w:pPr>
              <w:spacing w:line="360" w:lineRule="auto"/>
              <w:jc w:val="both"/>
              <w:rPr>
                <w:rFonts w:ascii="Arial" w:hAnsi="Arial" w:cs="Arial"/>
                <w:color w:val="222222"/>
                <w:highlight w:val="white"/>
              </w:rPr>
            </w:pPr>
          </w:p>
          <w:p w14:paraId="4AFDD542"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Muthukumar, J., Selvasekaran, P., Lokanadham, M. and Chidambaram, R., 2020. Food and food products associated with food allergy and food intolerance–An overview. </w:t>
            </w:r>
            <w:r w:rsidRPr="0075723F">
              <w:rPr>
                <w:rFonts w:ascii="Arial" w:hAnsi="Arial" w:cs="Arial"/>
                <w:i/>
                <w:color w:val="222222"/>
                <w:highlight w:val="white"/>
              </w:rPr>
              <w:t>Food Research International</w:t>
            </w:r>
            <w:r w:rsidRPr="0075723F">
              <w:rPr>
                <w:rFonts w:ascii="Arial" w:hAnsi="Arial" w:cs="Arial"/>
                <w:color w:val="222222"/>
                <w:highlight w:val="white"/>
              </w:rPr>
              <w:t xml:space="preserve">, </w:t>
            </w:r>
            <w:r w:rsidRPr="0075723F">
              <w:rPr>
                <w:rFonts w:ascii="Arial" w:hAnsi="Arial" w:cs="Arial"/>
                <w:i/>
                <w:color w:val="222222"/>
                <w:highlight w:val="white"/>
              </w:rPr>
              <w:t>138</w:t>
            </w:r>
            <w:r w:rsidRPr="0075723F">
              <w:rPr>
                <w:rFonts w:ascii="Arial" w:hAnsi="Arial" w:cs="Arial"/>
                <w:color w:val="222222"/>
                <w:highlight w:val="white"/>
              </w:rPr>
              <w:t>, p.109780.</w:t>
            </w:r>
          </w:p>
          <w:p w14:paraId="4F0E5D90" w14:textId="77777777" w:rsidR="002B20B0" w:rsidRPr="0075723F" w:rsidRDefault="002B20B0" w:rsidP="0075723F">
            <w:pPr>
              <w:spacing w:line="360" w:lineRule="auto"/>
              <w:jc w:val="both"/>
              <w:rPr>
                <w:rFonts w:ascii="Arial" w:hAnsi="Arial" w:cs="Arial"/>
                <w:color w:val="222222"/>
                <w:highlight w:val="white"/>
              </w:rPr>
            </w:pPr>
          </w:p>
          <w:p w14:paraId="06EB1082"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Pacholek, B., Sady, S. and Kupinska-Adamczyk, E., 2018. Management of food allergens in the food industry. </w:t>
            </w:r>
            <w:r w:rsidRPr="0075723F">
              <w:rPr>
                <w:rFonts w:ascii="Arial" w:hAnsi="Arial" w:cs="Arial"/>
                <w:i/>
                <w:color w:val="222222"/>
                <w:highlight w:val="white"/>
              </w:rPr>
              <w:t>Journal of Agribusiness and Rural Development</w:t>
            </w:r>
            <w:r w:rsidRPr="0075723F">
              <w:rPr>
                <w:rFonts w:ascii="Arial" w:hAnsi="Arial" w:cs="Arial"/>
                <w:color w:val="222222"/>
                <w:highlight w:val="white"/>
              </w:rPr>
              <w:t>, (1 [47]).</w:t>
            </w:r>
          </w:p>
          <w:p w14:paraId="752830A1" w14:textId="77777777" w:rsidR="002B20B0" w:rsidRPr="0075723F" w:rsidRDefault="002B20B0" w:rsidP="0075723F">
            <w:pPr>
              <w:spacing w:line="360" w:lineRule="auto"/>
              <w:jc w:val="both"/>
              <w:rPr>
                <w:rFonts w:ascii="Arial" w:hAnsi="Arial" w:cs="Arial"/>
                <w:color w:val="222222"/>
                <w:highlight w:val="white"/>
              </w:rPr>
            </w:pPr>
          </w:p>
          <w:p w14:paraId="02E5024E"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Sarkic, A. and Stappen, I., 2018. Essential oils and their single compounds in cosmetics—A critical review. </w:t>
            </w:r>
            <w:r w:rsidRPr="0075723F">
              <w:rPr>
                <w:rFonts w:ascii="Arial" w:hAnsi="Arial" w:cs="Arial"/>
                <w:i/>
                <w:color w:val="222222"/>
                <w:highlight w:val="white"/>
              </w:rPr>
              <w:t>Cosmetics</w:t>
            </w:r>
            <w:r w:rsidRPr="0075723F">
              <w:rPr>
                <w:rFonts w:ascii="Arial" w:hAnsi="Arial" w:cs="Arial"/>
                <w:color w:val="222222"/>
                <w:highlight w:val="white"/>
              </w:rPr>
              <w:t xml:space="preserve">, </w:t>
            </w:r>
            <w:r w:rsidRPr="0075723F">
              <w:rPr>
                <w:rFonts w:ascii="Arial" w:hAnsi="Arial" w:cs="Arial"/>
                <w:i/>
                <w:color w:val="222222"/>
                <w:highlight w:val="white"/>
              </w:rPr>
              <w:t>5</w:t>
            </w:r>
            <w:r w:rsidRPr="0075723F">
              <w:rPr>
                <w:rFonts w:ascii="Arial" w:hAnsi="Arial" w:cs="Arial"/>
                <w:color w:val="222222"/>
                <w:highlight w:val="white"/>
              </w:rPr>
              <w:t>(1), p.11.</w:t>
            </w:r>
          </w:p>
          <w:p w14:paraId="724AA914" w14:textId="77777777" w:rsidR="002B20B0" w:rsidRPr="0075723F" w:rsidRDefault="002B20B0" w:rsidP="0075723F">
            <w:pPr>
              <w:spacing w:line="360" w:lineRule="auto"/>
              <w:jc w:val="both"/>
              <w:rPr>
                <w:rFonts w:ascii="Arial" w:hAnsi="Arial" w:cs="Arial"/>
                <w:color w:val="222222"/>
                <w:highlight w:val="white"/>
              </w:rPr>
            </w:pPr>
          </w:p>
          <w:p w14:paraId="26960ADB" w14:textId="77777777" w:rsidR="002B20B0"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Vanhoutte, C., Goossens, A., Gilissen, L., Huygens, S., Vital</w:t>
            </w:r>
            <w:r w:rsidRPr="0075723F">
              <w:rPr>
                <w:rFonts w:ascii="Cambria Math" w:hAnsi="Cambria Math" w:cs="Cambria Math"/>
                <w:color w:val="222222"/>
                <w:highlight w:val="white"/>
              </w:rPr>
              <w:t>‐</w:t>
            </w:r>
            <w:r w:rsidRPr="0075723F">
              <w:rPr>
                <w:rFonts w:ascii="Arial" w:hAnsi="Arial" w:cs="Arial"/>
                <w:color w:val="222222"/>
                <w:highlight w:val="white"/>
              </w:rPr>
              <w:t>Durand, D., Dendooven, E. and Aerts, O., 2019. Concomitant contact</w:t>
            </w:r>
            <w:r w:rsidRPr="0075723F">
              <w:rPr>
                <w:rFonts w:ascii="Cambria Math" w:hAnsi="Cambria Math" w:cs="Cambria Math"/>
                <w:color w:val="222222"/>
                <w:highlight w:val="white"/>
              </w:rPr>
              <w:t>‐</w:t>
            </w:r>
            <w:r w:rsidRPr="0075723F">
              <w:rPr>
                <w:rFonts w:ascii="Arial" w:hAnsi="Arial" w:cs="Arial"/>
                <w:color w:val="222222"/>
                <w:highlight w:val="white"/>
              </w:rPr>
              <w:t xml:space="preserve">allergic reactions to iodopropynyl butylcarbamate and iodine. </w:t>
            </w:r>
            <w:r w:rsidRPr="0075723F">
              <w:rPr>
                <w:rFonts w:ascii="Arial" w:hAnsi="Arial" w:cs="Arial"/>
                <w:i/>
                <w:color w:val="222222"/>
                <w:highlight w:val="white"/>
              </w:rPr>
              <w:t>Contact Dermatitis</w:t>
            </w:r>
            <w:r w:rsidRPr="0075723F">
              <w:rPr>
                <w:rFonts w:ascii="Arial" w:hAnsi="Arial" w:cs="Arial"/>
                <w:color w:val="222222"/>
                <w:highlight w:val="white"/>
              </w:rPr>
              <w:t xml:space="preserve">, </w:t>
            </w:r>
            <w:r w:rsidRPr="0075723F">
              <w:rPr>
                <w:rFonts w:ascii="Arial" w:hAnsi="Arial" w:cs="Arial"/>
                <w:i/>
                <w:color w:val="222222"/>
                <w:highlight w:val="white"/>
              </w:rPr>
              <w:t>81</w:t>
            </w:r>
            <w:r w:rsidRPr="0075723F">
              <w:rPr>
                <w:rFonts w:ascii="Arial" w:hAnsi="Arial" w:cs="Arial"/>
                <w:color w:val="222222"/>
                <w:highlight w:val="white"/>
              </w:rPr>
              <w:t>(1), pp.17-23.</w:t>
            </w:r>
          </w:p>
          <w:p w14:paraId="35456598" w14:textId="77777777" w:rsidR="002B20B0" w:rsidRPr="0075723F" w:rsidRDefault="002B20B0" w:rsidP="0075723F">
            <w:pPr>
              <w:spacing w:line="360" w:lineRule="auto"/>
              <w:jc w:val="both"/>
              <w:rPr>
                <w:rFonts w:ascii="Arial" w:hAnsi="Arial" w:cs="Arial"/>
                <w:color w:val="222222"/>
                <w:highlight w:val="white"/>
              </w:rPr>
            </w:pPr>
          </w:p>
          <w:p w14:paraId="47FB6995" w14:textId="538CDA55" w:rsidR="00375882" w:rsidRPr="0075723F" w:rsidRDefault="002B20B0" w:rsidP="0075723F">
            <w:pPr>
              <w:spacing w:line="360" w:lineRule="auto"/>
              <w:jc w:val="both"/>
              <w:rPr>
                <w:rFonts w:ascii="Arial" w:hAnsi="Arial" w:cs="Arial"/>
                <w:color w:val="222222"/>
                <w:highlight w:val="white"/>
              </w:rPr>
            </w:pPr>
            <w:r w:rsidRPr="0075723F">
              <w:rPr>
                <w:rFonts w:ascii="Arial" w:hAnsi="Arial" w:cs="Arial"/>
                <w:color w:val="222222"/>
                <w:highlight w:val="white"/>
              </w:rPr>
              <w:t xml:space="preserve">Zieglmayer, U.P., Hemmer, W., Wieser, S. and Hoffmann-Sommergruber, K., 2021. Food intolerances—a diagnostic challenge. </w:t>
            </w:r>
            <w:r w:rsidRPr="0075723F">
              <w:rPr>
                <w:rFonts w:ascii="Arial" w:hAnsi="Arial" w:cs="Arial"/>
                <w:i/>
                <w:color w:val="222222"/>
                <w:highlight w:val="white"/>
              </w:rPr>
              <w:t>Allergo Journal International</w:t>
            </w:r>
            <w:r w:rsidRPr="0075723F">
              <w:rPr>
                <w:rFonts w:ascii="Arial" w:hAnsi="Arial" w:cs="Arial"/>
                <w:color w:val="222222"/>
                <w:highlight w:val="white"/>
              </w:rPr>
              <w:t>, pp.1-13.</w:t>
            </w:r>
          </w:p>
        </w:tc>
      </w:tr>
    </w:tbl>
    <w:p w14:paraId="3A480543" w14:textId="77777777" w:rsidR="00B00678" w:rsidRPr="0075723F" w:rsidRDefault="00B00678" w:rsidP="0075723F">
      <w:pPr>
        <w:spacing w:line="360" w:lineRule="auto"/>
        <w:rPr>
          <w:rFonts w:ascii="Arial" w:hAnsi="Arial" w:cs="Arial"/>
          <w:b/>
        </w:rPr>
      </w:pPr>
    </w:p>
    <w:p w14:paraId="02BE48C6" w14:textId="77777777" w:rsidR="00B00678" w:rsidRPr="0075723F" w:rsidRDefault="00B00678" w:rsidP="0075723F">
      <w:pPr>
        <w:spacing w:line="360" w:lineRule="auto"/>
        <w:rPr>
          <w:rFonts w:ascii="Arial" w:hAnsi="Arial" w:cs="Arial"/>
          <w:b/>
        </w:rPr>
      </w:pPr>
    </w:p>
    <w:p w14:paraId="1D4EFC49" w14:textId="77777777" w:rsidR="00B00678" w:rsidRPr="0075723F" w:rsidRDefault="00B00678" w:rsidP="0075723F">
      <w:pPr>
        <w:spacing w:line="360" w:lineRule="auto"/>
        <w:rPr>
          <w:rFonts w:ascii="Arial" w:hAnsi="Arial" w:cs="Arial"/>
          <w:b/>
        </w:rPr>
      </w:pPr>
    </w:p>
    <w:p w14:paraId="505DC984" w14:textId="77777777" w:rsidR="00B00678" w:rsidRPr="0075723F" w:rsidRDefault="00B00678" w:rsidP="0075723F">
      <w:pPr>
        <w:spacing w:line="360" w:lineRule="auto"/>
        <w:rPr>
          <w:rFonts w:ascii="Arial" w:hAnsi="Arial" w:cs="Arial"/>
          <w:b/>
        </w:rPr>
      </w:pPr>
    </w:p>
    <w:p w14:paraId="1F96E185" w14:textId="77777777" w:rsidR="00B00678" w:rsidRPr="0075723F" w:rsidRDefault="00B00678" w:rsidP="0075723F">
      <w:pPr>
        <w:spacing w:line="360" w:lineRule="auto"/>
        <w:rPr>
          <w:rFonts w:ascii="Arial" w:hAnsi="Arial" w:cs="Arial"/>
          <w:b/>
        </w:rPr>
      </w:pPr>
    </w:p>
    <w:p w14:paraId="25B9E4A6" w14:textId="77777777" w:rsidR="00A45D42" w:rsidRPr="0075723F" w:rsidRDefault="00A45D42" w:rsidP="0075723F">
      <w:pPr>
        <w:spacing w:line="360" w:lineRule="auto"/>
        <w:rPr>
          <w:rFonts w:ascii="Arial" w:hAnsi="Arial" w:cs="Arial"/>
          <w:b/>
        </w:rPr>
      </w:pPr>
    </w:p>
    <w:sectPr w:rsidR="00A45D42" w:rsidRPr="0075723F"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3183E" w14:textId="77777777" w:rsidR="004D0B01" w:rsidRDefault="004D0B01">
      <w:r>
        <w:separator/>
      </w:r>
    </w:p>
  </w:endnote>
  <w:endnote w:type="continuationSeparator" w:id="0">
    <w:p w14:paraId="7FDE747E" w14:textId="77777777" w:rsidR="004D0B01" w:rsidRDefault="004D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2B20B0">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A018B" w14:textId="77777777" w:rsidR="004D0B01" w:rsidRDefault="004D0B01">
      <w:r>
        <w:separator/>
      </w:r>
    </w:p>
  </w:footnote>
  <w:footnote w:type="continuationSeparator" w:id="0">
    <w:p w14:paraId="2B6AD428" w14:textId="77777777" w:rsidR="004D0B01" w:rsidRDefault="004D0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IN" w:eastAsia="en-IN"/>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1FE9"/>
    <w:rsid w:val="00202878"/>
    <w:rsid w:val="002314D4"/>
    <w:rsid w:val="002430D4"/>
    <w:rsid w:val="00244B89"/>
    <w:rsid w:val="00244F84"/>
    <w:rsid w:val="002659F5"/>
    <w:rsid w:val="00283BE2"/>
    <w:rsid w:val="002939AB"/>
    <w:rsid w:val="00294842"/>
    <w:rsid w:val="002B20B0"/>
    <w:rsid w:val="002E127C"/>
    <w:rsid w:val="002F7DD0"/>
    <w:rsid w:val="00301AD0"/>
    <w:rsid w:val="003036C9"/>
    <w:rsid w:val="00315A96"/>
    <w:rsid w:val="0032684A"/>
    <w:rsid w:val="00332099"/>
    <w:rsid w:val="00340B75"/>
    <w:rsid w:val="00340C62"/>
    <w:rsid w:val="003478CE"/>
    <w:rsid w:val="003605B1"/>
    <w:rsid w:val="003617CF"/>
    <w:rsid w:val="00364940"/>
    <w:rsid w:val="00365786"/>
    <w:rsid w:val="00366D9C"/>
    <w:rsid w:val="00375882"/>
    <w:rsid w:val="00382DB9"/>
    <w:rsid w:val="00396412"/>
    <w:rsid w:val="003C3341"/>
    <w:rsid w:val="003C7669"/>
    <w:rsid w:val="003C7C45"/>
    <w:rsid w:val="003E36D1"/>
    <w:rsid w:val="003E46A6"/>
    <w:rsid w:val="003F52F1"/>
    <w:rsid w:val="00414F02"/>
    <w:rsid w:val="004325B5"/>
    <w:rsid w:val="00433DBF"/>
    <w:rsid w:val="004341F2"/>
    <w:rsid w:val="00442F02"/>
    <w:rsid w:val="0044343A"/>
    <w:rsid w:val="00444EC9"/>
    <w:rsid w:val="00445A58"/>
    <w:rsid w:val="00447AEC"/>
    <w:rsid w:val="004508D4"/>
    <w:rsid w:val="00451947"/>
    <w:rsid w:val="00456590"/>
    <w:rsid w:val="004639B7"/>
    <w:rsid w:val="00474A29"/>
    <w:rsid w:val="00486E62"/>
    <w:rsid w:val="004B113B"/>
    <w:rsid w:val="004C08E2"/>
    <w:rsid w:val="004C7E23"/>
    <w:rsid w:val="004D0B01"/>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1006"/>
    <w:rsid w:val="00734189"/>
    <w:rsid w:val="00735BB1"/>
    <w:rsid w:val="00744482"/>
    <w:rsid w:val="007451E8"/>
    <w:rsid w:val="0075723F"/>
    <w:rsid w:val="007745C1"/>
    <w:rsid w:val="0078654A"/>
    <w:rsid w:val="0079230B"/>
    <w:rsid w:val="00797115"/>
    <w:rsid w:val="007A5E44"/>
    <w:rsid w:val="007D18CA"/>
    <w:rsid w:val="007E500C"/>
    <w:rsid w:val="007E7BB4"/>
    <w:rsid w:val="007F055A"/>
    <w:rsid w:val="007F418B"/>
    <w:rsid w:val="00814801"/>
    <w:rsid w:val="0082407E"/>
    <w:rsid w:val="00826699"/>
    <w:rsid w:val="00881282"/>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21C0"/>
    <w:rsid w:val="00B73A1C"/>
    <w:rsid w:val="00B945EA"/>
    <w:rsid w:val="00B949BC"/>
    <w:rsid w:val="00BA53CD"/>
    <w:rsid w:val="00BB5FB3"/>
    <w:rsid w:val="00BC4D17"/>
    <w:rsid w:val="00BC7F1B"/>
    <w:rsid w:val="00BE2584"/>
    <w:rsid w:val="00BF1D6B"/>
    <w:rsid w:val="00C10069"/>
    <w:rsid w:val="00C21568"/>
    <w:rsid w:val="00C34D09"/>
    <w:rsid w:val="00C35AEF"/>
    <w:rsid w:val="00C403AD"/>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4F72"/>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165C1"/>
    <w:rsid w:val="00F34E01"/>
    <w:rsid w:val="00F37A71"/>
    <w:rsid w:val="00F43CED"/>
    <w:rsid w:val="00F51904"/>
    <w:rsid w:val="00F537E9"/>
    <w:rsid w:val="00F720CF"/>
    <w:rsid w:val="00F90C39"/>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Dell</cp:lastModifiedBy>
  <cp:revision>4</cp:revision>
  <cp:lastPrinted>2020-09-28T20:53:00Z</cp:lastPrinted>
  <dcterms:created xsi:type="dcterms:W3CDTF">2022-02-11T15:00:00Z</dcterms:created>
  <dcterms:modified xsi:type="dcterms:W3CDTF">2022-02-11T15:04:00Z</dcterms:modified>
</cp:coreProperties>
</file>